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line="252" w:lineRule="auto" w:after="120"/>
      </w:pPr>
      <w:r>
        <w:rPr>
          <w:b w:val="0"/>
          <w:i w:val="0"/>
          <w:sz w:val="44"/>
        </w:rPr>
        <w:t>Hepatic epithelioid hemangioendothelioma — High-risk boundary protocol: questions for consensus</w:t>
      </w:r>
    </w:p>
    <w:p>
      <w:pPr>
        <w:spacing w:after="80"/>
      </w:pPr>
      <w:r>
        <w:rPr>
          <w:b w:val="0"/>
          <w:i w:val="0"/>
          <w:color w:val="5A6069"/>
          <w:sz w:val="18"/>
        </w:rPr>
        <w:t>UTHealth Houston and Memorial Hermann · HPB oncology · 29 October 2026 · V17 standardized documents</w:t>
      </w:r>
    </w:p>
    <w:p>
      <w:pPr>
        <w:spacing w:after="80"/>
      </w:pPr>
      <w:r>
        <w:rPr>
          <w:b w:val="0"/>
          <w:i w:val="0"/>
        </w:rPr>
        <w:t>Every question in the high-risk boundary protocol that still needs a consensus answer. Each one shows what guidelines, trials and papers say, our proposed selection, and space for the group decision. All proposals are OPEN; nothing in this document is activated or approved.</w:t>
      </w:r>
    </w:p>
    <w:p>
      <w:pPr>
        <w:spacing w:after="80"/>
      </w:pPr>
      <w:r>
        <w:rPr>
          <w:b w:val="0"/>
          <w:i w:val="0"/>
        </w:rPr>
        <w:t>Web page: https://drliuhao.github.io/mh-liver-pathways/transplant/hehe/#high-risk</w:t>
      </w:r>
    </w:p>
    <w:p>
      <w:pPr>
        <w:spacing w:after="160"/>
      </w:pPr>
      <w:r>
        <w:rPr>
          <w:b/>
          <w:i w:val="0"/>
        </w:rPr>
        <w:t xml:space="preserve">Companion files: </w:t>
      </w:r>
      <w:r>
        <w:rPr>
          <w:b w:val="0"/>
          <w:i w:val="0"/>
          <w:sz w:val="20"/>
        </w:rPr>
        <w:t xml:space="preserve">Full content: </w:t>
      </w:r>
      <w:r>
        <w:rPr>
          <w:b w:val="0"/>
          <w:i/>
        </w:rPr>
        <w:t>HEHE_5_High_Risk_Transplant_Protocol.docx</w:t>
      </w:r>
      <w:r>
        <w:rPr>
          <w:b w:val="0"/>
          <w:i w:val="0"/>
          <w:sz w:val="20"/>
        </w:rPr>
        <w:t xml:space="preserve"> · Decision discussion for all settings: </w:t>
      </w:r>
      <w:r>
        <w:rPr>
          <w:b w:val="0"/>
          <w:i/>
        </w:rPr>
        <w:t>HEHE_7_Decision_Discussion.docx</w:t>
      </w:r>
    </w:p>
    <w:p>
      <w:pPr>
        <w:pStyle w:val="Heading1"/>
        <w:keepNext/>
        <w:spacing w:before="280" w:after="80"/>
      </w:pPr>
      <w:r>
        <w:rPr>
          <w:b w:val="0"/>
          <w:i w:val="0"/>
        </w:rPr>
        <w:t>Summary</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1300"/>
        <w:gridCol w:w="3500"/>
        <w:gridCol w:w="3780"/>
        <w:gridCol w:w="1500"/>
      </w:tblGrid>
      <w:tr>
        <w:trPr>
          <w:tblHeader/>
        </w:trPr>
        <w:tc>
          <w:tcPr>
            <w:tcW w:type="dxa" w:w="2520"/>
            <w:tcW w:w="1300" w:type="dxa"/>
            <w:shd w:val="clear" w:color="auto" w:fill="17365D"/>
          </w:tcPr>
          <w:p>
            <w:r>
              <w:rPr>
                <w:b/>
                <w:i w:val="0"/>
                <w:color w:val="FFFFFF"/>
                <w:sz w:val="19"/>
              </w:rPr>
              <w:t>ID</w:t>
            </w:r>
          </w:p>
        </w:tc>
        <w:tc>
          <w:tcPr>
            <w:tcW w:type="dxa" w:w="2520"/>
            <w:tcW w:w="3500" w:type="dxa"/>
            <w:shd w:val="clear" w:color="auto" w:fill="17365D"/>
          </w:tcPr>
          <w:p>
            <w:r>
              <w:rPr>
                <w:b/>
                <w:i w:val="0"/>
                <w:color w:val="FFFFFF"/>
                <w:sz w:val="19"/>
              </w:rPr>
              <w:t>Question</w:t>
            </w:r>
          </w:p>
        </w:tc>
        <w:tc>
          <w:tcPr>
            <w:tcW w:type="dxa" w:w="2520"/>
            <w:tcW w:w="3780" w:type="dxa"/>
            <w:shd w:val="clear" w:color="auto" w:fill="17365D"/>
          </w:tcPr>
          <w:p>
            <w:r>
              <w:rPr>
                <w:b/>
                <w:i w:val="0"/>
                <w:color w:val="FFFFFF"/>
                <w:sz w:val="19"/>
              </w:rPr>
              <w:t>Proposed selection (summary)</w:t>
            </w:r>
          </w:p>
        </w:tc>
        <w:tc>
          <w:tcPr>
            <w:tcW w:type="dxa" w:w="2520"/>
            <w:tcW w:w="1500" w:type="dxa"/>
            <w:shd w:val="clear" w:color="auto" w:fill="17365D"/>
          </w:tcPr>
          <w:p>
            <w:r>
              <w:rPr>
                <w:b/>
                <w:i w:val="0"/>
                <w:color w:val="FFFFFF"/>
                <w:sz w:val="19"/>
              </w:rPr>
              <w:t>Status</w:t>
            </w:r>
          </w:p>
        </w:tc>
      </w:tr>
      <w:tr>
        <w:trPr>
          <w:cantSplit/>
        </w:trPr>
        <w:tc>
          <w:tcPr>
            <w:tcW w:type="dxa" w:w="2520"/>
            <w:tcW w:w="1300" w:type="dxa"/>
            <w:shd w:val="clear" w:color="auto" w:fill="F1F5F8"/>
          </w:tcPr>
          <w:p>
            <w:pPr>
              <w:spacing w:after="0"/>
            </w:pPr>
            <w:r>
              <w:rPr>
                <w:b/>
                <w:i w:val="0"/>
                <w:sz w:val="19"/>
              </w:rPr>
              <w:t>HEHE-B1</w:t>
            </w:r>
          </w:p>
        </w:tc>
        <w:tc>
          <w:tcPr>
            <w:tcW w:type="dxa" w:w="2520"/>
            <w:tcW w:w="3500" w:type="dxa"/>
            <w:shd w:val="clear" w:color="auto" w:fill="F1F5F8"/>
          </w:tcPr>
          <w:p>
            <w:pPr>
              <w:spacing w:after="0"/>
            </w:pPr>
            <w:r>
              <w:rPr>
                <w:b w:val="0"/>
                <w:i w:val="0"/>
                <w:sz w:val="19"/>
              </w:rPr>
              <w:t>When is observation more informative than immediate listing?</w:t>
            </w:r>
          </w:p>
        </w:tc>
        <w:tc>
          <w:tcPr>
            <w:tcW w:type="dxa" w:w="2520"/>
            <w:tcW w:w="3780" w:type="dxa"/>
            <w:shd w:val="clear" w:color="auto" w:fill="F1F5F8"/>
          </w:tcPr>
          <w:p>
            <w:pPr>
              <w:spacing w:after="0"/>
            </w:pPr>
            <w:r>
              <w:rPr>
                <w:b w:val="0"/>
                <w:i w:val="0"/>
                <w:sz w:val="19"/>
              </w:rPr>
              <w:t>Use six months of documented stability as an OPEN default for clinically stable HEHE, with explicit exceptions and continued assessment of whether LT is needed.</w:t>
            </w:r>
          </w:p>
        </w:tc>
        <w:tc>
          <w:tcPr>
            <w:tcW w:type="dxa" w:w="2520"/>
            <w:tcW w:w="1500" w:type="dxa"/>
            <w:shd w:val="clear" w:color="auto" w:fill="F1F5F8"/>
          </w:tcPr>
          <w:p>
            <w:pPr>
              <w:spacing w:after="0"/>
            </w:pPr>
            <w:r>
              <w:rPr>
                <w:b w:val="0"/>
                <w:i w:val="0"/>
                <w:color w:val="5A6069"/>
                <w:sz w:val="18"/>
              </w:rPr>
              <w:t>Review timing and need for transplant · not activated</w:t>
            </w:r>
          </w:p>
        </w:tc>
      </w:tr>
      <w:tr>
        <w:trPr>
          <w:cantSplit/>
        </w:trPr>
        <w:tc>
          <w:tcPr>
            <w:tcW w:type="dxa" w:w="2520"/>
            <w:tcW w:w="1300" w:type="dxa"/>
            <w:shd w:val="clear" w:color="auto" w:fill="FFFFFF"/>
          </w:tcPr>
          <w:p>
            <w:pPr>
              <w:spacing w:after="0"/>
            </w:pPr>
            <w:r>
              <w:rPr>
                <w:b/>
                <w:i w:val="0"/>
                <w:sz w:val="19"/>
              </w:rPr>
              <w:t>HEHE-B2</w:t>
            </w:r>
          </w:p>
        </w:tc>
        <w:tc>
          <w:tcPr>
            <w:tcW w:type="dxa" w:w="2520"/>
            <w:tcW w:w="3500" w:type="dxa"/>
            <w:shd w:val="clear" w:color="auto" w:fill="FFFFFF"/>
          </w:tcPr>
          <w:p>
            <w:pPr>
              <w:spacing w:after="0"/>
            </w:pPr>
            <w:r>
              <w:rPr>
                <w:b w:val="0"/>
                <w:i w:val="0"/>
                <w:sz w:val="19"/>
              </w:rPr>
              <w:t>Can extrahepatic disease or an explant score broaden access?</w:t>
            </w:r>
          </w:p>
        </w:tc>
        <w:tc>
          <w:tcPr>
            <w:tcW w:type="dxa" w:w="2520"/>
            <w:tcW w:w="3780" w:type="dxa"/>
            <w:shd w:val="clear" w:color="auto" w:fill="FFFFFF"/>
          </w:tcPr>
          <w:p>
            <w:pPr>
              <w:spacing w:after="0"/>
            </w:pPr>
            <w:r>
              <w:rPr>
                <w:b w:val="0"/>
                <w:i w:val="0"/>
                <w:sz w:val="19"/>
              </w:rPr>
              <w:t>Start with liver-only disease and no macrovascular invasion. Define a separate extrahepatic stratum, not yet activated: lung-only disease that is stable for ≥6 months or completely resected or ablated. Bone,…</w:t>
            </w:r>
          </w:p>
        </w:tc>
        <w:tc>
          <w:tcPr>
            <w:tcW w:type="dxa" w:w="2520"/>
            <w:tcW w:w="1500" w:type="dxa"/>
            <w:shd w:val="clear" w:color="auto" w:fill="FFFFFF"/>
          </w:tcPr>
          <w:p>
            <w:pPr>
              <w:spacing w:after="0"/>
            </w:pPr>
            <w:r>
              <w:rPr>
                <w:b w:val="0"/>
                <w:i w:val="0"/>
                <w:color w:val="5A6069"/>
                <w:sz w:val="18"/>
              </w:rPr>
              <w:t>Initial selection and expansion limits · not activated</w:t>
            </w:r>
          </w:p>
        </w:tc>
      </w:tr>
    </w:tbl>
    <w:p>
      <w:pPr>
        <w:spacing w:after="40"/>
      </w:pPr>
    </w:p>
    <w:p>
      <w:pPr>
        <w:pStyle w:val="Heading1"/>
        <w:keepNext/>
        <w:spacing w:before="280" w:after="80"/>
      </w:pPr>
      <w:r>
        <w:rPr>
          <w:b w:val="0"/>
          <w:i w:val="0"/>
        </w:rPr>
        <w:t>Questions</w:t>
      </w:r>
    </w:p>
    <w:p>
      <w:pPr>
        <w:pStyle w:val="Heading2"/>
        <w:keepNext/>
        <w:spacing w:before="200" w:after="80"/>
      </w:pPr>
      <w:r>
        <w:rPr>
          <w:b w:val="0"/>
          <w:i w:val="0"/>
        </w:rPr>
        <w:t>HEHE-B1 — Observation and the need for transplantation</w:t>
      </w:r>
    </w:p>
    <w:p>
      <w:pPr>
        <w:spacing w:after="80"/>
      </w:pPr>
      <w:r>
        <w:rPr>
          <w:b w:val="0"/>
          <w:i w:val="0"/>
          <w:color w:val="5A6069"/>
          <w:sz w:val="18"/>
        </w:rPr>
        <w:t>Review timing and need for transplant · not activated · High-risk review</w:t>
      </w:r>
    </w:p>
    <w:p>
      <w:pPr>
        <w:spacing w:after="80"/>
      </w:pPr>
      <w:r>
        <w:rPr>
          <w:b/>
          <w:i w:val="0"/>
        </w:rPr>
        <w:t xml:space="preserve">Question: </w:t>
      </w:r>
      <w:r>
        <w:rPr>
          <w:b w:val="0"/>
          <w:i w:val="0"/>
        </w:rPr>
        <w:t>When is observation more informative than immediate listing?</w:t>
      </w:r>
    </w:p>
    <w:p>
      <w:pPr>
        <w:spacing w:after="80"/>
      </w:pPr>
      <w:r>
        <w:rPr>
          <w:b/>
          <w:i w:val="0"/>
        </w:rPr>
        <w:t xml:space="preserve">When it applies: </w:t>
      </w:r>
      <w:r>
        <w:rPr>
          <w:b w:val="0"/>
          <w:i w:val="0"/>
        </w:rPr>
        <w:t>Balance observation of disease behavior against liver failure or other reasons transplantation cannot safely wait.</w:t>
      </w:r>
    </w:p>
    <w:p>
      <w:pPr>
        <w:spacing w:after="80"/>
      </w:pPr>
      <w:r>
        <w:rPr>
          <w:b/>
          <w:i w:val="0"/>
        </w:rPr>
        <w:t xml:space="preserve">Where it is decided: </w:t>
      </w:r>
      <w:hyperlink r:id="rId6">
        <w:r>
          <w:rPr>
            <w:color w:val="0563C1"/>
            <w:u w:val="single"/>
          </w:rPr>
          <w:t xml:space="preserve">Assess benefit and risk</w:t>
        </w:r>
      </w:hyperlink>
    </w:p>
    <w:p>
      <w:pPr>
        <w:spacing w:after="120"/>
      </w:pPr>
      <w:r>
        <w:rPr>
          <w:b/>
          <w:i w:val="0"/>
          <w:sz w:val="18"/>
        </w:rPr>
        <w:t xml:space="preserve">Web page: </w:t>
      </w:r>
      <w:hyperlink r:id="rId9">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Lai 2017</w:t>
            </w:r>
          </w:p>
        </w:tc>
        <w:tc>
          <w:tcPr>
            <w:tcW w:type="dxa" w:w="3360"/>
            <w:tcW w:w="5480" w:type="dxa"/>
            <w:shd w:val="clear" w:color="auto" w:fill="F1F5F8"/>
          </w:tcPr>
          <w:p>
            <w:pPr>
              <w:spacing w:after="0"/>
            </w:pPr>
            <w:r>
              <w:rPr>
                <w:b w:val="0"/>
                <w:i w:val="0"/>
                <w:sz w:val="19"/>
              </w:rPr>
              <w:t>“pre-LT waiting time of 120 days or less” Associated with recurrence in a selected transplant registry; the association does not prove that delaying LT improves outcomes.</w:t>
            </w:r>
          </w:p>
        </w:tc>
        <w:tc>
          <w:tcPr>
            <w:tcW w:type="dxa" w:w="3360"/>
            <w:tcW w:w="2400" w:type="dxa"/>
            <w:shd w:val="clear" w:color="auto" w:fill="F1F5F8"/>
          </w:tcPr>
          <w:p>
            <w:pPr>
              <w:spacing w:after="0"/>
            </w:pPr>
            <w:r>
              <w:rPr>
                <w:b w:val="0"/>
                <w:i w:val="0"/>
                <w:color w:val="5A6069"/>
                <w:sz w:val="18"/>
              </w:rPr>
              <w:t>Published PDF p1, abstract Results</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Lai 2017</w:t>
            </w:r>
          </w:p>
        </w:tc>
        <w:tc>
          <w:tcPr>
            <w:tcW w:type="dxa" w:w="3360"/>
            <w:tcW w:w="3900" w:type="dxa"/>
            <w:shd w:val="clear" w:color="auto" w:fill="F1F5F8"/>
          </w:tcPr>
          <w:p>
            <w:pPr>
              <w:spacing w:after="0"/>
            </w:pPr>
            <w:r>
              <w:rPr>
                <w:b w:val="0"/>
                <w:i w:val="0"/>
                <w:sz w:val="19"/>
              </w:rPr>
              <w:t>Retrospective ELTR/ELITA; 149 adult LT recipients, 1984–2014; median post-LT follow-up 7.6 years. Transplanted patients only; no randomized observation policy.</w:t>
            </w:r>
          </w:p>
        </w:tc>
        <w:tc>
          <w:tcPr>
            <w:tcW w:type="dxa" w:w="3360"/>
            <w:tcW w:w="4180" w:type="dxa"/>
            <w:shd w:val="clear" w:color="auto" w:fill="F1F5F8"/>
          </w:tcPr>
          <w:p>
            <w:pPr>
              <w:spacing w:after="0"/>
            </w:pPr>
            <w:r>
              <w:rPr>
                <w:b w:val="0"/>
                <w:i w:val="0"/>
                <w:sz w:val="19"/>
              </w:rPr>
              <w:t>Post-LT 5-year OS 79.5%; 37/149 recurred. Waiting ≤120 days associated with recurrence: Table 5 adjusted HR 2.5 (95% CI 1.2–5.3); 5-year DFS 73.3% versus 86.7% with longer waiting.</w:t>
            </w:r>
          </w:p>
          <w:p>
            <w:pPr>
              <w:spacing w:after="0"/>
            </w:pPr>
            <w:r>
              <w:rPr>
                <w:b w:val="0"/>
                <w:i/>
                <w:sz w:val="19"/>
              </w:rPr>
              <w:t>Limits: Confounding by urgency and survivorship; association does not show that waiting causes benefit. Earlier ELTR series overlap. Abstract HR differs slightly from Table 5.</w:t>
            </w:r>
          </w:p>
          <w:p>
            <w:pPr>
              <w:spacing w:after="0"/>
            </w:pPr>
            <w:r>
              <w:rPr>
                <w:b w:val="0"/>
                <w:i w:val="0"/>
                <w:color w:val="5A6069"/>
                <w:sz w:val="18"/>
              </w:rPr>
              <w:t>Results, Table 5 and Figure 3; use post-LT, not diagnosis-based OS.</w:t>
            </w:r>
          </w:p>
        </w:tc>
      </w:tr>
      <w:tr>
        <w:trPr>
          <w:cantSplit/>
        </w:trPr>
        <w:tc>
          <w:tcPr>
            <w:tcW w:type="dxa" w:w="3360"/>
            <w:tcW w:w="2000" w:type="dxa"/>
            <w:shd w:val="clear" w:color="auto" w:fill="FFFFFF"/>
          </w:tcPr>
          <w:p>
            <w:pPr>
              <w:spacing w:after="0"/>
            </w:pPr>
            <w:r>
              <w:rPr>
                <w:b/>
                <w:i w:val="0"/>
                <w:sz w:val="19"/>
              </w:rPr>
              <w:t>Brahmbhatt 2020</w:t>
            </w:r>
          </w:p>
        </w:tc>
        <w:tc>
          <w:tcPr>
            <w:tcW w:type="dxa" w:w="3360"/>
            <w:tcW w:w="3900" w:type="dxa"/>
            <w:shd w:val="clear" w:color="auto" w:fill="FFFFFF"/>
          </w:tcPr>
          <w:p>
            <w:pPr>
              <w:spacing w:after="0"/>
            </w:pPr>
            <w:r>
              <w:rPr>
                <w:b w:val="0"/>
                <w:i w:val="0"/>
                <w:sz w:val="19"/>
              </w:rPr>
              <w:t>UNOS 2002–2018: 131 adults listed; 88 transplanted. Median MELD at LT 7; median wait 78.5 days (IQR 29.5–237.5); 120/131 sought exceptions.</w:t>
            </w:r>
          </w:p>
        </w:tc>
        <w:tc>
          <w:tcPr>
            <w:tcW w:type="dxa" w:w="3360"/>
            <w:tcW w:w="4180" w:type="dxa"/>
            <w:shd w:val="clear" w:color="auto" w:fill="FFFFFF"/>
          </w:tcPr>
          <w:p>
            <w:pPr>
              <w:spacing w:after="0"/>
            </w:pPr>
            <w:r>
              <w:rPr>
                <w:b w:val="0"/>
                <w:i w:val="0"/>
                <w:sz w:val="19"/>
              </w:rPr>
              <w:t>Post-LT 1/3/5-year OS 88.6%/78.9%/77.2%. Early hepatic-artery-thrombosis graft failure 4.6% versus 0.5% in non-HEHE comparators.</w:t>
            </w:r>
          </w:p>
          <w:p>
            <w:pPr>
              <w:spacing w:after="0"/>
            </w:pPr>
            <w:r>
              <w:rPr>
                <w:b w:val="0"/>
                <w:i/>
                <w:sz w:val="19"/>
              </w:rPr>
              <w:t>Limits: Abstract-only extraction. Favorable survival despite median wait &lt;120 days argues against a proven mandatory four-month threshold; not a randomized timing comparison. Older UNOS reports overlap.</w:t>
            </w:r>
          </w:p>
          <w:p>
            <w:pPr>
              <w:spacing w:after="0"/>
            </w:pPr>
            <w:r>
              <w:rPr>
                <w:b w:val="0"/>
                <w:i w:val="0"/>
                <w:color w:val="5A6069"/>
                <w:sz w:val="18"/>
              </w:rPr>
              <w:t>Published abstract Results; PMID 31577674.</w:t>
            </w:r>
          </w:p>
        </w:tc>
      </w:tr>
      <w:tr>
        <w:trPr>
          <w:cantSplit/>
        </w:trPr>
        <w:tc>
          <w:tcPr>
            <w:tcW w:type="dxa" w:w="3360"/>
            <w:tcW w:w="2000" w:type="dxa"/>
            <w:shd w:val="clear" w:color="auto" w:fill="F1F5F8"/>
          </w:tcPr>
          <w:p>
            <w:pPr>
              <w:spacing w:after="0"/>
            </w:pPr>
            <w:r>
              <w:rPr>
                <w:b/>
                <w:i w:val="0"/>
                <w:sz w:val="19"/>
              </w:rPr>
              <w:t>Thomas 2014</w:t>
            </w:r>
          </w:p>
        </w:tc>
        <w:tc>
          <w:tcPr>
            <w:tcW w:type="dxa" w:w="3360"/>
            <w:tcW w:w="3900" w:type="dxa"/>
            <w:shd w:val="clear" w:color="auto" w:fill="F1F5F8"/>
          </w:tcPr>
          <w:p>
            <w:pPr>
              <w:spacing w:after="0"/>
            </w:pPr>
            <w:r>
              <w:rPr>
                <w:b w:val="0"/>
                <w:i w:val="0"/>
                <w:sz w:val="19"/>
              </w:rPr>
              <w:t>Single-center retrospective cohort, n=50; initial surgery 7, systemic/embolization 18, observation 25. Histologically confirmed EHE; 24/50 metastatic at diagnosis; treatment selected clinically.</w:t>
            </w:r>
          </w:p>
        </w:tc>
        <w:tc>
          <w:tcPr>
            <w:tcW w:type="dxa" w:w="3360"/>
            <w:tcW w:w="4180" w:type="dxa"/>
            <w:shd w:val="clear" w:color="auto" w:fill="F1F5F8"/>
          </w:tcPr>
          <w:p>
            <w:pPr>
              <w:spacing w:after="0"/>
            </w:pPr>
            <w:r>
              <w:rPr>
                <w:b w:val="0"/>
                <w:i w:val="0"/>
                <w:sz w:val="19"/>
              </w:rPr>
              <w:t>Five-year OS from diagnosis: surgery 83.3%, systemic/embolization 71.3%, observation 72.4% (P=.9). Localized versus metastatic: 69% versus 78.3% (P=.7).</w:t>
            </w:r>
          </w:p>
          <w:p>
            <w:pPr>
              <w:spacing w:after="0"/>
            </w:pPr>
            <w:r>
              <w:rPr>
                <w:b w:val="0"/>
                <w:i/>
                <w:sz w:val="19"/>
              </w:rPr>
              <w:t>Limits: Small, nonrandom groups; no metastatic patients in initial surgery group. Supports observing selected indolent disease, not equivalence of therapies or a 120-day cutoff.</w:t>
            </w:r>
          </w:p>
          <w:p>
            <w:pPr>
              <w:spacing w:after="0"/>
            </w:pPr>
            <w:r>
              <w:rPr>
                <w:b w:val="0"/>
                <w:i w:val="0"/>
                <w:color w:val="5A6069"/>
                <w:sz w:val="18"/>
              </w:rPr>
              <w:t>Methods time-origin definition; Table 1 and survival Results.</w:t>
            </w:r>
          </w:p>
        </w:tc>
      </w:tr>
      <w:tr>
        <w:trPr>
          <w:cantSplit/>
        </w:trPr>
        <w:tc>
          <w:tcPr>
            <w:tcW w:type="dxa" w:w="3360"/>
            <w:tcW w:w="2000" w:type="dxa"/>
            <w:shd w:val="clear" w:color="auto" w:fill="FFFFFF"/>
          </w:tcPr>
          <w:p>
            <w:pPr>
              <w:spacing w:after="0"/>
            </w:pPr>
            <w:r>
              <w:rPr>
                <w:b/>
                <w:i w:val="0"/>
                <w:sz w:val="19"/>
              </w:rPr>
              <w:t>Liu 2024</w:t>
            </w:r>
          </w:p>
        </w:tc>
        <w:tc>
          <w:tcPr>
            <w:tcW w:type="dxa" w:w="3360"/>
            <w:tcW w:w="3900" w:type="dxa"/>
            <w:shd w:val="clear" w:color="auto" w:fill="FFFFFF"/>
          </w:tcPr>
          <w:p>
            <w:pPr>
              <w:spacing w:after="0"/>
            </w:pPr>
            <w:r>
              <w:rPr>
                <w:b w:val="0"/>
                <w:i w:val="0"/>
                <w:sz w:val="19"/>
              </w:rPr>
              <w:t>Single-team retrospective cohort 2014–2024: 228 evaluable; LT 8, resection/ablation 49, nonsurgical 171. Half the eight LT patients had a lesion &gt;10 cm, versus 10% of non-LT patients.</w:t>
            </w:r>
          </w:p>
        </w:tc>
        <w:tc>
          <w:tcPr>
            <w:tcW w:type="dxa" w:w="3360"/>
            <w:tcW w:w="4180" w:type="dxa"/>
            <w:shd w:val="clear" w:color="auto" w:fill="FFFFFF"/>
          </w:tcPr>
          <w:p>
            <w:pPr>
              <w:spacing w:after="0"/>
            </w:pPr>
            <w:r>
              <w:rPr>
                <w:b w:val="0"/>
                <w:i w:val="0"/>
                <w:sz w:val="19"/>
              </w:rPr>
              <w:t>Overall 5-year OS 84.9%; LT 1/3-year OS 62.5%/25%; non-LT 5-year OS 87.8%. Survival time zero is not clearly specified in the extracted Methods; do not relabel as standard post-LT estimates.</w:t>
            </w:r>
          </w:p>
          <w:p>
            <w:pPr>
              <w:spacing w:after="0"/>
            </w:pPr>
            <w:r>
              <w:rPr>
                <w:b w:val="0"/>
                <w:i/>
                <w:sz w:val="19"/>
              </w:rPr>
              <w:t>Limits: Major confounding by indication, eight recipients and loss-to-follow-up exclusion. Poor LT results cannot prove LT causes harm; they challenge assuming all HEHE has excellent transplant outcomes.</w:t>
            </w:r>
          </w:p>
          <w:p>
            <w:pPr>
              <w:spacing w:after="0"/>
            </w:pPr>
            <w:r>
              <w:rPr>
                <w:b w:val="0"/>
                <w:i w:val="0"/>
                <w:color w:val="5A6069"/>
                <w:sz w:val="18"/>
              </w:rPr>
              <w:t>Methods; Tables 1–3; Survival Outcomes/Figure 2.</w:t>
            </w:r>
          </w:p>
        </w:tc>
      </w:tr>
      <w:tr>
        <w:trPr>
          <w:cantSplit/>
        </w:trPr>
        <w:tc>
          <w:tcPr>
            <w:tcW w:type="dxa" w:w="3360"/>
            <w:tcW w:w="2000" w:type="dxa"/>
            <w:shd w:val="clear" w:color="auto" w:fill="F1F5F8"/>
          </w:tcPr>
          <w:p>
            <w:pPr>
              <w:spacing w:after="0"/>
            </w:pPr>
            <w:r>
              <w:rPr>
                <w:b/>
                <w:i w:val="0"/>
                <w:sz w:val="19"/>
              </w:rPr>
              <w:t>Stacchiotti 2021</w:t>
            </w:r>
          </w:p>
        </w:tc>
        <w:tc>
          <w:tcPr>
            <w:tcW w:type="dxa" w:w="3360"/>
            <w:tcW w:w="3900" w:type="dxa"/>
            <w:shd w:val="clear" w:color="auto" w:fill="F1F5F8"/>
          </w:tcPr>
          <w:p>
            <w:pPr>
              <w:spacing w:after="0"/>
            </w:pPr>
            <w:r>
              <w:rPr>
                <w:b w:val="0"/>
                <w:i w:val="0"/>
                <w:sz w:val="19"/>
              </w:rPr>
              <w:t>International expert consensus; evidence predominantly retrospective and very-low certainty. Distinguishes asymptomatic/stable systemic EHE from unresectable liver-confined disease.</w:t>
            </w:r>
          </w:p>
        </w:tc>
        <w:tc>
          <w:tcPr>
            <w:tcW w:type="dxa" w:w="3360"/>
            <w:tcW w:w="4180" w:type="dxa"/>
            <w:shd w:val="clear" w:color="auto" w:fill="F1F5F8"/>
          </w:tcPr>
          <w:p>
            <w:pPr>
              <w:spacing w:after="0"/>
            </w:pPr>
            <w:r>
              <w:rPr>
                <w:b w:val="0"/>
                <w:i w:val="0"/>
                <w:sz w:val="19"/>
              </w:rPr>
              <w:t>Supports initial active surveillance for suitable stable disease and consideration of LT for selected unresectable liver-only EHE; advises against LT with EHD (V,A).</w:t>
            </w:r>
          </w:p>
          <w:p>
            <w:pPr>
              <w:spacing w:after="0"/>
            </w:pPr>
            <w:r>
              <w:rPr>
                <w:b w:val="0"/>
                <w:i/>
                <w:sz w:val="19"/>
              </w:rPr>
              <w:t>Limits: Expert recommendation conflicts with ACG key concepts and NLRB guidance. Neither side has randomized EHD transplant-benefit evidence.</w:t>
            </w:r>
          </w:p>
          <w:p>
            <w:pPr>
              <w:spacing w:after="0"/>
            </w:pPr>
            <w:r>
              <w:rPr>
                <w:b w:val="0"/>
                <w:i w:val="0"/>
                <w:color w:val="5A6069"/>
                <w:sz w:val="18"/>
              </w:rPr>
              <w:t>Management of liver EHE, PDF p8; active-surveillance discussion.</w:t>
            </w:r>
          </w:p>
        </w:tc>
      </w:tr>
      <w:tr>
        <w:trPr>
          <w:cantSplit/>
        </w:trPr>
        <w:tc>
          <w:tcPr>
            <w:tcW w:type="dxa" w:w="3360"/>
            <w:tcW w:w="2000" w:type="dxa"/>
            <w:shd w:val="clear" w:color="auto" w:fill="FFFFFF"/>
          </w:tcPr>
          <w:p>
            <w:pPr>
              <w:spacing w:after="0"/>
            </w:pPr>
            <w:r>
              <w:rPr>
                <w:b/>
                <w:i w:val="0"/>
                <w:sz w:val="19"/>
              </w:rPr>
              <w:t>DGVS S2k LT guidance</w:t>
            </w:r>
          </w:p>
        </w:tc>
        <w:tc>
          <w:tcPr>
            <w:tcW w:type="dxa" w:w="3360"/>
            <w:tcW w:w="3900" w:type="dxa"/>
            <w:shd w:val="clear" w:color="auto" w:fill="FFFFFF"/>
          </w:tcPr>
          <w:p>
            <w:pPr>
              <w:spacing w:after="0"/>
            </w:pPr>
            <w:r>
              <w:rPr>
                <w:b w:val="0"/>
                <w:i w:val="0"/>
                <w:sz w:val="19"/>
              </w:rPr>
              <w:t>German S2k consensus guideline; HEHE recommendations dated 2023, publication 2024. Recommendation 3.86 addresses stable disease before LT; 3.85 concerns eligibility for evaluation.</w:t>
            </w:r>
          </w:p>
        </w:tc>
        <w:tc>
          <w:tcPr>
            <w:tcW w:type="dxa" w:w="3360"/>
            <w:tcW w:w="4180" w:type="dxa"/>
            <w:shd w:val="clear" w:color="auto" w:fill="FFFFFF"/>
          </w:tcPr>
          <w:p>
            <w:pPr>
              <w:spacing w:after="0"/>
            </w:pPr>
            <w:r>
              <w:rPr>
                <w:b w:val="0"/>
                <w:i w:val="0"/>
                <w:sz w:val="19"/>
              </w:rPr>
              <w:t>Recommends at least six months of largely stable disease before LT. Macrovascular invasion or hilar nodes are not absolute barriers to evaluation, which is not equivalent to recommending transplantation.</w:t>
            </w:r>
          </w:p>
          <w:p>
            <w:pPr>
              <w:spacing w:after="0"/>
            </w:pPr>
            <w:r>
              <w:rPr>
                <w:b w:val="0"/>
                <w:i/>
                <w:sz w:val="19"/>
              </w:rPr>
              <w:t>Limits: Expert consensus, not a randomized timing comparison or US allocation rule. It supplies a competing six-month option, not proof of superiority to four months.</w:t>
            </w:r>
          </w:p>
          <w:p>
            <w:pPr>
              <w:spacing w:after="0"/>
            </w:pPr>
            <w:r>
              <w:rPr>
                <w:b w:val="0"/>
                <w:i w:val="0"/>
                <w:color w:val="5A6069"/>
                <w:sz w:val="18"/>
              </w:rPr>
              <w:t>Official society HEHE chapter, recommendations 3.85–3.86.</w:t>
            </w:r>
          </w:p>
        </w:tc>
      </w:tr>
    </w:tbl>
    <w:p>
      <w:pPr>
        <w:spacing w:after="40"/>
      </w:pPr>
    </w:p>
    <w:p>
      <w:pPr>
        <w:pStyle w:val="Heading3"/>
        <w:keepNext/>
        <w:spacing w:before="120" w:after="80"/>
      </w:pPr>
      <w:r>
        <w:rPr>
          <w:b w:val="0"/>
          <w:i w:val="0"/>
        </w:rPr>
        <w:t>Our proposed selection (OPEN)</w:t>
      </w:r>
    </w:p>
    <w:p>
      <w:pPr>
        <w:spacing w:after="80"/>
      </w:pPr>
      <w:r>
        <w:rPr>
          <w:b w:val="0"/>
          <w:i w:val="0"/>
        </w:rPr>
        <w:t>Use six months of documented stability as an OPEN default for clinically stable HEHE, with explicit exceptions and continued assessment of whether LT is needed.</w:t>
      </w:r>
    </w:p>
    <w:p>
      <w:pPr>
        <w:numPr>
          <w:ilvl w:val="0"/>
          <w:numId w:val="5"/>
        </w:numPr>
        <w:spacing w:after="40"/>
      </w:pPr>
      <w:r>
        <w:rPr>
          <w:b w:val="0"/>
          <w:i w:val="0"/>
        </w:rPr>
        <w:t>In stable disease, propose six months of largely stable biology before final a final decision to proceed with transplantation, with comparable staging and approximately eight-week reassessment. Reliable earlier imaging can count; document the actual diagnosis, staging, registration and observation dates rather than restart a clock at referral.</w:t>
      </w:r>
    </w:p>
    <w:p>
      <w:pPr>
        <w:numPr>
          <w:ilvl w:val="0"/>
          <w:numId w:val="5"/>
        </w:numPr>
        <w:spacing w:after="40"/>
      </w:pPr>
      <w:r>
        <w:rPr>
          <w:b w:val="0"/>
          <w:i w:val="0"/>
        </w:rPr>
        <w:t>Do not delay threatening liver failure, significant progressive symptoms or rapid progression solely to complete six months. Obtain urgent multidisciplinary review of LT versus non-LT treatment; urgency does not itself establish oncologic suitability.</w:t>
      </w:r>
    </w:p>
    <w:p>
      <w:pPr>
        <w:numPr>
          <w:ilvl w:val="0"/>
          <w:numId w:val="5"/>
        </w:numPr>
        <w:spacing w:after="40"/>
      </w:pPr>
      <w:r>
        <w:rPr>
          <w:b w:val="0"/>
          <w:i w:val="0"/>
        </w:rPr>
        <w:t>Six months is an expert-guidance-informed local default, not a national requirement or validated cutoff. Continued stability does not mandate LT: reassess resection, symptom burden, function and benefit over continued observation.</w:t>
      </w:r>
    </w:p>
    <w:p>
      <w:pPr>
        <w:spacing w:after="80"/>
      </w:pPr>
      <w:r>
        <w:rPr>
          <w:b/>
          <w:i w:val="0"/>
        </w:rPr>
        <w:t xml:space="preserve">Why: </w:t>
      </w:r>
      <w:r>
        <w:rPr>
          <w:b w:val="0"/>
          <w:i w:val="0"/>
        </w:rPr>
        <w:t>Observation can expose indolent biology and avoid unnecessary graft use. The 120-day signal is prognostic association among recipients, not a tested intervention. Good US outcomes with a shorter median wait and poor outcomes in a small high-burden cohort both argue for clinical context rather than a stopwatch. DGVS explicitly favors six months of largely stable disease. This expert-guidance counterpoint is more conservative than the earlier four-month local proposal; neither interval has causal comparative validation.</w:t>
      </w:r>
    </w:p>
    <w:p>
      <w:pPr>
        <w:spacing w:after="80"/>
      </w:pPr>
      <w:r>
        <w:rPr>
          <w:b/>
          <w:i w:val="0"/>
        </w:rPr>
        <w:t xml:space="preserve">Against, or uncertain: </w:t>
      </w:r>
      <w:r>
        <w:rPr>
          <w:b w:val="0"/>
          <w:i w:val="0"/>
        </w:rPr>
        <w:t>There is no randomized immediate-versus-delayed LT comparison. Time accrued before referral, urgent liver failure, selection to survive waiting, lead time and different OS clocks can generate apparent benefits of observation.</w:t>
      </w:r>
    </w:p>
    <w:p>
      <w:pPr>
        <w:spacing w:after="80"/>
      </w:pPr>
      <w:r>
        <w:rPr>
          <w:b/>
          <w:i w:val="0"/>
        </w:rPr>
        <w:t xml:space="preserve">Certainty: </w:t>
      </w:r>
      <w:r>
        <w:rPr>
          <w:b w:val="0"/>
          <w:i w:val="0"/>
        </w:rPr>
        <w:t>Low certainty for selected post-LT survival; very low certainty that a fixed observation interval improves outcomes. No validated universal 120-day eligibility cliff. Lai measured waiting time from waiting-list registration, not completed staging, diagnosis or referral; our proposed staging-based clock is an explicit adaptation.</w:t>
      </w:r>
    </w:p>
    <w:p>
      <w:pPr>
        <w:spacing w:after="80"/>
      </w:pPr>
      <w:r>
        <w:rPr>
          <w:b/>
          <w:i w:val="0"/>
        </w:rPr>
        <w:t xml:space="preserve">Tests and records: </w:t>
      </w:r>
      <w:r>
        <w:rPr>
          <w:b w:val="0"/>
          <w:i w:val="0"/>
        </w:rPr>
        <w:t>Expert EHE pathology; complete liver/systemic staging; symptoms and liver function; interval growth and vascular/node assessment; resection review.</w:t>
      </w:r>
    </w:p>
    <w:p>
      <w:pPr>
        <w:spacing w:after="80"/>
      </w:pPr>
      <w:r>
        <w:rPr>
          <w:b/>
          <w:i w:val="0"/>
        </w:rPr>
        <w:t xml:space="preserve">Allocation: </w:t>
      </w:r>
      <w:r>
        <w:rPr>
          <w:b w:val="0"/>
          <w:i w:val="0"/>
        </w:rPr>
        <w:t>This is a proposed clinical timing choice, not an added NLRB exception requirement. Standard HEHE protocol content is not rewritten in this edition.</w:t>
      </w:r>
    </w:p>
    <w:p>
      <w:pPr>
        <w:spacing w:after="40"/>
      </w:pPr>
      <w:r>
        <w:rPr>
          <w:b/>
          <w:i w:val="0"/>
        </w:rPr>
        <w:t xml:space="preserve">Basis for the proposed thresholds: </w:t>
      </w:r>
    </w:p>
    <w:p>
      <w:pPr>
        <w:numPr>
          <w:ilvl w:val="0"/>
          <w:numId w:val="5"/>
        </w:numPr>
        <w:spacing w:after="40"/>
      </w:pPr>
      <w:r>
        <w:rPr>
          <w:b w:val="0"/>
          <w:i w:val="0"/>
        </w:rPr>
        <w:t>Six months: international expert-guidance default, not US policy or a proven biological cliff. Reliable pre-referral stability may contribute.</w:t>
      </w:r>
    </w:p>
    <w:p>
      <w:pPr>
        <w:numPr>
          <w:ilvl w:val="0"/>
          <w:numId w:val="5"/>
        </w:numPr>
        <w:spacing w:after="40"/>
      </w:pPr>
      <w:r>
        <w:rPr>
          <w:b w:val="0"/>
          <w:i w:val="0"/>
        </w:rPr>
        <w:t>120 days: Lai registry exposure measured from waiting-list registration to LT; it is not the same as diagnosis-to-treatment or completed-staging observation and does not causally validate four months.</w:t>
      </w:r>
    </w:p>
    <w:p>
      <w:pPr>
        <w:numPr>
          <w:ilvl w:val="0"/>
          <w:numId w:val="5"/>
        </w:numPr>
        <w:spacing w:after="40"/>
      </w:pPr>
      <w:r>
        <w:rPr>
          <w:b w:val="0"/>
          <w:i w:val="0"/>
        </w:rPr>
        <w:t>Approximately eight-week reassessment and exceptions: local workflow/safety judgment; adjust to disease trajectory.</w:t>
      </w:r>
    </w:p>
    <w:p>
      <w:pPr>
        <w:pStyle w:val="Heading3"/>
        <w:keepNext/>
        <w:spacing w:before="120" w:after="80"/>
      </w:pPr>
      <w:r>
        <w:rPr>
          <w:b w:val="0"/>
          <w:i w:val="0"/>
        </w:rPr>
        <w:t>HEHE-B1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HEHE-B2 — Extrahepatic disease and vascular invasion</w:t>
      </w:r>
    </w:p>
    <w:p>
      <w:pPr>
        <w:spacing w:after="80"/>
      </w:pPr>
      <w:r>
        <w:rPr>
          <w:b w:val="0"/>
          <w:i w:val="0"/>
          <w:color w:val="5A6069"/>
          <w:sz w:val="18"/>
        </w:rPr>
        <w:t>Initial selection and expansion limits · not activated · High-risk review</w:t>
      </w:r>
    </w:p>
    <w:p>
      <w:pPr>
        <w:spacing w:after="80"/>
      </w:pPr>
      <w:r>
        <w:rPr>
          <w:b/>
          <w:i w:val="0"/>
        </w:rPr>
        <w:t xml:space="preserve">Question: </w:t>
      </w:r>
      <w:r>
        <w:rPr>
          <w:b w:val="0"/>
          <w:i w:val="0"/>
        </w:rPr>
        <w:t>Can extrahepatic disease or an explant score broaden access?</w:t>
      </w:r>
    </w:p>
    <w:p>
      <w:pPr>
        <w:spacing w:after="80"/>
      </w:pPr>
      <w:r>
        <w:rPr>
          <w:b/>
          <w:i w:val="0"/>
        </w:rPr>
        <w:t xml:space="preserve">When it applies: </w:t>
      </w:r>
      <w:r>
        <w:rPr>
          <w:b w:val="0"/>
          <w:i w:val="0"/>
        </w:rPr>
        <w:t>Assess vascular invasion and any extrahepatic disease separately from the usual liver-only pathway.</w:t>
      </w:r>
    </w:p>
    <w:p>
      <w:pPr>
        <w:spacing w:after="80"/>
      </w:pPr>
      <w:r>
        <w:rPr>
          <w:b/>
          <w:i w:val="0"/>
        </w:rPr>
        <w:t xml:space="preserve">Where it is decided: </w:t>
      </w:r>
      <w:hyperlink r:id="rId10">
        <w:r>
          <w:rPr>
            <w:color w:val="0563C1"/>
            <w:u w:val="single"/>
          </w:rPr>
          <w:t xml:space="preserve">Stage and compare options</w:t>
        </w:r>
      </w:hyperlink>
    </w:p>
    <w:p>
      <w:pPr>
        <w:spacing w:after="120"/>
      </w:pPr>
      <w:r>
        <w:rPr>
          <w:b/>
          <w:i w:val="0"/>
          <w:sz w:val="18"/>
        </w:rPr>
        <w:t xml:space="preserve">Web page: </w:t>
      </w:r>
      <w:hyperlink r:id="rId11">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NLRB oncology guidance</w:t>
            </w:r>
          </w:p>
        </w:tc>
        <w:tc>
          <w:tcPr>
            <w:tcW w:type="dxa" w:w="3360"/>
            <w:tcW w:w="5480" w:type="dxa"/>
            <w:shd w:val="clear" w:color="auto" w:fill="F1F5F8"/>
          </w:tcPr>
          <w:p>
            <w:pPr>
              <w:spacing w:after="0"/>
            </w:pPr>
            <w:r>
              <w:rPr>
                <w:b w:val="0"/>
                <w:i w:val="0"/>
                <w:sz w:val="19"/>
              </w:rPr>
              <w:t>“The presence of extrahepatic disease is not an absolute contraindication.” Allocation guidance permits consideration; it does not establish clinical benefit in every EHD phenotype.</w:t>
            </w:r>
          </w:p>
        </w:tc>
        <w:tc>
          <w:tcPr>
            <w:tcW w:type="dxa" w:w="3360"/>
            <w:tcW w:w="2400" w:type="dxa"/>
            <w:shd w:val="clear" w:color="auto" w:fill="F1F5F8"/>
          </w:tcPr>
          <w:p>
            <w:pPr>
              <w:spacing w:after="0"/>
            </w:pPr>
            <w:r>
              <w:rPr>
                <w:b w:val="0"/>
                <w:i w:val="0"/>
                <w:color w:val="5A6069"/>
                <w:sz w:val="18"/>
              </w:rPr>
              <w:t>December 2025 oncology guidance p11, HEHE</w:t>
            </w:r>
          </w:p>
        </w:tc>
      </w:tr>
      <w:tr>
        <w:trPr>
          <w:cantSplit/>
        </w:trPr>
        <w:tc>
          <w:tcPr>
            <w:tcW w:type="dxa" w:w="3360"/>
            <w:tcW w:w="2200" w:type="dxa"/>
            <w:shd w:val="clear" w:color="auto" w:fill="FFFFFF"/>
          </w:tcPr>
          <w:p>
            <w:pPr>
              <w:spacing w:after="0"/>
            </w:pPr>
            <w:r>
              <w:rPr>
                <w:b/>
                <w:i w:val="0"/>
                <w:sz w:val="19"/>
              </w:rPr>
              <w:t>NLRB oncology guidance</w:t>
            </w:r>
          </w:p>
        </w:tc>
        <w:tc>
          <w:tcPr>
            <w:tcW w:type="dxa" w:w="3360"/>
            <w:tcW w:w="5480" w:type="dxa"/>
            <w:shd w:val="clear" w:color="auto" w:fill="FFFFFF"/>
          </w:tcPr>
          <w:p>
            <w:pPr>
              <w:spacing w:after="0"/>
            </w:pPr>
            <w:r>
              <w:rPr>
                <w:b w:val="0"/>
                <w:i w:val="0"/>
                <w:sz w:val="19"/>
              </w:rPr>
              <w:t>“Absence of macrovascular invasion on biopsy or imaging.” A separate favorable-guidance criterion; do not omit it when discussing EHD.</w:t>
            </w:r>
          </w:p>
        </w:tc>
        <w:tc>
          <w:tcPr>
            <w:tcW w:type="dxa" w:w="3360"/>
            <w:tcW w:w="2400" w:type="dxa"/>
            <w:shd w:val="clear" w:color="auto" w:fill="FFFFFF"/>
          </w:tcPr>
          <w:p>
            <w:pPr>
              <w:spacing w:after="0"/>
            </w:pPr>
            <w:r>
              <w:rPr>
                <w:b w:val="0"/>
                <w:i w:val="0"/>
                <w:color w:val="5A6069"/>
                <w:sz w:val="18"/>
              </w:rPr>
              <w:t>December 2025 oncology guidance p11, HEHE</w:t>
            </w:r>
          </w:p>
        </w:tc>
      </w:tr>
      <w:tr>
        <w:trPr>
          <w:cantSplit/>
        </w:trPr>
        <w:tc>
          <w:tcPr>
            <w:tcW w:type="dxa" w:w="3360"/>
            <w:tcW w:w="2200" w:type="dxa"/>
            <w:shd w:val="clear" w:color="auto" w:fill="F1F5F8"/>
          </w:tcPr>
          <w:p>
            <w:pPr>
              <w:spacing w:after="0"/>
            </w:pPr>
            <w:r>
              <w:rPr>
                <w:b/>
                <w:i w:val="0"/>
                <w:sz w:val="19"/>
              </w:rPr>
              <w:t>Stacchiotti 2021</w:t>
            </w:r>
          </w:p>
        </w:tc>
        <w:tc>
          <w:tcPr>
            <w:tcW w:type="dxa" w:w="3360"/>
            <w:tcW w:w="5480" w:type="dxa"/>
            <w:shd w:val="clear" w:color="auto" w:fill="F1F5F8"/>
          </w:tcPr>
          <w:p>
            <w:pPr>
              <w:spacing w:after="0"/>
            </w:pPr>
            <w:r>
              <w:rPr>
                <w:b w:val="0"/>
                <w:i w:val="0"/>
                <w:sz w:val="19"/>
              </w:rPr>
              <w:t>“LT should not be proposed to patients with liver EHE and extrahepatic disease” Clinical consensus is more restrictive than NLRB review guidance. The disagreement remains visible.</w:t>
            </w:r>
          </w:p>
        </w:tc>
        <w:tc>
          <w:tcPr>
            <w:tcW w:type="dxa" w:w="3360"/>
            <w:tcW w:w="2400" w:type="dxa"/>
            <w:shd w:val="clear" w:color="auto" w:fill="F1F5F8"/>
          </w:tcPr>
          <w:p>
            <w:pPr>
              <w:spacing w:after="0"/>
            </w:pPr>
            <w:r>
              <w:rPr>
                <w:b w:val="0"/>
                <w:i w:val="0"/>
                <w:color w:val="5A6069"/>
                <w:sz w:val="18"/>
              </w:rPr>
              <w:t>ESMO Open 2021 consensus PDF p8; recommendation graded V, A</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Lai 2017</w:t>
            </w:r>
          </w:p>
        </w:tc>
        <w:tc>
          <w:tcPr>
            <w:tcW w:type="dxa" w:w="3360"/>
            <w:tcW w:w="3900" w:type="dxa"/>
            <w:shd w:val="clear" w:color="auto" w:fill="F1F5F8"/>
          </w:tcPr>
          <w:p>
            <w:pPr>
              <w:spacing w:after="0"/>
            </w:pPr>
            <w:r>
              <w:rPr>
                <w:b w:val="0"/>
                <w:i w:val="0"/>
                <w:sz w:val="19"/>
              </w:rPr>
              <w:t>Same 149-recipient ELTR series; 40 had pre-LT extrahepatic disease. EHD comparison restricted to 23 matched pairs; score uses explant/pathological variables.</w:t>
            </w:r>
          </w:p>
        </w:tc>
        <w:tc>
          <w:tcPr>
            <w:tcW w:type="dxa" w:w="3360"/>
            <w:tcW w:w="4180" w:type="dxa"/>
            <w:shd w:val="clear" w:color="auto" w:fill="F1F5F8"/>
          </w:tcPr>
          <w:p>
            <w:pPr>
              <w:spacing w:after="0"/>
            </w:pPr>
            <w:r>
              <w:rPr>
                <w:b w:val="0"/>
                <w:i w:val="0"/>
                <w:sz w:val="19"/>
              </w:rPr>
              <w:t>Pre-transplant extrahepatic disease was mostly radiological lung disease (23 of 40), and only 5 had lung surgery beforehand; extrahepatic disease HR 1.5 (0.8–3.0), not retained. Matched 5-year DFS: EHD 73.5% versus 81.6% without, P=.54. macrovascular invasion adjusted recurrence HR 4.9 (2.4–9.9); hilar nodes HR 2.2 (1.1–4.5). Score groups 0–2/3–5/6–10: 5-year DFS 93.9%/76.9%/38.5%.</w:t>
            </w:r>
          </w:p>
          <w:p>
            <w:pPr>
              <w:spacing w:after="0"/>
            </w:pPr>
            <w:r>
              <w:rPr>
                <w:b w:val="0"/>
                <w:i/>
                <w:sz w:val="19"/>
              </w:rPr>
              <w:t>Limits: A nonsignificant small comparison is not equivalence. Score was not validated as a pre-LT eligibility test; grade/stage can be missed before explant.</w:t>
            </w:r>
          </w:p>
          <w:p>
            <w:pPr>
              <w:spacing w:after="0"/>
            </w:pPr>
            <w:r>
              <w:rPr>
                <w:b w:val="0"/>
                <w:i w:val="0"/>
                <w:color w:val="5A6069"/>
                <w:sz w:val="18"/>
              </w:rPr>
              <w:t>Table 5; propensity-matched analysis; EHE-LT score section.</w:t>
            </w:r>
          </w:p>
        </w:tc>
      </w:tr>
      <w:tr>
        <w:trPr>
          <w:cantSplit/>
        </w:trPr>
        <w:tc>
          <w:tcPr>
            <w:tcW w:type="dxa" w:w="3360"/>
            <w:tcW w:w="2000" w:type="dxa"/>
            <w:shd w:val="clear" w:color="auto" w:fill="FFFFFF"/>
          </w:tcPr>
          <w:p>
            <w:pPr>
              <w:spacing w:after="0"/>
            </w:pPr>
            <w:r>
              <w:rPr>
                <w:b/>
                <w:i w:val="0"/>
                <w:sz w:val="19"/>
              </w:rPr>
              <w:t>ACG 2024</w:t>
            </w:r>
          </w:p>
        </w:tc>
        <w:tc>
          <w:tcPr>
            <w:tcW w:type="dxa" w:w="3360"/>
            <w:tcW w:w="3900" w:type="dxa"/>
            <w:shd w:val="clear" w:color="auto" w:fill="FFFFFF"/>
          </w:tcPr>
          <w:p>
            <w:pPr>
              <w:spacing w:after="0"/>
            </w:pPr>
            <w:r>
              <w:rPr>
                <w:b w:val="0"/>
                <w:i w:val="0"/>
                <w:sz w:val="19"/>
              </w:rPr>
              <w:t>ACG 2024 focal liver lesion guideline, key concepts 34–36. Whole-body CT/MRI staging; recognize variable, sometimes low PET avidity.</w:t>
            </w:r>
          </w:p>
        </w:tc>
        <w:tc>
          <w:tcPr>
            <w:tcW w:type="dxa" w:w="3360"/>
            <w:tcW w:w="4180" w:type="dxa"/>
            <w:shd w:val="clear" w:color="auto" w:fill="FFFFFF"/>
          </w:tcPr>
          <w:p>
            <w:pPr>
              <w:spacing w:after="0"/>
            </w:pPr>
            <w:r>
              <w:rPr>
                <w:b w:val="0"/>
                <w:i w:val="0"/>
                <w:sz w:val="19"/>
              </w:rPr>
              <w:t>Key concept 35 supports resection if possible and LT when unresectable, including selected EHD. This is a clinical position, not an allocation entitlement.</w:t>
            </w:r>
          </w:p>
          <w:p>
            <w:pPr>
              <w:spacing w:after="0"/>
            </w:pPr>
            <w:r>
              <w:rPr>
                <w:b w:val="0"/>
                <w:i/>
                <w:sz w:val="19"/>
              </w:rPr>
              <w:t>Limits: These statements are key concepts, not GRADE-rated recommendations; optimistic comparative language rests on selected series.</w:t>
            </w:r>
          </w:p>
          <w:p>
            <w:pPr>
              <w:spacing w:after="0"/>
            </w:pPr>
            <w:r>
              <w:rPr>
                <w:b w:val="0"/>
                <w:i w:val="0"/>
                <w:color w:val="5A6069"/>
                <w:sz w:val="18"/>
              </w:rPr>
              <w:t>Table 3 key concepts 34–36, PDF p5; EHE discussion.</w:t>
            </w:r>
          </w:p>
        </w:tc>
      </w:tr>
      <w:tr>
        <w:trPr>
          <w:cantSplit/>
        </w:trPr>
        <w:tc>
          <w:tcPr>
            <w:tcW w:type="dxa" w:w="3360"/>
            <w:tcW w:w="2000" w:type="dxa"/>
            <w:shd w:val="clear" w:color="auto" w:fill="F1F5F8"/>
          </w:tcPr>
          <w:p>
            <w:pPr>
              <w:spacing w:after="0"/>
            </w:pPr>
            <w:r>
              <w:rPr>
                <w:b/>
                <w:i w:val="0"/>
                <w:sz w:val="19"/>
              </w:rPr>
              <w:t>Stacchiotti 2021</w:t>
            </w:r>
          </w:p>
        </w:tc>
        <w:tc>
          <w:tcPr>
            <w:tcW w:type="dxa" w:w="3360"/>
            <w:tcW w:w="3900" w:type="dxa"/>
            <w:shd w:val="clear" w:color="auto" w:fill="F1F5F8"/>
          </w:tcPr>
          <w:p>
            <w:pPr>
              <w:spacing w:after="0"/>
            </w:pPr>
            <w:r>
              <w:rPr>
                <w:b w:val="0"/>
                <w:i w:val="0"/>
                <w:sz w:val="19"/>
              </w:rPr>
              <w:t>International expert consensus; evidence predominantly retrospective and very-low certainty. Distinguishes asymptomatic/stable systemic EHE from unresectable liver-confined disease.</w:t>
            </w:r>
          </w:p>
        </w:tc>
        <w:tc>
          <w:tcPr>
            <w:tcW w:type="dxa" w:w="3360"/>
            <w:tcW w:w="4180" w:type="dxa"/>
            <w:shd w:val="clear" w:color="auto" w:fill="F1F5F8"/>
          </w:tcPr>
          <w:p>
            <w:pPr>
              <w:spacing w:after="0"/>
            </w:pPr>
            <w:r>
              <w:rPr>
                <w:b w:val="0"/>
                <w:i w:val="0"/>
                <w:sz w:val="19"/>
              </w:rPr>
              <w:t>Supports initial active surveillance for suitable stable disease and consideration of LT for selected unresectable liver-only EHE; advises against LT with EHD (V,A).</w:t>
            </w:r>
          </w:p>
          <w:p>
            <w:pPr>
              <w:spacing w:after="0"/>
            </w:pPr>
            <w:r>
              <w:rPr>
                <w:b w:val="0"/>
                <w:i/>
                <w:sz w:val="19"/>
              </w:rPr>
              <w:t>Limits: Expert recommendation conflicts with ACG key concepts and NLRB guidance. Neither side has randomized EHD transplant-benefit evidence.</w:t>
            </w:r>
          </w:p>
          <w:p>
            <w:pPr>
              <w:spacing w:after="0"/>
            </w:pPr>
            <w:r>
              <w:rPr>
                <w:b w:val="0"/>
                <w:i w:val="0"/>
                <w:color w:val="5A6069"/>
                <w:sz w:val="18"/>
              </w:rPr>
              <w:t>Management of liver EHE, PDF p8; active-surveillance discussion.</w:t>
            </w:r>
          </w:p>
        </w:tc>
      </w:tr>
      <w:tr>
        <w:trPr>
          <w:cantSplit/>
        </w:trPr>
        <w:tc>
          <w:tcPr>
            <w:tcW w:type="dxa" w:w="3360"/>
            <w:tcW w:w="2000" w:type="dxa"/>
            <w:shd w:val="clear" w:color="auto" w:fill="FFFFFF"/>
          </w:tcPr>
          <w:p>
            <w:pPr>
              <w:spacing w:after="0"/>
            </w:pPr>
            <w:r>
              <w:rPr>
                <w:b/>
                <w:i w:val="0"/>
                <w:sz w:val="19"/>
              </w:rPr>
              <w:t>NLRB oncology guidance</w:t>
            </w:r>
          </w:p>
        </w:tc>
        <w:tc>
          <w:tcPr>
            <w:tcW w:type="dxa" w:w="3360"/>
            <w:tcW w:w="3900" w:type="dxa"/>
            <w:shd w:val="clear" w:color="auto" w:fill="FFFFFF"/>
          </w:tcPr>
          <w:p>
            <w:pPr>
              <w:spacing w:after="0"/>
            </w:pPr>
            <w:r>
              <w:rPr>
                <w:b w:val="0"/>
                <w:i w:val="0"/>
                <w:sz w:val="19"/>
              </w:rPr>
              <w:t>Official December 2025 transplant-oncology exception guidance, current posting checked 24 October 2026. HEHE diagnosis, unresectability and absence of macrovascular invasion are separately considered.</w:t>
            </w:r>
          </w:p>
        </w:tc>
        <w:tc>
          <w:tcPr>
            <w:tcW w:type="dxa" w:w="3360"/>
            <w:tcW w:w="4180" w:type="dxa"/>
            <w:shd w:val="clear" w:color="auto" w:fill="FFFFFF"/>
          </w:tcPr>
          <w:p>
            <w:pPr>
              <w:spacing w:after="0"/>
            </w:pPr>
            <w:r>
              <w:rPr>
                <w:b w:val="0"/>
                <w:i w:val="0"/>
                <w:sz w:val="19"/>
              </w:rPr>
              <w:t>EHD is not an absolute contraindication in this guidance. No mandatory four-month observation rule is specified.</w:t>
            </w:r>
          </w:p>
          <w:p>
            <w:pPr>
              <w:spacing w:after="0"/>
            </w:pPr>
            <w:r>
              <w:rPr>
                <w:b w:val="0"/>
                <w:i/>
                <w:sz w:val="19"/>
              </w:rPr>
              <w:t>Limits: Nonbinding allocation-review guidance; does not demonstrate individual clinical benefit or override donor/clinical judgment.</w:t>
            </w:r>
          </w:p>
          <w:p>
            <w:pPr>
              <w:spacing w:after="0"/>
            </w:pPr>
            <w:r>
              <w:rPr>
                <w:b w:val="0"/>
                <w:i w:val="0"/>
                <w:color w:val="5A6069"/>
                <w:sz w:val="18"/>
              </w:rPr>
              <w:t>HEHE section p11 and disclaimer p2.</w:t>
            </w:r>
          </w:p>
        </w:tc>
      </w:tr>
      <w:tr>
        <w:trPr>
          <w:cantSplit/>
        </w:trPr>
        <w:tc>
          <w:tcPr>
            <w:tcW w:type="dxa" w:w="3360"/>
            <w:tcW w:w="2000" w:type="dxa"/>
            <w:shd w:val="clear" w:color="auto" w:fill="F1F5F8"/>
          </w:tcPr>
          <w:p>
            <w:pPr>
              <w:spacing w:after="0"/>
            </w:pPr>
            <w:r>
              <w:rPr>
                <w:b/>
                <w:i w:val="0"/>
                <w:sz w:val="19"/>
              </w:rPr>
              <w:t>Liu 2024</w:t>
            </w:r>
          </w:p>
        </w:tc>
        <w:tc>
          <w:tcPr>
            <w:tcW w:type="dxa" w:w="3360"/>
            <w:tcW w:w="3900" w:type="dxa"/>
            <w:shd w:val="clear" w:color="auto" w:fill="F1F5F8"/>
          </w:tcPr>
          <w:p>
            <w:pPr>
              <w:spacing w:after="0"/>
            </w:pPr>
            <w:r>
              <w:rPr>
                <w:b w:val="0"/>
                <w:i w:val="0"/>
                <w:sz w:val="19"/>
              </w:rPr>
              <w:t>Single-team retrospective cohort 2014–2024: 228 evaluable; LT 8, resection/ablation 49, nonsurgical 171. Half the eight LT patients had a lesion &gt;10 cm, versus 10% of non-LT patients.</w:t>
            </w:r>
          </w:p>
        </w:tc>
        <w:tc>
          <w:tcPr>
            <w:tcW w:type="dxa" w:w="3360"/>
            <w:tcW w:w="4180" w:type="dxa"/>
            <w:shd w:val="clear" w:color="auto" w:fill="F1F5F8"/>
          </w:tcPr>
          <w:p>
            <w:pPr>
              <w:spacing w:after="0"/>
            </w:pPr>
            <w:r>
              <w:rPr>
                <w:b w:val="0"/>
                <w:i w:val="0"/>
                <w:sz w:val="19"/>
              </w:rPr>
              <w:t>Overall 5-year OS 84.9%; LT 1/3-year OS 62.5%/25%; non-LT 5-year OS 87.8%. Survival time zero is not clearly specified in the extracted Methods; do not relabel as standard post-LT estimates.</w:t>
            </w:r>
          </w:p>
          <w:p>
            <w:pPr>
              <w:spacing w:after="0"/>
            </w:pPr>
            <w:r>
              <w:rPr>
                <w:b w:val="0"/>
                <w:i/>
                <w:sz w:val="19"/>
              </w:rPr>
              <w:t>Limits: Major confounding by indication, eight recipients and loss-to-follow-up exclusion. Poor LT results cannot prove LT causes harm; they challenge assuming all HEHE has excellent transplant outcomes.</w:t>
            </w:r>
          </w:p>
          <w:p>
            <w:pPr>
              <w:spacing w:after="0"/>
            </w:pPr>
            <w:r>
              <w:rPr>
                <w:b w:val="0"/>
                <w:i w:val="0"/>
                <w:color w:val="5A6069"/>
                <w:sz w:val="18"/>
              </w:rPr>
              <w:t>Methods; Tables 1–3; Survival Outcomes/Figure 2.</w:t>
            </w:r>
          </w:p>
        </w:tc>
      </w:tr>
      <w:tr>
        <w:trPr>
          <w:cantSplit/>
        </w:trPr>
        <w:tc>
          <w:tcPr>
            <w:tcW w:type="dxa" w:w="3360"/>
            <w:tcW w:w="2000" w:type="dxa"/>
            <w:shd w:val="clear" w:color="auto" w:fill="FFFFFF"/>
          </w:tcPr>
          <w:p>
            <w:pPr>
              <w:spacing w:after="0"/>
            </w:pPr>
            <w:r>
              <w:rPr>
                <w:b/>
                <w:i w:val="0"/>
                <w:sz w:val="19"/>
              </w:rPr>
              <w:t>DGVS S2k LT guidance</w:t>
            </w:r>
          </w:p>
        </w:tc>
        <w:tc>
          <w:tcPr>
            <w:tcW w:type="dxa" w:w="3360"/>
            <w:tcW w:w="3900" w:type="dxa"/>
            <w:shd w:val="clear" w:color="auto" w:fill="FFFFFF"/>
          </w:tcPr>
          <w:p>
            <w:pPr>
              <w:spacing w:after="0"/>
            </w:pPr>
            <w:r>
              <w:rPr>
                <w:b w:val="0"/>
                <w:i w:val="0"/>
                <w:sz w:val="19"/>
              </w:rPr>
              <w:t>German S2k consensus guideline; HEHE recommendations dated 2023, publication 2024. Recommendation 3.86 addresses stable disease before LT; 3.85 concerns eligibility for evaluation.</w:t>
            </w:r>
          </w:p>
        </w:tc>
        <w:tc>
          <w:tcPr>
            <w:tcW w:type="dxa" w:w="3360"/>
            <w:tcW w:w="4180" w:type="dxa"/>
            <w:shd w:val="clear" w:color="auto" w:fill="FFFFFF"/>
          </w:tcPr>
          <w:p>
            <w:pPr>
              <w:spacing w:after="0"/>
            </w:pPr>
            <w:r>
              <w:rPr>
                <w:b w:val="0"/>
                <w:i w:val="0"/>
                <w:sz w:val="19"/>
              </w:rPr>
              <w:t>Recommends at least six months of largely stable disease before LT. Macrovascular invasion or hilar nodes are not absolute barriers to evaluation, which is not equivalent to recommending transplantation.</w:t>
            </w:r>
          </w:p>
          <w:p>
            <w:pPr>
              <w:spacing w:after="0"/>
            </w:pPr>
            <w:r>
              <w:rPr>
                <w:b w:val="0"/>
                <w:i/>
                <w:sz w:val="19"/>
              </w:rPr>
              <w:t>Limits: Expert consensus, not a randomized timing comparison or US allocation rule. It supplies a competing six-month option, not proof of superiority to four months.</w:t>
            </w:r>
          </w:p>
          <w:p>
            <w:pPr>
              <w:spacing w:after="0"/>
            </w:pPr>
            <w:r>
              <w:rPr>
                <w:b w:val="0"/>
                <w:i w:val="0"/>
                <w:color w:val="5A6069"/>
                <w:sz w:val="18"/>
              </w:rPr>
              <w:t>Official society HEHE chapter, recommendations 3.85–3.86.</w:t>
            </w:r>
          </w:p>
        </w:tc>
      </w:tr>
      <w:tr>
        <w:trPr>
          <w:cantSplit/>
        </w:trPr>
        <w:tc>
          <w:tcPr>
            <w:tcW w:type="dxa" w:w="3360"/>
            <w:tcW w:w="2000" w:type="dxa"/>
            <w:shd w:val="clear" w:color="auto" w:fill="F1F5F8"/>
          </w:tcPr>
          <w:p>
            <w:pPr>
              <w:spacing w:after="0"/>
            </w:pPr>
            <w:r>
              <w:rPr>
                <w:b/>
                <w:i w:val="0"/>
                <w:sz w:val="19"/>
              </w:rPr>
              <w:t>Lerut 2007 · ELTR</w:t>
            </w:r>
          </w:p>
        </w:tc>
        <w:tc>
          <w:tcPr>
            <w:tcW w:type="dxa" w:w="3360"/>
            <w:tcW w:w="3900" w:type="dxa"/>
            <w:shd w:val="clear" w:color="auto" w:fill="F1F5F8"/>
          </w:tcPr>
          <w:p>
            <w:pPr>
              <w:spacing w:after="0"/>
            </w:pPr>
            <w:r>
              <w:rPr>
                <w:b w:val="0"/>
                <w:i w:val="0"/>
                <w:sz w:val="19"/>
              </w:rPr>
              <w:t>European Liver Transplant Registry: 59 recipients transplanted for HEHE. Ten (16.9%) had extrahepatic disease before or at transplantation; three had extrahepatic surgery before transplantation.</w:t>
            </w:r>
          </w:p>
        </w:tc>
        <w:tc>
          <w:tcPr>
            <w:tcW w:type="dxa" w:w="3360"/>
            <w:tcW w:w="4180" w:type="dxa"/>
            <w:shd w:val="clear" w:color="auto" w:fill="F1F5F8"/>
          </w:tcPr>
          <w:p>
            <w:pPr>
              <w:spacing w:after="0"/>
            </w:pPr>
            <w:r>
              <w:rPr>
                <w:b w:val="0"/>
                <w:i w:val="0"/>
                <w:sz w:val="19"/>
              </w:rPr>
              <w:t>One-, five- and ten-year survival 90%, 80% and 80% with extrahepatic disease versus 94%, 83% and 70% without; lymph-node invasion also did not significantly change survival, whereas vascular invasion did.</w:t>
            </w:r>
          </w:p>
          <w:p>
            <w:pPr>
              <w:spacing w:after="0"/>
            </w:pPr>
            <w:r>
              <w:rPr>
                <w:b w:val="0"/>
                <w:i/>
                <w:sz w:val="19"/>
              </w:rPr>
              <w:t>Limits: Ten patients with extrahepatic disease; sites and treatment not separated.</w:t>
            </w:r>
          </w:p>
          <w:p>
            <w:pPr>
              <w:spacing w:after="0"/>
            </w:pPr>
            <w:r>
              <w:rPr>
                <w:b w:val="0"/>
                <w:i w:val="0"/>
                <w:color w:val="5A6069"/>
                <w:sz w:val="18"/>
              </w:rPr>
              <w:t>Ann Surg 2007; abstract.</w:t>
            </w:r>
          </w:p>
        </w:tc>
      </w:tr>
      <w:tr>
        <w:trPr>
          <w:cantSplit/>
        </w:trPr>
        <w:tc>
          <w:tcPr>
            <w:tcW w:type="dxa" w:w="3360"/>
            <w:tcW w:w="2000" w:type="dxa"/>
            <w:shd w:val="clear" w:color="auto" w:fill="FFFFFF"/>
          </w:tcPr>
          <w:p>
            <w:pPr>
              <w:spacing w:after="0"/>
            </w:pPr>
            <w:r>
              <w:rPr>
                <w:b/>
                <w:i w:val="0"/>
                <w:sz w:val="19"/>
              </w:rPr>
              <w:t>Sawma 2024 · Mayo</w:t>
            </w:r>
          </w:p>
        </w:tc>
        <w:tc>
          <w:tcPr>
            <w:tcW w:type="dxa" w:w="3360"/>
            <w:tcW w:w="3900" w:type="dxa"/>
            <w:shd w:val="clear" w:color="auto" w:fill="FFFFFF"/>
          </w:tcPr>
          <w:p>
            <w:pPr>
              <w:spacing w:after="0"/>
            </w:pPr>
            <w:r>
              <w:rPr>
                <w:b w:val="0"/>
                <w:i w:val="0"/>
                <w:sz w:val="19"/>
              </w:rPr>
              <w:t>Mayo cohort of 80 patients with HEHE (24 transplanted, 26 resected, 30 managed medically). Twenty-six had extrahepatic metastases at diagnosis, four of them in the transplant group.</w:t>
            </w:r>
          </w:p>
        </w:tc>
        <w:tc>
          <w:tcPr>
            <w:tcW w:type="dxa" w:w="3360"/>
            <w:tcW w:w="4180" w:type="dxa"/>
            <w:shd w:val="clear" w:color="auto" w:fill="FFFFFF"/>
          </w:tcPr>
          <w:p>
            <w:pPr>
              <w:spacing w:after="0"/>
            </w:pPr>
            <w:r>
              <w:rPr>
                <w:b w:val="0"/>
                <w:i w:val="0"/>
                <w:sz w:val="19"/>
              </w:rPr>
              <w:t>Bone metastasis was independently associated with long-term mortality (HR 6.3); lung metastasis was not (HR 0.8).</w:t>
            </w:r>
          </w:p>
          <w:p>
            <w:pPr>
              <w:spacing w:after="0"/>
            </w:pPr>
            <w:r>
              <w:rPr>
                <w:b w:val="0"/>
                <w:i/>
                <w:sz w:val="19"/>
              </w:rPr>
              <w:t>Limits: The site analysis covers all treatments; only four recipients had extrahepatic disease.</w:t>
            </w:r>
          </w:p>
          <w:p>
            <w:pPr>
              <w:spacing w:after="0"/>
            </w:pPr>
            <w:r>
              <w:rPr>
                <w:b w:val="0"/>
                <w:i w:val="0"/>
                <w:color w:val="5A6069"/>
                <w:sz w:val="18"/>
              </w:rPr>
              <w:t>J Surg Oncol 2024; abstract.</w:t>
            </w:r>
          </w:p>
        </w:tc>
      </w:tr>
      <w:tr>
        <w:trPr>
          <w:cantSplit/>
        </w:trPr>
        <w:tc>
          <w:tcPr>
            <w:tcW w:type="dxa" w:w="3360"/>
            <w:tcW w:w="2000" w:type="dxa"/>
            <w:shd w:val="clear" w:color="auto" w:fill="F1F5F8"/>
          </w:tcPr>
          <w:p>
            <w:pPr>
              <w:spacing w:after="0"/>
            </w:pPr>
            <w:r>
              <w:rPr>
                <w:b/>
                <w:i w:val="0"/>
                <w:sz w:val="19"/>
              </w:rPr>
              <w:t>Rosenbaum 2019 · EHE molecular subsets</w:t>
            </w:r>
          </w:p>
        </w:tc>
        <w:tc>
          <w:tcPr>
            <w:tcW w:type="dxa" w:w="3360"/>
            <w:tcW w:w="3900" w:type="dxa"/>
            <w:shd w:val="clear" w:color="auto" w:fill="F1F5F8"/>
          </w:tcPr>
          <w:p>
            <w:pPr>
              <w:spacing w:after="0"/>
            </w:pPr>
            <w:r>
              <w:rPr>
                <w:b w:val="0"/>
                <w:i w:val="0"/>
                <w:sz w:val="19"/>
              </w:rPr>
              <w:t>MSKCC clinicopathological cohort, 93 EHE at all sites. Nodal and pleural involvement recorded; one liver transplant.</w:t>
            </w:r>
          </w:p>
        </w:tc>
        <w:tc>
          <w:tcPr>
            <w:tcW w:type="dxa" w:w="3360"/>
            <w:tcW w:w="4180" w:type="dxa"/>
            <w:shd w:val="clear" w:color="auto" w:fill="F1F5F8"/>
          </w:tcPr>
          <w:p>
            <w:pPr>
              <w:spacing w:after="0"/>
            </w:pPr>
            <w:r>
              <w:rPr>
                <w:b w:val="0"/>
                <w:i w:val="0"/>
                <w:sz w:val="19"/>
              </w:rPr>
              <w:t>Nodal involvement HR 2.7; five-year survival 30% with nodal and 22% with pleural disease versus over 70% without (unadjusted).</w:t>
            </w:r>
          </w:p>
          <w:p>
            <w:pPr>
              <w:spacing w:after="0"/>
            </w:pPr>
            <w:r>
              <w:rPr>
                <w:b w:val="0"/>
                <w:i/>
                <w:sz w:val="19"/>
              </w:rPr>
              <w:t>Limits: Mixed anatomical sites; not transplant-specific.</w:t>
            </w:r>
          </w:p>
          <w:p>
            <w:pPr>
              <w:spacing w:after="0"/>
            </w:pPr>
            <w:r>
              <w:rPr>
                <w:b w:val="0"/>
                <w:i w:val="0"/>
                <w:color w:val="5A6069"/>
                <w:sz w:val="18"/>
              </w:rPr>
              <w:t>Mod Pathol 2019; Results (full text).</w:t>
            </w:r>
          </w:p>
        </w:tc>
      </w:tr>
    </w:tbl>
    <w:p>
      <w:pPr>
        <w:spacing w:after="40"/>
      </w:pPr>
    </w:p>
    <w:p>
      <w:pPr>
        <w:pStyle w:val="Heading3"/>
        <w:keepNext/>
        <w:spacing w:before="120" w:after="80"/>
      </w:pPr>
      <w:r>
        <w:rPr>
          <w:b w:val="0"/>
          <w:i w:val="0"/>
        </w:rPr>
        <w:t>Our proposed selection (OPEN)</w:t>
      </w:r>
    </w:p>
    <w:p>
      <w:pPr>
        <w:spacing w:after="80"/>
      </w:pPr>
      <w:r>
        <w:rPr>
          <w:b w:val="0"/>
          <w:i w:val="0"/>
        </w:rPr>
        <w:t>Start with liver-only disease and no macrovascular invasion. Define a separate extrahepatic stratum, not yet activated: lung-only disease that is stable for ≥6 months or completely resected or ablated. Bone, serosal and progressive extrahepatic disease stay closed. Do not select using an explant score.</w:t>
      </w:r>
    </w:p>
    <w:p>
      <w:pPr>
        <w:numPr>
          <w:ilvl w:val="0"/>
          <w:numId w:val="5"/>
        </w:numPr>
        <w:spacing w:after="40"/>
      </w:pPr>
      <w:r>
        <w:rPr>
          <w:b w:val="0"/>
          <w:i w:val="0"/>
        </w:rPr>
        <w:t>Proposed opening boundary: unresectable liver-only EHE with no macrovascular invasion. Extrahepatic disease is not a national absolute prohibition, but it is outside the opening cohort.</w:t>
      </w:r>
    </w:p>
    <w:p>
      <w:pPr>
        <w:numPr>
          <w:ilvl w:val="0"/>
          <w:numId w:val="5"/>
        </w:numPr>
        <w:spacing w:after="40"/>
      </w:pPr>
      <w:r>
        <w:rPr>
          <w:b w:val="0"/>
          <w:i w:val="0"/>
        </w:rPr>
        <w:t>Resolve suspicious nodes/extrahepatic lesions before proceeding. Do not use an explant-derived score as if it were a validated pretransplant eligibility test.</w:t>
      </w:r>
    </w:p>
    <w:p>
      <w:pPr>
        <w:numPr>
          <w:ilvl w:val="0"/>
          <w:numId w:val="5"/>
        </w:numPr>
        <w:spacing w:after="40"/>
      </w:pPr>
      <w:r>
        <w:rPr>
          <w:b w:val="0"/>
          <w:i w:val="0"/>
        </w:rPr>
        <w:t>Proposed extrahepatic stratum (defined, not activated): lung-only disease without pleural involvement, asymptomatic, and either stable on serial imaging for ≥6 months or completely resected or ablated with no recurrence for ≥6 months. Each case needs independent expert review and a written comparison with observation or systemic treatment.</w:t>
      </w:r>
    </w:p>
    <w:p>
      <w:pPr>
        <w:numPr>
          <w:ilvl w:val="0"/>
          <w:numId w:val="5"/>
        </w:numPr>
        <w:spacing w:after="40"/>
      </w:pPr>
      <w:r>
        <w:rPr>
          <w:b w:val="0"/>
          <w:i w:val="0"/>
        </w:rPr>
        <w:t>Closed: bone metastasis; pleural, peritoneal or other serosal disease; extrahepatic disease outside the lung; and progressive or symptomatic extrahepatic disease. Record the guideline disagreement in every case. Hilar nodal involvement is a recurrence risk factor rather than an extrahepatic exclusion; plan hilar lymphadenectomy.</w:t>
      </w:r>
    </w:p>
    <w:p>
      <w:pPr>
        <w:spacing w:after="80"/>
      </w:pPr>
      <w:r>
        <w:rPr>
          <w:b/>
          <w:i w:val="0"/>
        </w:rPr>
        <w:t xml:space="preserve">Why: </w:t>
      </w:r>
      <w:r>
        <w:rPr>
          <w:b w:val="0"/>
          <w:i w:val="0"/>
        </w:rPr>
        <w:t>The disagreement is genuine: ACG/NLRB are permissive about selected EHD, whereas the disease-specific consensus is restrictive. The best registry suggests macrovascular invasion and hilar nodes are adverse; selected EHD was not independently adverse, but the study was too small to establish equivalence. Histology-derived risk scoring cannot be substituted for preoperative staging. In the first European registry report, 10 of 59 recipients had extrahepatic disease before or at transplantation, with 1-, 5- and 10-year survival of 90%, 80% and 80% versus 94%, 83% and 70% without it. In a Mayo cohort of 80 patients, bone metastasis was independently associated with mortality (HR 6.3) whereas lung metastasis was not (HR 0.8).</w:t>
      </w:r>
    </w:p>
    <w:p>
      <w:pPr>
        <w:spacing w:after="80"/>
      </w:pPr>
      <w:r>
        <w:rPr>
          <w:b/>
          <w:i w:val="0"/>
        </w:rPr>
        <w:t xml:space="preserve">Against, or uncertain: </w:t>
      </w:r>
      <w:r>
        <w:rPr>
          <w:b w:val="0"/>
          <w:i w:val="0"/>
        </w:rPr>
        <w:t>A blanket statement that any EHD absolutely forbids LT is inaccurate. Conversely, favorable survival in selected EHD recipients does not establish benefit over observation or systemic options for all sites/burdens. The 2021 consensus advises that transplantation should not be proposed with extrahepatic disease (level V, grade A). Registry subgroups are small, extrahepatic sites and their treatment are poorly described, and the Mayo site analysis covers all treatments, not transplant recipients alone.</w:t>
      </w:r>
    </w:p>
    <w:p>
      <w:pPr>
        <w:spacing w:after="80"/>
      </w:pPr>
      <w:r>
        <w:rPr>
          <w:b/>
          <w:i w:val="0"/>
        </w:rPr>
        <w:t xml:space="preserve">Certainty: </w:t>
      </w:r>
      <w:r>
        <w:rPr>
          <w:b w:val="0"/>
          <w:i w:val="0"/>
        </w:rPr>
        <w:t>Low certainty for prognostic association; very low for causal EHD benefit, for the proposed lung-only stratum, or for pre-LT score-driven selection.</w:t>
      </w:r>
    </w:p>
    <w:p>
      <w:pPr>
        <w:spacing w:after="80"/>
      </w:pPr>
      <w:r>
        <w:rPr>
          <w:b/>
          <w:i w:val="0"/>
        </w:rPr>
        <w:t xml:space="preserve">Tests and records: </w:t>
      </w:r>
      <w:r>
        <w:rPr>
          <w:b w:val="0"/>
          <w:i w:val="0"/>
        </w:rPr>
        <w:t>Complete staging; expert pathology; vascular assessment; targeted evaluation of suspicious extrahepatic sites; technical resectability and alternative-treatment review. Record each extrahepatic site, its size and serial imaging dates, and any resection or ablation record.</w:t>
      </w:r>
    </w:p>
    <w:p>
      <w:pPr>
        <w:spacing w:after="80"/>
      </w:pPr>
      <w:r>
        <w:rPr>
          <w:b/>
          <w:i w:val="0"/>
        </w:rPr>
        <w:t xml:space="preserve">Allocation: </w:t>
      </w:r>
      <w:r>
        <w:rPr>
          <w:b w:val="0"/>
          <w:i w:val="0"/>
        </w:rPr>
        <w:t>Clinical selection and exception-review eligibility answer different questions. The proposed liver-only choice is local, not a rewrite of national guidance.</w:t>
      </w:r>
    </w:p>
    <w:p>
      <w:pPr>
        <w:spacing w:after="40"/>
      </w:pPr>
      <w:r>
        <w:rPr>
          <w:b/>
          <w:i w:val="0"/>
        </w:rPr>
        <w:t xml:space="preserve">Basis for the proposed thresholds: </w:t>
      </w:r>
    </w:p>
    <w:p>
      <w:pPr>
        <w:numPr>
          <w:ilvl w:val="0"/>
          <w:numId w:val="5"/>
        </w:numPr>
        <w:spacing w:after="40"/>
      </w:pPr>
      <w:r>
        <w:rPr>
          <w:b w:val="0"/>
          <w:i w:val="0"/>
        </w:rPr>
        <w:t>No macrovascular invasion: aligns with current favorable NLRB consideration and adverse ELTR prognosis.</w:t>
      </w:r>
    </w:p>
    <w:p>
      <w:pPr>
        <w:numPr>
          <w:ilvl w:val="0"/>
          <w:numId w:val="5"/>
        </w:numPr>
        <w:spacing w:after="40"/>
      </w:pPr>
      <w:r>
        <w:rPr>
          <w:b w:val="0"/>
          <w:i w:val="0"/>
        </w:rPr>
        <w:t>Liver-only opening cohort: conservative local choice despite permissive ACG/NLRB wording; cannot be called universally guideline-mandated.</w:t>
      </w:r>
    </w:p>
    <w:p>
      <w:pPr>
        <w:numPr>
          <w:ilvl w:val="0"/>
          <w:numId w:val="5"/>
        </w:numPr>
        <w:spacing w:after="40"/>
      </w:pPr>
      <w:r>
        <w:rPr>
          <w:b w:val="0"/>
          <w:i w:val="0"/>
        </w:rPr>
        <w:t>EHE-LT score cutoffs: post-LT risk stratification, not a validated pre-LT exclusion test.</w:t>
      </w:r>
    </w:p>
    <w:p>
      <w:pPr>
        <w:numPr>
          <w:ilvl w:val="0"/>
          <w:numId w:val="5"/>
        </w:numPr>
        <w:spacing w:after="40"/>
      </w:pPr>
      <w:r>
        <w:rPr>
          <w:b w:val="0"/>
          <w:i w:val="0"/>
        </w:rPr>
        <w:t>Lung-only stratum with ≥6 months of stability or completed treatment: lung metastasis was not adverse in the Mayo site analysis whereas bone was; six months follows the DGVS stable-disease recommendation and the registry finding that a short wait (≤120 days) predicted recurrence. Excluding pleural and other serosal disease is a conservative local choice not tested in transplant series.</w:t>
      </w:r>
    </w:p>
    <w:p>
      <w:pPr>
        <w:pStyle w:val="Heading3"/>
        <w:keepNext/>
        <w:spacing w:before="120" w:after="80"/>
      </w:pPr>
      <w:r>
        <w:rPr>
          <w:b w:val="0"/>
          <w:i w:val="0"/>
        </w:rPr>
        <w:t>HEHE-B2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1"/>
        <w:keepNext/>
        <w:spacing w:before="280" w:after="80"/>
      </w:pPr>
      <w:r>
        <w:rPr>
          <w:b w:val="0"/>
          <w:i w:val="0"/>
        </w:rPr>
        <w:t>Shared approval requirements (all transplant pathways)</w:t>
      </w:r>
    </w:p>
    <w:p>
      <w:pPr>
        <w:spacing w:after="80"/>
      </w:pPr>
      <w:r>
        <w:rPr>
          <w:b w:val="0"/>
          <w:i w:val="0"/>
        </w:rPr>
        <w:t>Recipient selection, allocation, donor protection and institutional study approval are separate decisions. These apply to every high-risk proposal.</w:t>
      </w:r>
    </w:p>
    <w:p>
      <w:pPr>
        <w:pStyle w:val="Heading2"/>
        <w:keepNext/>
        <w:spacing w:before="200" w:after="80"/>
      </w:pPr>
      <w:r>
        <w:rPr>
          <w:b w:val="0"/>
          <w:i w:val="0"/>
        </w:rPr>
        <w:t>ALLOC-B1 — Separate clinical, allocation, donor and study approval</w:t>
      </w:r>
    </w:p>
    <w:p>
      <w:pPr>
        <w:spacing w:after="80"/>
      </w:pPr>
      <w:r>
        <w:rPr>
          <w:b w:val="0"/>
          <w:i w:val="0"/>
          <w:color w:val="5A6069"/>
          <w:sz w:val="18"/>
        </w:rPr>
        <w:t>OPEN proposal · not activated · Shared approval requirement</w:t>
      </w:r>
    </w:p>
    <w:p>
      <w:pPr>
        <w:spacing w:after="80"/>
      </w:pPr>
      <w:r>
        <w:rPr>
          <w:b/>
          <w:i w:val="0"/>
        </w:rPr>
        <w:t xml:space="preserve">Question: </w:t>
      </w:r>
      <w:r>
        <w:rPr>
          <w:b w:val="0"/>
          <w:i w:val="0"/>
        </w:rPr>
        <w:t>What are we approving?</w:t>
      </w:r>
    </w:p>
    <w:p>
      <w:pPr>
        <w:spacing w:after="120"/>
      </w:pPr>
      <w:r>
        <w:rPr>
          <w:b/>
          <w:i w:val="0"/>
          <w:sz w:val="18"/>
        </w:rPr>
        <w:t xml:space="preserve">Web page: </w:t>
      </w:r>
      <w:hyperlink r:id="rId12">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NLRB oncology guidance</w:t>
            </w:r>
          </w:p>
        </w:tc>
        <w:tc>
          <w:tcPr>
            <w:tcW w:type="dxa" w:w="3360"/>
            <w:tcW w:w="5480" w:type="dxa"/>
            <w:shd w:val="clear" w:color="auto" w:fill="F1F5F8"/>
          </w:tcPr>
          <w:p>
            <w:pPr>
              <w:spacing w:after="0"/>
            </w:pPr>
            <w:r>
              <w:rPr>
                <w:b w:val="0"/>
                <w:i w:val="0"/>
                <w:sz w:val="19"/>
              </w:rPr>
              <w:t>“This resource is not OPTN Policy” Guidance informs case review and is not itself binding policy or a clinical standard.</w:t>
            </w:r>
          </w:p>
        </w:tc>
        <w:tc>
          <w:tcPr>
            <w:tcW w:type="dxa" w:w="3360"/>
            <w:tcW w:w="2400" w:type="dxa"/>
            <w:shd w:val="clear" w:color="auto" w:fill="F1F5F8"/>
          </w:tcPr>
          <w:p>
            <w:pPr>
              <w:spacing w:after="0"/>
            </w:pPr>
            <w:r>
              <w:rPr>
                <w:b w:val="0"/>
                <w:i w:val="0"/>
                <w:color w:val="5A6069"/>
                <w:sz w:val="18"/>
              </w:rPr>
              <w:t>December 2025 oncology guidance p2, disclaimer</w:t>
            </w:r>
          </w:p>
        </w:tc>
      </w:tr>
      <w:tr>
        <w:trPr>
          <w:cantSplit/>
        </w:trPr>
        <w:tc>
          <w:tcPr>
            <w:tcW w:type="dxa" w:w="3360"/>
            <w:tcW w:w="2200" w:type="dxa"/>
            <w:shd w:val="clear" w:color="auto" w:fill="FFFFFF"/>
          </w:tcPr>
          <w:p>
            <w:pPr>
              <w:spacing w:after="0"/>
            </w:pPr>
            <w:r>
              <w:rPr>
                <w:b/>
                <w:i w:val="0"/>
                <w:sz w:val="19"/>
              </w:rPr>
              <w:t>OPTN policy</w:t>
            </w:r>
          </w:p>
        </w:tc>
        <w:tc>
          <w:tcPr>
            <w:tcW w:type="dxa" w:w="3360"/>
            <w:tcW w:w="5480" w:type="dxa"/>
            <w:shd w:val="clear" w:color="auto" w:fill="FFFFFF"/>
          </w:tcPr>
          <w:p>
            <w:pPr>
              <w:spacing w:after="0"/>
            </w:pPr>
            <w:r>
              <w:rPr>
                <w:b w:val="0"/>
                <w:i w:val="0"/>
                <w:sz w:val="19"/>
              </w:rPr>
              <w:t>“Function independently from the transplant candidate’s team.” Donor advocacy is independent of recipient-team enthusiasm.</w:t>
            </w:r>
          </w:p>
        </w:tc>
        <w:tc>
          <w:tcPr>
            <w:tcW w:type="dxa" w:w="3360"/>
            <w:tcW w:w="2400" w:type="dxa"/>
            <w:shd w:val="clear" w:color="auto" w:fill="FFFFFF"/>
          </w:tcPr>
          <w:p>
            <w:pPr>
              <w:spacing w:after="0"/>
            </w:pPr>
            <w:r>
              <w:rPr>
                <w:b w:val="0"/>
                <w:i w:val="0"/>
                <w:color w:val="5A6069"/>
                <w:sz w:val="18"/>
              </w:rPr>
              <w:t>Policy 14.2.A, PDF p285, living donor advocate requirements</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OPTN policy</w:t>
            </w:r>
          </w:p>
        </w:tc>
        <w:tc>
          <w:tcPr>
            <w:tcW w:type="dxa" w:w="3360"/>
            <w:tcW w:w="3900" w:type="dxa"/>
            <w:shd w:val="clear" w:color="auto" w:fill="F1F5F8"/>
          </w:tcPr>
          <w:p>
            <w:pPr>
              <w:spacing w:after="0"/>
            </w:pPr>
            <w:r>
              <w:rPr>
                <w:b w:val="0"/>
                <w:i w:val="0"/>
                <w:sz w:val="19"/>
              </w:rPr>
              <w:t>Binding OPTN policy posting effective 1 October 2026, checked 24 October 2026. Clinical candidacy, exception scoring, living-donor protection and reporting have different policy sections.</w:t>
            </w:r>
          </w:p>
        </w:tc>
        <w:tc>
          <w:tcPr>
            <w:tcW w:type="dxa" w:w="3360"/>
            <w:tcW w:w="4180" w:type="dxa"/>
            <w:shd w:val="clear" w:color="auto" w:fill="F1F5F8"/>
          </w:tcPr>
          <w:p>
            <w:pPr>
              <w:spacing w:after="0"/>
            </w:pPr>
            <w:r>
              <w:rPr>
                <w:b w:val="0"/>
                <w:i w:val="0"/>
                <w:sz w:val="19"/>
              </w:rPr>
              <w:t>Policy 9 governs liver allocation; Policy 14 requires independent donor advocacy/consent; Policy 18 specifies reporting. None establishes a universal cancer-benefit cutoff.</w:t>
            </w:r>
          </w:p>
          <w:p>
            <w:pPr>
              <w:spacing w:after="0"/>
            </w:pPr>
            <w:r>
              <w:rPr>
                <w:b w:val="0"/>
                <w:i/>
                <w:sz w:val="19"/>
              </w:rPr>
              <w:t>Limits: A center’s additional safeguards are not national policy. Review the active text and applicability before individual decisions.</w:t>
            </w:r>
          </w:p>
          <w:p>
            <w:pPr>
              <w:spacing w:after="0"/>
            </w:pPr>
            <w:r>
              <w:rPr>
                <w:b w:val="0"/>
                <w:i w:val="0"/>
                <w:color w:val="5A6069"/>
                <w:sz w:val="18"/>
              </w:rPr>
              <w:t>Policies 9, 14.2–14.4 and 18; current official PDF.</w:t>
            </w:r>
          </w:p>
        </w:tc>
      </w:tr>
      <w:tr>
        <w:trPr>
          <w:cantSplit/>
        </w:trPr>
        <w:tc>
          <w:tcPr>
            <w:tcW w:type="dxa" w:w="3360"/>
            <w:tcW w:w="2000" w:type="dxa"/>
            <w:shd w:val="clear" w:color="auto" w:fill="FFFFFF"/>
          </w:tcPr>
          <w:p>
            <w:pPr>
              <w:spacing w:after="0"/>
            </w:pPr>
            <w:r>
              <w:rPr>
                <w:b/>
                <w:i w:val="0"/>
                <w:sz w:val="19"/>
              </w:rPr>
              <w:t>NLRB oncology guidance</w:t>
            </w:r>
          </w:p>
        </w:tc>
        <w:tc>
          <w:tcPr>
            <w:tcW w:type="dxa" w:w="3360"/>
            <w:tcW w:w="3900" w:type="dxa"/>
            <w:shd w:val="clear" w:color="auto" w:fill="FFFFFF"/>
          </w:tcPr>
          <w:p>
            <w:pPr>
              <w:spacing w:after="0"/>
            </w:pPr>
            <w:r>
              <w:rPr>
                <w:b w:val="0"/>
                <w:i w:val="0"/>
                <w:sz w:val="19"/>
              </w:rPr>
              <w:t>Current NLRB hepatic-adenoma guidance. Four alternative routes; route four contains conjunctive clinical requirements.</w:t>
            </w:r>
          </w:p>
        </w:tc>
        <w:tc>
          <w:tcPr>
            <w:tcW w:type="dxa" w:w="3360"/>
            <w:tcW w:w="4180" w:type="dxa"/>
            <w:shd w:val="clear" w:color="auto" w:fill="FFFFFF"/>
          </w:tcPr>
          <w:p>
            <w:pPr>
              <w:spacing w:after="0"/>
            </w:pPr>
            <w:r>
              <w:rPr>
                <w:b w:val="0"/>
                <w:i w:val="0"/>
                <w:sz w:val="19"/>
              </w:rPr>
              <w:t>GSD/Abernethy; OR unresectable β-catenin-mutated HCA; OR unresectable adenomatosis &gt;10 lesions; OR unresectable, nonoperative-unresponsive and progressive/complicated HCA.</w:t>
            </w:r>
          </w:p>
          <w:p>
            <w:pPr>
              <w:spacing w:after="0"/>
            </w:pPr>
            <w:r>
              <w:rPr>
                <w:b w:val="0"/>
                <w:i/>
                <w:sz w:val="19"/>
              </w:rPr>
              <w:t>Limits: These are review routes, not proof of benefit or a mandatory transplant recommendation. Current text does not require all four conditions simultaneously or cirrhosis for all routes.</w:t>
            </w:r>
          </w:p>
          <w:p>
            <w:pPr>
              <w:spacing w:after="0"/>
            </w:pPr>
            <w:r>
              <w:rPr>
                <w:b w:val="0"/>
                <w:i w:val="0"/>
                <w:color w:val="5A6069"/>
                <w:sz w:val="18"/>
              </w:rPr>
              <w:t>December 2025 oncology guidance, hepatic adenoma p11.</w:t>
            </w:r>
          </w:p>
        </w:tc>
      </w:tr>
      <w:tr>
        <w:trPr>
          <w:cantSplit/>
        </w:trPr>
        <w:tc>
          <w:tcPr>
            <w:tcW w:type="dxa" w:w="3360"/>
            <w:tcW w:w="2000" w:type="dxa"/>
            <w:shd w:val="clear" w:color="auto" w:fill="F1F5F8"/>
          </w:tcPr>
          <w:p>
            <w:pPr>
              <w:spacing w:after="0"/>
            </w:pPr>
            <w:r>
              <w:rPr>
                <w:b/>
                <w:i w:val="0"/>
                <w:sz w:val="19"/>
              </w:rPr>
              <w:t>HHS human-subject protections</w:t>
            </w:r>
          </w:p>
        </w:tc>
        <w:tc>
          <w:tcPr>
            <w:tcW w:type="dxa" w:w="3360"/>
            <w:tcW w:w="3900" w:type="dxa"/>
            <w:shd w:val="clear" w:color="auto" w:fill="F1F5F8"/>
          </w:tcPr>
          <w:p>
            <w:pPr>
              <w:spacing w:after="0"/>
            </w:pPr>
            <w:r>
              <w:rPr>
                <w:b w:val="0"/>
                <w:i w:val="0"/>
                <w:sz w:val="19"/>
              </w:rPr>
              <w:t>Federal human-subject protection regulation. Applicability determined by institutional research/regulatory review.</w:t>
            </w:r>
          </w:p>
        </w:tc>
        <w:tc>
          <w:tcPr>
            <w:tcW w:type="dxa" w:w="3360"/>
            <w:tcW w:w="4180" w:type="dxa"/>
            <w:shd w:val="clear" w:color="auto" w:fill="F1F5F8"/>
          </w:tcPr>
          <w:p>
            <w:pPr>
              <w:spacing w:after="0"/>
            </w:pPr>
            <w:r>
              <w:rPr>
                <w:b w:val="0"/>
                <w:i w:val="0"/>
                <w:sz w:val="19"/>
              </w:rPr>
              <w:t>46.111 requires risk minimization, reasonable risk–benefit, equitable selection, informed consent and appropriate monitoring. IRB approval is separate from OPTN allocation and clinical acceptance.</w:t>
            </w:r>
          </w:p>
          <w:p>
            <w:pPr>
              <w:spacing w:after="0"/>
            </w:pPr>
            <w:r>
              <w:rPr>
                <w:b w:val="0"/>
                <w:i/>
                <w:sz w:val="19"/>
              </w:rPr>
              <w:t>Limits: No prescribed ten-patient cap, five-patient interim or one-event statistical boundary; those require protocol-specific design and independent approval.</w:t>
            </w:r>
          </w:p>
          <w:p>
            <w:pPr>
              <w:spacing w:after="0"/>
            </w:pPr>
            <w:r>
              <w:rPr>
                <w:b w:val="0"/>
                <w:i w:val="0"/>
                <w:color w:val="5A6069"/>
                <w:sz w:val="18"/>
              </w:rPr>
              <w:t>45 CFR 46.111(a)(1–7), current official eCFR text checked 24 October 2026.</w:t>
            </w:r>
          </w:p>
        </w:tc>
      </w:tr>
      <w:tr>
        <w:trPr>
          <w:cantSplit/>
        </w:trPr>
        <w:tc>
          <w:tcPr>
            <w:tcW w:type="dxa" w:w="3360"/>
            <w:tcW w:w="2000" w:type="dxa"/>
            <w:shd w:val="clear" w:color="auto" w:fill="FFFFFF"/>
          </w:tcPr>
          <w:p>
            <w:pPr>
              <w:spacing w:after="0"/>
            </w:pPr>
            <w:r>
              <w:rPr>
                <w:b/>
                <w:i w:val="0"/>
                <w:sz w:val="19"/>
              </w:rPr>
              <w:t>OPTN ethics principles</w:t>
            </w:r>
          </w:p>
        </w:tc>
        <w:tc>
          <w:tcPr>
            <w:tcW w:type="dxa" w:w="3360"/>
            <w:tcW w:w="3900" w:type="dxa"/>
            <w:shd w:val="clear" w:color="auto" w:fill="FFFFFF"/>
          </w:tcPr>
          <w:p>
            <w:pPr>
              <w:spacing w:after="0"/>
            </w:pPr>
            <w:r>
              <w:rPr>
                <w:b w:val="0"/>
                <w:i w:val="0"/>
                <w:sz w:val="19"/>
              </w:rPr>
              <w:t>OPTN Ethics Committee white paper, not a trial or binding allocation algorithm. Scarce-organ allocation must balance utility, justice and respect for persons.</w:t>
            </w:r>
          </w:p>
        </w:tc>
        <w:tc>
          <w:tcPr>
            <w:tcW w:type="dxa" w:w="3360"/>
            <w:tcW w:w="4180" w:type="dxa"/>
            <w:shd w:val="clear" w:color="auto" w:fill="FFFFFF"/>
          </w:tcPr>
          <w:p>
            <w:pPr>
              <w:spacing w:after="0"/>
            </w:pPr>
            <w:r>
              <w:rPr>
                <w:b w:val="0"/>
                <w:i w:val="0"/>
                <w:sz w:val="19"/>
              </w:rPr>
              <w:t>High predicted recipient survival alone is insufficient: opportunity cost, equity and access also matter. Donor autonomy does not remove clinical obligations.</w:t>
            </w:r>
          </w:p>
          <w:p>
            <w:pPr>
              <w:spacing w:after="0"/>
            </w:pPr>
            <w:r>
              <w:rPr>
                <w:b w:val="0"/>
                <w:i/>
                <w:sz w:val="19"/>
              </w:rPr>
              <w:t>Limits: Provides an ethical framework, not numeric weights, a universal survival threshold or permission to depart from allocation rules.</w:t>
            </w:r>
          </w:p>
          <w:p>
            <w:pPr>
              <w:spacing w:after="0"/>
            </w:pPr>
            <w:r>
              <w:rPr>
                <w:b w:val="0"/>
                <w:i w:val="0"/>
                <w:color w:val="5A6069"/>
                <w:sz w:val="18"/>
              </w:rPr>
              <w:t>Introduction; utility/justice/respect-for-persons sections.</w:t>
            </w:r>
          </w:p>
        </w:tc>
      </w:tr>
    </w:tbl>
    <w:p>
      <w:pPr>
        <w:spacing w:after="40"/>
      </w:pPr>
    </w:p>
    <w:p>
      <w:pPr>
        <w:pStyle w:val="Heading3"/>
        <w:keepNext/>
        <w:spacing w:before="120" w:after="80"/>
      </w:pPr>
      <w:r>
        <w:rPr>
          <w:b w:val="0"/>
          <w:i w:val="0"/>
        </w:rPr>
        <w:t>Our proposed selection (OPEN)</w:t>
      </w:r>
    </w:p>
    <w:p>
      <w:pPr>
        <w:spacing w:after="80"/>
      </w:pPr>
      <w:r>
        <w:rPr>
          <w:b w:val="0"/>
          <w:i w:val="0"/>
        </w:rPr>
        <w:t>Require 100% completion of the applicable clinical, allocation, donor and research determinations before activation.</w:t>
      </w:r>
    </w:p>
    <w:p>
      <w:pPr>
        <w:numPr>
          <w:ilvl w:val="0"/>
          <w:numId w:val="5"/>
        </w:numPr>
        <w:spacing w:after="40"/>
      </w:pPr>
      <w:r>
        <w:rPr>
          <w:b w:val="0"/>
          <w:i w:val="0"/>
        </w:rPr>
        <w:t>Complete six separate dated determinations: clinical suitability; standardized-exception eligibility; nonstandard NLRB review status; calculated-MELD access; LDLT donor clearance; and research authorization. Mark nonapplicable domains explicitly with a reason—do not manufacture six approvals for every patient.</w:t>
      </w:r>
    </w:p>
    <w:p>
      <w:pPr>
        <w:numPr>
          <w:ilvl w:val="0"/>
          <w:numId w:val="5"/>
        </w:numPr>
        <w:spacing w:after="40"/>
      </w:pPr>
      <w:r>
        <w:rPr>
          <w:b w:val="0"/>
          <w:i w:val="0"/>
        </w:rPr>
        <w:t>Any required missing, pending or adverse determination is a HOLD. An exception application is not approval, a donor is not recipient benefit, and clinical approval is not study activation.</w:t>
      </w:r>
    </w:p>
    <w:p>
      <w:pPr>
        <w:numPr>
          <w:ilvl w:val="0"/>
          <w:numId w:val="5"/>
        </w:numPr>
        <w:spacing w:after="40"/>
      </w:pPr>
      <w:r>
        <w:rPr>
          <w:b w:val="0"/>
          <w:i w:val="0"/>
        </w:rPr>
        <w:t>Recheck the current policy/guidance version before each request; record actual decision and priority rather than predicted entitlement.</w:t>
      </w:r>
    </w:p>
    <w:p>
      <w:pPr>
        <w:spacing w:after="80"/>
      </w:pPr>
      <w:r>
        <w:rPr>
          <w:b/>
          <w:i w:val="0"/>
        </w:rPr>
        <w:t xml:space="preserve">Why: </w:t>
      </w:r>
      <w:r>
        <w:rPr>
          <w:b w:val="0"/>
          <w:i w:val="0"/>
        </w:rPr>
        <w:t>The separation is a governance requirement, not an empirical survival cutoff. A clinically appropriate patient can lack exception eligibility, and an approved exception does not prove clinical benefit. LDLT requires an independent donor determination; a registry entry is not permission to perform experimental transplantation.</w:t>
      </w:r>
    </w:p>
    <w:p>
      <w:pPr>
        <w:spacing w:after="80"/>
      </w:pPr>
      <w:r>
        <w:rPr>
          <w:b/>
          <w:i w:val="0"/>
        </w:rPr>
        <w:t xml:space="preserve">Against, or uncertain: </w:t>
      </w:r>
      <w:r>
        <w:rPr>
          <w:b w:val="0"/>
          <w:i w:val="0"/>
        </w:rPr>
        <w:t>Not every case needs six separate affirmative approvals: several routes are alternatives or not applicable. An indiscriminate six-approval rule could obstruct appropriate standard care.</w:t>
      </w:r>
    </w:p>
    <w:p>
      <w:pPr>
        <w:spacing w:after="80"/>
      </w:pPr>
      <w:r>
        <w:rPr>
          <w:b/>
          <w:i w:val="0"/>
        </w:rPr>
        <w:t xml:space="preserve">Certainty: </w:t>
      </w:r>
      <w:r>
        <w:rPr>
          <w:b w:val="0"/>
          <w:i w:val="0"/>
        </w:rPr>
        <w:t>High confidence in the separation of applicable authorities; no trial establishes that six boxes improve survival. Local workflow must map to current institutional obligations.</w:t>
      </w:r>
    </w:p>
    <w:p>
      <w:pPr>
        <w:spacing w:after="80"/>
      </w:pPr>
      <w:r>
        <w:rPr>
          <w:b/>
          <w:i w:val="0"/>
        </w:rPr>
        <w:t xml:space="preserve">Tests and records: </w:t>
      </w:r>
      <w:r>
        <w:rPr>
          <w:b w:val="0"/>
          <w:i w:val="0"/>
        </w:rPr>
        <w:t>Signed suitability record; exact allocation route and policy version; exception outcome; donor-team status; study and institutional activation record.</w:t>
      </w:r>
    </w:p>
    <w:p>
      <w:pPr>
        <w:spacing w:after="80"/>
      </w:pPr>
      <w:r>
        <w:rPr>
          <w:b/>
          <w:i w:val="0"/>
        </w:rPr>
        <w:t xml:space="preserve">Allocation: </w:t>
      </w:r>
      <w:r>
        <w:rPr>
          <w:b w:val="0"/>
          <w:i w:val="0"/>
        </w:rPr>
        <w:t>Policy 9.4 permits discretionary requests where appropriate; absence of favorable diagnosis-specific guidance is not absence of a review mechanism, and a request does not promise approval.</w:t>
      </w:r>
    </w:p>
    <w:p>
      <w:pPr>
        <w:spacing w:after="40"/>
      </w:pPr>
      <w:r>
        <w:rPr>
          <w:b/>
          <w:i w:val="0"/>
        </w:rPr>
        <w:t xml:space="preserve">Basis for the proposed thresholds: </w:t>
      </w:r>
    </w:p>
    <w:p>
      <w:pPr>
        <w:numPr>
          <w:ilvl w:val="0"/>
          <w:numId w:val="5"/>
        </w:numPr>
        <w:spacing w:after="40"/>
      </w:pPr>
      <w:r>
        <w:rPr>
          <w:b w:val="0"/>
          <w:i w:val="0"/>
        </w:rPr>
        <w:t>Six domains: local checklist architecture, not six mandatory national approvals.</w:t>
      </w:r>
    </w:p>
    <w:p>
      <w:pPr>
        <w:numPr>
          <w:ilvl w:val="0"/>
          <w:numId w:val="5"/>
        </w:numPr>
        <w:spacing w:after="40"/>
      </w:pPr>
      <w:r>
        <w:rPr>
          <w:b w:val="0"/>
          <w:i w:val="0"/>
        </w:rPr>
        <w:t>100% applicable completion: governance safeguard, not an outcome-derived percentage.</w:t>
      </w:r>
    </w:p>
    <w:p>
      <w:pPr>
        <w:numPr>
          <w:ilvl w:val="0"/>
          <w:numId w:val="5"/>
        </w:numPr>
        <w:spacing w:after="40"/>
      </w:pPr>
      <w:r>
        <w:rPr>
          <w:b w:val="0"/>
          <w:i w:val="0"/>
        </w:rPr>
        <w:t>Hold pending required authorization: operational implementation of separate clinical, donor and research responsibilities.</w:t>
      </w:r>
    </w:p>
    <w:p>
      <w:pPr>
        <w:pStyle w:val="Heading3"/>
        <w:keepNext/>
        <w:spacing w:before="120" w:after="80"/>
      </w:pPr>
      <w:r>
        <w:rPr>
          <w:b w:val="0"/>
          <w:i w:val="0"/>
        </w:rPr>
        <w:t>ALLOC-B1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ALLOC-B2 — Assess expected recipient benefit and organ use</w:t>
      </w:r>
    </w:p>
    <w:p>
      <w:pPr>
        <w:spacing w:after="80"/>
      </w:pPr>
      <w:r>
        <w:rPr>
          <w:b w:val="0"/>
          <w:i w:val="0"/>
          <w:color w:val="5A6069"/>
          <w:sz w:val="18"/>
        </w:rPr>
        <w:t>OPEN proposal · not activated · Shared approval requirement</w:t>
      </w:r>
    </w:p>
    <w:p>
      <w:pPr>
        <w:spacing w:after="80"/>
      </w:pPr>
      <w:r>
        <w:rPr>
          <w:b/>
          <w:i w:val="0"/>
        </w:rPr>
        <w:t xml:space="preserve">Question: </w:t>
      </w:r>
      <w:r>
        <w:rPr>
          <w:b w:val="0"/>
          <w:i w:val="0"/>
        </w:rPr>
        <w:t>What is the relevant organ opportunity cost?</w:t>
      </w:r>
    </w:p>
    <w:p>
      <w:pPr>
        <w:spacing w:after="120"/>
      </w:pPr>
      <w:r>
        <w:rPr>
          <w:b/>
          <w:i w:val="0"/>
          <w:sz w:val="18"/>
        </w:rPr>
        <w:t xml:space="preserve">Web page: </w:t>
      </w:r>
      <w:hyperlink r:id="rId13">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TransMet 2024</w:t>
            </w:r>
          </w:p>
        </w:tc>
        <w:tc>
          <w:tcPr>
            <w:tcW w:type="dxa" w:w="3360"/>
            <w:tcW w:w="5480" w:type="dxa"/>
            <w:shd w:val="clear" w:color="auto" w:fill="F1F5F8"/>
          </w:tcPr>
          <w:p>
            <w:pPr>
              <w:spacing w:after="0"/>
            </w:pPr>
            <w:r>
              <w:rPr>
                <w:b w:val="0"/>
                <w:i w:val="0"/>
                <w:sz w:val="19"/>
              </w:rPr>
              <w:t>“intention-to-treat population” The randomized pathway-level comparison is more informative than recipient survival alone; its selection and access conditions still matter.</w:t>
            </w:r>
          </w:p>
        </w:tc>
        <w:tc>
          <w:tcPr>
            <w:tcW w:type="dxa" w:w="3360"/>
            <w:tcW w:w="2400" w:type="dxa"/>
            <w:shd w:val="clear" w:color="auto" w:fill="F1F5F8"/>
          </w:tcPr>
          <w:p>
            <w:pPr>
              <w:spacing w:after="0"/>
            </w:pPr>
            <w:r>
              <w:rPr>
                <w:b w:val="0"/>
                <w:i w:val="0"/>
                <w:color w:val="5A6069"/>
                <w:sz w:val="18"/>
              </w:rPr>
              <w:t>Published TransMet report, primary analysis description</w:t>
            </w:r>
          </w:p>
        </w:tc>
      </w:tr>
      <w:tr>
        <w:trPr>
          <w:cantSplit/>
        </w:trPr>
        <w:tc>
          <w:tcPr>
            <w:tcW w:type="dxa" w:w="3360"/>
            <w:tcW w:w="2200" w:type="dxa"/>
            <w:shd w:val="clear" w:color="auto" w:fill="FFFFFF"/>
          </w:tcPr>
          <w:p>
            <w:pPr>
              <w:spacing w:after="0"/>
            </w:pPr>
            <w:r>
              <w:rPr>
                <w:b/>
                <w:i w:val="0"/>
                <w:sz w:val="19"/>
              </w:rPr>
              <w:t>Kelly 2026</w:t>
            </w:r>
          </w:p>
        </w:tc>
        <w:tc>
          <w:tcPr>
            <w:tcW w:type="dxa" w:w="3360"/>
            <w:tcW w:w="5480" w:type="dxa"/>
            <w:shd w:val="clear" w:color="auto" w:fill="FFFFFF"/>
          </w:tcPr>
          <w:p>
            <w:pPr>
              <w:spacing w:after="0"/>
            </w:pPr>
            <w:r>
              <w:rPr>
                <w:b w:val="0"/>
                <w:i w:val="0"/>
                <w:sz w:val="19"/>
              </w:rPr>
              <w:t>“risks to donors remain incompletely characterized” LDLT transfers some risk to a healthy donor; it does not eliminate the need to establish recipient benefit.</w:t>
            </w:r>
          </w:p>
        </w:tc>
        <w:tc>
          <w:tcPr>
            <w:tcW w:type="dxa" w:w="3360"/>
            <w:tcW w:w="2400" w:type="dxa"/>
            <w:shd w:val="clear" w:color="auto" w:fill="FFFFFF"/>
          </w:tcPr>
          <w:p>
            <w:pPr>
              <w:spacing w:after="0"/>
            </w:pPr>
            <w:r>
              <w:rPr>
                <w:b w:val="0"/>
                <w:i w:val="0"/>
                <w:color w:val="5A6069"/>
                <w:sz w:val="18"/>
              </w:rPr>
              <w:t>2026 published report, abstract background</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OPTN ethics principles</w:t>
            </w:r>
          </w:p>
        </w:tc>
        <w:tc>
          <w:tcPr>
            <w:tcW w:type="dxa" w:w="3360"/>
            <w:tcW w:w="3900" w:type="dxa"/>
            <w:shd w:val="clear" w:color="auto" w:fill="F1F5F8"/>
          </w:tcPr>
          <w:p>
            <w:pPr>
              <w:spacing w:after="0"/>
            </w:pPr>
            <w:r>
              <w:rPr>
                <w:b w:val="0"/>
                <w:i w:val="0"/>
                <w:sz w:val="19"/>
              </w:rPr>
              <w:t>OPTN Ethics Committee white paper, not a trial or binding allocation algorithm. Scarce-organ allocation must balance utility, justice and respect for persons.</w:t>
            </w:r>
          </w:p>
        </w:tc>
        <w:tc>
          <w:tcPr>
            <w:tcW w:type="dxa" w:w="3360"/>
            <w:tcW w:w="4180" w:type="dxa"/>
            <w:shd w:val="clear" w:color="auto" w:fill="F1F5F8"/>
          </w:tcPr>
          <w:p>
            <w:pPr>
              <w:spacing w:after="0"/>
            </w:pPr>
            <w:r>
              <w:rPr>
                <w:b w:val="0"/>
                <w:i w:val="0"/>
                <w:sz w:val="19"/>
              </w:rPr>
              <w:t>High predicted recipient survival alone is insufficient: opportunity cost, equity and access also matter. Donor autonomy does not remove clinical obligations.</w:t>
            </w:r>
          </w:p>
          <w:p>
            <w:pPr>
              <w:spacing w:after="0"/>
            </w:pPr>
            <w:r>
              <w:rPr>
                <w:b w:val="0"/>
                <w:i/>
                <w:sz w:val="19"/>
              </w:rPr>
              <w:t>Limits: Provides an ethical framework, not numeric weights, a universal survival threshold or permission to depart from allocation rules.</w:t>
            </w:r>
          </w:p>
          <w:p>
            <w:pPr>
              <w:spacing w:after="0"/>
            </w:pPr>
            <w:r>
              <w:rPr>
                <w:b w:val="0"/>
                <w:i w:val="0"/>
                <w:color w:val="5A6069"/>
                <w:sz w:val="18"/>
              </w:rPr>
              <w:t>Introduction; utility/justice/respect-for-persons sections.</w:t>
            </w:r>
          </w:p>
        </w:tc>
      </w:tr>
      <w:tr>
        <w:trPr>
          <w:cantSplit/>
        </w:trPr>
        <w:tc>
          <w:tcPr>
            <w:tcW w:type="dxa" w:w="3360"/>
            <w:tcW w:w="2000" w:type="dxa"/>
            <w:shd w:val="clear" w:color="auto" w:fill="FFFFFF"/>
          </w:tcPr>
          <w:p>
            <w:pPr>
              <w:spacing w:after="0"/>
            </w:pPr>
            <w:r>
              <w:rPr>
                <w:b/>
                <w:i w:val="0"/>
                <w:sz w:val="19"/>
              </w:rPr>
              <w:t>OPTN policy</w:t>
            </w:r>
          </w:p>
        </w:tc>
        <w:tc>
          <w:tcPr>
            <w:tcW w:type="dxa" w:w="3360"/>
            <w:tcW w:w="3900" w:type="dxa"/>
            <w:shd w:val="clear" w:color="auto" w:fill="FFFFFF"/>
          </w:tcPr>
          <w:p>
            <w:pPr>
              <w:spacing w:after="0"/>
            </w:pPr>
            <w:r>
              <w:rPr>
                <w:b w:val="0"/>
                <w:i w:val="0"/>
                <w:sz w:val="19"/>
              </w:rPr>
              <w:t>Binding OPTN policy posting effective 1 October 2026, checked 24 October 2026. Clinical candidacy, exception scoring, living-donor protection and reporting have different policy sections.</w:t>
            </w:r>
          </w:p>
        </w:tc>
        <w:tc>
          <w:tcPr>
            <w:tcW w:type="dxa" w:w="3360"/>
            <w:tcW w:w="4180" w:type="dxa"/>
            <w:shd w:val="clear" w:color="auto" w:fill="FFFFFF"/>
          </w:tcPr>
          <w:p>
            <w:pPr>
              <w:spacing w:after="0"/>
            </w:pPr>
            <w:r>
              <w:rPr>
                <w:b w:val="0"/>
                <w:i w:val="0"/>
                <w:sz w:val="19"/>
              </w:rPr>
              <w:t>Policy 9 governs liver allocation; Policy 14 requires independent donor advocacy/consent; Policy 18 specifies reporting. None establishes a universal cancer-benefit cutoff.</w:t>
            </w:r>
          </w:p>
          <w:p>
            <w:pPr>
              <w:spacing w:after="0"/>
            </w:pPr>
            <w:r>
              <w:rPr>
                <w:b w:val="0"/>
                <w:i/>
                <w:sz w:val="19"/>
              </w:rPr>
              <w:t>Limits: A center’s additional safeguards are not national policy. Review the active text and applicability before individual decisions.</w:t>
            </w:r>
          </w:p>
          <w:p>
            <w:pPr>
              <w:spacing w:after="0"/>
            </w:pPr>
            <w:r>
              <w:rPr>
                <w:b w:val="0"/>
                <w:i w:val="0"/>
                <w:color w:val="5A6069"/>
                <w:sz w:val="18"/>
              </w:rPr>
              <w:t>Policies 9, 14.2–14.4 and 18; current official PDF.</w:t>
            </w:r>
          </w:p>
        </w:tc>
      </w:tr>
      <w:tr>
        <w:trPr>
          <w:cantSplit/>
        </w:trPr>
        <w:tc>
          <w:tcPr>
            <w:tcW w:type="dxa" w:w="3360"/>
            <w:tcW w:w="2000" w:type="dxa"/>
            <w:shd w:val="clear" w:color="auto" w:fill="F1F5F8"/>
          </w:tcPr>
          <w:p>
            <w:pPr>
              <w:spacing w:after="0"/>
            </w:pPr>
            <w:r>
              <w:rPr>
                <w:b/>
                <w:i w:val="0"/>
                <w:sz w:val="19"/>
              </w:rPr>
              <w:t>EASL–AASLD–ILCA 2026</w:t>
            </w:r>
          </w:p>
        </w:tc>
        <w:tc>
          <w:tcPr>
            <w:tcW w:type="dxa" w:w="3360"/>
            <w:tcW w:w="3900" w:type="dxa"/>
            <w:shd w:val="clear" w:color="auto" w:fill="F1F5F8"/>
          </w:tcPr>
          <w:p>
            <w:pPr>
              <w:spacing w:after="0"/>
            </w:pPr>
            <w:r>
              <w:rPr>
                <w:b w:val="0"/>
                <w:i w:val="0"/>
                <w:sz w:val="19"/>
              </w:rPr>
              <w:t>EASL–AASLD–ILCA 2026 trial-design consensus, LT section. Separates standard/UNOS-DS, expanded intermediate HCC and advanced segmental vascular-invasion research populations.</w:t>
            </w:r>
          </w:p>
        </w:tc>
        <w:tc>
          <w:tcPr>
            <w:tcW w:type="dxa" w:w="3360"/>
            <w:tcW w:w="4180" w:type="dxa"/>
            <w:shd w:val="clear" w:color="auto" w:fill="F1F5F8"/>
          </w:tcPr>
          <w:p>
            <w:pPr>
              <w:spacing w:after="0"/>
            </w:pPr>
            <w:r>
              <w:rPr>
                <w:b w:val="0"/>
                <w:i w:val="0"/>
                <w:sz w:val="19"/>
              </w:rPr>
              <w:t>Calls for entry-level dropout/feasibility, ITT EFS/OS and graft/immune harms; discusses ≥60% five-year ITT OS benchmark in HCC.</w:t>
            </w:r>
          </w:p>
          <w:p>
            <w:pPr>
              <w:spacing w:after="0"/>
            </w:pPr>
            <w:r>
              <w:rPr>
                <w:b w:val="0"/>
                <w:i/>
                <w:sz w:val="19"/>
              </w:rPr>
              <w:t>Limits: Expert benchmark, not a validated cross-tumor allocation cutoff or a ten-patient stopping rule; mature five-year endpoints cannot be established after one year.</w:t>
            </w:r>
          </w:p>
          <w:p>
            <w:pPr>
              <w:spacing w:after="0"/>
            </w:pPr>
            <w:r>
              <w:rPr>
                <w:b w:val="0"/>
                <w:i w:val="0"/>
                <w:color w:val="5A6069"/>
                <w:sz w:val="18"/>
              </w:rPr>
              <w:t>Accepted manuscript pp19–22, LT trial design.</w:t>
            </w:r>
          </w:p>
        </w:tc>
      </w:tr>
      <w:tr>
        <w:trPr>
          <w:cantSplit/>
        </w:trPr>
        <w:tc>
          <w:tcPr>
            <w:tcW w:type="dxa" w:w="3360"/>
            <w:tcW w:w="2000" w:type="dxa"/>
            <w:shd w:val="clear" w:color="auto" w:fill="FFFFFF"/>
          </w:tcPr>
          <w:p>
            <w:pPr>
              <w:spacing w:after="0"/>
            </w:pPr>
            <w:r>
              <w:rPr>
                <w:b/>
                <w:i w:val="0"/>
                <w:sz w:val="19"/>
              </w:rPr>
              <w:t>Kelly 2026</w:t>
            </w:r>
          </w:p>
        </w:tc>
        <w:tc>
          <w:tcPr>
            <w:tcW w:type="dxa" w:w="3360"/>
            <w:tcW w:w="3900" w:type="dxa"/>
            <w:shd w:val="clear" w:color="auto" w:fill="FFFFFF"/>
          </w:tcPr>
          <w:p>
            <w:pPr>
              <w:spacing w:after="0"/>
            </w:pPr>
            <w:r>
              <w:rPr>
                <w:b w:val="0"/>
                <w:i w:val="0"/>
                <w:sz w:val="19"/>
              </w:rPr>
              <w:t>National SRTR donor cohort 1989–2023: 8,619 with mortality ascertainment; 8,314 with any recovery record. Adults 18–65; 362 eligible donors excluded for missing mortality status.</w:t>
            </w:r>
          </w:p>
        </w:tc>
        <w:tc>
          <w:tcPr>
            <w:tcW w:type="dxa" w:w="3360"/>
            <w:tcW w:w="4180" w:type="dxa"/>
            <w:shd w:val="clear" w:color="auto" w:fill="FFFFFF"/>
          </w:tcPr>
          <w:p>
            <w:pPr>
              <w:spacing w:after="0"/>
            </w:pPr>
            <w:r>
              <w:rPr>
                <w:b w:val="0"/>
                <w:i w:val="0"/>
                <w:sz w:val="19"/>
              </w:rPr>
              <w:t>Eight deaths by 90 days and 18 by two years; contemporary-era perioperative mortality approximately 0.04%. Only 37–39% had two-year recovery data.</w:t>
            </w:r>
          </w:p>
          <w:p>
            <w:pPr>
              <w:spacing w:after="0"/>
            </w:pPr>
            <w:r>
              <w:rPr>
                <w:b w:val="0"/>
                <w:i/>
                <w:sz w:val="19"/>
              </w:rPr>
              <w:t>Limits: All-cause deaths, mostly unavailable cause; not oncology-specific. Low mortality cannot substitute for complete morbidity, psychological and financial follow-up.</w:t>
            </w:r>
          </w:p>
          <w:p>
            <w:pPr>
              <w:spacing w:after="0"/>
            </w:pPr>
            <w:r>
              <w:rPr>
                <w:b w:val="0"/>
                <w:i w:val="0"/>
                <w:color w:val="5A6069"/>
                <w:sz w:val="18"/>
              </w:rPr>
              <w:t>Methods; Results 3.1–3.4; limitations pp6–7.</w:t>
            </w:r>
          </w:p>
        </w:tc>
      </w:tr>
      <w:tr>
        <w:trPr>
          <w:cantSplit/>
        </w:trPr>
        <w:tc>
          <w:tcPr>
            <w:tcW w:type="dxa" w:w="3360"/>
            <w:tcW w:w="2000" w:type="dxa"/>
            <w:shd w:val="clear" w:color="auto" w:fill="F1F5F8"/>
          </w:tcPr>
          <w:p>
            <w:pPr>
              <w:spacing w:after="0"/>
            </w:pPr>
            <w:r>
              <w:rPr>
                <w:b/>
                <w:i w:val="0"/>
                <w:sz w:val="19"/>
              </w:rPr>
              <w:t>XXL 2020</w:t>
            </w:r>
          </w:p>
        </w:tc>
        <w:tc>
          <w:tcPr>
            <w:tcW w:type="dxa" w:w="3360"/>
            <w:tcW w:w="3900" w:type="dxa"/>
            <w:shd w:val="clear" w:color="auto" w:fill="F1F5F8"/>
          </w:tcPr>
          <w:p>
            <w:pPr>
              <w:spacing w:after="0"/>
            </w:pPr>
            <w:r>
              <w:rPr>
                <w:b w:val="0"/>
                <w:i w:val="0"/>
                <w:sz w:val="19"/>
              </w:rPr>
              <w:t>Multicenter randomized phase 2b/3 trial: 74 entered downstaging; 29 dropped out before randomization; 45 responders were randomized, 23 to LT and 22 to nontransplant treatment. Child-Pugh A–B7, ECOG 0–1, predicted five-year post-LT survival ≥50%, and ≥3 months sustained response. AFP rules depended on baseline value and response, not an unconditional AFP &lt;400 entry rule.</w:t>
            </w:r>
          </w:p>
        </w:tc>
        <w:tc>
          <w:tcPr>
            <w:tcW w:type="dxa" w:w="3360"/>
            <w:tcW w:w="4180" w:type="dxa"/>
            <w:shd w:val="clear" w:color="auto" w:fill="F1F5F8"/>
          </w:tcPr>
          <w:p>
            <w:pPr>
              <w:spacing w:after="0"/>
            </w:pPr>
            <w:r>
              <w:rPr>
                <w:b w:val="0"/>
                <w:i w:val="0"/>
                <w:sz w:val="19"/>
              </w:rPr>
              <w:t>From randomization, five-year overall survival was 77.5% with LT versus 31.2% without LT; tumor-event-free survival 76.8% versus 18.3%; median follow-up 71 months.</w:t>
            </w:r>
          </w:p>
          <w:p>
            <w:pPr>
              <w:spacing w:after="0"/>
            </w:pPr>
            <w:r>
              <w:rPr>
                <w:b w:val="0"/>
                <w:i/>
                <w:sz w:val="19"/>
              </w:rPr>
              <w:t>Limits: Strongest causal evidence for LT among selected responders, not for all 74 entrants or unlimited initial burden. Small, prematurely stopped trial. Appendix allowed uncertain bland-versus-neoplastic segmental/type-I portal thrombosis under additional response conditions; the actual PVTT denominator/outcomes are not reported. It must not be relabeled a proven-PVTT trial.</w:t>
            </w:r>
          </w:p>
          <w:p>
            <w:pPr>
              <w:spacing w:after="0"/>
            </w:pPr>
            <w:r>
              <w:rPr>
                <w:b w:val="0"/>
                <w:i w:val="0"/>
                <w:color w:val="5A6069"/>
                <w:sz w:val="18"/>
              </w:rPr>
              <w:t>Complete accepted manuscript and protocol appendix; final published abstract for survival estimates. Avoid mixing accepted-manuscript and final-publication hazard ratios.</w:t>
            </w:r>
          </w:p>
        </w:tc>
      </w:tr>
      <w:tr>
        <w:trPr>
          <w:cantSplit/>
        </w:trPr>
        <w:tc>
          <w:tcPr>
            <w:tcW w:type="dxa" w:w="3360"/>
            <w:tcW w:w="2000" w:type="dxa"/>
            <w:shd w:val="clear" w:color="auto" w:fill="FFFFFF"/>
          </w:tcPr>
          <w:p>
            <w:pPr>
              <w:spacing w:after="0"/>
            </w:pPr>
            <w:r>
              <w:rPr>
                <w:b/>
                <w:i w:val="0"/>
                <w:sz w:val="19"/>
              </w:rPr>
              <w:t>TransMet 2024</w:t>
            </w:r>
          </w:p>
        </w:tc>
        <w:tc>
          <w:tcPr>
            <w:tcW w:type="dxa" w:w="3360"/>
            <w:tcW w:w="3900" w:type="dxa"/>
            <w:shd w:val="clear" w:color="auto" w:fill="FFFFFF"/>
          </w:tcPr>
          <w:p>
            <w:pPr>
              <w:spacing w:after="0"/>
            </w:pPr>
            <w:r>
              <w:rPr>
                <w:b w:val="0"/>
                <w:i w:val="0"/>
                <w:sz w:val="19"/>
              </w:rPr>
              <w:t>Multicentre open-label randomized trial, 20 European centres, 157 screened and 94 randomized (47 LT-plus-chemotherapy, 47 chemotherapy); 63 screened excluded, including 13 with equivocal unresectability and 36 with progression. Age 18–65; ECOG 0–1; R0 colorectal primary; BRAF nonmutated; no prior or current extrahepatic disease/local recurrence; chemotherapy response or stable disease for at least 3 months, at most three lines. CEA &lt;80 ng/mL OR at least 50% reduction from peak was permitted. Independent committee of at least two surgeons, two oncologists and one radiologist reviewed original and current lesion maps. These are trial criteria, not identical to current NLRB guidance.</w:t>
            </w:r>
          </w:p>
        </w:tc>
        <w:tc>
          <w:tcPr>
            <w:tcW w:type="dxa" w:w="3360"/>
            <w:tcW w:w="4180" w:type="dxa"/>
            <w:shd w:val="clear" w:color="auto" w:fill="FFFFFF"/>
          </w:tcPr>
          <w:p>
            <w:pPr>
              <w:spacing w:after="0"/>
            </w:pPr>
            <w:r>
              <w:rPr>
                <w:b w:val="0"/>
                <w:i w:val="0"/>
                <w:sz w:val="19"/>
              </w:rPr>
              <w:t>Primary time origin was randomization. Median follow-up 59.3 months. Five-year ITT OS was 56.6% versus 12.6% (HR 0.37, 95% CI 0.21–0.65); per-protocol OS 73.3% versus 9.3%. Of 47 assigned LT, 38 received LT and 36 were per-protocol; nine had progression-related exclusion/dropout. The control arm included seven subsequent resections and two LT crossovers. Safety population comprised 40 grafted patients. Among 36 per-protocol LT recipients, 26 recurred; 19/26 received chemotherapy and 12/26 local curative-intent treatment. Median per-protocol PFS was 17.4 versus 6.4 months, and secondary PFS after salvage was 35.4 months in the LT arm. Three of 36 per-protocol recipients required retransplantation (primary nonfunction, donor gallbladder cancer, caval obstruction/large-for-size); one postoperative death was reported. Serious adverse events occurred in 32/40 safety LT recipients. Median wait to LT was 50.5 days, which limits transfer to longer-wait systems.</w:t>
            </w:r>
          </w:p>
          <w:p>
            <w:pPr>
              <w:spacing w:after="0"/>
            </w:pPr>
            <w:r>
              <w:rPr>
                <w:b w:val="0"/>
                <w:i/>
                <w:sz w:val="19"/>
              </w:rPr>
              <w:t>Limits: Strong evidence for the selected trial population, not for BRAF-mutant, ECOG 2, active extrahepatic, truly NED, resectable or broadly expanded disease. PP survival conditions on reaching treatment and must not replace ITT. The Results recurrence denominator is 26/36; Figure 3 caption says 28 recurrences, consistent with a broader all-grafted report, so do not mix these denominators. QoL collection had only 55/74 per-protocol baseline questionnaires and is descriptive, not proof of a large QoL gain. Priority allocation and rapid access were part of the treatment strategy.</w:t>
            </w:r>
          </w:p>
          <w:p>
            <w:pPr>
              <w:spacing w:after="0"/>
            </w:pPr>
            <w:r>
              <w:rPr>
                <w:b w:val="0"/>
                <w:i w:val="0"/>
                <w:color w:val="5A6069"/>
                <w:sz w:val="18"/>
              </w:rPr>
              <w:t>Lancet 2024;404:1107–1118. PDF pp.2–4 eligibility/committee; pp.5–6 trial flow/Table 1; pp.8–9 recurrence, safety, retransplantation, Figure 3; p.10 QoL/limitations.</w:t>
            </w:r>
          </w:p>
        </w:tc>
      </w:tr>
      <w:tr>
        <w:trPr>
          <w:cantSplit/>
        </w:trPr>
        <w:tc>
          <w:tcPr>
            <w:tcW w:type="dxa" w:w="3360"/>
            <w:tcW w:w="2000" w:type="dxa"/>
            <w:shd w:val="clear" w:color="auto" w:fill="F1F5F8"/>
          </w:tcPr>
          <w:p>
            <w:pPr>
              <w:spacing w:after="0"/>
            </w:pPr>
            <w:r>
              <w:rPr>
                <w:b/>
                <w:i w:val="0"/>
                <w:sz w:val="19"/>
              </w:rPr>
              <w:t>Allen 2024</w:t>
            </w:r>
          </w:p>
        </w:tc>
        <w:tc>
          <w:tcPr>
            <w:tcW w:type="dxa" w:w="3360"/>
            <w:tcW w:w="3900" w:type="dxa"/>
            <w:shd w:val="clear" w:color="auto" w:fill="F1F5F8"/>
          </w:tcPr>
          <w:p>
            <w:pPr>
              <w:spacing w:after="0"/>
            </w:pPr>
            <w:r>
              <w:rPr>
                <w:b w:val="0"/>
                <w:i w:val="0"/>
                <w:sz w:val="19"/>
              </w:rPr>
              <w:t>UK national liver-offering policy evaluation: separate simulation dataset of 1,287 registrations/629 donors plus early real-world NLOS implementation, 2018–2020. Transplant-benefit scoring governed national deceased-donor offers; not a high-risk-HCC validation sample.</w:t>
            </w:r>
          </w:p>
        </w:tc>
        <w:tc>
          <w:tcPr>
            <w:tcW w:type="dxa" w:w="3360"/>
            <w:tcW w:w="4180" w:type="dxa"/>
            <w:shd w:val="clear" w:color="auto" w:fill="F1F5F8"/>
          </w:tcPr>
          <w:p>
            <w:pPr>
              <w:spacing w:after="0"/>
            </w:pPr>
            <w:r>
              <w:rPr>
                <w:b w:val="0"/>
                <w:i w:val="0"/>
                <w:sz w:val="19"/>
              </w:rPr>
              <w:t>Simulation compared observed 2013 deaths/removals 93 (7%) and 4,581 patient-years with modeled TBS outcomes 48 (4%) and 5,262 patient-years. During the first two implementation years, 68% of DBD livers were allocated by TBS; observed waitlist mortality decreased (P&lt;.0001), postlisting survival improved (P=.005), with no adverse post-LT survival signal.</w:t>
            </w:r>
          </w:p>
          <w:p>
            <w:pPr>
              <w:spacing w:after="0"/>
            </w:pPr>
            <w:r>
              <w:rPr>
                <w:b w:val="0"/>
                <w:i/>
                <w:sz w:val="19"/>
              </w:rPr>
              <w:t>Limits: Simulated gains are not observed outcomes. Before/after implementation is nonrandomized and can reflect secular changes. Nonetheless it is meaningful evidence that a governed benefit-based system can be deployed, unlike a claim that all such models are unusable.</w:t>
            </w:r>
          </w:p>
          <w:p>
            <w:pPr>
              <w:spacing w:after="0"/>
            </w:pPr>
            <w:r>
              <w:rPr>
                <w:b w:val="0"/>
                <w:i w:val="0"/>
                <w:color w:val="5A6069"/>
                <w:sz w:val="18"/>
              </w:rPr>
              <w:t>Primary abstract and full publisher Methods/Results, Table 3, DOI 10.1016/j.jhep.2024.03.020; PDF pending.</w:t>
            </w:r>
          </w:p>
        </w:tc>
      </w:tr>
    </w:tbl>
    <w:p>
      <w:pPr>
        <w:spacing w:after="40"/>
      </w:pPr>
    </w:p>
    <w:p>
      <w:pPr>
        <w:pStyle w:val="Heading3"/>
        <w:keepNext/>
        <w:spacing w:before="120" w:after="80"/>
      </w:pPr>
      <w:r>
        <w:rPr>
          <w:b w:val="0"/>
          <w:i w:val="0"/>
        </w:rPr>
        <w:t>Our proposed selection (OPEN)</w:t>
      </w:r>
    </w:p>
    <w:p>
      <w:pPr>
        <w:spacing w:after="80"/>
      </w:pPr>
      <w:r>
        <w:rPr>
          <w:b w:val="0"/>
          <w:i w:val="0"/>
        </w:rPr>
        <w:t>Require two independent recipient-benefit reviews and an explicit organ-use case; do not adopt a universal five-year survival cutoff.</w:t>
      </w:r>
    </w:p>
    <w:p>
      <w:pPr>
        <w:numPr>
          <w:ilvl w:val="0"/>
          <w:numId w:val="5"/>
        </w:numPr>
        <w:spacing w:after="40"/>
      </w:pPr>
      <w:r>
        <w:rPr>
          <w:b w:val="0"/>
          <w:i w:val="0"/>
        </w:rPr>
        <w:t>Proposed requirements: two reviewers not both responsible for recruitment must document expected incremental benefit over the actual contemporary alternative, with unresolved disagreement referred to the full committee.</w:t>
      </w:r>
    </w:p>
    <w:p>
      <w:pPr>
        <w:numPr>
          <w:ilvl w:val="0"/>
          <w:numId w:val="5"/>
        </w:numPr>
        <w:spacing w:after="40"/>
      </w:pPr>
      <w:r>
        <w:rPr>
          <w:b w:val="0"/>
          <w:i w:val="0"/>
        </w:rPr>
        <w:t>For DDLT, show local expected access/dropout and sensitivity scenarios at 6, 12 and 18 months, total graft use including retransplantation, and plausible alternative recipients. These are planning scenarios, not imposed waiting periods.</w:t>
      </w:r>
    </w:p>
    <w:p>
      <w:pPr>
        <w:numPr>
          <w:ilvl w:val="0"/>
          <w:numId w:val="5"/>
        </w:numPr>
        <w:spacing w:after="40"/>
      </w:pPr>
      <w:r>
        <w:rPr>
          <w:b w:val="0"/>
          <w:i w:val="0"/>
        </w:rPr>
        <w:t>For LDLT, separately show healthy-donor risk and potential downstream deceased-donor graft use. Do not call DCD, extended-criteria grafts or machine perfusion “zero opportunity cost.” No priority changes follow from an AI-selected survival threshold.</w:t>
      </w:r>
    </w:p>
    <w:p>
      <w:pPr>
        <w:spacing w:after="80"/>
      </w:pPr>
      <w:r>
        <w:rPr>
          <w:b/>
          <w:i w:val="0"/>
        </w:rPr>
        <w:t xml:space="preserve">Why: </w:t>
      </w:r>
      <w:r>
        <w:rPr>
          <w:b w:val="0"/>
          <w:i w:val="0"/>
        </w:rPr>
        <w:t>Use pathway-level benefit from an agreed entry date, not recipient-only survival. Compare with contemporary tumor-specific care and actual local access. LDLT avoids one direct deceased-donor allocation but creates healthy-donor risk and may generate rescue graft use. Graft quality/perfusion changes do not make opportunity cost zero.</w:t>
      </w:r>
    </w:p>
    <w:p>
      <w:pPr>
        <w:spacing w:after="80"/>
      </w:pPr>
      <w:r>
        <w:rPr>
          <w:b/>
          <w:i w:val="0"/>
        </w:rPr>
        <w:t xml:space="preserve">Against, or uncertain: </w:t>
      </w:r>
      <w:r>
        <w:rPr>
          <w:b w:val="0"/>
          <w:i w:val="0"/>
        </w:rPr>
        <w:t>An ambitious prognosis threshold can exclude patients with substantial incremental benefit, while an indolent tumor can have excellent post-LT survival and little incremental benefit. Local wait times and unequal access can reverse a study’s apparent advantage.</w:t>
      </w:r>
    </w:p>
    <w:p>
      <w:pPr>
        <w:spacing w:after="80"/>
      </w:pPr>
      <w:r>
        <w:rPr>
          <w:b/>
          <w:i w:val="0"/>
        </w:rPr>
        <w:t xml:space="preserve">Certainty: </w:t>
      </w:r>
      <w:r>
        <w:rPr>
          <w:b w:val="0"/>
          <w:i w:val="0"/>
        </w:rPr>
        <w:t>Benefit evidence differs by disease: randomized selected CRLM/HCC pathways cannot be generalized to all expanded indications. Ethical principles are authoritative frameworks, not empirically optimized allocation weights.</w:t>
      </w:r>
    </w:p>
    <w:p>
      <w:pPr>
        <w:spacing w:after="80"/>
      </w:pPr>
      <w:r>
        <w:rPr>
          <w:b/>
          <w:i w:val="0"/>
        </w:rPr>
        <w:t xml:space="preserve">Tests and records: </w:t>
      </w:r>
      <w:r>
        <w:rPr>
          <w:b w:val="0"/>
          <w:i w:val="0"/>
        </w:rPr>
        <w:t>Same-eligibility/time-zero comparator; expected access; dropout; donor/graft type; uncertainty intervals; graft loss/retransplant estimate; written independent reviews.</w:t>
      </w:r>
    </w:p>
    <w:p>
      <w:pPr>
        <w:spacing w:after="80"/>
      </w:pPr>
      <w:r>
        <w:rPr>
          <w:b/>
          <w:i w:val="0"/>
        </w:rPr>
        <w:t xml:space="preserve">Allocation: </w:t>
      </w:r>
      <w:r>
        <w:rPr>
          <w:b w:val="0"/>
          <w:i w:val="0"/>
        </w:rPr>
        <w:t>Only the applicable allocation process determines priority. Favorable post-LT prognosis, evidence grade and urgency are not interchangeable measures.</w:t>
      </w:r>
    </w:p>
    <w:p>
      <w:pPr>
        <w:spacing w:after="40"/>
      </w:pPr>
      <w:r>
        <w:rPr>
          <w:b/>
          <w:i w:val="0"/>
        </w:rPr>
        <w:t xml:space="preserve">Basis for the proposed thresholds: </w:t>
      </w:r>
    </w:p>
    <w:p>
      <w:pPr>
        <w:numPr>
          <w:ilvl w:val="0"/>
          <w:numId w:val="5"/>
        </w:numPr>
        <w:spacing w:after="40"/>
      </w:pPr>
      <w:r>
        <w:rPr>
          <w:b w:val="0"/>
          <w:i w:val="0"/>
        </w:rPr>
        <w:t>Two reviewers: local independence safeguard, not validated optimum.</w:t>
      </w:r>
    </w:p>
    <w:p>
      <w:pPr>
        <w:numPr>
          <w:ilvl w:val="0"/>
          <w:numId w:val="5"/>
        </w:numPr>
        <w:spacing w:after="40"/>
      </w:pPr>
      <w:r>
        <w:rPr>
          <w:b w:val="0"/>
          <w:i w:val="0"/>
        </w:rPr>
        <w:t>6/12/18 months: sensitivity scenarios for access/dropout, not mandatory waits.</w:t>
      </w:r>
    </w:p>
    <w:p>
      <w:pPr>
        <w:numPr>
          <w:ilvl w:val="0"/>
          <w:numId w:val="5"/>
        </w:numPr>
        <w:spacing w:after="40"/>
      </w:pPr>
      <w:r>
        <w:rPr>
          <w:b w:val="0"/>
          <w:i w:val="0"/>
        </w:rPr>
        <w:t>HCC ≥60% five-year ITT OS: one expert trial-design benchmark; not a cross-cancer allocation policy.</w:t>
      </w:r>
    </w:p>
    <w:p>
      <w:pPr>
        <w:numPr>
          <w:ilvl w:val="0"/>
          <w:numId w:val="5"/>
        </w:numPr>
        <w:spacing w:after="40"/>
      </w:pPr>
      <w:r>
        <w:rPr>
          <w:b w:val="0"/>
          <w:i w:val="0"/>
        </w:rPr>
        <w:t>All grafts: count initial and rescue/retransplant grafts; donor morbidity remains a separate outcome.</w:t>
      </w:r>
    </w:p>
    <w:p>
      <w:pPr>
        <w:pStyle w:val="Heading3"/>
        <w:keepNext/>
        <w:spacing w:before="120" w:after="80"/>
      </w:pPr>
      <w:r>
        <w:rPr>
          <w:b w:val="0"/>
          <w:i w:val="0"/>
        </w:rPr>
        <w:t>ALLOC-B2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ALLOC-B3 — Protect the living donor</w:t>
      </w:r>
    </w:p>
    <w:p>
      <w:pPr>
        <w:spacing w:after="80"/>
      </w:pPr>
      <w:r>
        <w:rPr>
          <w:b w:val="0"/>
          <w:i w:val="0"/>
          <w:color w:val="5A6069"/>
          <w:sz w:val="18"/>
        </w:rPr>
        <w:t>OPEN proposal · not activated · Shared approval requirement</w:t>
      </w:r>
    </w:p>
    <w:p>
      <w:pPr>
        <w:spacing w:after="80"/>
      </w:pPr>
      <w:r>
        <w:rPr>
          <w:b/>
          <w:i w:val="0"/>
        </w:rPr>
        <w:t xml:space="preserve">Question: </w:t>
      </w:r>
      <w:r>
        <w:rPr>
          <w:b w:val="0"/>
          <w:i w:val="0"/>
        </w:rPr>
        <w:t>What must donor consent and follow-up include?</w:t>
      </w:r>
    </w:p>
    <w:p>
      <w:pPr>
        <w:spacing w:after="120"/>
      </w:pPr>
      <w:r>
        <w:rPr>
          <w:b/>
          <w:i w:val="0"/>
          <w:sz w:val="18"/>
        </w:rPr>
        <w:t xml:space="preserve">Web page: </w:t>
      </w:r>
      <w:hyperlink r:id="rId14">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OPTN policy</w:t>
            </w:r>
          </w:p>
        </w:tc>
        <w:tc>
          <w:tcPr>
            <w:tcW w:type="dxa" w:w="3360"/>
            <w:tcW w:w="5480" w:type="dxa"/>
            <w:shd w:val="clear" w:color="auto" w:fill="F1F5F8"/>
          </w:tcPr>
          <w:p>
            <w:pPr>
              <w:spacing w:after="0"/>
            </w:pPr>
            <w:r>
              <w:rPr>
                <w:b w:val="0"/>
                <w:i w:val="0"/>
                <w:sz w:val="19"/>
              </w:rPr>
              <w:t>“Has been informed that he or she may decline to donate at any time” Withdrawal must remain meaningful and independent of recipient pressure.</w:t>
            </w:r>
          </w:p>
        </w:tc>
        <w:tc>
          <w:tcPr>
            <w:tcW w:type="dxa" w:w="3360"/>
            <w:tcW w:w="2400" w:type="dxa"/>
            <w:shd w:val="clear" w:color="auto" w:fill="F1F5F8"/>
          </w:tcPr>
          <w:p>
            <w:pPr>
              <w:spacing w:after="0"/>
            </w:pPr>
            <w:r>
              <w:rPr>
                <w:b w:val="0"/>
                <w:i w:val="0"/>
                <w:color w:val="5A6069"/>
                <w:sz w:val="18"/>
              </w:rPr>
              <w:t>Policy 14.3, PDF p286, living donor informed consent</w:t>
            </w:r>
          </w:p>
        </w:tc>
      </w:tr>
      <w:tr>
        <w:trPr>
          <w:cantSplit/>
        </w:trPr>
        <w:tc>
          <w:tcPr>
            <w:tcW w:type="dxa" w:w="3360"/>
            <w:tcW w:w="2200" w:type="dxa"/>
            <w:shd w:val="clear" w:color="auto" w:fill="FFFFFF"/>
          </w:tcPr>
          <w:p>
            <w:pPr>
              <w:spacing w:after="0"/>
            </w:pPr>
            <w:r>
              <w:rPr>
                <w:b/>
                <w:i w:val="0"/>
                <w:sz w:val="19"/>
              </w:rPr>
              <w:t>Kelly 2026</w:t>
            </w:r>
          </w:p>
        </w:tc>
        <w:tc>
          <w:tcPr>
            <w:tcW w:type="dxa" w:w="3360"/>
            <w:tcW w:w="5480" w:type="dxa"/>
            <w:shd w:val="clear" w:color="auto" w:fill="FFFFFF"/>
          </w:tcPr>
          <w:p>
            <w:pPr>
              <w:spacing w:after="0"/>
            </w:pPr>
            <w:r>
              <w:rPr>
                <w:b w:val="0"/>
                <w:i w:val="0"/>
                <w:sz w:val="19"/>
              </w:rPr>
              <w:t>“Availability of secondary-outcome data declined over follow-up” Incomplete recovery follow-up limits reassurance from low mortality alone.</w:t>
            </w:r>
          </w:p>
        </w:tc>
        <w:tc>
          <w:tcPr>
            <w:tcW w:type="dxa" w:w="3360"/>
            <w:tcW w:w="2400" w:type="dxa"/>
            <w:shd w:val="clear" w:color="auto" w:fill="FFFFFF"/>
          </w:tcPr>
          <w:p>
            <w:pPr>
              <w:spacing w:after="0"/>
            </w:pPr>
            <w:r>
              <w:rPr>
                <w:b w:val="0"/>
                <w:i w:val="0"/>
                <w:color w:val="5A6069"/>
                <w:sz w:val="18"/>
              </w:rPr>
              <w:t>2026 full report, section 3.1</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Kelly 2026</w:t>
            </w:r>
          </w:p>
        </w:tc>
        <w:tc>
          <w:tcPr>
            <w:tcW w:type="dxa" w:w="3360"/>
            <w:tcW w:w="3900" w:type="dxa"/>
            <w:shd w:val="clear" w:color="auto" w:fill="F1F5F8"/>
          </w:tcPr>
          <w:p>
            <w:pPr>
              <w:spacing w:after="0"/>
            </w:pPr>
            <w:r>
              <w:rPr>
                <w:b w:val="0"/>
                <w:i w:val="0"/>
                <w:sz w:val="19"/>
              </w:rPr>
              <w:t>National SRTR donor cohort 1989–2023: 8,619 with mortality ascertainment; 8,314 with any recovery record. Adults 18–65; 362 eligible donors excluded for missing mortality status.</w:t>
            </w:r>
          </w:p>
        </w:tc>
        <w:tc>
          <w:tcPr>
            <w:tcW w:type="dxa" w:w="3360"/>
            <w:tcW w:w="4180" w:type="dxa"/>
            <w:shd w:val="clear" w:color="auto" w:fill="F1F5F8"/>
          </w:tcPr>
          <w:p>
            <w:pPr>
              <w:spacing w:after="0"/>
            </w:pPr>
            <w:r>
              <w:rPr>
                <w:b w:val="0"/>
                <w:i w:val="0"/>
                <w:sz w:val="19"/>
              </w:rPr>
              <w:t>Eight deaths by 90 days and 18 by two years; contemporary-era perioperative mortality approximately 0.04%. Only 37–39% had two-year recovery data.</w:t>
            </w:r>
          </w:p>
          <w:p>
            <w:pPr>
              <w:spacing w:after="0"/>
            </w:pPr>
            <w:r>
              <w:rPr>
                <w:b w:val="0"/>
                <w:i/>
                <w:sz w:val="19"/>
              </w:rPr>
              <w:t>Limits: All-cause deaths, mostly unavailable cause; not oncology-specific. Low mortality cannot substitute for complete morbidity, psychological and financial follow-up.</w:t>
            </w:r>
          </w:p>
          <w:p>
            <w:pPr>
              <w:spacing w:after="0"/>
            </w:pPr>
            <w:r>
              <w:rPr>
                <w:b w:val="0"/>
                <w:i w:val="0"/>
                <w:color w:val="5A6069"/>
                <w:sz w:val="18"/>
              </w:rPr>
              <w:t>Methods; Results 3.1–3.4; limitations pp6–7.</w:t>
            </w:r>
          </w:p>
        </w:tc>
      </w:tr>
      <w:tr>
        <w:trPr>
          <w:cantSplit/>
        </w:trPr>
        <w:tc>
          <w:tcPr>
            <w:tcW w:type="dxa" w:w="3360"/>
            <w:tcW w:w="2000" w:type="dxa"/>
            <w:shd w:val="clear" w:color="auto" w:fill="FFFFFF"/>
          </w:tcPr>
          <w:p>
            <w:pPr>
              <w:spacing w:after="0"/>
            </w:pPr>
            <w:r>
              <w:rPr>
                <w:b/>
                <w:i w:val="0"/>
                <w:sz w:val="19"/>
              </w:rPr>
              <w:t>Abecassis 2012</w:t>
            </w:r>
          </w:p>
        </w:tc>
        <w:tc>
          <w:tcPr>
            <w:tcW w:type="dxa" w:w="3360"/>
            <w:tcW w:w="3900" w:type="dxa"/>
            <w:shd w:val="clear" w:color="auto" w:fill="FFFFFF"/>
          </w:tcPr>
          <w:p>
            <w:pPr>
              <w:spacing w:after="0"/>
            </w:pPr>
            <w:r>
              <w:rPr>
                <w:b w:val="0"/>
                <w:i w:val="0"/>
                <w:sz w:val="19"/>
              </w:rPr>
              <w:t>A2ALL cohort: 760 donor operations begun; 740 completed, mostly right lobes. Multicenter selected donors, older era; standardized complication ascertainment.</w:t>
            </w:r>
          </w:p>
        </w:tc>
        <w:tc>
          <w:tcPr>
            <w:tcW w:type="dxa" w:w="3360"/>
            <w:tcW w:w="4180" w:type="dxa"/>
            <w:shd w:val="clear" w:color="auto" w:fill="FFFFFF"/>
          </w:tcPr>
          <w:p>
            <w:pPr>
              <w:spacing w:after="0"/>
            </w:pPr>
            <w:r>
              <w:rPr>
                <w:b w:val="0"/>
                <w:i w:val="0"/>
                <w:sz w:val="19"/>
              </w:rPr>
              <w:t>296/740 (40%) had ≥1 complication; 20/760 operations aborted. Five grade-3 residual-disability events and three grade-4 deaths were reported; two deaths were late, not perioperative.</w:t>
            </w:r>
          </w:p>
          <w:p>
            <w:pPr>
              <w:spacing w:after="0"/>
            </w:pPr>
            <w:r>
              <w:rPr>
                <w:b w:val="0"/>
                <w:i/>
                <w:sz w:val="19"/>
              </w:rPr>
              <w:t>Limits: Different grading/eras from modern cohorts; A2ALL partly overlaps US registry data. Late hernia/psychological events support follow-up beyond surgical recovery.</w:t>
            </w:r>
          </w:p>
          <w:p>
            <w:pPr>
              <w:spacing w:after="0"/>
            </w:pPr>
            <w:r>
              <w:rPr>
                <w:b w:val="0"/>
                <w:i w:val="0"/>
                <w:color w:val="5A6069"/>
                <w:sz w:val="18"/>
              </w:rPr>
              <w:t>Methods and Results; complications tables, Am J Transplant 12:1208–1217.</w:t>
            </w:r>
          </w:p>
        </w:tc>
      </w:tr>
      <w:tr>
        <w:trPr>
          <w:cantSplit/>
        </w:trPr>
        <w:tc>
          <w:tcPr>
            <w:tcW w:type="dxa" w:w="3360"/>
            <w:tcW w:w="2000" w:type="dxa"/>
            <w:shd w:val="clear" w:color="auto" w:fill="F1F5F8"/>
          </w:tcPr>
          <w:p>
            <w:pPr>
              <w:spacing w:after="0"/>
            </w:pPr>
            <w:r>
              <w:rPr>
                <w:b/>
                <w:i w:val="0"/>
                <w:sz w:val="19"/>
              </w:rPr>
              <w:t>DiMartini 2017</w:t>
            </w:r>
          </w:p>
        </w:tc>
        <w:tc>
          <w:tcPr>
            <w:tcW w:type="dxa" w:w="3360"/>
            <w:tcW w:w="3900" w:type="dxa"/>
            <w:shd w:val="clear" w:color="auto" w:fill="F1F5F8"/>
          </w:tcPr>
          <w:p>
            <w:pPr>
              <w:spacing w:after="0"/>
            </w:pPr>
            <w:r>
              <w:rPr>
                <w:b w:val="0"/>
                <w:i w:val="0"/>
                <w:sz w:val="19"/>
              </w:rPr>
              <w:t>Prospective A2ALL-2 interviews: 271/297 eligible donors, before and through 24 months after donation. Costs and social recovery reported by participants, not randomized financial support.</w:t>
            </w:r>
          </w:p>
        </w:tc>
        <w:tc>
          <w:tcPr>
            <w:tcW w:type="dxa" w:w="3360"/>
            <w:tcW w:w="4180" w:type="dxa"/>
            <w:shd w:val="clear" w:color="auto" w:fill="F1F5F8"/>
          </w:tcPr>
          <w:p>
            <w:pPr>
              <w:spacing w:after="0"/>
            </w:pPr>
            <w:r>
              <w:rPr>
                <w:b w:val="0"/>
                <w:i w:val="0"/>
                <w:sz w:val="19"/>
              </w:rPr>
              <w:t>Across follow-up, 75% reported nonmedical out-of-pocket expenses and 45% lost wages. Clinical recovery alone therefore misses an important burden of donation.</w:t>
            </w:r>
          </w:p>
          <w:p>
            <w:pPr>
              <w:spacing w:after="0"/>
            </w:pPr>
            <w:r>
              <w:rPr>
                <w:b w:val="0"/>
                <w:i/>
                <w:sz w:val="19"/>
              </w:rPr>
              <w:t>Limits: Response/recall and selected-center limitations. Does not validate a particular five-year schedule or predict an individual donor’s financial outcome.</w:t>
            </w:r>
          </w:p>
          <w:p>
            <w:pPr>
              <w:spacing w:after="0"/>
            </w:pPr>
            <w:r>
              <w:rPr>
                <w:b w:val="0"/>
                <w:i w:val="0"/>
                <w:color w:val="5A6069"/>
                <w:sz w:val="18"/>
              </w:rPr>
              <w:t>Financial Outcomes section and expense tables; Am J Transplant 17:1081–1096.</w:t>
            </w:r>
          </w:p>
        </w:tc>
      </w:tr>
      <w:tr>
        <w:trPr>
          <w:cantSplit/>
        </w:trPr>
        <w:tc>
          <w:tcPr>
            <w:tcW w:type="dxa" w:w="3360"/>
            <w:tcW w:w="2000" w:type="dxa"/>
            <w:shd w:val="clear" w:color="auto" w:fill="FFFFFF"/>
          </w:tcPr>
          <w:p>
            <w:pPr>
              <w:spacing w:after="0"/>
            </w:pPr>
            <w:r>
              <w:rPr>
                <w:b/>
                <w:i w:val="0"/>
                <w:sz w:val="19"/>
              </w:rPr>
              <w:t>Xiao 2024</w:t>
            </w:r>
          </w:p>
        </w:tc>
        <w:tc>
          <w:tcPr>
            <w:tcW w:type="dxa" w:w="3360"/>
            <w:tcW w:w="3900" w:type="dxa"/>
            <w:shd w:val="clear" w:color="auto" w:fill="FFFFFF"/>
          </w:tcPr>
          <w:p>
            <w:pPr>
              <w:spacing w:after="0"/>
            </w:pPr>
            <w:r>
              <w:rPr>
                <w:b w:val="0"/>
                <w:i w:val="0"/>
                <w:sz w:val="19"/>
              </w:rPr>
              <w:t>Published meta-analysis of 60,829 donors; primary abstract reports 87 articles. Heterogeneous centers, eras and complication definitions; full overlap audit pending.</w:t>
            </w:r>
          </w:p>
        </w:tc>
        <w:tc>
          <w:tcPr>
            <w:tcW w:type="dxa" w:w="3360"/>
            <w:tcW w:w="4180" w:type="dxa"/>
            <w:shd w:val="clear" w:color="auto" w:fill="FFFFFF"/>
          </w:tcPr>
          <w:p>
            <w:pPr>
              <w:spacing w:after="0"/>
            </w:pPr>
            <w:r>
              <w:rPr>
                <w:b w:val="0"/>
                <w:i w:val="0"/>
                <w:sz w:val="19"/>
              </w:rPr>
              <w:t>Pooled any complication 24.7% (95% CI 21.6–28.1), major 5.5% (4.5–6.7); mortality 0.06% among 49,027 with mortality data.</w:t>
            </w:r>
          </w:p>
          <w:p>
            <w:pPr>
              <w:spacing w:after="0"/>
            </w:pPr>
            <w:r>
              <w:rPr>
                <w:b w:val="0"/>
                <w:i/>
                <w:sz w:val="19"/>
              </w:rPr>
              <w:t>Limits: Primary-abstract extraction; not an independent extra 60,829 patients beyond registries. Do not combine with Kelly/A2ALL or promise these rates locally.</w:t>
            </w:r>
          </w:p>
          <w:p>
            <w:pPr>
              <w:spacing w:after="0"/>
            </w:pPr>
            <w:r>
              <w:rPr>
                <w:b w:val="0"/>
                <w:i w:val="0"/>
                <w:color w:val="5A6069"/>
                <w:sz w:val="18"/>
              </w:rPr>
              <w:t>Published journal abstract; complete PDF requested.</w:t>
            </w:r>
          </w:p>
        </w:tc>
      </w:tr>
      <w:tr>
        <w:trPr>
          <w:cantSplit/>
        </w:trPr>
        <w:tc>
          <w:tcPr>
            <w:tcW w:type="dxa" w:w="3360"/>
            <w:tcW w:w="2000" w:type="dxa"/>
            <w:shd w:val="clear" w:color="auto" w:fill="F1F5F8"/>
          </w:tcPr>
          <w:p>
            <w:pPr>
              <w:spacing w:after="0"/>
            </w:pPr>
            <w:r>
              <w:rPr>
                <w:b/>
                <w:i w:val="0"/>
                <w:sz w:val="19"/>
              </w:rPr>
              <w:t>OPTN policy</w:t>
            </w:r>
          </w:p>
        </w:tc>
        <w:tc>
          <w:tcPr>
            <w:tcW w:type="dxa" w:w="3360"/>
            <w:tcW w:w="3900" w:type="dxa"/>
            <w:shd w:val="clear" w:color="auto" w:fill="F1F5F8"/>
          </w:tcPr>
          <w:p>
            <w:pPr>
              <w:spacing w:after="0"/>
            </w:pPr>
            <w:r>
              <w:rPr>
                <w:b w:val="0"/>
                <w:i w:val="0"/>
                <w:sz w:val="19"/>
              </w:rPr>
              <w:t>Binding OPTN policy posting effective 1 October 2026, checked 24 October 2026. Clinical candidacy, exception scoring, living-donor protection and reporting have different policy sections.</w:t>
            </w:r>
          </w:p>
        </w:tc>
        <w:tc>
          <w:tcPr>
            <w:tcW w:type="dxa" w:w="3360"/>
            <w:tcW w:w="4180" w:type="dxa"/>
            <w:shd w:val="clear" w:color="auto" w:fill="F1F5F8"/>
          </w:tcPr>
          <w:p>
            <w:pPr>
              <w:spacing w:after="0"/>
            </w:pPr>
            <w:r>
              <w:rPr>
                <w:b w:val="0"/>
                <w:i w:val="0"/>
                <w:sz w:val="19"/>
              </w:rPr>
              <w:t>Policy 9 governs liver allocation; Policy 14 requires independent donor advocacy/consent; Policy 18 specifies reporting. None establishes a universal cancer-benefit cutoff.</w:t>
            </w:r>
          </w:p>
          <w:p>
            <w:pPr>
              <w:spacing w:after="0"/>
            </w:pPr>
            <w:r>
              <w:rPr>
                <w:b w:val="0"/>
                <w:i/>
                <w:sz w:val="19"/>
              </w:rPr>
              <w:t>Limits: A center’s additional safeguards are not national policy. Review the active text and applicability before individual decisions.</w:t>
            </w:r>
          </w:p>
          <w:p>
            <w:pPr>
              <w:spacing w:after="0"/>
            </w:pPr>
            <w:r>
              <w:rPr>
                <w:b w:val="0"/>
                <w:i w:val="0"/>
                <w:color w:val="5A6069"/>
                <w:sz w:val="18"/>
              </w:rPr>
              <w:t>Policies 9, 14.2–14.4 and 18; current official PDF.</w:t>
            </w:r>
          </w:p>
        </w:tc>
      </w:tr>
    </w:tbl>
    <w:p>
      <w:pPr>
        <w:spacing w:after="40"/>
      </w:pPr>
    </w:p>
    <w:p>
      <w:pPr>
        <w:pStyle w:val="Heading3"/>
        <w:keepNext/>
        <w:spacing w:before="120" w:after="80"/>
      </w:pPr>
      <w:r>
        <w:rPr>
          <w:b w:val="0"/>
          <w:i w:val="0"/>
        </w:rPr>
        <w:t>Our proposed selection (OPEN)</w:t>
      </w:r>
    </w:p>
    <w:p>
      <w:pPr>
        <w:spacing w:after="80"/>
      </w:pPr>
      <w:r>
        <w:rPr>
          <w:b w:val="0"/>
          <w:i w:val="0"/>
        </w:rPr>
        <w:t>Do not relax donor criteria; fund independent follow-up and pause after a serious sentinel donor event.</w:t>
      </w:r>
    </w:p>
    <w:p>
      <w:pPr>
        <w:numPr>
          <w:ilvl w:val="0"/>
          <w:numId w:val="5"/>
        </w:numPr>
        <w:spacing w:after="40"/>
      </w:pPr>
      <w:r>
        <w:rPr>
          <w:b w:val="0"/>
          <w:i w:val="0"/>
        </w:rPr>
        <w:t>Proposed readiness requirements: independent donor evaluation/advocacy, documented freedom to withdraw, recipient-benefit uncertainty consent, and funded medical, psychological, recovery and financial follow-up before investigational LDLT.</w:t>
      </w:r>
    </w:p>
    <w:p>
      <w:pPr>
        <w:numPr>
          <w:ilvl w:val="0"/>
          <w:numId w:val="5"/>
        </w:numPr>
        <w:spacing w:after="40"/>
      </w:pPr>
      <w:r>
        <w:rPr>
          <w:b w:val="0"/>
          <w:i w:val="0"/>
        </w:rPr>
        <w:t>Proposed local follow-up: baseline, six weeks, six months, one year, two years, then annually through five years. Meet current OPTN reporting duties separately; this five-year support plan is not claimed to be a national reporting requirement.</w:t>
      </w:r>
    </w:p>
    <w:p>
      <w:pPr>
        <w:numPr>
          <w:ilvl w:val="0"/>
          <w:numId w:val="5"/>
        </w:numPr>
        <w:spacing w:after="40"/>
      </w:pPr>
      <w:r>
        <w:rPr>
          <w:b w:val="0"/>
          <w:i w:val="0"/>
        </w:rPr>
        <w:t>One donor death, life-threatening complication, permanent major disability or liver failure requiring transplantation triggers an immediate pause of the relevant investigational LDLT activity and independent review. Other serious donor harm also warrants review; reopening needs independent authorization.</w:t>
      </w:r>
    </w:p>
    <w:p>
      <w:pPr>
        <w:spacing w:after="80"/>
      </w:pPr>
      <w:r>
        <w:rPr>
          <w:b/>
          <w:i w:val="0"/>
        </w:rPr>
        <w:t xml:space="preserve">Why: </w:t>
      </w:r>
      <w:r>
        <w:rPr>
          <w:b w:val="0"/>
          <w:i w:val="0"/>
        </w:rPr>
        <w:t>Donor mortality is low but not zero; complication, recovery and financial burdens are more frequent. Registry missingness and selected healthy donors limit reassurance. Consent must include uncertain recipient benefit, recurrence and possible early graft loss, without pressure to proceed or relax donor criteria.</w:t>
      </w:r>
    </w:p>
    <w:p>
      <w:pPr>
        <w:spacing w:after="80"/>
      </w:pPr>
      <w:r>
        <w:rPr>
          <w:b/>
          <w:i w:val="0"/>
        </w:rPr>
        <w:t xml:space="preserve">Against, or uncertain: </w:t>
      </w:r>
      <w:r>
        <w:rPr>
          <w:b w:val="0"/>
          <w:i w:val="0"/>
        </w:rPr>
        <w:t>Older A2ALL complication rates and modern SRTR mortality are different outcomes from overlapping eras/cohorts; do not pool them. Five-year support is a reasonable local response to late morbidity, not a proven optimal schedule. Social vulnerability should trigger assistance, not categorical exclusion.</w:t>
      </w:r>
    </w:p>
    <w:p>
      <w:pPr>
        <w:spacing w:after="80"/>
      </w:pPr>
      <w:r>
        <w:rPr>
          <w:b/>
          <w:i w:val="0"/>
        </w:rPr>
        <w:t xml:space="preserve">Certainty: </w:t>
      </w:r>
      <w:r>
        <w:rPr>
          <w:b w:val="0"/>
          <w:i w:val="0"/>
        </w:rPr>
        <w:t>Moderate certainty for the existence of material donor burden; lower certainty for individual risk and long-term recovery because of incomplete follow-up. No oncology-specific randomized donor-safety comparison.</w:t>
      </w:r>
    </w:p>
    <w:p>
      <w:pPr>
        <w:spacing w:after="80"/>
      </w:pPr>
      <w:r>
        <w:rPr>
          <w:b/>
          <w:i w:val="0"/>
        </w:rPr>
        <w:t xml:space="preserve">Tests and records: </w:t>
      </w:r>
      <w:r>
        <w:rPr>
          <w:b w:val="0"/>
          <w:i w:val="0"/>
        </w:rPr>
        <w:t>Graft/resection-specific and center-specific risk; donor recovery/employment baseline; independent consent and advocate records; funded follow-up/support; sentinel-event response owner.</w:t>
      </w:r>
    </w:p>
    <w:p>
      <w:pPr>
        <w:spacing w:after="80"/>
      </w:pPr>
      <w:r>
        <w:rPr>
          <w:b/>
          <w:i w:val="0"/>
        </w:rPr>
        <w:t xml:space="preserve">Allocation: </w:t>
      </w:r>
      <w:r>
        <w:rPr>
          <w:b w:val="0"/>
          <w:i w:val="0"/>
        </w:rPr>
        <w:t>LDLT clearance is separate from recipient selection; the potential need for retransplantation must be included in organ-use discussions.</w:t>
      </w:r>
    </w:p>
    <w:p>
      <w:pPr>
        <w:spacing w:after="40"/>
      </w:pPr>
      <w:r>
        <w:rPr>
          <w:b/>
          <w:i w:val="0"/>
        </w:rPr>
        <w:t xml:space="preserve">Basis for the proposed thresholds: </w:t>
      </w:r>
    </w:p>
    <w:p>
      <w:pPr>
        <w:numPr>
          <w:ilvl w:val="0"/>
          <w:numId w:val="5"/>
        </w:numPr>
        <w:spacing w:after="40"/>
      </w:pPr>
      <w:r>
        <w:rPr>
          <w:b w:val="0"/>
          <w:i w:val="0"/>
        </w:rPr>
        <w:t>Baseline/6 weeks/6 months/1/2 years then annually to five: proposed support schedule; current mandatory reporting remains separately checked.</w:t>
      </w:r>
    </w:p>
    <w:p>
      <w:pPr>
        <w:numPr>
          <w:ilvl w:val="0"/>
          <w:numId w:val="5"/>
        </w:numPr>
        <w:spacing w:after="40"/>
      </w:pPr>
      <w:r>
        <w:rPr>
          <w:b w:val="0"/>
          <w:i w:val="0"/>
        </w:rPr>
        <w:t>One sentinel event: conservative review/pause trigger, not a statistically estimated harm boundary.</w:t>
      </w:r>
    </w:p>
    <w:p>
      <w:pPr>
        <w:numPr>
          <w:ilvl w:val="0"/>
          <w:numId w:val="5"/>
        </w:numPr>
        <w:spacing w:after="40"/>
      </w:pPr>
      <w:r>
        <w:rPr>
          <w:b w:val="0"/>
          <w:i w:val="0"/>
        </w:rPr>
        <w:t>No relaxed donor criteria: protection against shifting uncertain recipient benefit onto a healthy person.</w:t>
      </w:r>
    </w:p>
    <w:p>
      <w:pPr>
        <w:pStyle w:val="Heading3"/>
        <w:keepNext/>
        <w:spacing w:before="120" w:after="80"/>
      </w:pPr>
      <w:r>
        <w:rPr>
          <w:b w:val="0"/>
          <w:i w:val="0"/>
        </w:rPr>
        <w:t>ALLOC-B3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ALLOC-B4 — Monitor all patients considered for the study</w:t>
      </w:r>
    </w:p>
    <w:p>
      <w:pPr>
        <w:spacing w:after="80"/>
      </w:pPr>
      <w:r>
        <w:rPr>
          <w:b w:val="0"/>
          <w:i w:val="0"/>
          <w:color w:val="5A6069"/>
          <w:sz w:val="18"/>
        </w:rPr>
        <w:t>OPEN proposal · not activated · Shared approval requirement</w:t>
      </w:r>
    </w:p>
    <w:p>
      <w:pPr>
        <w:spacing w:after="80"/>
      </w:pPr>
      <w:r>
        <w:rPr>
          <w:b/>
          <w:i w:val="0"/>
        </w:rPr>
        <w:t xml:space="preserve">Question: </w:t>
      </w:r>
      <w:r>
        <w:rPr>
          <w:b w:val="0"/>
          <w:i w:val="0"/>
        </w:rPr>
        <w:t>What data are required before expansion?</w:t>
      </w:r>
    </w:p>
    <w:p>
      <w:pPr>
        <w:spacing w:after="120"/>
      </w:pPr>
      <w:r>
        <w:rPr>
          <w:b/>
          <w:i w:val="0"/>
          <w:sz w:val="18"/>
        </w:rPr>
        <w:t xml:space="preserve">Web page: </w:t>
      </w:r>
      <w:hyperlink r:id="rId15">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EASL–AASLD–ILCA 2026</w:t>
            </w:r>
          </w:p>
        </w:tc>
        <w:tc>
          <w:tcPr>
            <w:tcW w:type="dxa" w:w="3360"/>
            <w:tcW w:w="5480" w:type="dxa"/>
            <w:shd w:val="clear" w:color="auto" w:fill="F1F5F8"/>
          </w:tcPr>
          <w:p>
            <w:pPr>
              <w:spacing w:after="0"/>
            </w:pPr>
            <w:r>
              <w:rPr>
                <w:b w:val="0"/>
                <w:i w:val="0"/>
                <w:sz w:val="19"/>
              </w:rPr>
              <w:t>“5-year OS of at least 60%” The HCC trial-design source discusses a ≥60% five-year intention-to-treat benchmark. It is not a validated universal cross-cancer allocation rule and does not establish the proposed 5/10-patient monitoring counts.</w:t>
            </w:r>
          </w:p>
        </w:tc>
        <w:tc>
          <w:tcPr>
            <w:tcW w:type="dxa" w:w="3360"/>
            <w:tcW w:w="2400" w:type="dxa"/>
            <w:shd w:val="clear" w:color="auto" w:fill="F1F5F8"/>
          </w:tcPr>
          <w:p>
            <w:pPr>
              <w:spacing w:after="0"/>
            </w:pPr>
            <w:r>
              <w:rPr>
                <w:b w:val="0"/>
                <w:i w:val="0"/>
                <w:color w:val="5A6069"/>
                <w:sz w:val="18"/>
              </w:rPr>
              <w:t>EASL–AASLD–ILCA 2026 manuscript p20; ITT discussion pp21–22</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EASL–AASLD–ILCA 2026</w:t>
            </w:r>
          </w:p>
        </w:tc>
        <w:tc>
          <w:tcPr>
            <w:tcW w:type="dxa" w:w="3360"/>
            <w:tcW w:w="3900" w:type="dxa"/>
            <w:shd w:val="clear" w:color="auto" w:fill="F1F5F8"/>
          </w:tcPr>
          <w:p>
            <w:pPr>
              <w:spacing w:after="0"/>
            </w:pPr>
            <w:r>
              <w:rPr>
                <w:b w:val="0"/>
                <w:i w:val="0"/>
                <w:sz w:val="19"/>
              </w:rPr>
              <w:t>EASL–AASLD–ILCA 2026 trial-design consensus, LT section. Separates standard/UNOS-DS, expanded intermediate HCC and advanced segmental vascular-invasion research populations.</w:t>
            </w:r>
          </w:p>
        </w:tc>
        <w:tc>
          <w:tcPr>
            <w:tcW w:type="dxa" w:w="3360"/>
            <w:tcW w:w="4180" w:type="dxa"/>
            <w:shd w:val="clear" w:color="auto" w:fill="F1F5F8"/>
          </w:tcPr>
          <w:p>
            <w:pPr>
              <w:spacing w:after="0"/>
            </w:pPr>
            <w:r>
              <w:rPr>
                <w:b w:val="0"/>
                <w:i w:val="0"/>
                <w:sz w:val="19"/>
              </w:rPr>
              <w:t>Calls for entry-level dropout/feasibility, ITT EFS/OS and graft/immune harms; discusses ≥60% five-year ITT OS benchmark in HCC.</w:t>
            </w:r>
          </w:p>
          <w:p>
            <w:pPr>
              <w:spacing w:after="0"/>
            </w:pPr>
            <w:r>
              <w:rPr>
                <w:b w:val="0"/>
                <w:i/>
                <w:sz w:val="19"/>
              </w:rPr>
              <w:t>Limits: Expert benchmark, not a validated cross-tumor allocation cutoff or a ten-patient stopping rule; mature five-year endpoints cannot be established after one year.</w:t>
            </w:r>
          </w:p>
          <w:p>
            <w:pPr>
              <w:spacing w:after="0"/>
            </w:pPr>
            <w:r>
              <w:rPr>
                <w:b w:val="0"/>
                <w:i w:val="0"/>
                <w:color w:val="5A6069"/>
                <w:sz w:val="18"/>
              </w:rPr>
              <w:t>Accepted manuscript pp19–22, LT trial design.</w:t>
            </w:r>
          </w:p>
        </w:tc>
      </w:tr>
      <w:tr>
        <w:trPr>
          <w:cantSplit/>
        </w:trPr>
        <w:tc>
          <w:tcPr>
            <w:tcW w:type="dxa" w:w="3360"/>
            <w:tcW w:w="2000" w:type="dxa"/>
            <w:shd w:val="clear" w:color="auto" w:fill="FFFFFF"/>
          </w:tcPr>
          <w:p>
            <w:pPr>
              <w:spacing w:after="0"/>
            </w:pPr>
            <w:r>
              <w:rPr>
                <w:b/>
                <w:i w:val="0"/>
                <w:sz w:val="19"/>
              </w:rPr>
              <w:t>Eldridge 2016</w:t>
            </w:r>
          </w:p>
        </w:tc>
        <w:tc>
          <w:tcPr>
            <w:tcW w:type="dxa" w:w="3360"/>
            <w:tcW w:w="3900" w:type="dxa"/>
            <w:shd w:val="clear" w:color="auto" w:fill="FFFFFF"/>
          </w:tcPr>
          <w:p>
            <w:pPr>
              <w:spacing w:after="0"/>
            </w:pPr>
            <w:r>
              <w:rPr>
                <w:b w:val="0"/>
                <w:i w:val="0"/>
                <w:sz w:val="19"/>
              </w:rPr>
              <w:t>CONSORT extension for randomized pilot/feasibility studies. Explores whether/how a definitive study can proceed, distinct from proving efficacy.</w:t>
            </w:r>
          </w:p>
        </w:tc>
        <w:tc>
          <w:tcPr>
            <w:tcW w:type="dxa" w:w="3360"/>
            <w:tcW w:w="4180" w:type="dxa"/>
            <w:shd w:val="clear" w:color="auto" w:fill="FFFFFF"/>
          </w:tcPr>
          <w:p>
            <w:pPr>
              <w:spacing w:after="0"/>
            </w:pPr>
            <w:r>
              <w:rPr>
                <w:b w:val="0"/>
                <w:i w:val="0"/>
                <w:sz w:val="19"/>
              </w:rPr>
              <w:t>Predefine feasibility objectives and progression criteria; justify sample size and report harms. These principles inform a staged pilot but do not validate our numbers.</w:t>
            </w:r>
          </w:p>
          <w:p>
            <w:pPr>
              <w:spacing w:after="0"/>
            </w:pPr>
            <w:r>
              <w:rPr>
                <w:b w:val="0"/>
                <w:i/>
                <w:sz w:val="19"/>
              </w:rPr>
              <w:t>Limits: Scope is randomized pilots; applying principles to single-arm transplant feasibility studies is explicitly an extrapolation.</w:t>
            </w:r>
          </w:p>
          <w:p>
            <w:pPr>
              <w:spacing w:after="0"/>
            </w:pPr>
            <w:r>
              <w:rPr>
                <w:b w:val="0"/>
                <w:i w:val="0"/>
                <w:color w:val="5A6069"/>
                <w:sz w:val="18"/>
              </w:rPr>
              <w:t>Scope statement and checklist items on objectives, sample size and progression criteria.</w:t>
            </w:r>
          </w:p>
        </w:tc>
      </w:tr>
      <w:tr>
        <w:trPr>
          <w:cantSplit/>
        </w:trPr>
        <w:tc>
          <w:tcPr>
            <w:tcW w:type="dxa" w:w="3360"/>
            <w:tcW w:w="2000" w:type="dxa"/>
            <w:shd w:val="clear" w:color="auto" w:fill="F1F5F8"/>
          </w:tcPr>
          <w:p>
            <w:pPr>
              <w:spacing w:after="0"/>
            </w:pPr>
            <w:r>
              <w:rPr>
                <w:b/>
                <w:i w:val="0"/>
                <w:sz w:val="19"/>
              </w:rPr>
              <w:t>HHS human-subject protections</w:t>
            </w:r>
          </w:p>
        </w:tc>
        <w:tc>
          <w:tcPr>
            <w:tcW w:type="dxa" w:w="3360"/>
            <w:tcW w:w="3900" w:type="dxa"/>
            <w:shd w:val="clear" w:color="auto" w:fill="F1F5F8"/>
          </w:tcPr>
          <w:p>
            <w:pPr>
              <w:spacing w:after="0"/>
            </w:pPr>
            <w:r>
              <w:rPr>
                <w:b w:val="0"/>
                <w:i w:val="0"/>
                <w:sz w:val="19"/>
              </w:rPr>
              <w:t>Federal human-subject protection regulation. Applicability determined by institutional research/regulatory review.</w:t>
            </w:r>
          </w:p>
        </w:tc>
        <w:tc>
          <w:tcPr>
            <w:tcW w:type="dxa" w:w="3360"/>
            <w:tcW w:w="4180" w:type="dxa"/>
            <w:shd w:val="clear" w:color="auto" w:fill="F1F5F8"/>
          </w:tcPr>
          <w:p>
            <w:pPr>
              <w:spacing w:after="0"/>
            </w:pPr>
            <w:r>
              <w:rPr>
                <w:b w:val="0"/>
                <w:i w:val="0"/>
                <w:sz w:val="19"/>
              </w:rPr>
              <w:t>46.111 requires risk minimization, reasonable risk–benefit, equitable selection, informed consent and appropriate monitoring. IRB approval is separate from OPTN allocation and clinical acceptance.</w:t>
            </w:r>
          </w:p>
          <w:p>
            <w:pPr>
              <w:spacing w:after="0"/>
            </w:pPr>
            <w:r>
              <w:rPr>
                <w:b w:val="0"/>
                <w:i/>
                <w:sz w:val="19"/>
              </w:rPr>
              <w:t>Limits: No prescribed ten-patient cap, five-patient interim or one-event statistical boundary; those require protocol-specific design and independent approval.</w:t>
            </w:r>
          </w:p>
          <w:p>
            <w:pPr>
              <w:spacing w:after="0"/>
            </w:pPr>
            <w:r>
              <w:rPr>
                <w:b w:val="0"/>
                <w:i w:val="0"/>
                <w:color w:val="5A6069"/>
                <w:sz w:val="18"/>
              </w:rPr>
              <w:t>45 CFR 46.111(a)(1–7), current official eCFR text checked 24 October 2026.</w:t>
            </w:r>
          </w:p>
        </w:tc>
      </w:tr>
      <w:tr>
        <w:trPr>
          <w:cantSplit/>
        </w:trPr>
        <w:tc>
          <w:tcPr>
            <w:tcW w:type="dxa" w:w="3360"/>
            <w:tcW w:w="2000" w:type="dxa"/>
            <w:shd w:val="clear" w:color="auto" w:fill="FFFFFF"/>
          </w:tcPr>
          <w:p>
            <w:pPr>
              <w:spacing w:after="0"/>
            </w:pPr>
            <w:r>
              <w:rPr>
                <w:b/>
                <w:i w:val="0"/>
                <w:sz w:val="19"/>
              </w:rPr>
              <w:t>Kelly 2026</w:t>
            </w:r>
          </w:p>
        </w:tc>
        <w:tc>
          <w:tcPr>
            <w:tcW w:type="dxa" w:w="3360"/>
            <w:tcW w:w="3900" w:type="dxa"/>
            <w:shd w:val="clear" w:color="auto" w:fill="FFFFFF"/>
          </w:tcPr>
          <w:p>
            <w:pPr>
              <w:spacing w:after="0"/>
            </w:pPr>
            <w:r>
              <w:rPr>
                <w:b w:val="0"/>
                <w:i w:val="0"/>
                <w:sz w:val="19"/>
              </w:rPr>
              <w:t>National SRTR donor cohort 1989–2023: 8,619 with mortality ascertainment; 8,314 with any recovery record. Adults 18–65; 362 eligible donors excluded for missing mortality status.</w:t>
            </w:r>
          </w:p>
        </w:tc>
        <w:tc>
          <w:tcPr>
            <w:tcW w:type="dxa" w:w="3360"/>
            <w:tcW w:w="4180" w:type="dxa"/>
            <w:shd w:val="clear" w:color="auto" w:fill="FFFFFF"/>
          </w:tcPr>
          <w:p>
            <w:pPr>
              <w:spacing w:after="0"/>
            </w:pPr>
            <w:r>
              <w:rPr>
                <w:b w:val="0"/>
                <w:i w:val="0"/>
                <w:sz w:val="19"/>
              </w:rPr>
              <w:t>Eight deaths by 90 days and 18 by two years; contemporary-era perioperative mortality approximately 0.04%. Only 37–39% had two-year recovery data.</w:t>
            </w:r>
          </w:p>
          <w:p>
            <w:pPr>
              <w:spacing w:after="0"/>
            </w:pPr>
            <w:r>
              <w:rPr>
                <w:b w:val="0"/>
                <w:i/>
                <w:sz w:val="19"/>
              </w:rPr>
              <w:t>Limits: All-cause deaths, mostly unavailable cause; not oncology-specific. Low mortality cannot substitute for complete morbidity, psychological and financial follow-up.</w:t>
            </w:r>
          </w:p>
          <w:p>
            <w:pPr>
              <w:spacing w:after="0"/>
            </w:pPr>
            <w:r>
              <w:rPr>
                <w:b w:val="0"/>
                <w:i w:val="0"/>
                <w:color w:val="5A6069"/>
                <w:sz w:val="18"/>
              </w:rPr>
              <w:t>Methods; Results 3.1–3.4; limitations pp6–7.</w:t>
            </w:r>
          </w:p>
        </w:tc>
      </w:tr>
      <w:tr>
        <w:trPr>
          <w:cantSplit/>
        </w:trPr>
        <w:tc>
          <w:tcPr>
            <w:tcW w:type="dxa" w:w="3360"/>
            <w:tcW w:w="2000" w:type="dxa"/>
            <w:shd w:val="clear" w:color="auto" w:fill="F1F5F8"/>
          </w:tcPr>
          <w:p>
            <w:pPr>
              <w:spacing w:after="0"/>
            </w:pPr>
            <w:r>
              <w:rPr>
                <w:b/>
                <w:i w:val="0"/>
                <w:sz w:val="19"/>
              </w:rPr>
              <w:t>SYS-TARE 2024</w:t>
            </w:r>
          </w:p>
        </w:tc>
        <w:tc>
          <w:tcPr>
            <w:tcW w:type="dxa" w:w="3360"/>
            <w:tcW w:w="3900" w:type="dxa"/>
            <w:shd w:val="clear" w:color="auto" w:fill="F1F5F8"/>
          </w:tcPr>
          <w:p>
            <w:pPr>
              <w:spacing w:after="0"/>
            </w:pPr>
            <w:r>
              <w:rPr>
                <w:b w:val="0"/>
                <w:i w:val="0"/>
                <w:sz w:val="19"/>
              </w:rPr>
              <w:t>Prospective institutional SYS-TARE pathway; 13 entered, 4 LT, 9 dropout. Single bulky measurable iCCA±peritumoral satellites; diffuse/multisegment multifocal disease excluded; intrahepatic vessel encasement permitted without tumor thrombus.</w:t>
            </w:r>
          </w:p>
        </w:tc>
        <w:tc>
          <w:tcPr>
            <w:tcW w:type="dxa" w:w="3360"/>
            <w:tcW w:w="4180" w:type="dxa"/>
            <w:shd w:val="clear" w:color="auto" w:fill="F1F5F8"/>
          </w:tcPr>
          <w:p>
            <w:pPr>
              <w:spacing w:after="0"/>
            </w:pPr>
            <w:r>
              <w:rPr>
                <w:b w:val="0"/>
                <w:i w:val="0"/>
                <w:sz w:val="19"/>
              </w:rPr>
              <w:t>Four recipients alive without recurrence at 73, 40, 12, 8 months; dropouts: three unrecovered intrahepatic progression, four with extrahepatic disease, two occult nodes.</w:t>
            </w:r>
          </w:p>
          <w:p>
            <w:pPr>
              <w:spacing w:after="0"/>
            </w:pPr>
            <w:r>
              <w:rPr>
                <w:b w:val="0"/>
                <w:i/>
                <w:sz w:val="19"/>
              </w:rPr>
              <w:t>Limits: Only 4 recipients; no validated maximum diameter or comparative proof of satellites being equivalent to a solitary tumor.</w:t>
            </w:r>
          </w:p>
          <w:p>
            <w:pPr>
              <w:spacing w:after="0"/>
            </w:pPr>
            <w:r>
              <w:rPr>
                <w:b w:val="0"/>
                <w:i w:val="0"/>
                <w:color w:val="5A6069"/>
                <w:sz w:val="18"/>
              </w:rPr>
              <w:t>Transpl Int 2024; 37: 13641; Eligibility, Figure 1 and Results; full PDF.</w:t>
            </w:r>
          </w:p>
        </w:tc>
      </w:tr>
      <w:tr>
        <w:trPr>
          <w:cantSplit/>
        </w:trPr>
        <w:tc>
          <w:tcPr>
            <w:tcW w:type="dxa" w:w="3360"/>
            <w:tcW w:w="2000" w:type="dxa"/>
            <w:shd w:val="clear" w:color="auto" w:fill="FFFFFF"/>
          </w:tcPr>
          <w:p>
            <w:pPr>
              <w:spacing w:after="0"/>
            </w:pPr>
            <w:r>
              <w:rPr>
                <w:b/>
                <w:i w:val="0"/>
                <w:sz w:val="19"/>
              </w:rPr>
              <w:t>Yaqub 2025</w:t>
            </w:r>
          </w:p>
        </w:tc>
        <w:tc>
          <w:tcPr>
            <w:tcW w:type="dxa" w:w="3360"/>
            <w:tcW w:w="3900" w:type="dxa"/>
            <w:shd w:val="clear" w:color="auto" w:fill="FFFFFF"/>
          </w:tcPr>
          <w:p>
            <w:pPr>
              <w:spacing w:after="0"/>
            </w:pPr>
            <w:r>
              <w:rPr>
                <w:b w:val="0"/>
                <w:i w:val="0"/>
                <w:sz w:val="19"/>
              </w:rPr>
              <w:t>Norwegian prospective early report; 7 referred, 6 enrolled, 5 LT. Response-selected liver-confined iCCA; median imaging lesion count 7, median diameter 11.5 cm; no size/number cap.</w:t>
            </w:r>
          </w:p>
        </w:tc>
        <w:tc>
          <w:tcPr>
            <w:tcW w:type="dxa" w:w="3360"/>
            <w:tcW w:w="4180" w:type="dxa"/>
            <w:shd w:val="clear" w:color="auto" w:fill="FFFFFF"/>
          </w:tcPr>
          <w:p>
            <w:pPr>
              <w:spacing w:after="0"/>
            </w:pPr>
            <w:r>
              <w:rPr>
                <w:b w:val="0"/>
                <w:i w:val="0"/>
                <w:sz w:val="19"/>
              </w:rPr>
              <w:t>All five alive at 10–55 months; 2 recurrences at 12/13 months, both patients with &gt;20 lesions. One HAT required re-LT; one occult 2-mm positive node.</w:t>
            </w:r>
          </w:p>
          <w:p>
            <w:pPr>
              <w:spacing w:after="0"/>
            </w:pPr>
            <w:r>
              <w:rPr>
                <w:b w:val="0"/>
                <w:i/>
                <w:sz w:val="19"/>
              </w:rPr>
              <w:t>Limits: Research letter, very small denominator; recurrence pattern argues caution with diffuse multifocal disease, not a validated lesion-count cutoff.</w:t>
            </w:r>
          </w:p>
          <w:p>
            <w:pPr>
              <w:spacing w:after="0"/>
            </w:pPr>
            <w:r>
              <w:rPr>
                <w:b w:val="0"/>
                <w:i w:val="0"/>
                <w:color w:val="5A6069"/>
                <w:sz w:val="18"/>
              </w:rPr>
              <w:t>BJS 2025; 112: znaf054; main text, Table 1 and Figure 1; complete indexed letter.</w:t>
            </w:r>
          </w:p>
        </w:tc>
      </w:tr>
    </w:tbl>
    <w:p>
      <w:pPr>
        <w:spacing w:after="40"/>
      </w:pPr>
    </w:p>
    <w:p>
      <w:pPr>
        <w:pStyle w:val="Heading3"/>
        <w:keepNext/>
        <w:spacing w:before="120" w:after="80"/>
      </w:pPr>
      <w:r>
        <w:rPr>
          <w:b w:val="0"/>
          <w:i w:val="0"/>
        </w:rPr>
        <w:t>Our proposed selection (OPEN)</w:t>
      </w:r>
    </w:p>
    <w:p>
      <w:pPr>
        <w:spacing w:after="80"/>
      </w:pPr>
      <w:r>
        <w:rPr>
          <w:b w:val="0"/>
          <w:i w:val="0"/>
        </w:rPr>
        <w:t>Use a small staged pilot with all-screened accounting and explicit safety pauses; no automatic expansion on favorable recipient survival.</w:t>
      </w:r>
    </w:p>
    <w:p>
      <w:pPr>
        <w:numPr>
          <w:ilvl w:val="0"/>
          <w:numId w:val="5"/>
        </w:numPr>
        <w:spacing w:after="40"/>
      </w:pPr>
      <w:r>
        <w:rPr>
          <w:b w:val="0"/>
          <w:i w:val="0"/>
        </w:rPr>
        <w:t>Proposed initial cap: ten transplants per separately approved biological stratum. Review after the first five have 90-day follow-up; no expansion decision until all first ten have at least 12-month follow-up. Reconcile vital status, graft events and known serious harms for every participant; require ≥90% completeness for other prespecified key outcomes.</w:t>
      </w:r>
    </w:p>
    <w:p>
      <w:pPr>
        <w:numPr>
          <w:ilvl w:val="0"/>
          <w:numId w:val="5"/>
        </w:numPr>
        <w:spacing w:after="40"/>
      </w:pPr>
      <w:r>
        <w:rPr>
          <w:b w:val="0"/>
          <w:i w:val="0"/>
        </w:rPr>
        <w:t>In an initial experimental cohort, one all-cause recipient death, graft loss or retransplantation within 90 days triggers a pause of further experimental enrollment/transplantation pending independent review. A later possibly treatment-related death/graft loss or a donor sentinel event also triggers review/pause. Rescue care is never withheld; reopening requires independent authorization.</w:t>
      </w:r>
    </w:p>
    <w:p>
      <w:pPr>
        <w:numPr>
          <w:ilvl w:val="0"/>
          <w:numId w:val="5"/>
        </w:numPr>
        <w:spacing w:after="40"/>
      </w:pPr>
      <w:r>
        <w:rPr>
          <w:b w:val="0"/>
          <w:i w:val="0"/>
        </w:rPr>
        <w:t>These are proposed conservative review triggers, not statistically validated efficacy/futility boundaries. Before opening, biostatistics and the independent board must ratify or replace them with indication-specific rules, denominators, pause authority and reopening criteria.</w:t>
      </w:r>
    </w:p>
    <w:p>
      <w:pPr>
        <w:numPr>
          <w:ilvl w:val="0"/>
          <w:numId w:val="5"/>
        </w:numPr>
        <w:spacing w:after="40"/>
      </w:pPr>
      <w:r>
        <w:rPr>
          <w:b w:val="0"/>
          <w:i w:val="0"/>
        </w:rPr>
        <w:t>Capture every screened candidate, including nonrecipients, conversion to resection, dropout, deaths and access barriers; report survival from entry and from LT, recurrence, graft use, donor recovery and quality of life. Ten survivors alone do not establish benefit or authorize expansion.</w:t>
      </w:r>
    </w:p>
    <w:p>
      <w:pPr>
        <w:spacing w:after="80"/>
      </w:pPr>
      <w:r>
        <w:rPr>
          <w:b/>
          <w:i w:val="0"/>
        </w:rPr>
        <w:t xml:space="preserve">Why: </w:t>
      </w:r>
      <w:r>
        <w:rPr>
          <w:b w:val="0"/>
          <w:i w:val="0"/>
        </w:rPr>
        <w:t>A small pilot can test feasibility, staging fidelity, data capture and acute safety, not prove durable survival benefit. Define time zero, all-screened enrollment, waitlist failures, post-LT survival/recurrence, competing death, all grafts, donor harms and patient-reported outcomes before opening. An independent board needs actual pause/reopening authority.</w:t>
      </w:r>
    </w:p>
    <w:p>
      <w:pPr>
        <w:spacing w:after="80"/>
      </w:pPr>
      <w:r>
        <w:rPr>
          <w:b/>
          <w:i w:val="0"/>
        </w:rPr>
        <w:t xml:space="preserve">Against, or uncertain: </w:t>
      </w:r>
      <w:r>
        <w:rPr>
          <w:b w:val="0"/>
          <w:i w:val="0"/>
        </w:rPr>
        <w:t>Zero observed events among ten fully followed independent patients still has a one-sided exact 95% binomial upper bound of 25.9% (1−0.05^(1/10)). Thus ten survivors cannot establish a &lt;5% event risk. Ninety percent data completeness permits one missing patient; safety events and vital status require active ascertainment, not tolerance of unaccounted loss.</w:t>
      </w:r>
    </w:p>
    <w:p>
      <w:pPr>
        <w:spacing w:after="80"/>
      </w:pPr>
      <w:r>
        <w:rPr>
          <w:b/>
          <w:i w:val="0"/>
        </w:rPr>
        <w:t xml:space="preserve">Certainty: </w:t>
      </w:r>
      <w:r>
        <w:rPr>
          <w:b w:val="0"/>
          <w:i w:val="0"/>
        </w:rPr>
        <w:t>Strong methodological rationale for predefinition and ITT accounting; no empirical validation of our exact cap/interim/completeness thresholds. Late recurrence demands multi-year follow-up.</w:t>
      </w:r>
    </w:p>
    <w:p>
      <w:pPr>
        <w:spacing w:after="80"/>
      </w:pPr>
      <w:r>
        <w:rPr>
          <w:b/>
          <w:i w:val="0"/>
        </w:rPr>
        <w:t xml:space="preserve">Tests and records: </w:t>
      </w:r>
      <w:r>
        <w:rPr>
          <w:b w:val="0"/>
          <w:i w:val="0"/>
        </w:rPr>
        <w:t>Locked eligibility strata; prospective entry/time-zero dataset; modern comparator; adverse-event definitions; follow-up-completeness report; independently signed statistical and safety plan.</w:t>
      </w:r>
    </w:p>
    <w:p>
      <w:pPr>
        <w:spacing w:after="80"/>
      </w:pPr>
      <w:r>
        <w:rPr>
          <w:b/>
          <w:i w:val="0"/>
        </w:rPr>
        <w:t xml:space="preserve">Allocation: </w:t>
      </w:r>
      <w:r>
        <w:rPr>
          <w:b w:val="0"/>
          <w:i w:val="0"/>
        </w:rPr>
        <w:t>Study monitoring never changes exception criteria or guarantees future access. Audit access by referral, geography, resources and donor availability without turning protected characteristics into exclusion rules.</w:t>
      </w:r>
    </w:p>
    <w:p>
      <w:pPr>
        <w:spacing w:after="40"/>
      </w:pPr>
      <w:r>
        <w:rPr>
          <w:b/>
          <w:i w:val="0"/>
        </w:rPr>
        <w:t xml:space="preserve">Basis for the proposed thresholds: </w:t>
      </w:r>
    </w:p>
    <w:p>
      <w:pPr>
        <w:numPr>
          <w:ilvl w:val="0"/>
          <w:numId w:val="5"/>
        </w:numPr>
        <w:spacing w:after="40"/>
      </w:pPr>
      <w:r>
        <w:rPr>
          <w:b w:val="0"/>
          <w:i w:val="0"/>
        </w:rPr>
        <w:t>Ten per stratum and interim after five at 90 days: local feasibility cap and safety review cadence.</w:t>
      </w:r>
    </w:p>
    <w:p>
      <w:pPr>
        <w:numPr>
          <w:ilvl w:val="0"/>
          <w:numId w:val="5"/>
        </w:numPr>
        <w:spacing w:after="40"/>
      </w:pPr>
      <w:r>
        <w:rPr>
          <w:b w:val="0"/>
          <w:i w:val="0"/>
        </w:rPr>
        <w:t>Twelve-month minimum: earliest expansion discussion, not proof of long-term cancer benefit.</w:t>
      </w:r>
    </w:p>
    <w:p>
      <w:pPr>
        <w:numPr>
          <w:ilvl w:val="0"/>
          <w:numId w:val="5"/>
        </w:numPr>
        <w:spacing w:after="40"/>
      </w:pPr>
      <w:r>
        <w:rPr>
          <w:b w:val="0"/>
          <w:i w:val="0"/>
        </w:rPr>
        <w:t>≥90%: proposed non-vital key-measure completeness threshold; not permission to ignore deaths/graft events or unknown status.</w:t>
      </w:r>
    </w:p>
    <w:p>
      <w:pPr>
        <w:numPr>
          <w:ilvl w:val="0"/>
          <w:numId w:val="5"/>
        </w:numPr>
        <w:spacing w:after="40"/>
      </w:pPr>
      <w:r>
        <w:rPr>
          <w:b w:val="0"/>
          <w:i w:val="0"/>
        </w:rPr>
        <w:t>One early death/graft loss/re-LT: review/pause trigger, not automatic futility or withholding rescue.</w:t>
      </w:r>
    </w:p>
    <w:p>
      <w:pPr>
        <w:pStyle w:val="Heading3"/>
        <w:keepNext/>
        <w:spacing w:before="120" w:after="80"/>
      </w:pPr>
      <w:r>
        <w:rPr>
          <w:b w:val="0"/>
          <w:i w:val="0"/>
        </w:rPr>
        <w:t>ALLOC-B4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1"/>
        <w:keepNext/>
        <w:spacing w:before="280" w:after="80"/>
      </w:pPr>
      <w:r>
        <w:rPr>
          <w:b w:val="0"/>
          <w:i w:val="0"/>
        </w:rPr>
        <w:t>Sources</w:t>
      </w:r>
    </w:p>
    <w:p>
      <w:pPr>
        <w:spacing w:after="60"/>
      </w:pPr>
      <w:r>
        <w:rPr>
          <w:b/>
          <w:i w:val="0"/>
          <w:sz w:val="19"/>
        </w:rPr>
        <w:t>Abecassis 2012</w:t>
      </w:r>
      <w:r>
        <w:rPr>
          <w:b w:val="0"/>
          <w:i w:val="0"/>
          <w:sz w:val="19"/>
        </w:rPr>
        <w:t xml:space="preserve"> — Complications of Living Donor Hepatic Lobectomy—A Comprehensive Report</w:t>
      </w:r>
      <w:r>
        <w:rPr>
          <w:b w:val="0"/>
          <w:i w:val="0"/>
          <w:sz w:val="19"/>
        </w:rPr>
        <w:t xml:space="preserve">  </w:t>
      </w:r>
      <w:hyperlink r:id="rId16">
        <w:r>
          <w:rPr>
            <w:color w:val="0563C1"/>
            <w:u w:val="single"/>
            <w:sz w:val="19"/>
          </w:rPr>
          <w:t xml:space="preserve">PubMed</w:t>
        </w:r>
      </w:hyperlink>
      <w:r>
        <w:rPr>
          <w:b w:val="0"/>
          <w:i w:val="0"/>
          <w:sz w:val="19"/>
        </w:rPr>
        <w:t xml:space="preserve"> · </w:t>
      </w:r>
      <w:hyperlink r:id="rId17">
        <w:r>
          <w:rPr>
            <w:color w:val="0563C1"/>
            <w:u w:val="single"/>
            <w:sz w:val="19"/>
          </w:rPr>
          <w:t xml:space="preserve">Journal</w:t>
        </w:r>
      </w:hyperlink>
      <w:r>
        <w:rPr>
          <w:b w:val="0"/>
          <w:i w:val="0"/>
          <w:sz w:val="19"/>
        </w:rPr>
        <w:t xml:space="preserve"> · </w:t>
      </w:r>
      <w:hyperlink r:id="rId18">
        <w:r>
          <w:rPr>
            <w:color w:val="0563C1"/>
            <w:u w:val="single"/>
            <w:sz w:val="19"/>
          </w:rPr>
          <w:t xml:space="preserve">Free full text</w:t>
        </w:r>
      </w:hyperlink>
      <w:r>
        <w:rPr>
          <w:b w:val="0"/>
          <w:i w:val="0"/>
          <w:sz w:val="19"/>
        </w:rPr>
        <w:t xml:space="preserve"> · </w:t>
      </w:r>
      <w:hyperlink r:id="rId19">
        <w:r>
          <w:rPr>
            <w:color w:val="0563C1"/>
            <w:u w:val="single"/>
            <w:sz w:val="19"/>
          </w:rPr>
          <w:t xml:space="preserve">Source</w:t>
        </w:r>
      </w:hyperlink>
      <w:r>
        <w:rPr>
          <w:b w:val="0"/>
          <w:i w:val="0"/>
          <w:sz w:val="19"/>
        </w:rPr>
        <w:t xml:space="preserve"> · </w:t>
      </w:r>
      <w:hyperlink r:id="rId20">
        <w:r>
          <w:rPr>
            <w:color w:val="0563C1"/>
            <w:u w:val="single"/>
            <w:sz w:val="19"/>
          </w:rPr>
          <w:t xml:space="preserve">TMC library</w:t>
        </w:r>
      </w:hyperlink>
    </w:p>
    <w:p>
      <w:pPr>
        <w:spacing w:after="60"/>
      </w:pPr>
      <w:r>
        <w:rPr>
          <w:b/>
          <w:i w:val="0"/>
          <w:sz w:val="19"/>
        </w:rPr>
        <w:t>ACG 2024</w:t>
      </w:r>
      <w:r>
        <w:rPr>
          <w:b w:val="0"/>
          <w:i w:val="0"/>
          <w:sz w:val="19"/>
        </w:rPr>
        <w:t xml:space="preserve"> — ACG Clinical Guideline: Focal Liver Lesions</w:t>
      </w:r>
      <w:r>
        <w:rPr>
          <w:b w:val="0"/>
          <w:i w:val="0"/>
          <w:sz w:val="19"/>
        </w:rPr>
        <w:t xml:space="preserve">  </w:t>
      </w:r>
      <w:hyperlink r:id="rId21">
        <w:r>
          <w:rPr>
            <w:color w:val="0563C1"/>
            <w:u w:val="single"/>
            <w:sz w:val="19"/>
          </w:rPr>
          <w:t xml:space="preserve">PubMed</w:t>
        </w:r>
      </w:hyperlink>
      <w:r>
        <w:rPr>
          <w:b w:val="0"/>
          <w:i w:val="0"/>
          <w:sz w:val="19"/>
        </w:rPr>
        <w:t xml:space="preserve"> · </w:t>
      </w:r>
      <w:hyperlink r:id="rId22">
        <w:r>
          <w:rPr>
            <w:color w:val="0563C1"/>
            <w:u w:val="single"/>
            <w:sz w:val="19"/>
          </w:rPr>
          <w:t xml:space="preserve">Journal</w:t>
        </w:r>
      </w:hyperlink>
      <w:r>
        <w:rPr>
          <w:b w:val="0"/>
          <w:i w:val="0"/>
          <w:sz w:val="19"/>
        </w:rPr>
        <w:t xml:space="preserve"> · </w:t>
      </w:r>
      <w:hyperlink r:id="rId23">
        <w:r>
          <w:rPr>
            <w:color w:val="0563C1"/>
            <w:u w:val="single"/>
            <w:sz w:val="19"/>
          </w:rPr>
          <w:t xml:space="preserve">TMC library</w:t>
        </w:r>
      </w:hyperlink>
    </w:p>
    <w:p>
      <w:pPr>
        <w:spacing w:after="60"/>
      </w:pPr>
      <w:r>
        <w:rPr>
          <w:b/>
          <w:i w:val="0"/>
          <w:sz w:val="19"/>
        </w:rPr>
        <w:t>Allen 2024</w:t>
      </w:r>
      <w:r>
        <w:rPr>
          <w:b w:val="0"/>
          <w:i w:val="0"/>
          <w:sz w:val="19"/>
        </w:rPr>
        <w:t xml:space="preserve"> — Transplant benefit-based offering of deceased donor livers in the United Kingdom</w:t>
      </w:r>
      <w:r>
        <w:rPr>
          <w:b w:val="0"/>
          <w:i w:val="0"/>
          <w:sz w:val="19"/>
        </w:rPr>
        <w:t xml:space="preserve">  </w:t>
      </w:r>
      <w:hyperlink r:id="rId24">
        <w:r>
          <w:rPr>
            <w:color w:val="0563C1"/>
            <w:u w:val="single"/>
            <w:sz w:val="19"/>
          </w:rPr>
          <w:t xml:space="preserve">PubMed</w:t>
        </w:r>
      </w:hyperlink>
      <w:r>
        <w:rPr>
          <w:b w:val="0"/>
          <w:i w:val="0"/>
          <w:sz w:val="19"/>
        </w:rPr>
        <w:t xml:space="preserve"> · </w:t>
      </w:r>
      <w:hyperlink r:id="rId25">
        <w:r>
          <w:rPr>
            <w:color w:val="0563C1"/>
            <w:u w:val="single"/>
            <w:sz w:val="19"/>
          </w:rPr>
          <w:t xml:space="preserve">Journal</w:t>
        </w:r>
      </w:hyperlink>
      <w:r>
        <w:rPr>
          <w:b w:val="0"/>
          <w:i w:val="0"/>
          <w:sz w:val="19"/>
        </w:rPr>
        <w:t xml:space="preserve"> · </w:t>
      </w:r>
      <w:hyperlink r:id="rId26">
        <w:r>
          <w:rPr>
            <w:color w:val="0563C1"/>
            <w:u w:val="single"/>
            <w:sz w:val="19"/>
          </w:rPr>
          <w:t xml:space="preserve">TMC library</w:t>
        </w:r>
      </w:hyperlink>
    </w:p>
    <w:p>
      <w:pPr>
        <w:spacing w:after="60"/>
      </w:pPr>
      <w:r>
        <w:rPr>
          <w:b/>
          <w:i w:val="0"/>
          <w:sz w:val="19"/>
        </w:rPr>
        <w:t>Brahmbhatt 2020</w:t>
      </w:r>
      <w:r>
        <w:rPr>
          <w:b w:val="0"/>
          <w:i w:val="0"/>
          <w:sz w:val="19"/>
        </w:rPr>
        <w:t xml:space="preserve"> — Liver Transplantation for Hepatic Epithelioid Hemangioendothelioma Is Facilitated by Exception Points With Acceptable Long-term Outcomes</w:t>
      </w:r>
      <w:r>
        <w:rPr>
          <w:b w:val="0"/>
          <w:i w:val="0"/>
          <w:sz w:val="19"/>
        </w:rPr>
        <w:t xml:space="preserve">  </w:t>
      </w:r>
      <w:hyperlink r:id="rId27">
        <w:r>
          <w:rPr>
            <w:color w:val="0563C1"/>
            <w:u w:val="single"/>
            <w:sz w:val="19"/>
          </w:rPr>
          <w:t xml:space="preserve">PubMed</w:t>
        </w:r>
      </w:hyperlink>
      <w:r>
        <w:rPr>
          <w:b w:val="0"/>
          <w:i w:val="0"/>
          <w:sz w:val="19"/>
        </w:rPr>
        <w:t xml:space="preserve"> · </w:t>
      </w:r>
      <w:hyperlink r:id="rId28">
        <w:r>
          <w:rPr>
            <w:color w:val="0563C1"/>
            <w:u w:val="single"/>
            <w:sz w:val="19"/>
          </w:rPr>
          <w:t xml:space="preserve">Journal</w:t>
        </w:r>
      </w:hyperlink>
      <w:r>
        <w:rPr>
          <w:b w:val="0"/>
          <w:i w:val="0"/>
          <w:sz w:val="19"/>
        </w:rPr>
        <w:t xml:space="preserve"> · </w:t>
      </w:r>
      <w:hyperlink r:id="rId29">
        <w:r>
          <w:rPr>
            <w:color w:val="0563C1"/>
            <w:u w:val="single"/>
            <w:sz w:val="19"/>
          </w:rPr>
          <w:t xml:space="preserve">TMC library</w:t>
        </w:r>
      </w:hyperlink>
    </w:p>
    <w:p>
      <w:pPr>
        <w:spacing w:after="60"/>
      </w:pPr>
      <w:r>
        <w:rPr>
          <w:b/>
          <w:i w:val="0"/>
          <w:sz w:val="19"/>
        </w:rPr>
        <w:t>DGVS S2k LT guidance</w:t>
      </w:r>
      <w:r>
        <w:rPr>
          <w:b w:val="0"/>
          <w:i w:val="0"/>
          <w:sz w:val="19"/>
        </w:rPr>
        <w:t xml:space="preserve"> — S2k-Leitlinie Lebertransplantation: HEHE recommendations 3.83–3.86</w:t>
      </w:r>
      <w:r>
        <w:rPr>
          <w:b w:val="0"/>
          <w:i w:val="0"/>
          <w:sz w:val="19"/>
        </w:rPr>
        <w:t xml:space="preserve">  </w:t>
      </w:r>
      <w:hyperlink r:id="rId30">
        <w:r>
          <w:rPr>
            <w:color w:val="0563C1"/>
            <w:u w:val="single"/>
            <w:sz w:val="19"/>
          </w:rPr>
          <w:t xml:space="preserve">PubMed</w:t>
        </w:r>
      </w:hyperlink>
      <w:r>
        <w:rPr>
          <w:b w:val="0"/>
          <w:i w:val="0"/>
          <w:sz w:val="19"/>
        </w:rPr>
        <w:t xml:space="preserve"> · </w:t>
      </w:r>
      <w:hyperlink r:id="rId31">
        <w:r>
          <w:rPr>
            <w:color w:val="0563C1"/>
            <w:u w:val="single"/>
            <w:sz w:val="19"/>
          </w:rPr>
          <w:t xml:space="preserve">Journal</w:t>
        </w:r>
      </w:hyperlink>
      <w:r>
        <w:rPr>
          <w:b w:val="0"/>
          <w:i w:val="0"/>
          <w:sz w:val="19"/>
        </w:rPr>
        <w:t xml:space="preserve"> · </w:t>
      </w:r>
      <w:hyperlink r:id="rId32">
        <w:r>
          <w:rPr>
            <w:color w:val="0563C1"/>
            <w:u w:val="single"/>
            <w:sz w:val="19"/>
          </w:rPr>
          <w:t xml:space="preserve">Source</w:t>
        </w:r>
      </w:hyperlink>
      <w:r>
        <w:rPr>
          <w:b w:val="0"/>
          <w:i w:val="0"/>
          <w:sz w:val="19"/>
        </w:rPr>
        <w:t xml:space="preserve"> · </w:t>
      </w:r>
      <w:hyperlink r:id="rId33">
        <w:r>
          <w:rPr>
            <w:color w:val="0563C1"/>
            <w:u w:val="single"/>
            <w:sz w:val="19"/>
          </w:rPr>
          <w:t xml:space="preserve">TMC library</w:t>
        </w:r>
      </w:hyperlink>
    </w:p>
    <w:p>
      <w:pPr>
        <w:spacing w:after="60"/>
      </w:pPr>
      <w:r>
        <w:rPr>
          <w:b/>
          <w:i w:val="0"/>
          <w:sz w:val="19"/>
        </w:rPr>
        <w:t>DiMartini 2017</w:t>
      </w:r>
      <w:r>
        <w:rPr>
          <w:b w:val="0"/>
          <w:i w:val="0"/>
          <w:sz w:val="19"/>
        </w:rPr>
        <w:t xml:space="preserve"> — Social and Financial Outcomes of Living Liver Donation: A Prospective Investigation Within the Adult-to-Adult Living Donor Liver Transplantation Cohort Study 2 (A2ALL-2)</w:t>
      </w:r>
      <w:r>
        <w:rPr>
          <w:b w:val="0"/>
          <w:i w:val="0"/>
          <w:sz w:val="19"/>
        </w:rPr>
        <w:t xml:space="preserve">  </w:t>
      </w:r>
      <w:hyperlink r:id="rId34">
        <w:r>
          <w:rPr>
            <w:color w:val="0563C1"/>
            <w:u w:val="single"/>
            <w:sz w:val="19"/>
          </w:rPr>
          <w:t xml:space="preserve">PubMed</w:t>
        </w:r>
      </w:hyperlink>
      <w:r>
        <w:rPr>
          <w:b w:val="0"/>
          <w:i w:val="0"/>
          <w:sz w:val="19"/>
        </w:rPr>
        <w:t xml:space="preserve"> · </w:t>
      </w:r>
      <w:hyperlink r:id="rId35">
        <w:r>
          <w:rPr>
            <w:color w:val="0563C1"/>
            <w:u w:val="single"/>
            <w:sz w:val="19"/>
          </w:rPr>
          <w:t xml:space="preserve">Journal</w:t>
        </w:r>
      </w:hyperlink>
      <w:r>
        <w:rPr>
          <w:b w:val="0"/>
          <w:i w:val="0"/>
          <w:sz w:val="19"/>
        </w:rPr>
        <w:t xml:space="preserve"> · </w:t>
      </w:r>
      <w:hyperlink r:id="rId36">
        <w:r>
          <w:rPr>
            <w:color w:val="0563C1"/>
            <w:u w:val="single"/>
            <w:sz w:val="19"/>
          </w:rPr>
          <w:t xml:space="preserve">Free full text</w:t>
        </w:r>
      </w:hyperlink>
      <w:r>
        <w:rPr>
          <w:b w:val="0"/>
          <w:i w:val="0"/>
          <w:sz w:val="19"/>
        </w:rPr>
        <w:t xml:space="preserve"> · </w:t>
      </w:r>
      <w:hyperlink r:id="rId37">
        <w:r>
          <w:rPr>
            <w:color w:val="0563C1"/>
            <w:u w:val="single"/>
            <w:sz w:val="19"/>
          </w:rPr>
          <w:t xml:space="preserve">Source</w:t>
        </w:r>
      </w:hyperlink>
      <w:r>
        <w:rPr>
          <w:b w:val="0"/>
          <w:i w:val="0"/>
          <w:sz w:val="19"/>
        </w:rPr>
        <w:t xml:space="preserve"> · </w:t>
      </w:r>
      <w:hyperlink r:id="rId38">
        <w:r>
          <w:rPr>
            <w:color w:val="0563C1"/>
            <w:u w:val="single"/>
            <w:sz w:val="19"/>
          </w:rPr>
          <w:t xml:space="preserve">TMC library</w:t>
        </w:r>
      </w:hyperlink>
    </w:p>
    <w:p>
      <w:pPr>
        <w:spacing w:after="60"/>
      </w:pPr>
      <w:r>
        <w:rPr>
          <w:b/>
          <w:i w:val="0"/>
          <w:sz w:val="19"/>
        </w:rPr>
        <w:t>EASL–AASLD–ILCA 2026</w:t>
      </w:r>
      <w:r>
        <w:rPr>
          <w:b w:val="0"/>
          <w:i w:val="0"/>
          <w:sz w:val="19"/>
        </w:rPr>
        <w:t xml:space="preserve"> — Trial design and end points in hepatocellular carcinoma: an EASL-AASLD-ILCA consensus statement</w:t>
      </w:r>
      <w:r>
        <w:rPr>
          <w:b w:val="0"/>
          <w:i w:val="0"/>
          <w:sz w:val="19"/>
        </w:rPr>
        <w:t xml:space="preserve">  </w:t>
      </w:r>
      <w:hyperlink r:id="rId39">
        <w:r>
          <w:rPr>
            <w:color w:val="0563C1"/>
            <w:u w:val="single"/>
            <w:sz w:val="19"/>
          </w:rPr>
          <w:t xml:space="preserve">PubMed</w:t>
        </w:r>
      </w:hyperlink>
      <w:r>
        <w:rPr>
          <w:b w:val="0"/>
          <w:i w:val="0"/>
          <w:sz w:val="19"/>
        </w:rPr>
        <w:t xml:space="preserve"> · </w:t>
      </w:r>
      <w:hyperlink r:id="rId40">
        <w:r>
          <w:rPr>
            <w:color w:val="0563C1"/>
            <w:u w:val="single"/>
            <w:sz w:val="19"/>
          </w:rPr>
          <w:t xml:space="preserve">Journal</w:t>
        </w:r>
      </w:hyperlink>
      <w:r>
        <w:rPr>
          <w:b w:val="0"/>
          <w:i w:val="0"/>
          <w:sz w:val="19"/>
        </w:rPr>
        <w:t xml:space="preserve"> · </w:t>
      </w:r>
      <w:hyperlink r:id="rId41">
        <w:r>
          <w:rPr>
            <w:color w:val="0563C1"/>
            <w:u w:val="single"/>
            <w:sz w:val="19"/>
          </w:rPr>
          <w:t xml:space="preserve">Free full text</w:t>
        </w:r>
      </w:hyperlink>
      <w:r>
        <w:rPr>
          <w:b w:val="0"/>
          <w:i w:val="0"/>
          <w:sz w:val="19"/>
        </w:rPr>
        <w:t xml:space="preserve"> · </w:t>
      </w:r>
      <w:hyperlink r:id="rId42">
        <w:r>
          <w:rPr>
            <w:color w:val="0563C1"/>
            <w:u w:val="single"/>
            <w:sz w:val="19"/>
          </w:rPr>
          <w:t xml:space="preserve">Source</w:t>
        </w:r>
      </w:hyperlink>
      <w:r>
        <w:rPr>
          <w:b w:val="0"/>
          <w:i w:val="0"/>
          <w:sz w:val="19"/>
        </w:rPr>
        <w:t xml:space="preserve"> · </w:t>
      </w:r>
      <w:hyperlink r:id="rId43">
        <w:r>
          <w:rPr>
            <w:color w:val="0563C1"/>
            <w:u w:val="single"/>
            <w:sz w:val="19"/>
          </w:rPr>
          <w:t xml:space="preserve">TMC library</w:t>
        </w:r>
      </w:hyperlink>
    </w:p>
    <w:p>
      <w:pPr>
        <w:spacing w:after="60"/>
      </w:pPr>
      <w:r>
        <w:rPr>
          <w:b/>
          <w:i w:val="0"/>
          <w:sz w:val="19"/>
        </w:rPr>
        <w:t>Eldridge 2016</w:t>
      </w:r>
      <w:r>
        <w:rPr>
          <w:b w:val="0"/>
          <w:i w:val="0"/>
          <w:sz w:val="19"/>
        </w:rPr>
        <w:t xml:space="preserve"> — CONSORT 2010 statement: extension to randomised pilot and feasibility trials</w:t>
      </w:r>
      <w:r>
        <w:rPr>
          <w:b w:val="0"/>
          <w:i w:val="0"/>
          <w:sz w:val="19"/>
        </w:rPr>
        <w:t xml:space="preserve">  </w:t>
      </w:r>
      <w:hyperlink r:id="rId44">
        <w:r>
          <w:rPr>
            <w:color w:val="0563C1"/>
            <w:u w:val="single"/>
            <w:sz w:val="19"/>
          </w:rPr>
          <w:t xml:space="preserve">PubMed</w:t>
        </w:r>
      </w:hyperlink>
      <w:r>
        <w:rPr>
          <w:b w:val="0"/>
          <w:i w:val="0"/>
          <w:sz w:val="19"/>
        </w:rPr>
        <w:t xml:space="preserve"> · </w:t>
      </w:r>
      <w:hyperlink r:id="rId45">
        <w:r>
          <w:rPr>
            <w:color w:val="0563C1"/>
            <w:u w:val="single"/>
            <w:sz w:val="19"/>
          </w:rPr>
          <w:t xml:space="preserve">Journal</w:t>
        </w:r>
      </w:hyperlink>
      <w:r>
        <w:rPr>
          <w:b w:val="0"/>
          <w:i w:val="0"/>
          <w:sz w:val="19"/>
        </w:rPr>
        <w:t xml:space="preserve"> · </w:t>
      </w:r>
      <w:hyperlink r:id="rId46">
        <w:r>
          <w:rPr>
            <w:color w:val="0563C1"/>
            <w:u w:val="single"/>
            <w:sz w:val="19"/>
          </w:rPr>
          <w:t xml:space="preserve">Source</w:t>
        </w:r>
      </w:hyperlink>
      <w:r>
        <w:rPr>
          <w:b w:val="0"/>
          <w:i w:val="0"/>
          <w:sz w:val="19"/>
        </w:rPr>
        <w:t xml:space="preserve"> · </w:t>
      </w:r>
      <w:hyperlink r:id="rId47">
        <w:r>
          <w:rPr>
            <w:color w:val="0563C1"/>
            <w:u w:val="single"/>
            <w:sz w:val="19"/>
          </w:rPr>
          <w:t xml:space="preserve">TMC library</w:t>
        </w:r>
      </w:hyperlink>
    </w:p>
    <w:p>
      <w:pPr>
        <w:spacing w:after="60"/>
      </w:pPr>
      <w:r>
        <w:rPr>
          <w:b/>
          <w:i w:val="0"/>
          <w:sz w:val="19"/>
        </w:rPr>
        <w:t>HHS human-subject protections</w:t>
      </w:r>
      <w:r>
        <w:rPr>
          <w:b w:val="0"/>
          <w:i w:val="0"/>
          <w:sz w:val="19"/>
        </w:rPr>
        <w:t xml:space="preserve"> — 45 CFR 46.111: Criteria for IRB approval of research</w:t>
      </w:r>
      <w:r>
        <w:rPr>
          <w:b w:val="0"/>
          <w:i w:val="0"/>
          <w:sz w:val="19"/>
        </w:rPr>
        <w:t xml:space="preserve">  </w:t>
      </w:r>
      <w:hyperlink r:id="rId48">
        <w:r>
          <w:rPr>
            <w:color w:val="0563C1"/>
            <w:u w:val="single"/>
            <w:sz w:val="19"/>
          </w:rPr>
          <w:t xml:space="preserve">Source</w:t>
        </w:r>
      </w:hyperlink>
    </w:p>
    <w:p>
      <w:pPr>
        <w:spacing w:after="60"/>
      </w:pPr>
      <w:r>
        <w:rPr>
          <w:b/>
          <w:i w:val="0"/>
          <w:sz w:val="19"/>
        </w:rPr>
        <w:t>Kelly 2026</w:t>
      </w:r>
      <w:r>
        <w:rPr>
          <w:b w:val="0"/>
          <w:i w:val="0"/>
          <w:sz w:val="19"/>
        </w:rPr>
        <w:t xml:space="preserve"> — Three Decades of Living Liver Donor Outcomes: A National Cohort Analysis of Patterns in Mortality and Recovery</w:t>
      </w:r>
      <w:r>
        <w:rPr>
          <w:b w:val="0"/>
          <w:i w:val="0"/>
          <w:sz w:val="19"/>
        </w:rPr>
        <w:t xml:space="preserve">  </w:t>
      </w:r>
      <w:hyperlink r:id="rId49">
        <w:r>
          <w:rPr>
            <w:color w:val="0563C1"/>
            <w:u w:val="single"/>
            <w:sz w:val="19"/>
          </w:rPr>
          <w:t xml:space="preserve">PubMed</w:t>
        </w:r>
      </w:hyperlink>
      <w:r>
        <w:rPr>
          <w:b w:val="0"/>
          <w:i w:val="0"/>
          <w:sz w:val="19"/>
        </w:rPr>
        <w:t xml:space="preserve"> · </w:t>
      </w:r>
      <w:hyperlink r:id="rId50">
        <w:r>
          <w:rPr>
            <w:color w:val="0563C1"/>
            <w:u w:val="single"/>
            <w:sz w:val="19"/>
          </w:rPr>
          <w:t xml:space="preserve">Journal</w:t>
        </w:r>
      </w:hyperlink>
      <w:r>
        <w:rPr>
          <w:b w:val="0"/>
          <w:i w:val="0"/>
          <w:sz w:val="19"/>
        </w:rPr>
        <w:t xml:space="preserve"> · </w:t>
      </w:r>
      <w:hyperlink r:id="rId51">
        <w:r>
          <w:rPr>
            <w:color w:val="0563C1"/>
            <w:u w:val="single"/>
            <w:sz w:val="19"/>
          </w:rPr>
          <w:t xml:space="preserve">TMC library</w:t>
        </w:r>
      </w:hyperlink>
    </w:p>
    <w:p>
      <w:pPr>
        <w:spacing w:after="60"/>
      </w:pPr>
      <w:r>
        <w:rPr>
          <w:b/>
          <w:i w:val="0"/>
          <w:sz w:val="19"/>
        </w:rPr>
        <w:t>Lai 2017</w:t>
      </w:r>
      <w:r>
        <w:rPr>
          <w:b w:val="0"/>
          <w:i w:val="0"/>
          <w:sz w:val="19"/>
        </w:rPr>
        <w:t xml:space="preserve"> — Hepatic Epithelioid Hemangioendothelioma and Adult Liver Transplantation: Proposal for a Prognostic Score Based on the Analysis of the ELTR-ELITA Registry</w:t>
      </w:r>
      <w:r>
        <w:rPr>
          <w:b w:val="0"/>
          <w:i w:val="0"/>
          <w:sz w:val="19"/>
        </w:rPr>
        <w:t xml:space="preserve">  </w:t>
      </w:r>
      <w:hyperlink r:id="rId52">
        <w:r>
          <w:rPr>
            <w:color w:val="0563C1"/>
            <w:u w:val="single"/>
            <w:sz w:val="19"/>
          </w:rPr>
          <w:t xml:space="preserve">PubMed</w:t>
        </w:r>
      </w:hyperlink>
      <w:r>
        <w:rPr>
          <w:b w:val="0"/>
          <w:i w:val="0"/>
          <w:sz w:val="19"/>
        </w:rPr>
        <w:t xml:space="preserve"> · </w:t>
      </w:r>
      <w:hyperlink r:id="rId53">
        <w:r>
          <w:rPr>
            <w:color w:val="0563C1"/>
            <w:u w:val="single"/>
            <w:sz w:val="19"/>
          </w:rPr>
          <w:t xml:space="preserve">Journal</w:t>
        </w:r>
      </w:hyperlink>
      <w:r>
        <w:rPr>
          <w:b w:val="0"/>
          <w:i w:val="0"/>
          <w:sz w:val="19"/>
        </w:rPr>
        <w:t xml:space="preserve"> · </w:t>
      </w:r>
      <w:hyperlink r:id="rId54">
        <w:r>
          <w:rPr>
            <w:color w:val="0563C1"/>
            <w:u w:val="single"/>
            <w:sz w:val="19"/>
          </w:rPr>
          <w:t xml:space="preserve">TMC library</w:t>
        </w:r>
      </w:hyperlink>
    </w:p>
    <w:p>
      <w:pPr>
        <w:spacing w:after="60"/>
      </w:pPr>
      <w:r>
        <w:rPr>
          <w:b/>
          <w:i w:val="0"/>
          <w:sz w:val="19"/>
        </w:rPr>
        <w:t>Lerut 2007 · ELTR</w:t>
      </w:r>
      <w:r>
        <w:rPr>
          <w:b w:val="0"/>
          <w:i w:val="0"/>
          <w:sz w:val="19"/>
        </w:rPr>
        <w:t xml:space="preserve"> — The place of liver transplantation in the treatment of hepatic epitheloid hemangioendothelioma: report of the European liver transplant registry</w:t>
      </w:r>
      <w:r>
        <w:rPr>
          <w:b w:val="0"/>
          <w:i w:val="0"/>
          <w:sz w:val="19"/>
        </w:rPr>
        <w:t xml:space="preserve">  </w:t>
      </w:r>
      <w:hyperlink r:id="rId55">
        <w:r>
          <w:rPr>
            <w:color w:val="0563C1"/>
            <w:u w:val="single"/>
            <w:sz w:val="19"/>
          </w:rPr>
          <w:t xml:space="preserve">PubMed</w:t>
        </w:r>
      </w:hyperlink>
      <w:r>
        <w:rPr>
          <w:b w:val="0"/>
          <w:i w:val="0"/>
          <w:sz w:val="19"/>
        </w:rPr>
        <w:t xml:space="preserve"> · </w:t>
      </w:r>
      <w:hyperlink r:id="rId56">
        <w:r>
          <w:rPr>
            <w:color w:val="0563C1"/>
            <w:u w:val="single"/>
            <w:sz w:val="19"/>
          </w:rPr>
          <w:t xml:space="preserve">Journal</w:t>
        </w:r>
      </w:hyperlink>
      <w:r>
        <w:rPr>
          <w:b w:val="0"/>
          <w:i w:val="0"/>
          <w:sz w:val="19"/>
        </w:rPr>
        <w:t xml:space="preserve"> · </w:t>
      </w:r>
      <w:hyperlink r:id="rId57">
        <w:r>
          <w:rPr>
            <w:color w:val="0563C1"/>
            <w:u w:val="single"/>
            <w:sz w:val="19"/>
          </w:rPr>
          <w:t xml:space="preserve">TMC library</w:t>
        </w:r>
      </w:hyperlink>
    </w:p>
    <w:p>
      <w:pPr>
        <w:spacing w:after="60"/>
      </w:pPr>
      <w:r>
        <w:rPr>
          <w:b/>
          <w:i w:val="0"/>
          <w:sz w:val="19"/>
        </w:rPr>
        <w:t>Liu 2024</w:t>
      </w:r>
      <w:r>
        <w:rPr>
          <w:b w:val="0"/>
          <w:i w:val="0"/>
          <w:sz w:val="19"/>
        </w:rPr>
        <w:t xml:space="preserve"> — Long-term prognosis and treatment modalities of hepatic epithelioid hemangioendothelioma: a retrospective study of 228 patients</w:t>
      </w:r>
      <w:r>
        <w:rPr>
          <w:b w:val="0"/>
          <w:i w:val="0"/>
          <w:sz w:val="19"/>
        </w:rPr>
        <w:t xml:space="preserve">  </w:t>
      </w:r>
      <w:hyperlink r:id="rId58">
        <w:r>
          <w:rPr>
            <w:color w:val="0563C1"/>
            <w:u w:val="single"/>
            <w:sz w:val="19"/>
          </w:rPr>
          <w:t xml:space="preserve">PubMed</w:t>
        </w:r>
      </w:hyperlink>
      <w:r>
        <w:rPr>
          <w:b w:val="0"/>
          <w:i w:val="0"/>
          <w:sz w:val="19"/>
        </w:rPr>
        <w:t xml:space="preserve"> · </w:t>
      </w:r>
      <w:hyperlink r:id="rId59">
        <w:r>
          <w:rPr>
            <w:color w:val="0563C1"/>
            <w:u w:val="single"/>
            <w:sz w:val="19"/>
          </w:rPr>
          <w:t xml:space="preserve">Journal</w:t>
        </w:r>
      </w:hyperlink>
      <w:r>
        <w:rPr>
          <w:b w:val="0"/>
          <w:i w:val="0"/>
          <w:sz w:val="19"/>
        </w:rPr>
        <w:t xml:space="preserve"> · </w:t>
      </w:r>
      <w:hyperlink r:id="rId60">
        <w:r>
          <w:rPr>
            <w:color w:val="0563C1"/>
            <w:u w:val="single"/>
            <w:sz w:val="19"/>
          </w:rPr>
          <w:t xml:space="preserve">Free full text</w:t>
        </w:r>
      </w:hyperlink>
      <w:r>
        <w:rPr>
          <w:b w:val="0"/>
          <w:i w:val="0"/>
          <w:sz w:val="19"/>
        </w:rPr>
        <w:t xml:space="preserve"> · </w:t>
      </w:r>
      <w:hyperlink r:id="rId61">
        <w:r>
          <w:rPr>
            <w:color w:val="0563C1"/>
            <w:u w:val="single"/>
            <w:sz w:val="19"/>
          </w:rPr>
          <w:t xml:space="preserve">Source</w:t>
        </w:r>
      </w:hyperlink>
      <w:r>
        <w:rPr>
          <w:b w:val="0"/>
          <w:i w:val="0"/>
          <w:sz w:val="19"/>
        </w:rPr>
        <w:t xml:space="preserve"> · </w:t>
      </w:r>
      <w:hyperlink r:id="rId62">
        <w:r>
          <w:rPr>
            <w:color w:val="0563C1"/>
            <w:u w:val="single"/>
            <w:sz w:val="19"/>
          </w:rPr>
          <w:t xml:space="preserve">TMC library</w:t>
        </w:r>
      </w:hyperlink>
    </w:p>
    <w:p>
      <w:pPr>
        <w:spacing w:after="60"/>
      </w:pPr>
      <w:r>
        <w:rPr>
          <w:b/>
          <w:i w:val="0"/>
          <w:sz w:val="19"/>
        </w:rPr>
        <w:t>NLRB oncology guidance</w:t>
      </w:r>
      <w:r>
        <w:rPr>
          <w:b w:val="0"/>
          <w:i w:val="0"/>
          <w:sz w:val="19"/>
        </w:rPr>
        <w:t xml:space="preserve"> — Adult MELD Exceptions for Transplant Oncology</w:t>
      </w:r>
      <w:r>
        <w:rPr>
          <w:b w:val="0"/>
          <w:i w:val="0"/>
          <w:sz w:val="19"/>
        </w:rPr>
        <w:t xml:space="preserve">  </w:t>
      </w:r>
      <w:hyperlink r:id="rId63">
        <w:r>
          <w:rPr>
            <w:color w:val="0563C1"/>
            <w:u w:val="single"/>
            <w:sz w:val="19"/>
          </w:rPr>
          <w:t xml:space="preserve">Source</w:t>
        </w:r>
      </w:hyperlink>
    </w:p>
    <w:p>
      <w:pPr>
        <w:spacing w:after="60"/>
      </w:pPr>
      <w:r>
        <w:rPr>
          <w:b/>
          <w:i w:val="0"/>
          <w:sz w:val="19"/>
        </w:rPr>
        <w:t>OPTN ethics principles</w:t>
      </w:r>
      <w:r>
        <w:rPr>
          <w:b w:val="0"/>
          <w:i w:val="0"/>
          <w:sz w:val="19"/>
        </w:rPr>
        <w:t xml:space="preserve"> — Ethical Principles in the Allocation of Human Organs</w:t>
      </w:r>
      <w:r>
        <w:rPr>
          <w:b w:val="0"/>
          <w:i w:val="0"/>
          <w:sz w:val="19"/>
        </w:rPr>
        <w:t xml:space="preserve">  </w:t>
      </w:r>
      <w:hyperlink r:id="rId64">
        <w:r>
          <w:rPr>
            <w:color w:val="0563C1"/>
            <w:u w:val="single"/>
            <w:sz w:val="19"/>
          </w:rPr>
          <w:t xml:space="preserve">Source</w:t>
        </w:r>
      </w:hyperlink>
    </w:p>
    <w:p>
      <w:pPr>
        <w:spacing w:after="60"/>
      </w:pPr>
      <w:r>
        <w:rPr>
          <w:b/>
          <w:i w:val="0"/>
          <w:sz w:val="19"/>
        </w:rPr>
        <w:t>OPTN policy</w:t>
      </w:r>
      <w:r>
        <w:rPr>
          <w:b w:val="0"/>
          <w:i w:val="0"/>
          <w:sz w:val="19"/>
        </w:rPr>
        <w:t xml:space="preserve"> — OPTN Policies: liver allocation and living donation</w:t>
      </w:r>
      <w:r>
        <w:rPr>
          <w:b w:val="0"/>
          <w:i w:val="0"/>
          <w:sz w:val="19"/>
        </w:rPr>
        <w:t xml:space="preserve">  </w:t>
      </w:r>
      <w:hyperlink r:id="rId65">
        <w:r>
          <w:rPr>
            <w:color w:val="0563C1"/>
            <w:u w:val="single"/>
            <w:sz w:val="19"/>
          </w:rPr>
          <w:t xml:space="preserve">Source</w:t>
        </w:r>
      </w:hyperlink>
    </w:p>
    <w:p>
      <w:pPr>
        <w:spacing w:after="60"/>
      </w:pPr>
      <w:r>
        <w:rPr>
          <w:b/>
          <w:i w:val="0"/>
          <w:sz w:val="19"/>
        </w:rPr>
        <w:t>Rosenbaum 2019 · EHE molecular subsets</w:t>
      </w:r>
      <w:r>
        <w:rPr>
          <w:b w:val="0"/>
          <w:i w:val="0"/>
          <w:sz w:val="19"/>
        </w:rPr>
        <w:t xml:space="preserve"> — Prognostic stratification of clinical and molecular epithelioid hemangioendothelioma subsets</w:t>
      </w:r>
      <w:r>
        <w:rPr>
          <w:b w:val="0"/>
          <w:i w:val="0"/>
          <w:sz w:val="19"/>
        </w:rPr>
        <w:t xml:space="preserve">  </w:t>
      </w:r>
      <w:hyperlink r:id="rId66">
        <w:r>
          <w:rPr>
            <w:color w:val="0563C1"/>
            <w:u w:val="single"/>
            <w:sz w:val="19"/>
          </w:rPr>
          <w:t xml:space="preserve">PubMed</w:t>
        </w:r>
      </w:hyperlink>
      <w:r>
        <w:rPr>
          <w:b w:val="0"/>
          <w:i w:val="0"/>
          <w:sz w:val="19"/>
        </w:rPr>
        <w:t xml:space="preserve"> · </w:t>
      </w:r>
      <w:hyperlink r:id="rId67">
        <w:r>
          <w:rPr>
            <w:color w:val="0563C1"/>
            <w:u w:val="single"/>
            <w:sz w:val="19"/>
          </w:rPr>
          <w:t xml:space="preserve">Journal</w:t>
        </w:r>
      </w:hyperlink>
      <w:r>
        <w:rPr>
          <w:b w:val="0"/>
          <w:i w:val="0"/>
          <w:sz w:val="19"/>
        </w:rPr>
        <w:t xml:space="preserve"> · </w:t>
      </w:r>
      <w:hyperlink r:id="rId68">
        <w:r>
          <w:rPr>
            <w:color w:val="0563C1"/>
            <w:u w:val="single"/>
            <w:sz w:val="19"/>
          </w:rPr>
          <w:t xml:space="preserve">TMC library</w:t>
        </w:r>
      </w:hyperlink>
    </w:p>
    <w:p>
      <w:pPr>
        <w:spacing w:after="60"/>
      </w:pPr>
      <w:r>
        <w:rPr>
          <w:b/>
          <w:i w:val="0"/>
          <w:sz w:val="19"/>
        </w:rPr>
        <w:t>Sawma 2024 · Mayo</w:t>
      </w:r>
      <w:r>
        <w:rPr>
          <w:b w:val="0"/>
          <w:i w:val="0"/>
          <w:sz w:val="19"/>
        </w:rPr>
        <w:t xml:space="preserve"> — Management and long-term outcomes of patients with hepatic epithelioid hemangioendothelioma</w:t>
      </w:r>
      <w:r>
        <w:rPr>
          <w:b w:val="0"/>
          <w:i w:val="0"/>
          <w:sz w:val="19"/>
        </w:rPr>
        <w:t xml:space="preserve">  </w:t>
      </w:r>
      <w:hyperlink r:id="rId69">
        <w:r>
          <w:rPr>
            <w:color w:val="0563C1"/>
            <w:u w:val="single"/>
            <w:sz w:val="19"/>
          </w:rPr>
          <w:t xml:space="preserve">PubMed</w:t>
        </w:r>
      </w:hyperlink>
      <w:r>
        <w:rPr>
          <w:b w:val="0"/>
          <w:i w:val="0"/>
          <w:sz w:val="19"/>
        </w:rPr>
        <w:t xml:space="preserve"> · </w:t>
      </w:r>
      <w:hyperlink r:id="rId70">
        <w:r>
          <w:rPr>
            <w:color w:val="0563C1"/>
            <w:u w:val="single"/>
            <w:sz w:val="19"/>
          </w:rPr>
          <w:t xml:space="preserve">Journal</w:t>
        </w:r>
      </w:hyperlink>
      <w:r>
        <w:rPr>
          <w:b w:val="0"/>
          <w:i w:val="0"/>
          <w:sz w:val="19"/>
        </w:rPr>
        <w:t xml:space="preserve"> · </w:t>
      </w:r>
      <w:hyperlink r:id="rId71">
        <w:r>
          <w:rPr>
            <w:color w:val="0563C1"/>
            <w:u w:val="single"/>
            <w:sz w:val="19"/>
          </w:rPr>
          <w:t xml:space="preserve">TMC library</w:t>
        </w:r>
      </w:hyperlink>
    </w:p>
    <w:p>
      <w:pPr>
        <w:spacing w:after="60"/>
      </w:pPr>
      <w:r>
        <w:rPr>
          <w:b/>
          <w:i w:val="0"/>
          <w:sz w:val="19"/>
        </w:rPr>
        <w:t>Stacchiotti 2021</w:t>
      </w:r>
      <w:r>
        <w:rPr>
          <w:b w:val="0"/>
          <w:i w:val="0"/>
          <w:sz w:val="19"/>
        </w:rPr>
        <w:t xml:space="preserve"> — Epithelioid hemangioendothelioma, an ultra-rare cancer: a consensus paper from the community of experts</w:t>
      </w:r>
      <w:r>
        <w:rPr>
          <w:b w:val="0"/>
          <w:i w:val="0"/>
          <w:sz w:val="19"/>
        </w:rPr>
        <w:t xml:space="preserve">  </w:t>
      </w:r>
      <w:hyperlink r:id="rId72">
        <w:r>
          <w:rPr>
            <w:color w:val="0563C1"/>
            <w:u w:val="single"/>
            <w:sz w:val="19"/>
          </w:rPr>
          <w:t xml:space="preserve">PubMed</w:t>
        </w:r>
      </w:hyperlink>
      <w:r>
        <w:rPr>
          <w:b w:val="0"/>
          <w:i w:val="0"/>
          <w:sz w:val="19"/>
        </w:rPr>
        <w:t xml:space="preserve"> · </w:t>
      </w:r>
      <w:hyperlink r:id="rId73">
        <w:r>
          <w:rPr>
            <w:color w:val="0563C1"/>
            <w:u w:val="single"/>
            <w:sz w:val="19"/>
          </w:rPr>
          <w:t xml:space="preserve">Journal</w:t>
        </w:r>
      </w:hyperlink>
      <w:r>
        <w:rPr>
          <w:b w:val="0"/>
          <w:i w:val="0"/>
          <w:sz w:val="19"/>
        </w:rPr>
        <w:t xml:space="preserve"> · </w:t>
      </w:r>
      <w:hyperlink r:id="rId74">
        <w:r>
          <w:rPr>
            <w:color w:val="0563C1"/>
            <w:u w:val="single"/>
            <w:sz w:val="19"/>
          </w:rPr>
          <w:t xml:space="preserve">Free full text</w:t>
        </w:r>
      </w:hyperlink>
      <w:r>
        <w:rPr>
          <w:b w:val="0"/>
          <w:i w:val="0"/>
          <w:sz w:val="19"/>
        </w:rPr>
        <w:t xml:space="preserve"> · </w:t>
      </w:r>
      <w:hyperlink r:id="rId75">
        <w:r>
          <w:rPr>
            <w:color w:val="0563C1"/>
            <w:u w:val="single"/>
            <w:sz w:val="19"/>
          </w:rPr>
          <w:t xml:space="preserve">Source</w:t>
        </w:r>
      </w:hyperlink>
      <w:r>
        <w:rPr>
          <w:b w:val="0"/>
          <w:i w:val="0"/>
          <w:sz w:val="19"/>
        </w:rPr>
        <w:t xml:space="preserve"> · </w:t>
      </w:r>
      <w:hyperlink r:id="rId76">
        <w:r>
          <w:rPr>
            <w:color w:val="0563C1"/>
            <w:u w:val="single"/>
            <w:sz w:val="19"/>
          </w:rPr>
          <w:t xml:space="preserve">TMC library</w:t>
        </w:r>
      </w:hyperlink>
    </w:p>
    <w:p>
      <w:pPr>
        <w:spacing w:after="60"/>
      </w:pPr>
      <w:r>
        <w:rPr>
          <w:b/>
          <w:i w:val="0"/>
          <w:sz w:val="19"/>
        </w:rPr>
        <w:t>SYS-TARE 2024</w:t>
      </w:r>
      <w:r>
        <w:rPr>
          <w:b w:val="0"/>
          <w:i w:val="0"/>
          <w:sz w:val="19"/>
        </w:rPr>
        <w:t xml:space="preserve"> — Liver Transplantation for Intrahepatic Cholangiocarcinoma After Chemotherapy and Radioembolization: An Intention-To-Treat Study</w:t>
      </w:r>
      <w:r>
        <w:rPr>
          <w:b w:val="0"/>
          <w:i w:val="0"/>
          <w:sz w:val="19"/>
        </w:rPr>
        <w:t xml:space="preserve">  </w:t>
      </w:r>
      <w:hyperlink r:id="rId77">
        <w:r>
          <w:rPr>
            <w:color w:val="0563C1"/>
            <w:u w:val="single"/>
            <w:sz w:val="19"/>
          </w:rPr>
          <w:t xml:space="preserve">PubMed</w:t>
        </w:r>
      </w:hyperlink>
      <w:r>
        <w:rPr>
          <w:b w:val="0"/>
          <w:i w:val="0"/>
          <w:sz w:val="19"/>
        </w:rPr>
        <w:t xml:space="preserve"> · </w:t>
      </w:r>
      <w:hyperlink r:id="rId78">
        <w:r>
          <w:rPr>
            <w:color w:val="0563C1"/>
            <w:u w:val="single"/>
            <w:sz w:val="19"/>
          </w:rPr>
          <w:t xml:space="preserve">Journal</w:t>
        </w:r>
      </w:hyperlink>
      <w:r>
        <w:rPr>
          <w:b w:val="0"/>
          <w:i w:val="0"/>
          <w:sz w:val="19"/>
        </w:rPr>
        <w:t xml:space="preserve"> · </w:t>
      </w:r>
      <w:hyperlink r:id="rId79">
        <w:r>
          <w:rPr>
            <w:color w:val="0563C1"/>
            <w:u w:val="single"/>
            <w:sz w:val="19"/>
          </w:rPr>
          <w:t xml:space="preserve">Free full text</w:t>
        </w:r>
      </w:hyperlink>
      <w:r>
        <w:rPr>
          <w:b w:val="0"/>
          <w:i w:val="0"/>
          <w:sz w:val="19"/>
        </w:rPr>
        <w:t xml:space="preserve"> · </w:t>
      </w:r>
      <w:hyperlink r:id="rId80">
        <w:r>
          <w:rPr>
            <w:color w:val="0563C1"/>
            <w:u w:val="single"/>
            <w:sz w:val="19"/>
          </w:rPr>
          <w:t xml:space="preserve">Source</w:t>
        </w:r>
      </w:hyperlink>
      <w:r>
        <w:rPr>
          <w:b w:val="0"/>
          <w:i w:val="0"/>
          <w:sz w:val="19"/>
        </w:rPr>
        <w:t xml:space="preserve"> · </w:t>
      </w:r>
      <w:hyperlink r:id="rId81">
        <w:r>
          <w:rPr>
            <w:color w:val="0563C1"/>
            <w:u w:val="single"/>
            <w:sz w:val="19"/>
          </w:rPr>
          <w:t xml:space="preserve">TMC library</w:t>
        </w:r>
      </w:hyperlink>
    </w:p>
    <w:p>
      <w:pPr>
        <w:spacing w:after="60"/>
      </w:pPr>
      <w:r>
        <w:rPr>
          <w:b/>
          <w:i w:val="0"/>
          <w:sz w:val="19"/>
        </w:rPr>
        <w:t>Thomas 2014</w:t>
      </w:r>
      <w:r>
        <w:rPr>
          <w:b w:val="0"/>
          <w:i w:val="0"/>
          <w:sz w:val="19"/>
        </w:rPr>
        <w:t xml:space="preserve"> — Treatment sequencing strategy for hepatic epithelioid haemangioendothelioma</w:t>
      </w:r>
      <w:r>
        <w:rPr>
          <w:b w:val="0"/>
          <w:i w:val="0"/>
          <w:sz w:val="19"/>
        </w:rPr>
        <w:t xml:space="preserve">  </w:t>
      </w:r>
      <w:hyperlink r:id="rId82">
        <w:r>
          <w:rPr>
            <w:color w:val="0563C1"/>
            <w:u w:val="single"/>
            <w:sz w:val="19"/>
          </w:rPr>
          <w:t xml:space="preserve">PubMed</w:t>
        </w:r>
      </w:hyperlink>
      <w:r>
        <w:rPr>
          <w:b w:val="0"/>
          <w:i w:val="0"/>
          <w:sz w:val="19"/>
        </w:rPr>
        <w:t xml:space="preserve"> · </w:t>
      </w:r>
      <w:hyperlink r:id="rId83">
        <w:r>
          <w:rPr>
            <w:color w:val="0563C1"/>
            <w:u w:val="single"/>
            <w:sz w:val="19"/>
          </w:rPr>
          <w:t xml:space="preserve">Journal</w:t>
        </w:r>
      </w:hyperlink>
      <w:r>
        <w:rPr>
          <w:b w:val="0"/>
          <w:i w:val="0"/>
          <w:sz w:val="19"/>
        </w:rPr>
        <w:t xml:space="preserve"> · </w:t>
      </w:r>
      <w:hyperlink r:id="rId84">
        <w:r>
          <w:rPr>
            <w:color w:val="0563C1"/>
            <w:u w:val="single"/>
            <w:sz w:val="19"/>
          </w:rPr>
          <w:t xml:space="preserve">Free full text</w:t>
        </w:r>
      </w:hyperlink>
      <w:r>
        <w:rPr>
          <w:b w:val="0"/>
          <w:i w:val="0"/>
          <w:sz w:val="19"/>
        </w:rPr>
        <w:t xml:space="preserve"> · </w:t>
      </w:r>
      <w:hyperlink r:id="rId85">
        <w:r>
          <w:rPr>
            <w:color w:val="0563C1"/>
            <w:u w:val="single"/>
            <w:sz w:val="19"/>
          </w:rPr>
          <w:t xml:space="preserve">Source</w:t>
        </w:r>
      </w:hyperlink>
      <w:r>
        <w:rPr>
          <w:b w:val="0"/>
          <w:i w:val="0"/>
          <w:sz w:val="19"/>
        </w:rPr>
        <w:t xml:space="preserve"> · </w:t>
      </w:r>
      <w:hyperlink r:id="rId86">
        <w:r>
          <w:rPr>
            <w:color w:val="0563C1"/>
            <w:u w:val="single"/>
            <w:sz w:val="19"/>
          </w:rPr>
          <w:t xml:space="preserve">TMC library</w:t>
        </w:r>
      </w:hyperlink>
    </w:p>
    <w:p>
      <w:pPr>
        <w:spacing w:after="60"/>
      </w:pPr>
      <w:r>
        <w:rPr>
          <w:b/>
          <w:i w:val="0"/>
          <w:sz w:val="19"/>
        </w:rPr>
        <w:t>TransMet 2024</w:t>
      </w:r>
      <w:r>
        <w:rPr>
          <w:b w:val="0"/>
          <w:i w:val="0"/>
          <w:sz w:val="19"/>
        </w:rPr>
        <w:t xml:space="preserve"> — Liver transplantation plus chemotherapy versus chemotherapy alone in patients with permanently unresectable colorectal liver metastases (TransMet): results from a multicentre, open-label, prospective, randomised controlled trial</w:t>
      </w:r>
      <w:r>
        <w:rPr>
          <w:b w:val="0"/>
          <w:i w:val="0"/>
          <w:sz w:val="19"/>
        </w:rPr>
        <w:t xml:space="preserve">  </w:t>
      </w:r>
      <w:hyperlink r:id="rId87">
        <w:r>
          <w:rPr>
            <w:color w:val="0563C1"/>
            <w:u w:val="single"/>
            <w:sz w:val="19"/>
          </w:rPr>
          <w:t xml:space="preserve">PubMed</w:t>
        </w:r>
      </w:hyperlink>
      <w:r>
        <w:rPr>
          <w:b w:val="0"/>
          <w:i w:val="0"/>
          <w:sz w:val="19"/>
        </w:rPr>
        <w:t xml:space="preserve"> · </w:t>
      </w:r>
      <w:hyperlink r:id="rId88">
        <w:r>
          <w:rPr>
            <w:color w:val="0563C1"/>
            <w:u w:val="single"/>
            <w:sz w:val="19"/>
          </w:rPr>
          <w:t xml:space="preserve">Journal</w:t>
        </w:r>
      </w:hyperlink>
      <w:r>
        <w:rPr>
          <w:b w:val="0"/>
          <w:i w:val="0"/>
          <w:sz w:val="19"/>
        </w:rPr>
        <w:t xml:space="preserve"> · </w:t>
      </w:r>
      <w:hyperlink r:id="rId89">
        <w:r>
          <w:rPr>
            <w:color w:val="0563C1"/>
            <w:u w:val="single"/>
            <w:sz w:val="19"/>
          </w:rPr>
          <w:t xml:space="preserve">TMC library</w:t>
        </w:r>
      </w:hyperlink>
    </w:p>
    <w:p>
      <w:pPr>
        <w:spacing w:after="60"/>
      </w:pPr>
      <w:r>
        <w:rPr>
          <w:b/>
          <w:i w:val="0"/>
          <w:sz w:val="19"/>
        </w:rPr>
        <w:t>Xiao 2024</w:t>
      </w:r>
      <w:r>
        <w:rPr>
          <w:b w:val="0"/>
          <w:i w:val="0"/>
          <w:sz w:val="19"/>
        </w:rPr>
        <w:t xml:space="preserve"> — The incidence of adverse outcome in donors after living donor liver transplantation: A meta-analysis of 60,829 donors</w:t>
      </w:r>
      <w:r>
        <w:rPr>
          <w:b w:val="0"/>
          <w:i w:val="0"/>
          <w:sz w:val="19"/>
        </w:rPr>
        <w:t xml:space="preserve">  </w:t>
      </w:r>
      <w:hyperlink r:id="rId90">
        <w:r>
          <w:rPr>
            <w:color w:val="0563C1"/>
            <w:u w:val="single"/>
            <w:sz w:val="19"/>
          </w:rPr>
          <w:t xml:space="preserve">PubMed</w:t>
        </w:r>
      </w:hyperlink>
      <w:r>
        <w:rPr>
          <w:b w:val="0"/>
          <w:i w:val="0"/>
          <w:sz w:val="19"/>
        </w:rPr>
        <w:t xml:space="preserve"> · </w:t>
      </w:r>
      <w:hyperlink r:id="rId91">
        <w:r>
          <w:rPr>
            <w:color w:val="0563C1"/>
            <w:u w:val="single"/>
            <w:sz w:val="19"/>
          </w:rPr>
          <w:t xml:space="preserve">Journal</w:t>
        </w:r>
      </w:hyperlink>
      <w:r>
        <w:rPr>
          <w:b w:val="0"/>
          <w:i w:val="0"/>
          <w:sz w:val="19"/>
        </w:rPr>
        <w:t xml:space="preserve"> · </w:t>
      </w:r>
      <w:hyperlink r:id="rId92">
        <w:r>
          <w:rPr>
            <w:color w:val="0563C1"/>
            <w:u w:val="single"/>
            <w:sz w:val="19"/>
          </w:rPr>
          <w:t xml:space="preserve">TMC library</w:t>
        </w:r>
      </w:hyperlink>
    </w:p>
    <w:p>
      <w:pPr>
        <w:spacing w:after="60"/>
      </w:pPr>
      <w:r>
        <w:rPr>
          <w:b/>
          <w:i w:val="0"/>
          <w:sz w:val="19"/>
        </w:rPr>
        <w:t>XXL 2020</w:t>
      </w:r>
      <w:r>
        <w:rPr>
          <w:b w:val="0"/>
          <w:i w:val="0"/>
          <w:sz w:val="19"/>
        </w:rPr>
        <w:t xml:space="preserve"> — Liver transplantation in hepatocellular carcinoma after tumour downstaging (XXL): a randomised, controlled, phase 2b/3 trial</w:t>
      </w:r>
      <w:r>
        <w:rPr>
          <w:b w:val="0"/>
          <w:i w:val="0"/>
          <w:sz w:val="19"/>
        </w:rPr>
        <w:t xml:space="preserve">  </w:t>
      </w:r>
      <w:hyperlink r:id="rId93">
        <w:r>
          <w:rPr>
            <w:color w:val="0563C1"/>
            <w:u w:val="single"/>
            <w:sz w:val="19"/>
          </w:rPr>
          <w:t xml:space="preserve">PubMed</w:t>
        </w:r>
      </w:hyperlink>
      <w:r>
        <w:rPr>
          <w:b w:val="0"/>
          <w:i w:val="0"/>
          <w:sz w:val="19"/>
        </w:rPr>
        <w:t xml:space="preserve"> · </w:t>
      </w:r>
      <w:hyperlink r:id="rId94">
        <w:r>
          <w:rPr>
            <w:color w:val="0563C1"/>
            <w:u w:val="single"/>
            <w:sz w:val="19"/>
          </w:rPr>
          <w:t xml:space="preserve">Journal</w:t>
        </w:r>
      </w:hyperlink>
      <w:r>
        <w:rPr>
          <w:b w:val="0"/>
          <w:i w:val="0"/>
          <w:sz w:val="19"/>
        </w:rPr>
        <w:t xml:space="preserve"> · </w:t>
      </w:r>
      <w:hyperlink r:id="rId95">
        <w:r>
          <w:rPr>
            <w:color w:val="0563C1"/>
            <w:u w:val="single"/>
            <w:sz w:val="19"/>
          </w:rPr>
          <w:t xml:space="preserve">TMC library</w:t>
        </w:r>
      </w:hyperlink>
    </w:p>
    <w:p>
      <w:pPr>
        <w:spacing w:after="60"/>
      </w:pPr>
      <w:r>
        <w:rPr>
          <w:b/>
          <w:i w:val="0"/>
          <w:sz w:val="19"/>
        </w:rPr>
        <w:t>Yaqub 2025</w:t>
      </w:r>
      <w:r>
        <w:rPr>
          <w:b w:val="0"/>
          <w:i w:val="0"/>
          <w:sz w:val="19"/>
        </w:rPr>
        <w:t xml:space="preserve"> — Liver transplantation for locally advanced non-resectable intrahepatic cholangiocarcinoma treated with neoadjuvant therapy: early results from the TESLA trial</w:t>
      </w:r>
      <w:r>
        <w:rPr>
          <w:b w:val="0"/>
          <w:i w:val="0"/>
          <w:sz w:val="19"/>
        </w:rPr>
        <w:t xml:space="preserve">  </w:t>
      </w:r>
      <w:hyperlink r:id="rId96">
        <w:r>
          <w:rPr>
            <w:color w:val="0563C1"/>
            <w:u w:val="single"/>
            <w:sz w:val="19"/>
          </w:rPr>
          <w:t xml:space="preserve">PubMed</w:t>
        </w:r>
      </w:hyperlink>
      <w:r>
        <w:rPr>
          <w:b w:val="0"/>
          <w:i w:val="0"/>
          <w:sz w:val="19"/>
        </w:rPr>
        <w:t xml:space="preserve"> · </w:t>
      </w:r>
      <w:hyperlink r:id="rId97">
        <w:r>
          <w:rPr>
            <w:color w:val="0563C1"/>
            <w:u w:val="single"/>
            <w:sz w:val="19"/>
          </w:rPr>
          <w:t xml:space="preserve">Journal</w:t>
        </w:r>
      </w:hyperlink>
      <w:r>
        <w:rPr>
          <w:b w:val="0"/>
          <w:i w:val="0"/>
          <w:sz w:val="19"/>
        </w:rPr>
        <w:t xml:space="preserve"> · </w:t>
      </w:r>
      <w:hyperlink r:id="rId98">
        <w:r>
          <w:rPr>
            <w:color w:val="0563C1"/>
            <w:u w:val="single"/>
            <w:sz w:val="19"/>
          </w:rPr>
          <w:t xml:space="preserve">Free full text</w:t>
        </w:r>
      </w:hyperlink>
      <w:r>
        <w:rPr>
          <w:b w:val="0"/>
          <w:i w:val="0"/>
          <w:sz w:val="19"/>
        </w:rPr>
        <w:t xml:space="preserve"> · </w:t>
      </w:r>
      <w:hyperlink r:id="rId99">
        <w:r>
          <w:rPr>
            <w:color w:val="0563C1"/>
            <w:u w:val="single"/>
            <w:sz w:val="19"/>
          </w:rPr>
          <w:t xml:space="preserve">Source</w:t>
        </w:r>
      </w:hyperlink>
      <w:r>
        <w:rPr>
          <w:b w:val="0"/>
          <w:i w:val="0"/>
          <w:sz w:val="19"/>
        </w:rPr>
        <w:t xml:space="preserve"> · </w:t>
      </w:r>
      <w:hyperlink r:id="rId100">
        <w:r>
          <w:rPr>
            <w:color w:val="0563C1"/>
            <w:u w:val="single"/>
            <w:sz w:val="19"/>
          </w:rPr>
          <w:t xml:space="preserve">TMC library</w:t>
        </w:r>
      </w:hyperlink>
    </w:p>
    <w:sectPr>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6069"/>
        <w:sz w:val="15"/>
        <w:szCs w:val="15"/>
      </w:rPr>
      <w:t xml:space="preserve">HPB oncology working reference  |  </w:t>
    </w:r>
    <w:r>
      <w:rPr>
        <w:sz w:val="15"/>
        <w:szCs w:val="15"/>
      </w:rPr>
      <w:t xml:space="preserve"/>
    </w:r>
    <w:r>
      <w:rPr>
        <w:color w:val="5A606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3">
    <w:abstractNumId w:val="4"/>
  </w:num>
  <w:abstractNum w:abstractNumId="5">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4">
    <w:abstractNumId w:val="5"/>
  </w:num>
  <w:abstractNum w:abstractNumId="6">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5">
    <w:abstractNumId w:val="6"/>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181F"/>
        <w:sz w:val="20"/>
        <w:szCs w:val="20"/>
      </w:rPr>
    </w:rPrDefault>
    <w:pPrDefault>
      <w:pPr>
        <w:spacing w:line="276"/>
      </w:pPr>
    </w:pPrDefault>
  </w:docDefaults>
  <w:style w:type="paragraph" w:styleId="Title">
    <w:name w:val="Title"/>
    <w:basedOn w:val="Normal"/>
    <w:next w:val="Normal"/>
    <w:qFormat/>
    <w:rPr>
      <w:sz w:val="56"/>
      <w:szCs w:val="56"/>
      <w:color w:val="000000"/>
      <w:u w:val="none"/>
    </w:rPr>
  </w:style>
  <w:style w:type="paragraph" w:styleId="Heading1">
    <w:name w:val="Heading 1"/>
    <w:basedOn w:val="Normal"/>
    <w:next w:val="Normal"/>
    <w:qFormat/>
    <w:rPr>
      <w:rFonts w:ascii="Cambria" w:cs="Cambria" w:eastAsia="Cambria" w:hAnsi="Cambria"/>
      <w:b/>
      <w:bCs/>
      <w:color w:val="17365D"/>
      <w:sz w:val="32"/>
      <w:szCs w:val="32"/>
    </w:rPr>
  </w:style>
  <w:style w:type="paragraph" w:styleId="Heading2">
    <w:name w:val="Heading 2"/>
    <w:basedOn w:val="Normal"/>
    <w:next w:val="Normal"/>
    <w:qFormat/>
    <w:rPr>
      <w:rFonts w:ascii="Cambria" w:cs="Cambria" w:eastAsia="Cambria" w:hAnsi="Cambria"/>
      <w:b/>
      <w:bCs/>
      <w:color w:val="17365D"/>
      <w:sz w:val="26"/>
      <w:szCs w:val="26"/>
    </w:rPr>
  </w:style>
  <w:style w:type="paragraph" w:styleId="Heading3">
    <w:name w:val="Heading 3"/>
    <w:basedOn w:val="Normal"/>
    <w:next w:val="Normal"/>
    <w:qFormat/>
    <w:rPr>
      <w:rFonts w:ascii="Cambria" w:cs="Cambria" w:eastAsia="Cambria" w:hAnsi="Cambria"/>
      <w:b/>
      <w:bCs/>
      <w:color w:val="17365D"/>
      <w:sz w:val="22"/>
      <w:szCs w:val="22"/>
    </w:rPr>
  </w:style>
  <w:style w:type="paragraph" w:styleId="Heading4">
    <w:name w:val="Heading 4"/>
    <w:basedOn w:val="Normal"/>
    <w:next w:val="Normal"/>
    <w:qFormat/>
    <w:rPr>
      <w:rFonts w:ascii="Calibri" w:cs="Calibri" w:eastAsia="Calibri" w:hAnsi="Calibri"/>
      <w:b/>
      <w:bCs/>
      <w:color w:val="176A87"/>
      <w:sz w:val="20"/>
      <w:szCs w:val="2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oter" Target="footer1.xml"/><Relationship Id="rId8" Type="http://schemas.openxmlformats.org/officeDocument/2006/relationships/fontTable" Target="fontTable.xml"/><Relationship Id="rId6" Type="http://schemas.openxmlformats.org/officeDocument/2006/relationships/hyperlink" Target="https://drliuhao.github.io/mh-liver-pathways/transplant/hehe/#risk" TargetMode="External"/><Relationship Id="rId9" Type="http://schemas.openxmlformats.org/officeDocument/2006/relationships/hyperlink" Target="https://drliuhao.github.io/mh-liver-pathways/transplant/hehe/#high-risk-hehe-b1" TargetMode="External"/><Relationship Id="rId10" Type="http://schemas.openxmlformats.org/officeDocument/2006/relationships/hyperlink" Target="https://drliuhao.github.io/mh-liver-pathways/transplant/hehe/#stage" TargetMode="External"/><Relationship Id="rId11" Type="http://schemas.openxmlformats.org/officeDocument/2006/relationships/hyperlink" Target="https://drliuhao.github.io/mh-liver-pathways/transplant/hehe/#high-risk-hehe-b2" TargetMode="External"/><Relationship Id="rId12" Type="http://schemas.openxmlformats.org/officeDocument/2006/relationships/hyperlink" Target="https://drliuhao.github.io/mh-liver-pathways/transplant/hehe/#high-risk-alloc-b1" TargetMode="External"/><Relationship Id="rId13" Type="http://schemas.openxmlformats.org/officeDocument/2006/relationships/hyperlink" Target="https://drliuhao.github.io/mh-liver-pathways/transplant/hehe/#high-risk-alloc-b2" TargetMode="External"/><Relationship Id="rId14" Type="http://schemas.openxmlformats.org/officeDocument/2006/relationships/hyperlink" Target="https://drliuhao.github.io/mh-liver-pathways/transplant/hehe/#high-risk-alloc-b3" TargetMode="External"/><Relationship Id="rId15" Type="http://schemas.openxmlformats.org/officeDocument/2006/relationships/hyperlink" Target="https://drliuhao.github.io/mh-liver-pathways/transplant/hehe/#high-risk-alloc-b4" TargetMode="External"/><Relationship Id="rId16" Type="http://schemas.openxmlformats.org/officeDocument/2006/relationships/hyperlink" Target="https://pubmed.ncbi.nlm.nih.gov/22335782/" TargetMode="External"/><Relationship Id="rId17" Type="http://schemas.openxmlformats.org/officeDocument/2006/relationships/hyperlink" Target="https://doi.org/10.1111/j.1600-6143.2011.03972.x" TargetMode="External"/><Relationship Id="rId18" Type="http://schemas.openxmlformats.org/officeDocument/2006/relationships/hyperlink" Target="https://pmc.ncbi.nlm.nih.gov/articles/PMC3732171/pdf/nihms-491154.pdf" TargetMode="External"/><Relationship Id="rId19" Type="http://schemas.openxmlformats.org/officeDocument/2006/relationships/hyperlink" Target="https://pmc.ncbi.nlm.nih.gov/articles/PMC3732171/" TargetMode="External"/><Relationship Id="rId20" Type="http://schemas.openxmlformats.org/officeDocument/2006/relationships/hyperlink" Target="https://thslc-houston.primo.exlibrisgroup.com/discovery/search?vid=01TEXASHEALTH_HOUSTON%3ATMC_INST&amp;query=any,contains,10.1111%2Fj.1600-6143.2011.03972.x&amp;lang=en" TargetMode="External"/><Relationship Id="rId21" Type="http://schemas.openxmlformats.org/officeDocument/2006/relationships/hyperlink" Target="https://pubmed.ncbi.nlm.nih.gov/38958301/" TargetMode="External"/><Relationship Id="rId22" Type="http://schemas.openxmlformats.org/officeDocument/2006/relationships/hyperlink" Target="https://doi.org/10.14309/ajg.0000000000002857" TargetMode="External"/><Relationship Id="rId23" Type="http://schemas.openxmlformats.org/officeDocument/2006/relationships/hyperlink" Target="https://thslc-houston.primo.exlibrisgroup.com/discovery/search?vid=01TEXASHEALTH_HOUSTON%3ATMC_INST&amp;query=any,contains,10.14309%2Fajg.0000000000002857&amp;lang=en" TargetMode="External"/><Relationship Id="rId24" Type="http://schemas.openxmlformats.org/officeDocument/2006/relationships/hyperlink" Target="https://pubmed.ncbi.nlm.nih.gov/38521169/" TargetMode="External"/><Relationship Id="rId25" Type="http://schemas.openxmlformats.org/officeDocument/2006/relationships/hyperlink" Target="https://doi.org/10.1016/j.jhep.2024.03.020" TargetMode="External"/><Relationship Id="rId26" Type="http://schemas.openxmlformats.org/officeDocument/2006/relationships/hyperlink" Target="https://thslc-houston.primo.exlibrisgroup.com/discovery/search?vid=01TEXASHEALTH_HOUSTON%3ATMC_INST&amp;query=any,contains,10.1016%2Fj.jhep.2024.03.020&amp;lang=en" TargetMode="External"/><Relationship Id="rId27" Type="http://schemas.openxmlformats.org/officeDocument/2006/relationships/hyperlink" Target="https://pubmed.ncbi.nlm.nih.gov/31577674/" TargetMode="External"/><Relationship Id="rId28" Type="http://schemas.openxmlformats.org/officeDocument/2006/relationships/hyperlink" Target="https://doi.org/10.1097/TP.0000000000002982" TargetMode="External"/><Relationship Id="rId29" Type="http://schemas.openxmlformats.org/officeDocument/2006/relationships/hyperlink" Target="https://thslc-houston.primo.exlibrisgroup.com/discovery/search?vid=01TEXASHEALTH_HOUSTON%3ATMC_INST&amp;query=any,contains,10.1097%2FTP.0000000000002982&amp;lang=en" TargetMode="External"/><Relationship Id="rId30" Type="http://schemas.openxmlformats.org/officeDocument/2006/relationships/hyperlink" Target="https://pubmed.ncbi.nlm.nih.gov/39250961/" TargetMode="External"/><Relationship Id="rId31" Type="http://schemas.openxmlformats.org/officeDocument/2006/relationships/hyperlink" Target="https://doi.org/10.1055/a-2255-7246" TargetMode="External"/><Relationship Id="rId32" Type="http://schemas.openxmlformats.org/officeDocument/2006/relationships/hyperlink" Target="https://www.dgvs.de/new-leitlinien/chapter_69dd0a7e0a788/chapter_69dd0a8673cf0/chapter_69dd0a870db79/" TargetMode="External"/><Relationship Id="rId33" Type="http://schemas.openxmlformats.org/officeDocument/2006/relationships/hyperlink" Target="https://thslc-houston.primo.exlibrisgroup.com/discovery/search?vid=01TEXASHEALTH_HOUSTON%3ATMC_INST&amp;query=any,contains,10.1055%2Fa-2255-7246&amp;lang=en" TargetMode="External"/><Relationship Id="rId34" Type="http://schemas.openxmlformats.org/officeDocument/2006/relationships/hyperlink" Target="https://pubmed.ncbi.nlm.nih.gov/27647626/" TargetMode="External"/><Relationship Id="rId35" Type="http://schemas.openxmlformats.org/officeDocument/2006/relationships/hyperlink" Target="https://doi.org/10.1111/ajt.14055" TargetMode="External"/><Relationship Id="rId36" Type="http://schemas.openxmlformats.org/officeDocument/2006/relationships/hyperlink" Target="https://pmc.ncbi.nlm.nih.gov/articles/PMC5359081/pdf/nihms818467.pdf" TargetMode="External"/><Relationship Id="rId37" Type="http://schemas.openxmlformats.org/officeDocument/2006/relationships/hyperlink" Target="https://pmc.ncbi.nlm.nih.gov/articles/PMC5359081/" TargetMode="External"/><Relationship Id="rId38" Type="http://schemas.openxmlformats.org/officeDocument/2006/relationships/hyperlink" Target="https://thslc-houston.primo.exlibrisgroup.com/discovery/search?vid=01TEXASHEALTH_HOUSTON%3ATMC_INST&amp;query=any,contains,10.1111%2Fajt.14055&amp;lang=en" TargetMode="External"/><Relationship Id="rId39" Type="http://schemas.openxmlformats.org/officeDocument/2006/relationships/hyperlink" Target="https://pubmed.ncbi.nlm.nih.gov/42270817/" TargetMode="External"/><Relationship Id="rId40" Type="http://schemas.openxmlformats.org/officeDocument/2006/relationships/hyperlink" Target="https://doi.org/10.1038/s41571-026-01160-z" TargetMode="External"/><Relationship Id="rId41" Type="http://schemas.openxmlformats.org/officeDocument/2006/relationships/hyperlink" Target="https://pmc.ncbi.nlm.nih.gov/articles/PMC13665261/pdf/nihms-2192929.pdf" TargetMode="External"/><Relationship Id="rId42" Type="http://schemas.openxmlformats.org/officeDocument/2006/relationships/hyperlink" Target="https://pmc.ncbi.nlm.nih.gov/articles/PMC13665261/" TargetMode="External"/><Relationship Id="rId43" Type="http://schemas.openxmlformats.org/officeDocument/2006/relationships/hyperlink" Target="https://thslc-houston.primo.exlibrisgroup.com/discovery/search?vid=01TEXASHEALTH_HOUSTON%3ATMC_INST&amp;query=any,contains,10.1038%2Fs41571-026-01160-z&amp;lang=en" TargetMode="External"/><Relationship Id="rId44" Type="http://schemas.openxmlformats.org/officeDocument/2006/relationships/hyperlink" Target="https://pubmed.ncbi.nlm.nih.gov/27777223/" TargetMode="External"/><Relationship Id="rId45" Type="http://schemas.openxmlformats.org/officeDocument/2006/relationships/hyperlink" Target="https://doi.org/10.1136/bmj.i5239" TargetMode="External"/><Relationship Id="rId46" Type="http://schemas.openxmlformats.org/officeDocument/2006/relationships/hyperlink" Target="https://pmc.ncbi.nlm.nih.gov/articles/PMC5076380/" TargetMode="External"/><Relationship Id="rId47" Type="http://schemas.openxmlformats.org/officeDocument/2006/relationships/hyperlink" Target="https://thslc-houston.primo.exlibrisgroup.com/discovery/search?vid=01TEXASHEALTH_HOUSTON%3ATMC_INST&amp;query=any,contains,10.1136%2Fbmj.i5239&amp;lang=en" TargetMode="External"/><Relationship Id="rId48" Type="http://schemas.openxmlformats.org/officeDocument/2006/relationships/hyperlink" Target="https://www.ecfr.gov/current/title-45/subtitle-A/subchapter-A/part-46/subpart-A/section-46.111" TargetMode="External"/><Relationship Id="rId49" Type="http://schemas.openxmlformats.org/officeDocument/2006/relationships/hyperlink" Target="https://pubmed.ncbi.nlm.nih.gov/42835360/" TargetMode="External"/><Relationship Id="rId50" Type="http://schemas.openxmlformats.org/officeDocument/2006/relationships/hyperlink" Target="https://doi.org/10.1155/joot/2545887" TargetMode="External"/><Relationship Id="rId51" Type="http://schemas.openxmlformats.org/officeDocument/2006/relationships/hyperlink" Target="https://thslc-houston.primo.exlibrisgroup.com/discovery/search?vid=01TEXASHEALTH_HOUSTON%3ATMC_INST&amp;query=any,contains,10.1155%2Fjoot%2F2545887&amp;lang=en" TargetMode="External"/><Relationship Id="rId52" Type="http://schemas.openxmlformats.org/officeDocument/2006/relationships/hyperlink" Target="https://pubmed.ncbi.nlm.nih.gov/28212256/" TargetMode="External"/><Relationship Id="rId53" Type="http://schemas.openxmlformats.org/officeDocument/2006/relationships/hyperlink" Target="https://doi.org/10.1097/TP.0000000000001603" TargetMode="External"/><Relationship Id="rId54" Type="http://schemas.openxmlformats.org/officeDocument/2006/relationships/hyperlink" Target="https://thslc-houston.primo.exlibrisgroup.com/discovery/search?vid=01TEXASHEALTH_HOUSTON%3ATMC_INST&amp;query=any,contains,10.1097%2FTP.0000000000001603&amp;lang=en" TargetMode="External"/><Relationship Id="rId55" Type="http://schemas.openxmlformats.org/officeDocument/2006/relationships/hyperlink" Target="https://pubmed.ncbi.nlm.nih.gov/18043096/" TargetMode="External"/><Relationship Id="rId56" Type="http://schemas.openxmlformats.org/officeDocument/2006/relationships/hyperlink" Target="https://doi.org/10.1097/SLA.0b013e31815c2a70" TargetMode="External"/><Relationship Id="rId57" Type="http://schemas.openxmlformats.org/officeDocument/2006/relationships/hyperlink" Target="https://thslc-houston.primo.exlibrisgroup.com/discovery/search?vid=01TEXASHEALTH_HOUSTON%3ATMC_INST&amp;query=any,contains,10.1097%2FSLA.0b013e31815c2a70&amp;lang=en" TargetMode="External"/><Relationship Id="rId58" Type="http://schemas.openxmlformats.org/officeDocument/2006/relationships/hyperlink" Target="https://pubmed.ncbi.nlm.nih.gov/39415114/" TargetMode="External"/><Relationship Id="rId59" Type="http://schemas.openxmlformats.org/officeDocument/2006/relationships/hyperlink" Target="https://doi.org/10.1186/s12885-024-13053-4" TargetMode="External"/><Relationship Id="rId60" Type="http://schemas.openxmlformats.org/officeDocument/2006/relationships/hyperlink" Target="https://pmc.ncbi.nlm.nih.gov/articles/PMC11481724/pdf/12885_2024_Article_13053.pdf" TargetMode="External"/><Relationship Id="rId61" Type="http://schemas.openxmlformats.org/officeDocument/2006/relationships/hyperlink" Target="https://pmc.ncbi.nlm.nih.gov/articles/PMC11481724/" TargetMode="External"/><Relationship Id="rId62" Type="http://schemas.openxmlformats.org/officeDocument/2006/relationships/hyperlink" Target="https://thslc-houston.primo.exlibrisgroup.com/discovery/search?vid=01TEXASHEALTH_HOUSTON%3ATMC_INST&amp;query=any,contains,10.1186%2Fs12885-024-13053-4&amp;lang=en" TargetMode="External"/><Relationship Id="rId63" Type="http://schemas.openxmlformats.org/officeDocument/2006/relationships/hyperlink" Target="https://www.hrsa.gov/sites/default/files/hrsa/optn/adult-meld-exception-transplant-oncology-review-guidance.pdf" TargetMode="External"/><Relationship Id="rId64" Type="http://schemas.openxmlformats.org/officeDocument/2006/relationships/hyperlink" Target="https://www.hrsa.gov/optn/professionals/resources/ethical-considerations/ethical-principles-in-the-allocation-of-human-organs" TargetMode="External"/><Relationship Id="rId65" Type="http://schemas.openxmlformats.org/officeDocument/2006/relationships/hyperlink" Target="https://www.hrsa.gov/sites/default/files/hrsa/optn/optn_policies.pdf" TargetMode="External"/><Relationship Id="rId66" Type="http://schemas.openxmlformats.org/officeDocument/2006/relationships/hyperlink" Target="https://pubmed.ncbi.nlm.nih.gov/31537895/" TargetMode="External"/><Relationship Id="rId67" Type="http://schemas.openxmlformats.org/officeDocument/2006/relationships/hyperlink" Target="https://doi.org/10.1038/s41379-019-0368-8" TargetMode="External"/><Relationship Id="rId68" Type="http://schemas.openxmlformats.org/officeDocument/2006/relationships/hyperlink" Target="https://thslc-houston.primo.exlibrisgroup.com/discovery/search?vid=01TEXASHEALTH_HOUSTON%3ATMC_INST&amp;query=any,contains,10.1038%2Fs41379-019-0368-8&amp;lang=en" TargetMode="External"/><Relationship Id="rId69" Type="http://schemas.openxmlformats.org/officeDocument/2006/relationships/hyperlink" Target="https://pubmed.ncbi.nlm.nih.gov/39318157/" TargetMode="External"/><Relationship Id="rId70" Type="http://schemas.openxmlformats.org/officeDocument/2006/relationships/hyperlink" Target="https://doi.org/10.1002/jso.27807" TargetMode="External"/><Relationship Id="rId71" Type="http://schemas.openxmlformats.org/officeDocument/2006/relationships/hyperlink" Target="https://thslc-houston.primo.exlibrisgroup.com/discovery/search?vid=01TEXASHEALTH_HOUSTON%3ATMC_INST&amp;query=any,contains,10.1002%2Fjso.27807&amp;lang=en" TargetMode="External"/><Relationship Id="rId72" Type="http://schemas.openxmlformats.org/officeDocument/2006/relationships/hyperlink" Target="https://pubmed.ncbi.nlm.nih.gov/34090171/" TargetMode="External"/><Relationship Id="rId73" Type="http://schemas.openxmlformats.org/officeDocument/2006/relationships/hyperlink" Target="https://doi.org/10.1016/j.esmoop.2021.100170" TargetMode="External"/><Relationship Id="rId74" Type="http://schemas.openxmlformats.org/officeDocument/2006/relationships/hyperlink" Target="https://pmc.ncbi.nlm.nih.gov/articles/PMC8182432/pdf/main.pdf" TargetMode="External"/><Relationship Id="rId75" Type="http://schemas.openxmlformats.org/officeDocument/2006/relationships/hyperlink" Target="https://pmc.ncbi.nlm.nih.gov/articles/PMC8182432/" TargetMode="External"/><Relationship Id="rId76" Type="http://schemas.openxmlformats.org/officeDocument/2006/relationships/hyperlink" Target="https://thslc-houston.primo.exlibrisgroup.com/discovery/search?vid=01TEXASHEALTH_HOUSTON%3ATMC_INST&amp;query=any,contains,10.1016%2Fj.esmoop.2021.100170&amp;lang=en" TargetMode="External"/><Relationship Id="rId77" Type="http://schemas.openxmlformats.org/officeDocument/2006/relationships/hyperlink" Target="https://pubmed.ncbi.nlm.nih.gov/39544321/" TargetMode="External"/><Relationship Id="rId78" Type="http://schemas.openxmlformats.org/officeDocument/2006/relationships/hyperlink" Target="https://doi.org/10.3389/ti.2024.13641" TargetMode="External"/><Relationship Id="rId79" Type="http://schemas.openxmlformats.org/officeDocument/2006/relationships/hyperlink" Target="https://pmc.ncbi.nlm.nih.gov/articles/PMC11560448/pdf/ti-37-13641.pdf" TargetMode="External"/><Relationship Id="rId80" Type="http://schemas.openxmlformats.org/officeDocument/2006/relationships/hyperlink" Target="https://pmc.ncbi.nlm.nih.gov/articles/PMC11560448/" TargetMode="External"/><Relationship Id="rId81" Type="http://schemas.openxmlformats.org/officeDocument/2006/relationships/hyperlink" Target="https://thslc-houston.primo.exlibrisgroup.com/discovery/search?vid=01TEXASHEALTH_HOUSTON%3ATMC_INST&amp;query=any,contains,10.3389%2Fti.2024.13641&amp;lang=en" TargetMode="External"/><Relationship Id="rId82" Type="http://schemas.openxmlformats.org/officeDocument/2006/relationships/hyperlink" Target="https://pubmed.ncbi.nlm.nih.gov/24308564/" TargetMode="External"/><Relationship Id="rId83" Type="http://schemas.openxmlformats.org/officeDocument/2006/relationships/hyperlink" Target="https://doi.org/10.1111/hpb.12202" TargetMode="External"/><Relationship Id="rId84" Type="http://schemas.openxmlformats.org/officeDocument/2006/relationships/hyperlink" Target="https://pmc.ncbi.nlm.nih.gov/articles/PMC4105907/pdf/hpb0016-0677.pdf" TargetMode="External"/><Relationship Id="rId85" Type="http://schemas.openxmlformats.org/officeDocument/2006/relationships/hyperlink" Target="https://pmc.ncbi.nlm.nih.gov/articles/PMC4105907/" TargetMode="External"/><Relationship Id="rId86" Type="http://schemas.openxmlformats.org/officeDocument/2006/relationships/hyperlink" Target="https://thslc-houston.primo.exlibrisgroup.com/discovery/search?vid=01TEXASHEALTH_HOUSTON%3ATMC_INST&amp;query=any,contains,10.1111%2Fhpb.12202&amp;lang=en" TargetMode="External"/><Relationship Id="rId87" Type="http://schemas.openxmlformats.org/officeDocument/2006/relationships/hyperlink" Target="https://pubmed.ncbi.nlm.nih.gov/39306468/" TargetMode="External"/><Relationship Id="rId88" Type="http://schemas.openxmlformats.org/officeDocument/2006/relationships/hyperlink" Target="https://doi.org/10.1016/S0140-6736(24)01595-2" TargetMode="External"/><Relationship Id="rId89" Type="http://schemas.openxmlformats.org/officeDocument/2006/relationships/hyperlink" Target="https://thslc-houston.primo.exlibrisgroup.com/discovery/search?vid=01TEXASHEALTH_HOUSTON%3ATMC_INST&amp;query=any,contains,10.1016%2FS0140-6736%2824%2901595-2&amp;lang=en" TargetMode="External"/><Relationship Id="rId90" Type="http://schemas.openxmlformats.org/officeDocument/2006/relationships/hyperlink" Target="https://pubmed.ncbi.nlm.nih.gov/38015449/" TargetMode="External"/><Relationship Id="rId91" Type="http://schemas.openxmlformats.org/officeDocument/2006/relationships/hyperlink" Target="https://doi.org/10.1097/LVT.0000000000000303" TargetMode="External"/><Relationship Id="rId92" Type="http://schemas.openxmlformats.org/officeDocument/2006/relationships/hyperlink" Target="https://thslc-houston.primo.exlibrisgroup.com/discovery/search?vid=01TEXASHEALTH_HOUSTON%3ATMC_INST&amp;query=any,contains,10.1097%2FLVT.0000000000000303&amp;lang=en" TargetMode="External"/><Relationship Id="rId93" Type="http://schemas.openxmlformats.org/officeDocument/2006/relationships/hyperlink" Target="https://pubmed.ncbi.nlm.nih.gov/32615109/" TargetMode="External"/><Relationship Id="rId94" Type="http://schemas.openxmlformats.org/officeDocument/2006/relationships/hyperlink" Target="https://doi.org/10.1016/S1470-2045(20)30224-2" TargetMode="External"/><Relationship Id="rId95" Type="http://schemas.openxmlformats.org/officeDocument/2006/relationships/hyperlink" Target="https://thslc-houston.primo.exlibrisgroup.com/discovery/search?vid=01TEXASHEALTH_HOUSTON%3ATMC_INST&amp;query=any,contains,10.1016%2FS1470-2045%2820%2930224-2&amp;lang=en" TargetMode="External"/><Relationship Id="rId96" Type="http://schemas.openxmlformats.org/officeDocument/2006/relationships/hyperlink" Target="https://pubmed.ncbi.nlm.nih.gov/40099404/" TargetMode="External"/><Relationship Id="rId97" Type="http://schemas.openxmlformats.org/officeDocument/2006/relationships/hyperlink" Target="https://doi.org/10.1093/bjs/znaf054" TargetMode="External"/><Relationship Id="rId98" Type="http://schemas.openxmlformats.org/officeDocument/2006/relationships/hyperlink" Target="https://pmc.ncbi.nlm.nih.gov/articles/PMC11914714/pdf/znaf054.pdf" TargetMode="External"/><Relationship Id="rId99" Type="http://schemas.openxmlformats.org/officeDocument/2006/relationships/hyperlink" Target="https://pmc.ncbi.nlm.nih.gov/articles/PMC11914714/" TargetMode="External"/><Relationship Id="rId100" Type="http://schemas.openxmlformats.org/officeDocument/2006/relationships/hyperlink" Target="https://thslc-houston.primo.exlibrisgroup.com/discovery/search?vid=01TEXASHEALTH_HOUSTON%3ATMC_INST&amp;query=any,contains,10.1093%2Fbjs%2Fznaf054&amp;lang=en"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Memorial Hermann HCC system roadmap v0.9</dc:title>
  <dc:subject>Hepatocellular carcinoma</dc:subject>
  <dc:creator>Memorial Hermann / UTHealth Houston tumour roadmap programme</dc:creator>
  <dc:description>Draft under development. Not ratified clinical policy.</dc:description>
  <cp:lastModifiedBy>Un-named</cp:lastModifiedBy>
  <cp:revision>1</cp:revision>
  <dcterms:created xsi:type="dcterms:W3CDTF">2026-10-10T04:29:15.270Z</dcterms:created>
  <dcterms:modified xsi:type="dcterms:W3CDTF">2026-10-29T14:21:32Z</dcterms:modified>
</cp:coreProperties>
</file>

<file path=docProps/custom.xml><?xml version="1.0" encoding="utf-8"?>
<Properties xmlns="http://schemas.openxmlformats.org/officeDocument/2006/custom-properties" xmlns:vt="http://schemas.openxmlformats.org/officeDocument/2006/docPropsVTypes"/>
</file>