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Hepatic epithelioid hemangioendothelioma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standard transplant pathway, high-risk transplant protocol.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Standard transplant pathway (full content): </w:t>
      </w:r>
      <w:r>
        <w:rPr>
          <w:b w:val="0"/>
          <w:i/>
        </w:rPr>
        <w:t>HEHE_3_Standard_Transplant_Protocol.docx</w:t>
      </w:r>
      <w:r>
        <w:rPr>
          <w:b w:val="0"/>
          <w:i w:val="0"/>
          <w:sz w:val="20"/>
        </w:rPr>
        <w:t xml:space="preserve"> · High-risk transplant protocol (full content): </w:t>
      </w:r>
      <w:r>
        <w:rPr>
          <w:b w:val="0"/>
          <w:i/>
        </w:rPr>
        <w:t>HEHE_5_High_Risk_Transplant_Protocol.docx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HEHE G1</w:t>
            </w:r>
          </w:p>
        </w:tc>
        <w:tc>
          <w:tcPr>
            <w:tcW w:type="dxa" w:w="2016"/>
            <w:tcW w:w="2900" w:type="dxa"/>
            <w:shd w:val="clear" w:color="auto" w:fill="F1F5F8"/>
          </w:tcPr>
          <w:p>
            <w:pPr>
              <w:spacing w:after="0"/>
            </w:pPr>
            <w:r>
              <w:rPr>
                <w:b w:val="0"/>
                <w:i w:val="0"/>
                <w:sz w:val="19"/>
              </w:rPr>
              <w:t>What level of expert pathology confirmation is required?</w:t>
            </w:r>
          </w:p>
        </w:tc>
        <w:tc>
          <w:tcPr>
            <w:tcW w:type="dxa" w:w="2016"/>
            <w:tcW w:w="3080" w:type="dxa"/>
            <w:shd w:val="clear" w:color="auto" w:fill="F1F5F8"/>
          </w:tcPr>
          <w:p>
            <w:pPr>
              <w:spacing w:after="0"/>
            </w:pPr>
            <w:r>
              <w:rPr>
                <w:b w:val="0"/>
                <w:i w:val="0"/>
                <w:sz w:val="19"/>
              </w:rPr>
              <w:t>Require documented expert pathology review before transplant selection and resolve mimics with additional testing as needed.</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HEHE G2</w:t>
            </w:r>
          </w:p>
        </w:tc>
        <w:tc>
          <w:tcPr>
            <w:tcW w:type="dxa" w:w="2016"/>
            <w:tcW w:w="2900" w:type="dxa"/>
            <w:shd w:val="clear" w:color="auto" w:fill="FFFFFF"/>
          </w:tcPr>
          <w:p>
            <w:pPr>
              <w:spacing w:after="0"/>
            </w:pPr>
            <w:r>
              <w:rPr>
                <w:b w:val="0"/>
                <w:i w:val="0"/>
                <w:sz w:val="19"/>
              </w:rPr>
              <w:t>Which extrahepatic disease patterns are acceptable locally?</w:t>
            </w:r>
          </w:p>
        </w:tc>
        <w:tc>
          <w:tcPr>
            <w:tcW w:type="dxa" w:w="2016"/>
            <w:tcW w:w="3080" w:type="dxa"/>
            <w:shd w:val="clear" w:color="auto" w:fill="FFFFFF"/>
          </w:tcPr>
          <w:p>
            <w:pPr>
              <w:spacing w:after="0"/>
            </w:pPr>
            <w:r>
              <w:rPr>
                <w:b w:val="0"/>
                <w:i w:val="0"/>
                <w:sz w:val="19"/>
              </w:rPr>
              <w:t>Describe every extrahepatic site and tempo; obtain explicit selection approval rather than importing HCC/CRLM exclusions.</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HEHE G3</w:t>
            </w:r>
          </w:p>
        </w:tc>
        <w:tc>
          <w:tcPr>
            <w:tcW w:type="dxa" w:w="2016"/>
            <w:tcW w:w="2900" w:type="dxa"/>
            <w:shd w:val="clear" w:color="auto" w:fill="F1F5F8"/>
          </w:tcPr>
          <w:p>
            <w:pPr>
              <w:spacing w:after="0"/>
            </w:pPr>
            <w:r>
              <w:rPr>
                <w:b w:val="0"/>
                <w:i w:val="0"/>
                <w:sz w:val="19"/>
              </w:rPr>
              <w:t>Can HEHE-LT risk estimates be used before transplant?</w:t>
            </w:r>
          </w:p>
        </w:tc>
        <w:tc>
          <w:tcPr>
            <w:tcW w:type="dxa" w:w="2016"/>
            <w:tcW w:w="3080" w:type="dxa"/>
            <w:shd w:val="clear" w:color="auto" w:fill="F1F5F8"/>
          </w:tcPr>
          <w:p>
            <w:pPr>
              <w:spacing w:after="0"/>
            </w:pPr>
            <w:r>
              <w:rPr>
                <w:b w:val="0"/>
                <w:i w:val="0"/>
                <w:sz w:val="19"/>
              </w:rPr>
              <w:t>Label uncertain variables and do not convert the retrospective score into an allocation or automatic eligibility score.</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HEHE G4</w:t>
            </w:r>
          </w:p>
        </w:tc>
        <w:tc>
          <w:tcPr>
            <w:tcW w:type="dxa" w:w="2016"/>
            <w:tcW w:w="2900" w:type="dxa"/>
            <w:shd w:val="clear" w:color="auto" w:fill="FFFFFF"/>
          </w:tcPr>
          <w:p>
            <w:pPr>
              <w:spacing w:after="0"/>
            </w:pPr>
            <w:r>
              <w:rPr>
                <w:b w:val="0"/>
                <w:i w:val="0"/>
                <w:sz w:val="19"/>
              </w:rPr>
              <w:t>When does transplant offer enough benefit over observation or other therapy?</w:t>
            </w:r>
          </w:p>
        </w:tc>
        <w:tc>
          <w:tcPr>
            <w:tcW w:type="dxa" w:w="2016"/>
            <w:tcW w:w="3080" w:type="dxa"/>
            <w:shd w:val="clear" w:color="auto" w:fill="FFFFFF"/>
          </w:tcPr>
          <w:p>
            <w:pPr>
              <w:spacing w:after="0"/>
            </w:pPr>
            <w:r>
              <w:rPr>
                <w:b w:val="0"/>
                <w:i w:val="0"/>
                <w:sz w:val="19"/>
              </w:rPr>
              <w:t>Document disease tempo, symptoms, alternatives and expected benefit before approval of the transplant plan; choose observation selectively, without imposing a universal mandatory observation interval.</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HEHE G5</w:t>
            </w:r>
          </w:p>
        </w:tc>
        <w:tc>
          <w:tcPr>
            <w:tcW w:type="dxa" w:w="2016"/>
            <w:tcW w:w="2900" w:type="dxa"/>
            <w:shd w:val="clear" w:color="auto" w:fill="F1F5F8"/>
          </w:tcPr>
          <w:p>
            <w:pPr>
              <w:spacing w:after="0"/>
            </w:pPr>
            <w:r>
              <w:rPr>
                <w:b w:val="0"/>
                <w:i w:val="0"/>
                <w:sz w:val="19"/>
              </w:rPr>
              <w:t>Who verifies each component of the nonstandard request?</w:t>
            </w:r>
          </w:p>
        </w:tc>
        <w:tc>
          <w:tcPr>
            <w:tcW w:type="dxa" w:w="2016"/>
            <w:tcW w:w="3080" w:type="dxa"/>
            <w:shd w:val="clear" w:color="auto" w:fill="F1F5F8"/>
          </w:tcPr>
          <w:p>
            <w:pPr>
              <w:spacing w:after="0"/>
            </w:pPr>
            <w:r>
              <w:rPr>
                <w:b w:val="0"/>
                <w:i w:val="0"/>
                <w:sz w:val="19"/>
              </w:rPr>
              <w:t>Assign pathology, imaging and allocation owners and explicitly document any extrahepatic disease decision.</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HEHE G6</w:t>
            </w:r>
          </w:p>
        </w:tc>
        <w:tc>
          <w:tcPr>
            <w:tcW w:type="dxa" w:w="2016"/>
            <w:tcW w:w="2900" w:type="dxa"/>
            <w:shd w:val="clear" w:color="auto" w:fill="FFFFFF"/>
          </w:tcPr>
          <w:p>
            <w:pPr>
              <w:spacing w:after="0"/>
            </w:pPr>
            <w:r>
              <w:rPr>
                <w:b w:val="0"/>
                <w:i w:val="0"/>
                <w:sz w:val="19"/>
              </w:rPr>
              <w:t>What risk-adapted post-transplant follow-up will be adopted?</w:t>
            </w:r>
          </w:p>
        </w:tc>
        <w:tc>
          <w:tcPr>
            <w:tcW w:type="dxa" w:w="2016"/>
            <w:tcW w:w="3080" w:type="dxa"/>
            <w:shd w:val="clear" w:color="auto" w:fill="FFFFFF"/>
          </w:tcPr>
          <w:p>
            <w:pPr>
              <w:spacing w:after="0"/>
            </w:pPr>
            <w:r>
              <w:rPr>
                <w:b w:val="0"/>
                <w:i w:val="0"/>
                <w:sz w:val="19"/>
              </w:rPr>
              <w:t>Ratify a joint sarcoma/transplant schedule, updated by explant risk and previous extrahepatic disease.</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HEHE-B1</w:t>
            </w:r>
          </w:p>
        </w:tc>
        <w:tc>
          <w:tcPr>
            <w:tcW w:type="dxa" w:w="2016"/>
            <w:tcW w:w="2900" w:type="dxa"/>
            <w:shd w:val="clear" w:color="auto" w:fill="F1F5F8"/>
          </w:tcPr>
          <w:p>
            <w:pPr>
              <w:spacing w:after="0"/>
            </w:pPr>
            <w:r>
              <w:rPr>
                <w:b w:val="0"/>
                <w:i w:val="0"/>
                <w:sz w:val="19"/>
              </w:rPr>
              <w:t>When is observation more informative than immediate listing?</w:t>
            </w:r>
          </w:p>
        </w:tc>
        <w:tc>
          <w:tcPr>
            <w:tcW w:type="dxa" w:w="2016"/>
            <w:tcW w:w="3080" w:type="dxa"/>
            <w:shd w:val="clear" w:color="auto" w:fill="F1F5F8"/>
          </w:tcPr>
          <w:p>
            <w:pPr>
              <w:spacing w:after="0"/>
            </w:pPr>
            <w:r>
              <w:rPr>
                <w:b w:val="0"/>
                <w:i w:val="0"/>
                <w:sz w:val="19"/>
              </w:rPr>
              <w:t>Use six months of documented stability as an OPEN default for clinically stable HEHE, with explicit exceptions and continued assessment of whether LT is needed.</w:t>
            </w:r>
          </w:p>
        </w:tc>
        <w:tc>
          <w:tcPr>
            <w:tcW w:type="dxa" w:w="2016"/>
            <w:tcW w:w="1500" w:type="dxa"/>
            <w:shd w:val="clear" w:color="auto" w:fill="F1F5F8"/>
          </w:tcPr>
          <w:p>
            <w:pPr>
              <w:spacing w:after="0"/>
            </w:pPr>
            <w:r>
              <w:rPr>
                <w:b w:val="0"/>
                <w:i w:val="0"/>
                <w:color w:val="5A6069"/>
                <w:sz w:val="18"/>
              </w:rPr>
              <w:t>Review timing and need for transplant · not activated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HEHE-B2</w:t>
            </w:r>
          </w:p>
        </w:tc>
        <w:tc>
          <w:tcPr>
            <w:tcW w:type="dxa" w:w="2016"/>
            <w:tcW w:w="2900" w:type="dxa"/>
            <w:shd w:val="clear" w:color="auto" w:fill="FFFFFF"/>
          </w:tcPr>
          <w:p>
            <w:pPr>
              <w:spacing w:after="0"/>
            </w:pPr>
            <w:r>
              <w:rPr>
                <w:b w:val="0"/>
                <w:i w:val="0"/>
                <w:sz w:val="19"/>
              </w:rPr>
              <w:t>Can extrahepatic disease or an explant score broaden access?</w:t>
            </w:r>
          </w:p>
        </w:tc>
        <w:tc>
          <w:tcPr>
            <w:tcW w:type="dxa" w:w="2016"/>
            <w:tcW w:w="3080" w:type="dxa"/>
            <w:shd w:val="clear" w:color="auto" w:fill="FFFFFF"/>
          </w:tcPr>
          <w:p>
            <w:pPr>
              <w:spacing w:after="0"/>
            </w:pPr>
            <w:r>
              <w:rPr>
                <w:b w:val="0"/>
                <w:i w:val="0"/>
                <w:sz w:val="19"/>
              </w:rPr>
              <w:t>Start with liver-only disease and no macrovascular invasion. Define a separate extrahepatic stratum, not yet activated: lung-only disease that is stable for ≥6 months or completely resected or ablated. Bone,…</w:t>
            </w:r>
          </w:p>
        </w:tc>
        <w:tc>
          <w:tcPr>
            <w:tcW w:type="dxa" w:w="2016"/>
            <w:tcW w:w="1500" w:type="dxa"/>
            <w:shd w:val="clear" w:color="auto" w:fill="FFFFFF"/>
          </w:tcPr>
          <w:p>
            <w:pPr>
              <w:spacing w:after="0"/>
            </w:pPr>
            <w:r>
              <w:rPr>
                <w:b w:val="0"/>
                <w:i w:val="0"/>
                <w:color w:val="5A6069"/>
                <w:sz w:val="18"/>
              </w:rPr>
              <w:t>Initial selection and expansion limits · not activated</w:t>
            </w:r>
          </w:p>
        </w:tc>
      </w:tr>
    </w:tbl>
    <w:p>
      <w:pPr>
        <w:spacing w:after="40"/>
      </w:pPr>
    </w:p>
    <w:p>
      <w:pPr>
        <w:pStyle w:val="Heading1"/>
        <w:keepNext/>
        <w:spacing w:before="280" w:after="80"/>
      </w:pPr>
      <w:r>
        <w:rPr>
          <w:b w:val="0"/>
          <w:i w:val="0"/>
        </w:rPr>
        <w:t>Part 1. Standard transplant pathway</w:t>
      </w:r>
    </w:p>
    <w:p>
      <w:pPr>
        <w:spacing w:after="80"/>
      </w:pPr>
      <w:r>
        <w:rPr>
          <w:b w:val="0"/>
          <w:i w:val="0"/>
          <w:color w:val="5A6069"/>
          <w:sz w:val="18"/>
        </w:rPr>
        <w:t>Web page: https://drliuhao.github.io/mh-liver-pathways/transplant/hehe/#meeting</w:t>
      </w:r>
    </w:p>
    <w:p>
      <w:pPr>
        <w:pStyle w:val="Heading2"/>
        <w:keepNext/>
        <w:spacing w:before="200" w:after="80"/>
      </w:pPr>
      <w:r>
        <w:rPr>
          <w:b w:val="0"/>
          <w:i w:val="0"/>
        </w:rPr>
        <w:t>HEHE G1 — What level of expert pathology confirmation is required?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6">
        <w:r>
          <w:rPr>
            <w:color w:val="0563C1"/>
            <w:u w:val="single"/>
          </w:rPr>
          <w:t xml:space="preserve">Verify diagnosis</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HEHE</w:t>
            </w:r>
          </w:p>
        </w:tc>
        <w:tc>
          <w:tcPr>
            <w:tcW w:type="dxa" w:w="3360"/>
            <w:tcW w:w="5480" w:type="dxa"/>
            <w:shd w:val="clear" w:color="auto" w:fill="F1F5F8"/>
          </w:tcPr>
          <w:p>
            <w:pPr>
              <w:spacing w:after="0"/>
            </w:pPr>
            <w:r>
              <w:rPr>
                <w:b w:val="0"/>
                <w:i w:val="0"/>
                <w:sz w:val="19"/>
              </w:rPr>
              <w:t>“Biopsy proven diagnosis of HEHE and exclude hemangiosarcoma.”</w:t>
            </w:r>
          </w:p>
        </w:tc>
        <w:tc>
          <w:tcPr>
            <w:tcW w:type="dxa" w:w="3360"/>
            <w:tcW w:w="2400" w:type="dxa"/>
            <w:shd w:val="clear" w:color="auto" w:fill="F1F5F8"/>
          </w:tcPr>
          <w:p>
            <w:pPr>
              <w:spacing w:after="0"/>
            </w:pPr>
            <w:r>
              <w:rPr>
                <w:b w:val="0"/>
                <w:i w:val="0"/>
                <w:color w:val="5A6069"/>
                <w:sz w:val="18"/>
              </w:rPr>
              <w:t>HEHE criteria</w:t>
            </w:r>
          </w:p>
        </w:tc>
      </w:tr>
      <w:tr>
        <w:trPr>
          <w:cantSplit/>
        </w:trPr>
        <w:tc>
          <w:tcPr>
            <w:tcW w:type="dxa" w:w="3360"/>
            <w:tcW w:w="2200" w:type="dxa"/>
            <w:shd w:val="clear" w:color="auto" w:fill="FFFFFF"/>
          </w:tcPr>
          <w:p>
            <w:pPr>
              <w:spacing w:after="0"/>
            </w:pPr>
            <w:r>
              <w:rPr>
                <w:b/>
                <w:i w:val="0"/>
                <w:sz w:val="19"/>
              </w:rPr>
              <w:t>EHE · consensus</w:t>
            </w:r>
          </w:p>
        </w:tc>
        <w:tc>
          <w:tcPr>
            <w:tcW w:type="dxa" w:w="3360"/>
            <w:tcW w:w="5480" w:type="dxa"/>
            <w:shd w:val="clear" w:color="auto" w:fill="FFFFFF"/>
          </w:tcPr>
          <w:p>
            <w:pPr>
              <w:spacing w:after="0"/>
            </w:pPr>
            <w:r>
              <w:rPr>
                <w:b w:val="0"/>
                <w:i w:val="0"/>
                <w:sz w:val="19"/>
              </w:rPr>
              <w:t>International consensus supports expert diagnosis of this ultra-rare tumor.</w:t>
            </w:r>
          </w:p>
        </w:tc>
        <w:tc>
          <w:tcPr>
            <w:tcW w:type="dxa" w:w="3360"/>
            <w:tcW w:w="2400" w:type="dxa"/>
            <w:shd w:val="clear" w:color="auto" w:fill="FFFFFF"/>
          </w:tcPr>
          <w:p>
            <w:pPr>
              <w:spacing w:after="0"/>
            </w:pPr>
            <w:r>
              <w:rPr>
                <w:b w:val="0"/>
                <w:i w:val="0"/>
                <w:color w:val="5A6069"/>
                <w:sz w:val="18"/>
              </w:rPr>
              <w:t>ESMO Open · 2021 · liver-specific / transplant management</w:t>
            </w:r>
          </w:p>
        </w:tc>
      </w:tr>
    </w:tbl>
    <w:p>
      <w:pPr>
        <w:spacing w:after="40"/>
      </w:pPr>
    </w:p>
    <w:p>
      <w:pPr>
        <w:pStyle w:val="Heading3"/>
        <w:keepNext/>
        <w:spacing w:before="120" w:after="80"/>
      </w:pPr>
      <w:r>
        <w:rPr>
          <w:b w:val="0"/>
          <w:i w:val="0"/>
        </w:rPr>
        <w:t>Our proposed selection (OPEN)</w:t>
      </w:r>
    </w:p>
    <w:p>
      <w:pPr>
        <w:spacing w:after="80"/>
      </w:pPr>
      <w:r>
        <w:rPr>
          <w:b w:val="0"/>
          <w:i w:val="0"/>
        </w:rPr>
        <w:t>Require documented expert pathology review before transplant selection and resolve mimics with additional testing as needed.</w:t>
      </w:r>
    </w:p>
    <w:p>
      <w:pPr>
        <w:spacing w:after="80"/>
      </w:pPr>
      <w:r>
        <w:rPr>
          <w:b/>
          <w:i w:val="0"/>
        </w:rPr>
        <w:t xml:space="preserve">Why: </w:t>
      </w:r>
      <w:r>
        <w:rPr>
          <w:b w:val="0"/>
          <w:i w:val="0"/>
        </w:rPr>
        <w:t>A mistaken rare-tumor diagnosis changes prognosis and candidacy substantially.</w:t>
      </w:r>
    </w:p>
    <w:p>
      <w:pPr>
        <w:spacing w:after="80"/>
      </w:pPr>
      <w:r>
        <w:rPr>
          <w:b/>
          <w:i w:val="0"/>
        </w:rPr>
        <w:t xml:space="preserve">Owners: </w:t>
      </w:r>
      <w:r>
        <w:rPr>
          <w:b w:val="0"/>
          <w:i w:val="0"/>
        </w:rPr>
        <w:t>Pathology · sarcoma oncology</w:t>
      </w:r>
    </w:p>
    <w:p>
      <w:pPr>
        <w:pStyle w:val="Heading3"/>
        <w:keepNext/>
        <w:spacing w:before="120" w:after="80"/>
      </w:pPr>
      <w:r>
        <w:rPr>
          <w:b w:val="0"/>
          <w:i w:val="0"/>
        </w:rPr>
        <w:t>HEHE G1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 G2 — Which extrahepatic disease patterns are acceptable locally?</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10">
        <w:r>
          <w:rPr>
            <w:color w:val="0563C1"/>
            <w:u w:val="single"/>
          </w:rPr>
          <w:t xml:space="preserve">Stage and compare options</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HEHE</w:t>
            </w:r>
          </w:p>
        </w:tc>
        <w:tc>
          <w:tcPr>
            <w:tcW w:type="dxa" w:w="3360"/>
            <w:tcW w:w="5480" w:type="dxa"/>
            <w:shd w:val="clear" w:color="auto" w:fill="F1F5F8"/>
          </w:tcPr>
          <w:p>
            <w:pPr>
              <w:spacing w:after="0"/>
            </w:pPr>
            <w:r>
              <w:rPr>
                <w:b w:val="0"/>
                <w:i w:val="0"/>
                <w:sz w:val="19"/>
              </w:rPr>
              <w:t>“The presence of extrahepatic disease is not an absolute contraindication.”</w:t>
            </w:r>
          </w:p>
        </w:tc>
        <w:tc>
          <w:tcPr>
            <w:tcW w:type="dxa" w:w="3360"/>
            <w:tcW w:w="2400" w:type="dxa"/>
            <w:shd w:val="clear" w:color="auto" w:fill="F1F5F8"/>
          </w:tcPr>
          <w:p>
            <w:pPr>
              <w:spacing w:after="0"/>
            </w:pPr>
            <w:r>
              <w:rPr>
                <w:b w:val="0"/>
                <w:i w:val="0"/>
                <w:color w:val="5A6069"/>
                <w:sz w:val="18"/>
              </w:rPr>
              <w:t>HEHE guidance — MELD-exception consideration</w:t>
            </w:r>
          </w:p>
        </w:tc>
      </w:tr>
      <w:tr>
        <w:trPr>
          <w:cantSplit/>
        </w:trPr>
        <w:tc>
          <w:tcPr>
            <w:tcW w:type="dxa" w:w="3360"/>
            <w:tcW w:w="2200" w:type="dxa"/>
            <w:shd w:val="clear" w:color="auto" w:fill="FFFFFF"/>
          </w:tcPr>
          <w:p>
            <w:pPr>
              <w:spacing w:after="0"/>
            </w:pPr>
            <w:r>
              <w:rPr>
                <w:b/>
                <w:i w:val="0"/>
                <w:sz w:val="19"/>
              </w:rPr>
              <w:t>EHE · consensus</w:t>
            </w:r>
          </w:p>
        </w:tc>
        <w:tc>
          <w:tcPr>
            <w:tcW w:type="dxa" w:w="3360"/>
            <w:tcW w:w="5480" w:type="dxa"/>
            <w:shd w:val="clear" w:color="auto" w:fill="FFFFFF"/>
          </w:tcPr>
          <w:p>
            <w:pPr>
              <w:spacing w:after="0"/>
            </w:pPr>
            <w:r>
              <w:rPr>
                <w:b w:val="0"/>
                <w:i w:val="0"/>
                <w:sz w:val="19"/>
              </w:rPr>
              <w:t>Tumor distribution, symptoms and behavior inform individualized liver-transplant discussion.</w:t>
            </w:r>
          </w:p>
        </w:tc>
        <w:tc>
          <w:tcPr>
            <w:tcW w:type="dxa" w:w="3360"/>
            <w:tcW w:w="2400" w:type="dxa"/>
            <w:shd w:val="clear" w:color="auto" w:fill="FFFFFF"/>
          </w:tcPr>
          <w:p>
            <w:pPr>
              <w:spacing w:after="0"/>
            </w:pPr>
            <w:r>
              <w:rPr>
                <w:b w:val="0"/>
                <w:i w:val="0"/>
                <w:color w:val="5A6069"/>
                <w:sz w:val="18"/>
              </w:rPr>
              <w:t>ESMO Open · 2021 · liver-specific / transplant management</w:t>
            </w:r>
          </w:p>
        </w:tc>
      </w:tr>
    </w:tbl>
    <w:p>
      <w:pPr>
        <w:spacing w:after="40"/>
      </w:pPr>
    </w:p>
    <w:p>
      <w:pPr>
        <w:pStyle w:val="Heading3"/>
        <w:keepNext/>
        <w:spacing w:before="120" w:after="80"/>
      </w:pPr>
      <w:r>
        <w:rPr>
          <w:b w:val="0"/>
          <w:i w:val="0"/>
        </w:rPr>
        <w:t>Our proposed selection (OPEN)</w:t>
      </w:r>
    </w:p>
    <w:p>
      <w:pPr>
        <w:spacing w:after="80"/>
      </w:pPr>
      <w:r>
        <w:rPr>
          <w:b w:val="0"/>
          <w:i w:val="0"/>
        </w:rPr>
        <w:t>Describe every extrahepatic site and tempo; obtain explicit selection approval rather than importing HCC/CRLM exclusions.</w:t>
      </w:r>
    </w:p>
    <w:p>
      <w:pPr>
        <w:spacing w:after="80"/>
      </w:pPr>
      <w:r>
        <w:rPr>
          <w:b/>
          <w:i w:val="0"/>
        </w:rPr>
        <w:t xml:space="preserve">Why: </w:t>
      </w:r>
      <w:r>
        <w:rPr>
          <w:b w:val="0"/>
          <w:i w:val="0"/>
        </w:rPr>
        <w:t>HEHE has a distinct biological and allocation framework.</w:t>
      </w:r>
    </w:p>
    <w:p>
      <w:pPr>
        <w:spacing w:after="80"/>
      </w:pPr>
      <w:r>
        <w:rPr>
          <w:b/>
          <w:i w:val="0"/>
        </w:rPr>
        <w:t xml:space="preserve">Owners: </w:t>
      </w:r>
      <w:r>
        <w:rPr>
          <w:b w:val="0"/>
          <w:i w:val="0"/>
        </w:rPr>
        <w:t>Sarcoma oncology · transplant governance</w:t>
      </w:r>
    </w:p>
    <w:p>
      <w:pPr>
        <w:pStyle w:val="Heading3"/>
        <w:keepNext/>
        <w:spacing w:before="120" w:after="80"/>
      </w:pPr>
      <w:r>
        <w:rPr>
          <w:b w:val="0"/>
          <w:i w:val="0"/>
        </w:rPr>
        <w:t>HEHE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 G3 — Can HEHE-LT risk estimates be used before transplant?</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12">
        <w:r>
          <w:rPr>
            <w:color w:val="0563C1"/>
            <w:u w:val="single"/>
          </w:rPr>
          <w:t xml:space="preserve">Assess benefit and risk</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HEHE-LT · cohort</w:t>
            </w:r>
          </w:p>
        </w:tc>
        <w:tc>
          <w:tcPr>
            <w:tcW w:type="dxa" w:w="3360"/>
            <w:tcW w:w="5480" w:type="dxa"/>
            <w:shd w:val="clear" w:color="auto" w:fill="F1F5F8"/>
          </w:tcPr>
          <w:p>
            <w:pPr>
              <w:spacing w:after="0"/>
            </w:pPr>
            <w:r>
              <w:rPr>
                <w:b w:val="0"/>
                <w:i w:val="0"/>
                <w:sz w:val="19"/>
              </w:rPr>
              <w:t>Registry-derived risk is prognostic; some features may only be established reliably on pathology.</w:t>
            </w:r>
          </w:p>
        </w:tc>
        <w:tc>
          <w:tcPr>
            <w:tcW w:type="dxa" w:w="3360"/>
            <w:tcW w:w="2400" w:type="dxa"/>
            <w:shd w:val="clear" w:color="auto" w:fill="F1F5F8"/>
          </w:tcPr>
          <w:p>
            <w:pPr>
              <w:spacing w:after="0"/>
            </w:pPr>
            <w:r>
              <w:rPr>
                <w:b w:val="0"/>
                <w:i w:val="0"/>
                <w:color w:val="5A6069"/>
                <w:sz w:val="18"/>
              </w:rPr>
              <w:t>Lai et al. · Transplantation · 2017</w:t>
            </w:r>
          </w:p>
        </w:tc>
      </w:tr>
      <w:tr>
        <w:trPr>
          <w:cantSplit/>
        </w:trPr>
        <w:tc>
          <w:tcPr>
            <w:tcW w:type="dxa" w:w="3360"/>
            <w:tcW w:w="2200" w:type="dxa"/>
            <w:shd w:val="clear" w:color="auto" w:fill="FFFFFF"/>
          </w:tcPr>
          <w:p>
            <w:pPr>
              <w:spacing w:after="0"/>
            </w:pPr>
            <w:r>
              <w:rPr>
                <w:b/>
                <w:i w:val="0"/>
                <w:sz w:val="19"/>
              </w:rPr>
              <w:t>NLRB · HEHE</w:t>
            </w:r>
          </w:p>
        </w:tc>
        <w:tc>
          <w:tcPr>
            <w:tcW w:type="dxa" w:w="3360"/>
            <w:tcW w:w="5480" w:type="dxa"/>
            <w:shd w:val="clear" w:color="auto" w:fill="FFFFFF"/>
          </w:tcPr>
          <w:p>
            <w:pPr>
              <w:spacing w:after="0"/>
            </w:pPr>
            <w:r>
              <w:rPr>
                <w:b w:val="0"/>
                <w:i w:val="0"/>
                <w:sz w:val="19"/>
              </w:rPr>
              <w:t>“Absence of macrovascular invasion on biopsy or imaging.”</w:t>
            </w:r>
          </w:p>
        </w:tc>
        <w:tc>
          <w:tcPr>
            <w:tcW w:type="dxa" w:w="3360"/>
            <w:tcW w:w="2400" w:type="dxa"/>
            <w:shd w:val="clear" w:color="auto" w:fill="FFFFFF"/>
          </w:tcPr>
          <w:p>
            <w:pPr>
              <w:spacing w:after="0"/>
            </w:pPr>
            <w:r>
              <w:rPr>
                <w:b w:val="0"/>
                <w:i w:val="0"/>
                <w:color w:val="5A6069"/>
                <w:sz w:val="18"/>
              </w:rPr>
              <w:t>HEHE criterion</w:t>
            </w:r>
          </w:p>
        </w:tc>
      </w:tr>
    </w:tbl>
    <w:p>
      <w:pPr>
        <w:spacing w:after="40"/>
      </w:pPr>
    </w:p>
    <w:p>
      <w:pPr>
        <w:pStyle w:val="Heading3"/>
        <w:keepNext/>
        <w:spacing w:before="120" w:after="80"/>
      </w:pPr>
      <w:r>
        <w:rPr>
          <w:b w:val="0"/>
          <w:i w:val="0"/>
        </w:rPr>
        <w:t>Our proposed selection (OPEN)</w:t>
      </w:r>
    </w:p>
    <w:p>
      <w:pPr>
        <w:spacing w:after="80"/>
      </w:pPr>
      <w:r>
        <w:rPr>
          <w:b w:val="0"/>
          <w:i w:val="0"/>
        </w:rPr>
        <w:t>Label uncertain variables and do not convert the retrospective score into an allocation or automatic eligibility score.</w:t>
      </w:r>
    </w:p>
    <w:p>
      <w:pPr>
        <w:spacing w:after="80"/>
      </w:pPr>
      <w:r>
        <w:rPr>
          <w:b/>
          <w:i w:val="0"/>
        </w:rPr>
        <w:t xml:space="preserve">Why: </w:t>
      </w:r>
      <w:r>
        <w:rPr>
          <w:b w:val="0"/>
          <w:i w:val="0"/>
        </w:rPr>
        <w:t>Prognosis, eligibility and allocation priority are different concepts.</w:t>
      </w:r>
    </w:p>
    <w:p>
      <w:pPr>
        <w:spacing w:after="80"/>
      </w:pPr>
      <w:r>
        <w:rPr>
          <w:b/>
          <w:i w:val="0"/>
        </w:rPr>
        <w:t xml:space="preserve">Owners: </w:t>
      </w:r>
      <w:r>
        <w:rPr>
          <w:b w:val="0"/>
          <w:i w:val="0"/>
        </w:rPr>
        <w:t>Transplant surgery · pathology</w:t>
      </w:r>
    </w:p>
    <w:p>
      <w:pPr>
        <w:pStyle w:val="Heading3"/>
        <w:keepNext/>
        <w:spacing w:before="120" w:after="80"/>
      </w:pPr>
      <w:r>
        <w:rPr>
          <w:b w:val="0"/>
          <w:i w:val="0"/>
        </w:rPr>
        <w:t>HEHE G3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 G4 — When does transplant offer enough benefit over observation or other therapy?</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12">
        <w:r>
          <w:rPr>
            <w:color w:val="0563C1"/>
            <w:u w:val="single"/>
          </w:rPr>
          <w:t xml:space="preserve">Assess benefit and risk</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EHE · consensus</w:t>
            </w:r>
          </w:p>
        </w:tc>
        <w:tc>
          <w:tcPr>
            <w:tcW w:type="dxa" w:w="3360"/>
            <w:tcW w:w="5480" w:type="dxa"/>
            <w:shd w:val="clear" w:color="auto" w:fill="F1F5F8"/>
          </w:tcPr>
          <w:p>
            <w:pPr>
              <w:spacing w:after="0"/>
            </w:pPr>
            <w:r>
              <w:rPr>
                <w:b w:val="0"/>
                <w:i w:val="0"/>
                <w:sz w:val="19"/>
              </w:rPr>
              <w:t>The natural history is heterogeneous and management depends on clinical behavior.</w:t>
            </w:r>
          </w:p>
        </w:tc>
        <w:tc>
          <w:tcPr>
            <w:tcW w:type="dxa" w:w="3360"/>
            <w:tcW w:w="2400" w:type="dxa"/>
            <w:shd w:val="clear" w:color="auto" w:fill="F1F5F8"/>
          </w:tcPr>
          <w:p>
            <w:pPr>
              <w:spacing w:after="0"/>
            </w:pPr>
            <w:r>
              <w:rPr>
                <w:b w:val="0"/>
                <w:i w:val="0"/>
                <w:color w:val="5A6069"/>
                <w:sz w:val="18"/>
              </w:rPr>
              <w:t>ESMO Open · 2021 · liver-specific / transplant management</w:t>
            </w:r>
          </w:p>
        </w:tc>
      </w:tr>
      <w:tr>
        <w:trPr>
          <w:cantSplit/>
        </w:trPr>
        <w:tc>
          <w:tcPr>
            <w:tcW w:type="dxa" w:w="3360"/>
            <w:tcW w:w="2200" w:type="dxa"/>
            <w:shd w:val="clear" w:color="auto" w:fill="FFFFFF"/>
          </w:tcPr>
          <w:p>
            <w:pPr>
              <w:spacing w:after="0"/>
            </w:pPr>
            <w:r>
              <w:rPr>
                <w:b/>
                <w:i w:val="0"/>
                <w:sz w:val="19"/>
              </w:rPr>
              <w:t>NLRB · HEHE</w:t>
            </w:r>
          </w:p>
        </w:tc>
        <w:tc>
          <w:tcPr>
            <w:tcW w:type="dxa" w:w="3360"/>
            <w:tcW w:w="5480" w:type="dxa"/>
            <w:shd w:val="clear" w:color="auto" w:fill="FFFFFF"/>
          </w:tcPr>
          <w:p>
            <w:pPr>
              <w:spacing w:after="0"/>
            </w:pPr>
            <w:r>
              <w:rPr>
                <w:b w:val="0"/>
                <w:i w:val="0"/>
                <w:sz w:val="19"/>
              </w:rPr>
              <w:t>“Lesions are unresectable.”</w:t>
            </w:r>
          </w:p>
        </w:tc>
        <w:tc>
          <w:tcPr>
            <w:tcW w:type="dxa" w:w="3360"/>
            <w:tcW w:w="2400" w:type="dxa"/>
            <w:shd w:val="clear" w:color="auto" w:fill="FFFFFF"/>
          </w:tcPr>
          <w:p>
            <w:pPr>
              <w:spacing w:after="0"/>
            </w:pPr>
            <w:r>
              <w:rPr>
                <w:b w:val="0"/>
                <w:i w:val="0"/>
                <w:color w:val="5A6069"/>
                <w:sz w:val="18"/>
              </w:rPr>
              <w:t>HEHE criterion</w:t>
            </w:r>
          </w:p>
        </w:tc>
      </w:tr>
    </w:tbl>
    <w:p>
      <w:pPr>
        <w:spacing w:after="40"/>
      </w:pPr>
    </w:p>
    <w:p>
      <w:pPr>
        <w:pStyle w:val="Heading3"/>
        <w:keepNext/>
        <w:spacing w:before="120" w:after="80"/>
      </w:pPr>
      <w:r>
        <w:rPr>
          <w:b w:val="0"/>
          <w:i w:val="0"/>
        </w:rPr>
        <w:t>Our proposed selection (OPEN)</w:t>
      </w:r>
    </w:p>
    <w:p>
      <w:pPr>
        <w:spacing w:after="80"/>
      </w:pPr>
      <w:r>
        <w:rPr>
          <w:b w:val="0"/>
          <w:i w:val="0"/>
        </w:rPr>
        <w:t>Document disease tempo, symptoms, alternatives and expected benefit before approval of the transplant plan; choose observation selectively, without imposing a universal mandatory observation interval.</w:t>
      </w:r>
    </w:p>
    <w:p>
      <w:pPr>
        <w:spacing w:after="80"/>
      </w:pPr>
      <w:r>
        <w:rPr>
          <w:b/>
          <w:i w:val="0"/>
        </w:rPr>
        <w:t xml:space="preserve">Why: </w:t>
      </w:r>
      <w:r>
        <w:rPr>
          <w:b w:val="0"/>
          <w:i w:val="0"/>
        </w:rPr>
        <w:t>Unresectability alone does not resolve the whole clinical benefit-risk decision.</w:t>
      </w:r>
    </w:p>
    <w:p>
      <w:pPr>
        <w:spacing w:after="80"/>
      </w:pPr>
      <w:r>
        <w:rPr>
          <w:b/>
          <w:i w:val="0"/>
        </w:rPr>
        <w:t xml:space="preserve">Owners: </w:t>
      </w:r>
      <w:r>
        <w:rPr>
          <w:b w:val="0"/>
          <w:i w:val="0"/>
        </w:rPr>
        <w:t>Selection committee · sarcoma oncology</w:t>
      </w:r>
    </w:p>
    <w:p>
      <w:pPr>
        <w:pStyle w:val="Heading3"/>
        <w:keepNext/>
        <w:spacing w:before="120" w:after="80"/>
      </w:pPr>
      <w:r>
        <w:rPr>
          <w:b w:val="0"/>
          <w:i w:val="0"/>
        </w:rPr>
        <w:t>HEHE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 G5 — Who verifies each component of the nonstandard request?</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15">
        <w:r>
          <w:rPr>
            <w:color w:val="0563C1"/>
            <w:u w:val="single"/>
          </w:rPr>
          <w:t xml:space="preserve">Submit and reassess</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HEHE</w:t>
            </w:r>
          </w:p>
        </w:tc>
        <w:tc>
          <w:tcPr>
            <w:tcW w:type="dxa" w:w="3360"/>
            <w:tcW w:w="5480" w:type="dxa"/>
            <w:shd w:val="clear" w:color="auto" w:fill="F1F5F8"/>
          </w:tcPr>
          <w:p>
            <w:pPr>
              <w:spacing w:after="0"/>
            </w:pPr>
            <w:r>
              <w:rPr>
                <w:b w:val="0"/>
                <w:i w:val="0"/>
                <w:sz w:val="19"/>
              </w:rPr>
              <w:t>The guidance lists biopsy diagnosis, absent macrovascular invasion and unresectability for consideration at MMaT−3.</w:t>
            </w:r>
          </w:p>
        </w:tc>
        <w:tc>
          <w:tcPr>
            <w:tcW w:type="dxa" w:w="3360"/>
            <w:tcW w:w="2400" w:type="dxa"/>
            <w:shd w:val="clear" w:color="auto" w:fill="F1F5F8"/>
          </w:tcPr>
          <w:p>
            <w:pPr>
              <w:spacing w:after="0"/>
            </w:pPr>
            <w:r>
              <w:rPr>
                <w:b w:val="0"/>
                <w:i w:val="0"/>
                <w:color w:val="5A6069"/>
                <w:sz w:val="18"/>
              </w:rPr>
              <w:t>December 2025 · pp.10–11</w:t>
            </w:r>
          </w:p>
        </w:tc>
      </w:tr>
    </w:tbl>
    <w:p>
      <w:pPr>
        <w:spacing w:after="40"/>
      </w:pPr>
    </w:p>
    <w:p>
      <w:pPr>
        <w:pStyle w:val="Heading3"/>
        <w:keepNext/>
        <w:spacing w:before="120" w:after="80"/>
      </w:pPr>
      <w:r>
        <w:rPr>
          <w:b w:val="0"/>
          <w:i w:val="0"/>
        </w:rPr>
        <w:t>Our proposed selection (OPEN)</w:t>
      </w:r>
    </w:p>
    <w:p>
      <w:pPr>
        <w:spacing w:after="80"/>
      </w:pPr>
      <w:r>
        <w:rPr>
          <w:b w:val="0"/>
          <w:i w:val="0"/>
        </w:rPr>
        <w:t>Assign pathology, imaging and allocation owners and explicitly document any extrahepatic disease decision.</w:t>
      </w:r>
    </w:p>
    <w:p>
      <w:pPr>
        <w:spacing w:after="80"/>
      </w:pPr>
      <w:r>
        <w:rPr>
          <w:b/>
          <w:i w:val="0"/>
        </w:rPr>
        <w:t xml:space="preserve">Why: </w:t>
      </w:r>
      <w:r>
        <w:rPr>
          <w:b w:val="0"/>
          <w:i w:val="0"/>
        </w:rPr>
        <w:t>Rare-disease exceptions need a transparent patient-specific narrative.</w:t>
      </w:r>
    </w:p>
    <w:p>
      <w:pPr>
        <w:spacing w:after="80"/>
      </w:pPr>
      <w:r>
        <w:rPr>
          <w:b/>
          <w:i w:val="0"/>
        </w:rPr>
        <w:t xml:space="preserve">Owners: </w:t>
      </w:r>
      <w:r>
        <w:rPr>
          <w:b w:val="0"/>
          <w:i w:val="0"/>
        </w:rPr>
        <w:t>Coordinator · transplant physician</w:t>
      </w:r>
    </w:p>
    <w:p>
      <w:pPr>
        <w:pStyle w:val="Heading3"/>
        <w:keepNext/>
        <w:spacing w:before="120" w:after="80"/>
      </w:pPr>
      <w:r>
        <w:rPr>
          <w:b w:val="0"/>
          <w:i w:val="0"/>
        </w:rPr>
        <w:t>HEHE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 G6 — What risk-adapted post-transplant follow-up will be adopted?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17">
        <w:r>
          <w:rPr>
            <w:color w:val="0563C1"/>
            <w:u w:val="single"/>
          </w:rPr>
          <w:t xml:space="preserve">Transplant and follow-up</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HEHE-LT · cohort</w:t>
            </w:r>
          </w:p>
        </w:tc>
        <w:tc>
          <w:tcPr>
            <w:tcW w:type="dxa" w:w="3360"/>
            <w:tcW w:w="5480" w:type="dxa"/>
            <w:shd w:val="clear" w:color="auto" w:fill="F1F5F8"/>
          </w:tcPr>
          <w:p>
            <w:pPr>
              <w:spacing w:after="0"/>
            </w:pPr>
            <w:r>
              <w:rPr>
                <w:b w:val="0"/>
                <w:i w:val="0"/>
                <w:sz w:val="19"/>
              </w:rPr>
              <w:t>Registry data identify recurrence-risk differences.</w:t>
            </w:r>
          </w:p>
        </w:tc>
        <w:tc>
          <w:tcPr>
            <w:tcW w:type="dxa" w:w="3360"/>
            <w:tcW w:w="2400" w:type="dxa"/>
            <w:shd w:val="clear" w:color="auto" w:fill="F1F5F8"/>
          </w:tcPr>
          <w:p>
            <w:pPr>
              <w:spacing w:after="0"/>
            </w:pPr>
            <w:r>
              <w:rPr>
                <w:b w:val="0"/>
                <w:i w:val="0"/>
                <w:color w:val="5A6069"/>
                <w:sz w:val="18"/>
              </w:rPr>
              <w:t>Lai et al. · Transplantation · 2017</w:t>
            </w:r>
          </w:p>
        </w:tc>
      </w:tr>
      <w:tr>
        <w:trPr>
          <w:cantSplit/>
        </w:trPr>
        <w:tc>
          <w:tcPr>
            <w:tcW w:type="dxa" w:w="3360"/>
            <w:tcW w:w="2200" w:type="dxa"/>
            <w:shd w:val="clear" w:color="auto" w:fill="FFFFFF"/>
          </w:tcPr>
          <w:p>
            <w:pPr>
              <w:spacing w:after="0"/>
            </w:pPr>
            <w:r>
              <w:rPr>
                <w:b/>
                <w:i w:val="0"/>
                <w:sz w:val="19"/>
              </w:rPr>
              <w:t>NLRB · HEHE</w:t>
            </w:r>
          </w:p>
        </w:tc>
        <w:tc>
          <w:tcPr>
            <w:tcW w:type="dxa" w:w="3360"/>
            <w:tcW w:w="5480" w:type="dxa"/>
            <w:shd w:val="clear" w:color="auto" w:fill="FFFFFF"/>
          </w:tcPr>
          <w:p>
            <w:pPr>
              <w:spacing w:after="0"/>
            </w:pPr>
            <w:r>
              <w:rPr>
                <w:b w:val="0"/>
                <w:i w:val="0"/>
                <w:sz w:val="19"/>
              </w:rPr>
              <w:t>No universal post-transplant surveillance interval is specified in this guidance.</w:t>
            </w:r>
          </w:p>
        </w:tc>
        <w:tc>
          <w:tcPr>
            <w:tcW w:type="dxa" w:w="3360"/>
            <w:tcW w:w="2400" w:type="dxa"/>
            <w:shd w:val="clear" w:color="auto" w:fill="FFFFFF"/>
          </w:tcPr>
          <w:p>
            <w:pPr>
              <w:spacing w:after="0"/>
            </w:pPr>
            <w:r>
              <w:rPr>
                <w:b w:val="0"/>
                <w:i w:val="0"/>
                <w:color w:val="5A6069"/>
                <w:sz w:val="18"/>
              </w:rPr>
              <w:t>December 2025 · pp.10–11</w:t>
            </w:r>
          </w:p>
        </w:tc>
      </w:tr>
    </w:tbl>
    <w:p>
      <w:pPr>
        <w:spacing w:after="40"/>
      </w:pPr>
    </w:p>
    <w:p>
      <w:pPr>
        <w:pStyle w:val="Heading3"/>
        <w:keepNext/>
        <w:spacing w:before="120" w:after="80"/>
      </w:pPr>
      <w:r>
        <w:rPr>
          <w:b w:val="0"/>
          <w:i w:val="0"/>
        </w:rPr>
        <w:t>Our proposed selection (OPEN)</w:t>
      </w:r>
    </w:p>
    <w:p>
      <w:pPr>
        <w:spacing w:after="80"/>
      </w:pPr>
      <w:r>
        <w:rPr>
          <w:b w:val="0"/>
          <w:i w:val="0"/>
        </w:rPr>
        <w:t>Ratify a joint sarcoma/transplant schedule, updated by explant risk and previous extrahepatic disease.</w:t>
      </w:r>
    </w:p>
    <w:p>
      <w:pPr>
        <w:spacing w:after="80"/>
      </w:pPr>
      <w:r>
        <w:rPr>
          <w:b/>
          <w:i w:val="0"/>
        </w:rPr>
        <w:t xml:space="preserve">Why: </w:t>
      </w:r>
      <w:r>
        <w:rPr>
          <w:b w:val="0"/>
          <w:i w:val="0"/>
        </w:rPr>
        <w:t>Do not present a local surveillance interval as national policy.</w:t>
      </w:r>
    </w:p>
    <w:p>
      <w:pPr>
        <w:spacing w:after="80"/>
      </w:pPr>
      <w:r>
        <w:rPr>
          <w:b/>
          <w:i w:val="0"/>
        </w:rPr>
        <w:t xml:space="preserve">Owners: </w:t>
      </w:r>
      <w:r>
        <w:rPr>
          <w:b w:val="0"/>
          <w:i w:val="0"/>
        </w:rPr>
        <w:t>Oncology · transplant team</w:t>
      </w:r>
    </w:p>
    <w:p>
      <w:pPr>
        <w:pStyle w:val="Heading3"/>
        <w:keepNext/>
        <w:spacing w:before="120" w:after="80"/>
      </w:pPr>
      <w:r>
        <w:rPr>
          <w:b w:val="0"/>
          <w:i w:val="0"/>
        </w:rPr>
        <w:t>HEHE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2. High-risk boundary protocol</w:t>
      </w:r>
    </w:p>
    <w:p>
      <w:pPr>
        <w:spacing w:after="80"/>
      </w:pPr>
      <w:r>
        <w:rPr>
          <w:b w:val="0"/>
          <w:i w:val="0"/>
          <w:color w:val="5A6069"/>
          <w:sz w:val="18"/>
        </w:rPr>
        <w:t>Web page: https://drliuhao.github.io/mh-liver-pathways/transplant/hehe/#high-risk</w:t>
      </w:r>
    </w:p>
    <w:p>
      <w:pPr>
        <w:pStyle w:val="Heading2"/>
        <w:keepNext/>
        <w:spacing w:before="200" w:after="80"/>
      </w:pPr>
      <w:r>
        <w:rPr>
          <w:b w:val="0"/>
          <w:i w:val="0"/>
        </w:rPr>
        <w:t>HEHE-B1 — Observation and the need for transplantation</w:t>
      </w:r>
    </w:p>
    <w:p>
      <w:pPr>
        <w:spacing w:after="80"/>
      </w:pPr>
      <w:r>
        <w:rPr>
          <w:b w:val="0"/>
          <w:i w:val="0"/>
          <w:color w:val="5A6069"/>
          <w:sz w:val="18"/>
        </w:rPr>
        <w:t>Review timing and need for transplant · not activated · High-risk review</w:t>
      </w:r>
    </w:p>
    <w:p>
      <w:pPr>
        <w:spacing w:after="80"/>
      </w:pPr>
      <w:r>
        <w:rPr>
          <w:b/>
          <w:i w:val="0"/>
        </w:rPr>
        <w:t xml:space="preserve">Question: </w:t>
      </w:r>
      <w:r>
        <w:rPr>
          <w:b w:val="0"/>
          <w:i w:val="0"/>
        </w:rPr>
        <w:t>When is observation more informative than immediate listing?</w:t>
      </w:r>
    </w:p>
    <w:p>
      <w:pPr>
        <w:spacing w:after="80"/>
      </w:pPr>
      <w:r>
        <w:rPr>
          <w:b/>
          <w:i w:val="0"/>
        </w:rPr>
        <w:t xml:space="preserve">When it applies: </w:t>
      </w:r>
      <w:r>
        <w:rPr>
          <w:b w:val="0"/>
          <w:i w:val="0"/>
        </w:rPr>
        <w:t>Balance observation of disease behavior against liver failure or other reasons transplantation cannot safely wait.</w:t>
      </w:r>
    </w:p>
    <w:p>
      <w:pPr>
        <w:spacing w:after="80"/>
      </w:pPr>
      <w:r>
        <w:rPr>
          <w:b/>
          <w:i w:val="0"/>
        </w:rPr>
        <w:t xml:space="preserve">Where it is decided: </w:t>
      </w:r>
      <w:hyperlink r:id="rId12">
        <w:r>
          <w:rPr>
            <w:color w:val="0563C1"/>
            <w:u w:val="single"/>
          </w:rPr>
          <w:t xml:space="preserve">Assess benefit and risk</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Lai 2017</w:t>
            </w:r>
          </w:p>
        </w:tc>
        <w:tc>
          <w:tcPr>
            <w:tcW w:type="dxa" w:w="3360"/>
            <w:tcW w:w="5480" w:type="dxa"/>
            <w:shd w:val="clear" w:color="auto" w:fill="F1F5F8"/>
          </w:tcPr>
          <w:p>
            <w:pPr>
              <w:spacing w:after="0"/>
            </w:pPr>
            <w:r>
              <w:rPr>
                <w:b w:val="0"/>
                <w:i w:val="0"/>
                <w:sz w:val="19"/>
              </w:rPr>
              <w:t>“pre-LT waiting time of 120 days or less” Associated with recurrence in a selected transplant registry; the association does not prove that delaying LT improves outcomes.</w:t>
            </w:r>
          </w:p>
        </w:tc>
        <w:tc>
          <w:tcPr>
            <w:tcW w:type="dxa" w:w="3360"/>
            <w:tcW w:w="2400" w:type="dxa"/>
            <w:shd w:val="clear" w:color="auto" w:fill="F1F5F8"/>
          </w:tcPr>
          <w:p>
            <w:pPr>
              <w:spacing w:after="0"/>
            </w:pPr>
            <w:r>
              <w:rPr>
                <w:b w:val="0"/>
                <w:i w:val="0"/>
                <w:color w:val="5A6069"/>
                <w:sz w:val="18"/>
              </w:rPr>
              <w:t>Published PDF p1,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Retrospective ELTR/ELITA; 149 adult LT recipients, 1984–2014; median post-LT follow-up 7.6 years. Transplanted patients only; no randomized observation policy.</w:t>
            </w:r>
          </w:p>
        </w:tc>
        <w:tc>
          <w:tcPr>
            <w:tcW w:type="dxa" w:w="3360"/>
            <w:tcW w:w="4180" w:type="dxa"/>
            <w:shd w:val="clear" w:color="auto" w:fill="F1F5F8"/>
          </w:tcPr>
          <w:p>
            <w:pPr>
              <w:spacing w:after="0"/>
            </w:pPr>
            <w:r>
              <w:rPr>
                <w:b w:val="0"/>
                <w:i w:val="0"/>
                <w:sz w:val="19"/>
              </w:rPr>
              <w:t>Post-LT 5-year OS 79.5%; 37/149 recurred. Waiting ≤120 days associated with recurrence: Table 5 adjusted HR 2.5 (95% CI 1.2–5.3); 5-year DFS 73.3% versus 86.7% with longer waiting.</w:t>
            </w:r>
          </w:p>
          <w:p>
            <w:pPr>
              <w:spacing w:after="0"/>
            </w:pPr>
            <w:r>
              <w:rPr>
                <w:b w:val="0"/>
                <w:i/>
                <w:sz w:val="19"/>
              </w:rPr>
              <w:t>Limits: Confounding by urgency and survivorship; association does not show that waiting causes benefit. Earlier ELTR series overlap. Abstract HR differs slightly from Table 5.</w:t>
            </w:r>
          </w:p>
          <w:p>
            <w:pPr>
              <w:spacing w:after="0"/>
            </w:pPr>
            <w:r>
              <w:rPr>
                <w:b w:val="0"/>
                <w:i w:val="0"/>
                <w:color w:val="5A6069"/>
                <w:sz w:val="18"/>
              </w:rPr>
              <w:t>Results, Table 5 and Figure 3; use post-LT, not diagnosis-based OS.</w:t>
            </w:r>
          </w:p>
        </w:tc>
      </w:tr>
      <w:tr>
        <w:trPr>
          <w:cantSplit/>
        </w:trPr>
        <w:tc>
          <w:tcPr>
            <w:tcW w:type="dxa" w:w="3360"/>
            <w:tcW w:w="2000" w:type="dxa"/>
            <w:shd w:val="clear" w:color="auto" w:fill="FFFFFF"/>
          </w:tcPr>
          <w:p>
            <w:pPr>
              <w:spacing w:after="0"/>
            </w:pPr>
            <w:r>
              <w:rPr>
                <w:b/>
                <w:i w:val="0"/>
                <w:sz w:val="19"/>
              </w:rPr>
              <w:t>Brahmbhatt 2020</w:t>
            </w:r>
          </w:p>
        </w:tc>
        <w:tc>
          <w:tcPr>
            <w:tcW w:type="dxa" w:w="3360"/>
            <w:tcW w:w="3900" w:type="dxa"/>
            <w:shd w:val="clear" w:color="auto" w:fill="FFFFFF"/>
          </w:tcPr>
          <w:p>
            <w:pPr>
              <w:spacing w:after="0"/>
            </w:pPr>
            <w:r>
              <w:rPr>
                <w:b w:val="0"/>
                <w:i w:val="0"/>
                <w:sz w:val="19"/>
              </w:rPr>
              <w:t>UNOS 2002–2018: 131 adults listed; 88 transplanted. Median MELD at LT 7; median wait 78.5 days (IQR 29.5–237.5); 120/131 sought exceptions.</w:t>
            </w:r>
          </w:p>
        </w:tc>
        <w:tc>
          <w:tcPr>
            <w:tcW w:type="dxa" w:w="3360"/>
            <w:tcW w:w="4180" w:type="dxa"/>
            <w:shd w:val="clear" w:color="auto" w:fill="FFFFFF"/>
          </w:tcPr>
          <w:p>
            <w:pPr>
              <w:spacing w:after="0"/>
            </w:pPr>
            <w:r>
              <w:rPr>
                <w:b w:val="0"/>
                <w:i w:val="0"/>
                <w:sz w:val="19"/>
              </w:rPr>
              <w:t>Post-LT 1/3/5-year OS 88.6%/78.9%/77.2%. Early hepatic-artery-thrombosis graft failure 4.6% versus 0.5% in non-HEHE comparators.</w:t>
            </w:r>
          </w:p>
          <w:p>
            <w:pPr>
              <w:spacing w:after="0"/>
            </w:pPr>
            <w:r>
              <w:rPr>
                <w:b w:val="0"/>
                <w:i/>
                <w:sz w:val="19"/>
              </w:rPr>
              <w:t>Limits: Abstract-only extraction. Favorable survival despite median wait &lt;120 days argues against a proven mandatory four-month threshold; not a randomized timing comparison. Older UNOS reports overlap.</w:t>
            </w:r>
          </w:p>
          <w:p>
            <w:pPr>
              <w:spacing w:after="0"/>
            </w:pPr>
            <w:r>
              <w:rPr>
                <w:b w:val="0"/>
                <w:i w:val="0"/>
                <w:color w:val="5A6069"/>
                <w:sz w:val="18"/>
              </w:rPr>
              <w:t>Published abstract Results; PMID 31577674.</w:t>
            </w:r>
          </w:p>
        </w:tc>
      </w:tr>
      <w:tr>
        <w:trPr>
          <w:cantSplit/>
        </w:trPr>
        <w:tc>
          <w:tcPr>
            <w:tcW w:type="dxa" w:w="3360"/>
            <w:tcW w:w="2000" w:type="dxa"/>
            <w:shd w:val="clear" w:color="auto" w:fill="F1F5F8"/>
          </w:tcPr>
          <w:p>
            <w:pPr>
              <w:spacing w:after="0"/>
            </w:pPr>
            <w:r>
              <w:rPr>
                <w:b/>
                <w:i w:val="0"/>
                <w:sz w:val="19"/>
              </w:rPr>
              <w:t>Thomas 2014</w:t>
            </w:r>
          </w:p>
        </w:tc>
        <w:tc>
          <w:tcPr>
            <w:tcW w:type="dxa" w:w="3360"/>
            <w:tcW w:w="3900" w:type="dxa"/>
            <w:shd w:val="clear" w:color="auto" w:fill="F1F5F8"/>
          </w:tcPr>
          <w:p>
            <w:pPr>
              <w:spacing w:after="0"/>
            </w:pPr>
            <w:r>
              <w:rPr>
                <w:b w:val="0"/>
                <w:i w:val="0"/>
                <w:sz w:val="19"/>
              </w:rPr>
              <w:t>Single-center retrospective cohort, n=50; initial surgery 7, systemic/embolization 18, observation 25. Histologically confirmed EHE; 24/50 metastatic at diagnosis; treatment selected clinically.</w:t>
            </w:r>
          </w:p>
        </w:tc>
        <w:tc>
          <w:tcPr>
            <w:tcW w:type="dxa" w:w="3360"/>
            <w:tcW w:w="4180" w:type="dxa"/>
            <w:shd w:val="clear" w:color="auto" w:fill="F1F5F8"/>
          </w:tcPr>
          <w:p>
            <w:pPr>
              <w:spacing w:after="0"/>
            </w:pPr>
            <w:r>
              <w:rPr>
                <w:b w:val="0"/>
                <w:i w:val="0"/>
                <w:sz w:val="19"/>
              </w:rPr>
              <w:t>Five-year OS from diagnosis: surgery 83.3%, systemic/embolization 71.3%, observation 72.4% (P=.9). Localized versus metastatic: 69% versus 78.3% (P=.7).</w:t>
            </w:r>
          </w:p>
          <w:p>
            <w:pPr>
              <w:spacing w:after="0"/>
            </w:pPr>
            <w:r>
              <w:rPr>
                <w:b w:val="0"/>
                <w:i/>
                <w:sz w:val="19"/>
              </w:rPr>
              <w:t>Limits: Small, nonrandom groups; no metastatic patients in initial surgery group. Supports observing selected indolent disease, not equivalence of therapies or a 120-day cutoff.</w:t>
            </w:r>
          </w:p>
          <w:p>
            <w:pPr>
              <w:spacing w:after="0"/>
            </w:pPr>
            <w:r>
              <w:rPr>
                <w:b w:val="0"/>
                <w:i w:val="0"/>
                <w:color w:val="5A6069"/>
                <w:sz w:val="18"/>
              </w:rPr>
              <w:t>Methods time-origin definition; Table 1 and survival Results.</w:t>
            </w:r>
          </w:p>
        </w:tc>
      </w:tr>
      <w:tr>
        <w:trPr>
          <w:cantSplit/>
        </w:trPr>
        <w:tc>
          <w:tcPr>
            <w:tcW w:type="dxa" w:w="3360"/>
            <w:tcW w:w="2000" w:type="dxa"/>
            <w:shd w:val="clear" w:color="auto" w:fill="FFFFFF"/>
          </w:tcPr>
          <w:p>
            <w:pPr>
              <w:spacing w:after="0"/>
            </w:pPr>
            <w:r>
              <w:rPr>
                <w:b/>
                <w:i w:val="0"/>
                <w:sz w:val="19"/>
              </w:rPr>
              <w:t>Liu 2024</w:t>
            </w:r>
          </w:p>
        </w:tc>
        <w:tc>
          <w:tcPr>
            <w:tcW w:type="dxa" w:w="3360"/>
            <w:tcW w:w="3900" w:type="dxa"/>
            <w:shd w:val="clear" w:color="auto" w:fill="FFFFFF"/>
          </w:tcPr>
          <w:p>
            <w:pPr>
              <w:spacing w:after="0"/>
            </w:pPr>
            <w:r>
              <w:rPr>
                <w:b w:val="0"/>
                <w:i w:val="0"/>
                <w:sz w:val="19"/>
              </w:rPr>
              <w:t>Single-team retrospective cohort 2014–2024: 228 evaluable; LT 8, resection/ablation 49, nonsurgical 171. Half the eight LT patients had a lesion &gt;10 cm, versus 10% of non-LT patients.</w:t>
            </w:r>
          </w:p>
        </w:tc>
        <w:tc>
          <w:tcPr>
            <w:tcW w:type="dxa" w:w="3360"/>
            <w:tcW w:w="4180" w:type="dxa"/>
            <w:shd w:val="clear" w:color="auto" w:fill="FFFFFF"/>
          </w:tcPr>
          <w:p>
            <w:pPr>
              <w:spacing w:after="0"/>
            </w:pPr>
            <w:r>
              <w:rPr>
                <w:b w:val="0"/>
                <w:i w:val="0"/>
                <w:sz w:val="19"/>
              </w:rPr>
              <w:t>Overall 5-year OS 84.9%; LT 1/3-year OS 62.5%/25%; non-LT 5-year OS 87.8%. Survival time zero is not clearly specified in the extracted Methods; do not relabel as standard post-LT estimates.</w:t>
            </w:r>
          </w:p>
          <w:p>
            <w:pPr>
              <w:spacing w:after="0"/>
            </w:pPr>
            <w:r>
              <w:rPr>
                <w:b w:val="0"/>
                <w:i/>
                <w:sz w:val="19"/>
              </w:rPr>
              <w:t>Limits: Major confounding by indication, eight recipients and loss-to-follow-up exclusion. Poor LT results cannot prove LT causes harm; they challenge assuming all HEHE has excellent transplant outcomes.</w:t>
            </w:r>
          </w:p>
          <w:p>
            <w:pPr>
              <w:spacing w:after="0"/>
            </w:pPr>
            <w:r>
              <w:rPr>
                <w:b w:val="0"/>
                <w:i w:val="0"/>
                <w:color w:val="5A6069"/>
                <w:sz w:val="18"/>
              </w:rPr>
              <w:t>Methods; Tables 1–3; Survival Outcomes/Figure 2.</w:t>
            </w:r>
          </w:p>
        </w:tc>
      </w:tr>
      <w:tr>
        <w:trPr>
          <w:cantSplit/>
        </w:trPr>
        <w:tc>
          <w:tcPr>
            <w:tcW w:type="dxa" w:w="3360"/>
            <w:tcW w:w="2000" w:type="dxa"/>
            <w:shd w:val="clear" w:color="auto" w:fill="F1F5F8"/>
          </w:tcPr>
          <w:p>
            <w:pPr>
              <w:spacing w:after="0"/>
            </w:pPr>
            <w:r>
              <w:rPr>
                <w:b/>
                <w:i w:val="0"/>
                <w:sz w:val="19"/>
              </w:rPr>
              <w:t>Stacchiotti 2021</w:t>
            </w:r>
          </w:p>
        </w:tc>
        <w:tc>
          <w:tcPr>
            <w:tcW w:type="dxa" w:w="3360"/>
            <w:tcW w:w="3900" w:type="dxa"/>
            <w:shd w:val="clear" w:color="auto" w:fill="F1F5F8"/>
          </w:tcPr>
          <w:p>
            <w:pPr>
              <w:spacing w:after="0"/>
            </w:pPr>
            <w:r>
              <w:rPr>
                <w:b w:val="0"/>
                <w:i w:val="0"/>
                <w:sz w:val="19"/>
              </w:rPr>
              <w:t>International expert consensus; evidence predominantly retrospective and very-low certainty. Distinguishes asymptomatic/stable systemic EHE from unresectable liver-confined disease.</w:t>
            </w:r>
          </w:p>
        </w:tc>
        <w:tc>
          <w:tcPr>
            <w:tcW w:type="dxa" w:w="3360"/>
            <w:tcW w:w="4180" w:type="dxa"/>
            <w:shd w:val="clear" w:color="auto" w:fill="F1F5F8"/>
          </w:tcPr>
          <w:p>
            <w:pPr>
              <w:spacing w:after="0"/>
            </w:pPr>
            <w:r>
              <w:rPr>
                <w:b w:val="0"/>
                <w:i w:val="0"/>
                <w:sz w:val="19"/>
              </w:rPr>
              <w:t>Supports initial active surveillance for suitable stable disease and consideration of LT for selected unresectable liver-only EHE; advises against LT with EHD (V,A).</w:t>
            </w:r>
          </w:p>
          <w:p>
            <w:pPr>
              <w:spacing w:after="0"/>
            </w:pPr>
            <w:r>
              <w:rPr>
                <w:b w:val="0"/>
                <w:i/>
                <w:sz w:val="19"/>
              </w:rPr>
              <w:t>Limits: Expert recommendation conflicts with ACG key concepts and NLRB guidance. Neither side has randomized EHD transplant-benefit evidence.</w:t>
            </w:r>
          </w:p>
          <w:p>
            <w:pPr>
              <w:spacing w:after="0"/>
            </w:pPr>
            <w:r>
              <w:rPr>
                <w:b w:val="0"/>
                <w:i w:val="0"/>
                <w:color w:val="5A6069"/>
                <w:sz w:val="18"/>
              </w:rPr>
              <w:t>Management of liver EHE, PDF p8; active-surveillance discussion.</w:t>
            </w:r>
          </w:p>
        </w:tc>
      </w:tr>
      <w:tr>
        <w:trPr>
          <w:cantSplit/>
        </w:trPr>
        <w:tc>
          <w:tcPr>
            <w:tcW w:type="dxa" w:w="3360"/>
            <w:tcW w:w="2000" w:type="dxa"/>
            <w:shd w:val="clear" w:color="auto" w:fill="FFFFFF"/>
          </w:tcPr>
          <w:p>
            <w:pPr>
              <w:spacing w:after="0"/>
            </w:pPr>
            <w:r>
              <w:rPr>
                <w:b/>
                <w:i w:val="0"/>
                <w:sz w:val="19"/>
              </w:rPr>
              <w:t>DGVS S2k LT guidance</w:t>
            </w:r>
          </w:p>
        </w:tc>
        <w:tc>
          <w:tcPr>
            <w:tcW w:type="dxa" w:w="3360"/>
            <w:tcW w:w="3900" w:type="dxa"/>
            <w:shd w:val="clear" w:color="auto" w:fill="FFFFFF"/>
          </w:tcPr>
          <w:p>
            <w:pPr>
              <w:spacing w:after="0"/>
            </w:pPr>
            <w:r>
              <w:rPr>
                <w:b w:val="0"/>
                <w:i w:val="0"/>
                <w:sz w:val="19"/>
              </w:rPr>
              <w:t>German S2k consensus guideline; HEHE recommendations dated 2023, publication 2024. Recommendation 3.86 addresses stable disease before LT; 3.85 concerns eligibility for evaluation.</w:t>
            </w:r>
          </w:p>
        </w:tc>
        <w:tc>
          <w:tcPr>
            <w:tcW w:type="dxa" w:w="3360"/>
            <w:tcW w:w="4180" w:type="dxa"/>
            <w:shd w:val="clear" w:color="auto" w:fill="FFFFFF"/>
          </w:tcPr>
          <w:p>
            <w:pPr>
              <w:spacing w:after="0"/>
            </w:pPr>
            <w:r>
              <w:rPr>
                <w:b w:val="0"/>
                <w:i w:val="0"/>
                <w:sz w:val="19"/>
              </w:rPr>
              <w:t>Recommends at least six months of largely stable disease before LT. Macrovascular invasion or hilar nodes are not absolute barriers to evaluation, which is not equivalent to recommending transplantation.</w:t>
            </w:r>
          </w:p>
          <w:p>
            <w:pPr>
              <w:spacing w:after="0"/>
            </w:pPr>
            <w:r>
              <w:rPr>
                <w:b w:val="0"/>
                <w:i/>
                <w:sz w:val="19"/>
              </w:rPr>
              <w:t>Limits: Expert consensus, not a randomized timing comparison or US allocation rule. It supplies a competing six-month option, not proof of superiority to four months.</w:t>
            </w:r>
          </w:p>
          <w:p>
            <w:pPr>
              <w:spacing w:after="0"/>
            </w:pPr>
            <w:r>
              <w:rPr>
                <w:b w:val="0"/>
                <w:i w:val="0"/>
                <w:color w:val="5A6069"/>
                <w:sz w:val="18"/>
              </w:rPr>
              <w:t>Official society HEHE chapter, recommendations 3.85–3.86.</w:t>
            </w:r>
          </w:p>
        </w:tc>
      </w:tr>
    </w:tbl>
    <w:p>
      <w:pPr>
        <w:spacing w:after="40"/>
      </w:pPr>
    </w:p>
    <w:p>
      <w:pPr>
        <w:pStyle w:val="Heading3"/>
        <w:keepNext/>
        <w:spacing w:before="120" w:after="80"/>
      </w:pPr>
      <w:r>
        <w:rPr>
          <w:b w:val="0"/>
          <w:i w:val="0"/>
        </w:rPr>
        <w:t>Our proposed selection (OPEN)</w:t>
      </w:r>
    </w:p>
    <w:p>
      <w:pPr>
        <w:spacing w:after="80"/>
      </w:pPr>
      <w:r>
        <w:rPr>
          <w:b w:val="0"/>
          <w:i w:val="0"/>
        </w:rPr>
        <w:t>Use six months of documented stability as an OPEN default for clinically stable HEHE, with explicit exceptions and continued assessment of whether LT is needed.</w:t>
      </w:r>
    </w:p>
    <w:p>
      <w:pPr>
        <w:numPr>
          <w:ilvl w:val="0"/>
          <w:numId w:val="5"/>
        </w:numPr>
        <w:spacing w:after="40"/>
      </w:pPr>
      <w:r>
        <w:rPr>
          <w:b w:val="0"/>
          <w:i w:val="0"/>
        </w:rPr>
        <w:t>In stable disease, propose six months of largely stable biology before final a final decision to proceed with transplantation, with comparable staging and approximately eight-week reassessment. Reliable earlier imaging can count; document the actual diagnosis, staging, registration and observation dates rather than restart a clock at referral.</w:t>
      </w:r>
    </w:p>
    <w:p>
      <w:pPr>
        <w:numPr>
          <w:ilvl w:val="0"/>
          <w:numId w:val="5"/>
        </w:numPr>
        <w:spacing w:after="40"/>
      </w:pPr>
      <w:r>
        <w:rPr>
          <w:b w:val="0"/>
          <w:i w:val="0"/>
        </w:rPr>
        <w:t>Do not delay threatening liver failure, significant progressive symptoms or rapid progression solely to complete six months. Obtain urgent multidisciplinary review of LT versus non-LT treatment; urgency does not itself establish oncologic suitability.</w:t>
      </w:r>
    </w:p>
    <w:p>
      <w:pPr>
        <w:numPr>
          <w:ilvl w:val="0"/>
          <w:numId w:val="5"/>
        </w:numPr>
        <w:spacing w:after="40"/>
      </w:pPr>
      <w:r>
        <w:rPr>
          <w:b w:val="0"/>
          <w:i w:val="0"/>
        </w:rPr>
        <w:t>Six months is an expert-guidance-informed local default, not a national requirement or validated cutoff. Continued stability does not mandate LT: reassess resection, symptom burden, function and benefit over continued observation.</w:t>
      </w:r>
    </w:p>
    <w:p>
      <w:pPr>
        <w:spacing w:after="80"/>
      </w:pPr>
      <w:r>
        <w:rPr>
          <w:b/>
          <w:i w:val="0"/>
        </w:rPr>
        <w:t xml:space="preserve">Why: </w:t>
      </w:r>
      <w:r>
        <w:rPr>
          <w:b w:val="0"/>
          <w:i w:val="0"/>
        </w:rPr>
        <w:t>Observation can expose indolent biology and avoid unnecessary graft use. The 120-day signal is prognostic association among recipients, not a tested intervention. Good US outcomes with a shorter median wait and poor outcomes in a small high-burden cohort both argue for clinical context rather than a stopwatch. DGVS explicitly favors six months of largely stable disease. This expert-guidance counterpoint is more conservative than the earlier four-month local proposal; neither interval has causal comparative validation.</w:t>
      </w:r>
    </w:p>
    <w:p>
      <w:pPr>
        <w:spacing w:after="80"/>
      </w:pPr>
      <w:r>
        <w:rPr>
          <w:b/>
          <w:i w:val="0"/>
        </w:rPr>
        <w:t xml:space="preserve">Against, or uncertain: </w:t>
      </w:r>
      <w:r>
        <w:rPr>
          <w:b w:val="0"/>
          <w:i w:val="0"/>
        </w:rPr>
        <w:t>There is no randomized immediate-versus-delayed LT comparison. Time accrued before referral, urgent liver failure, selection to survive waiting, lead time and different OS clocks can generate apparent benefits of observation.</w:t>
      </w:r>
    </w:p>
    <w:p>
      <w:pPr>
        <w:spacing w:after="80"/>
      </w:pPr>
      <w:r>
        <w:rPr>
          <w:b/>
          <w:i w:val="0"/>
        </w:rPr>
        <w:t xml:space="preserve">Certainty: </w:t>
      </w:r>
      <w:r>
        <w:rPr>
          <w:b w:val="0"/>
          <w:i w:val="0"/>
        </w:rPr>
        <w:t>Low certainty for selected post-LT survival; very low certainty that a fixed observation interval improves outcomes. No validated universal 120-day eligibility cliff. Lai measured waiting time from waiting-list registration, not completed staging, diagnosis or referral; our proposed staging-based clock is an explicit adaptation.</w:t>
      </w:r>
    </w:p>
    <w:p>
      <w:pPr>
        <w:spacing w:after="80"/>
      </w:pPr>
      <w:r>
        <w:rPr>
          <w:b/>
          <w:i w:val="0"/>
        </w:rPr>
        <w:t xml:space="preserve">Tests and records: </w:t>
      </w:r>
      <w:r>
        <w:rPr>
          <w:b w:val="0"/>
          <w:i w:val="0"/>
        </w:rPr>
        <w:t>Expert EHE pathology; complete liver/systemic staging; symptoms and liver function; interval growth and vascular/node assessment; resection review.</w:t>
      </w:r>
    </w:p>
    <w:p>
      <w:pPr>
        <w:spacing w:after="80"/>
      </w:pPr>
      <w:r>
        <w:rPr>
          <w:b/>
          <w:i w:val="0"/>
        </w:rPr>
        <w:t xml:space="preserve">Allocation: </w:t>
      </w:r>
      <w:r>
        <w:rPr>
          <w:b w:val="0"/>
          <w:i w:val="0"/>
        </w:rPr>
        <w:t>This is a proposed clinical timing choice, not an added NLRB exception requirement. Standard HEHE protocol content is not rewritten in this edition.</w:t>
      </w:r>
    </w:p>
    <w:p>
      <w:pPr>
        <w:spacing w:after="40"/>
      </w:pPr>
      <w:r>
        <w:rPr>
          <w:b/>
          <w:i w:val="0"/>
        </w:rPr>
        <w:t xml:space="preserve">Basis for the proposed thresholds: </w:t>
      </w:r>
    </w:p>
    <w:p>
      <w:pPr>
        <w:numPr>
          <w:ilvl w:val="0"/>
          <w:numId w:val="5"/>
        </w:numPr>
        <w:spacing w:after="40"/>
      </w:pPr>
      <w:r>
        <w:rPr>
          <w:b w:val="0"/>
          <w:i w:val="0"/>
        </w:rPr>
        <w:t>Six months: international expert-guidance default, not US policy or a proven biological cliff. Reliable pre-referral stability may contribute.</w:t>
      </w:r>
    </w:p>
    <w:p>
      <w:pPr>
        <w:numPr>
          <w:ilvl w:val="0"/>
          <w:numId w:val="5"/>
        </w:numPr>
        <w:spacing w:after="40"/>
      </w:pPr>
      <w:r>
        <w:rPr>
          <w:b w:val="0"/>
          <w:i w:val="0"/>
        </w:rPr>
        <w:t>120 days: Lai registry exposure measured from waiting-list registration to LT; it is not the same as diagnosis-to-treatment or completed-staging observation and does not causally validate four months.</w:t>
      </w:r>
    </w:p>
    <w:p>
      <w:pPr>
        <w:numPr>
          <w:ilvl w:val="0"/>
          <w:numId w:val="5"/>
        </w:numPr>
        <w:spacing w:after="40"/>
      </w:pPr>
      <w:r>
        <w:rPr>
          <w:b w:val="0"/>
          <w:i w:val="0"/>
        </w:rPr>
        <w:t>Approximately eight-week reassessment and exceptions: local workflow/safety judgment; adjust to disease trajectory.</w:t>
      </w:r>
    </w:p>
    <w:p>
      <w:pPr>
        <w:pStyle w:val="Heading3"/>
        <w:keepNext/>
        <w:spacing w:before="120" w:after="80"/>
      </w:pPr>
      <w:r>
        <w:rPr>
          <w:b w:val="0"/>
          <w:i w:val="0"/>
        </w:rPr>
        <w:t>HEHE-B1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HEHE-B2 — Extrahepatic disease and vascular invasion</w:t>
      </w:r>
    </w:p>
    <w:p>
      <w:pPr>
        <w:spacing w:after="80"/>
      </w:pPr>
      <w:r>
        <w:rPr>
          <w:b w:val="0"/>
          <w:i w:val="0"/>
          <w:color w:val="5A6069"/>
          <w:sz w:val="18"/>
        </w:rPr>
        <w:t>Initial selection and expansion limits · not activated · High-risk review</w:t>
      </w:r>
    </w:p>
    <w:p>
      <w:pPr>
        <w:spacing w:after="80"/>
      </w:pPr>
      <w:r>
        <w:rPr>
          <w:b/>
          <w:i w:val="0"/>
        </w:rPr>
        <w:t xml:space="preserve">Question: </w:t>
      </w:r>
      <w:r>
        <w:rPr>
          <w:b w:val="0"/>
          <w:i w:val="0"/>
        </w:rPr>
        <w:t>Can extrahepatic disease or an explant score broaden access?</w:t>
      </w:r>
    </w:p>
    <w:p>
      <w:pPr>
        <w:spacing w:after="80"/>
      </w:pPr>
      <w:r>
        <w:rPr>
          <w:b/>
          <w:i w:val="0"/>
        </w:rPr>
        <w:t xml:space="preserve">When it applies: </w:t>
      </w:r>
      <w:r>
        <w:rPr>
          <w:b w:val="0"/>
          <w:i w:val="0"/>
        </w:rPr>
        <w:t>Assess vascular invasion and any extrahepatic disease separately from the usual liver-only pathway.</w:t>
      </w:r>
    </w:p>
    <w:p>
      <w:pPr>
        <w:spacing w:after="80"/>
      </w:pPr>
      <w:r>
        <w:rPr>
          <w:b/>
          <w:i w:val="0"/>
        </w:rPr>
        <w:t xml:space="preserve">Where it is decided: </w:t>
      </w:r>
      <w:hyperlink r:id="rId10">
        <w:r>
          <w:rPr>
            <w:color w:val="0563C1"/>
            <w:u w:val="single"/>
          </w:rPr>
          <w:t xml:space="preserve">Stage and compare options</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“The presence of extrahepatic disease is not an absolute contraindication.” Allocation guidance permits consideration; it does not establish clinical benefit in every EHD phenotype.</w:t>
            </w:r>
          </w:p>
        </w:tc>
        <w:tc>
          <w:tcPr>
            <w:tcW w:type="dxa" w:w="3360"/>
            <w:tcW w:w="2400" w:type="dxa"/>
            <w:shd w:val="clear" w:color="auto" w:fill="F1F5F8"/>
          </w:tcPr>
          <w:p>
            <w:pPr>
              <w:spacing w:after="0"/>
            </w:pPr>
            <w:r>
              <w:rPr>
                <w:b w:val="0"/>
                <w:i w:val="0"/>
                <w:color w:val="5A6069"/>
                <w:sz w:val="18"/>
              </w:rPr>
              <w:t>December 2025 oncology guidance p11, HEHE</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“Absence of macrovascular invasion on biopsy or imaging.” A separate favorable-guidance criterion; do not omit it when discussing EHD.</w:t>
            </w:r>
          </w:p>
        </w:tc>
        <w:tc>
          <w:tcPr>
            <w:tcW w:type="dxa" w:w="3360"/>
            <w:tcW w:w="2400" w:type="dxa"/>
            <w:shd w:val="clear" w:color="auto" w:fill="FFFFFF"/>
          </w:tcPr>
          <w:p>
            <w:pPr>
              <w:spacing w:after="0"/>
            </w:pPr>
            <w:r>
              <w:rPr>
                <w:b w:val="0"/>
                <w:i w:val="0"/>
                <w:color w:val="5A6069"/>
                <w:sz w:val="18"/>
              </w:rPr>
              <w:t>December 2025 oncology guidance p11, HEHE</w:t>
            </w:r>
          </w:p>
        </w:tc>
      </w:tr>
      <w:tr>
        <w:trPr>
          <w:cantSplit/>
        </w:trPr>
        <w:tc>
          <w:tcPr>
            <w:tcW w:type="dxa" w:w="3360"/>
            <w:tcW w:w="2200" w:type="dxa"/>
            <w:shd w:val="clear" w:color="auto" w:fill="F1F5F8"/>
          </w:tcPr>
          <w:p>
            <w:pPr>
              <w:spacing w:after="0"/>
            </w:pPr>
            <w:r>
              <w:rPr>
                <w:b/>
                <w:i w:val="0"/>
                <w:sz w:val="19"/>
              </w:rPr>
              <w:t>Stacchiotti 2021</w:t>
            </w:r>
          </w:p>
        </w:tc>
        <w:tc>
          <w:tcPr>
            <w:tcW w:type="dxa" w:w="3360"/>
            <w:tcW w:w="5480" w:type="dxa"/>
            <w:shd w:val="clear" w:color="auto" w:fill="F1F5F8"/>
          </w:tcPr>
          <w:p>
            <w:pPr>
              <w:spacing w:after="0"/>
            </w:pPr>
            <w:r>
              <w:rPr>
                <w:b w:val="0"/>
                <w:i w:val="0"/>
                <w:sz w:val="19"/>
              </w:rPr>
              <w:t>“LT should not be proposed to patients with liver EHE and extrahepatic disease” Clinical consensus is more restrictive than NLRB review guidance. The disagreement remains visible.</w:t>
            </w:r>
          </w:p>
        </w:tc>
        <w:tc>
          <w:tcPr>
            <w:tcW w:type="dxa" w:w="3360"/>
            <w:tcW w:w="2400" w:type="dxa"/>
            <w:shd w:val="clear" w:color="auto" w:fill="F1F5F8"/>
          </w:tcPr>
          <w:p>
            <w:pPr>
              <w:spacing w:after="0"/>
            </w:pPr>
            <w:r>
              <w:rPr>
                <w:b w:val="0"/>
                <w:i w:val="0"/>
                <w:color w:val="5A6069"/>
                <w:sz w:val="18"/>
              </w:rPr>
              <w:t>ESMO Open 2021 consensus PDF p8; recommendation graded V, 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Same 149-recipient ELTR series; 40 had pre-LT extrahepatic disease. EHD comparison restricted to 23 matched pairs; score uses explant/pathological variables.</w:t>
            </w:r>
          </w:p>
        </w:tc>
        <w:tc>
          <w:tcPr>
            <w:tcW w:type="dxa" w:w="3360"/>
            <w:tcW w:w="4180" w:type="dxa"/>
            <w:shd w:val="clear" w:color="auto" w:fill="F1F5F8"/>
          </w:tcPr>
          <w:p>
            <w:pPr>
              <w:spacing w:after="0"/>
            </w:pPr>
            <w:r>
              <w:rPr>
                <w:b w:val="0"/>
                <w:i w:val="0"/>
                <w:sz w:val="19"/>
              </w:rPr>
              <w:t>Pre-transplant extrahepatic disease was mostly radiological lung disease (23 of 40), and only 5 had lung surgery beforehand; extrahepatic disease HR 1.5 (0.8–3.0), not retained. Matched 5-year DFS: EHD 73.5% versus 81.6% without, P=.54. macrovascular invasion adjusted recurrence HR 4.9 (2.4–9.9); hilar nodes HR 2.2 (1.1–4.5). Score groups 0–2/3–5/6–10: 5-year DFS 93.9%/76.9%/38.5%.</w:t>
            </w:r>
          </w:p>
          <w:p>
            <w:pPr>
              <w:spacing w:after="0"/>
            </w:pPr>
            <w:r>
              <w:rPr>
                <w:b w:val="0"/>
                <w:i/>
                <w:sz w:val="19"/>
              </w:rPr>
              <w:t>Limits: A nonsignificant small comparison is not equivalence. Score was not validated as a pre-LT eligibility test; grade/stage can be missed before explant.</w:t>
            </w:r>
          </w:p>
          <w:p>
            <w:pPr>
              <w:spacing w:after="0"/>
            </w:pPr>
            <w:r>
              <w:rPr>
                <w:b w:val="0"/>
                <w:i w:val="0"/>
                <w:color w:val="5A6069"/>
                <w:sz w:val="18"/>
              </w:rPr>
              <w:t>Table 5; propensity-matched analysis; EHE-LT score section.</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focal liver lesion guideline, key concepts 34–36. Whole-body CT/MRI staging; recognize variable, sometimes low PET avidity.</w:t>
            </w:r>
          </w:p>
        </w:tc>
        <w:tc>
          <w:tcPr>
            <w:tcW w:type="dxa" w:w="3360"/>
            <w:tcW w:w="4180" w:type="dxa"/>
            <w:shd w:val="clear" w:color="auto" w:fill="FFFFFF"/>
          </w:tcPr>
          <w:p>
            <w:pPr>
              <w:spacing w:after="0"/>
            </w:pPr>
            <w:r>
              <w:rPr>
                <w:b w:val="0"/>
                <w:i w:val="0"/>
                <w:sz w:val="19"/>
              </w:rPr>
              <w:t>Key concept 35 supports resection if possible and LT when unresectable, including selected EHD. This is a clinical position, not an allocation entitlement.</w:t>
            </w:r>
          </w:p>
          <w:p>
            <w:pPr>
              <w:spacing w:after="0"/>
            </w:pPr>
            <w:r>
              <w:rPr>
                <w:b w:val="0"/>
                <w:i/>
                <w:sz w:val="19"/>
              </w:rPr>
              <w:t>Limits: These statements are key concepts, not GRADE-rated recommendations; optimistic comparative language rests on selected series.</w:t>
            </w:r>
          </w:p>
          <w:p>
            <w:pPr>
              <w:spacing w:after="0"/>
            </w:pPr>
            <w:r>
              <w:rPr>
                <w:b w:val="0"/>
                <w:i w:val="0"/>
                <w:color w:val="5A6069"/>
                <w:sz w:val="18"/>
              </w:rPr>
              <w:t>Table 3 key concepts 34–36, PDF p5; EHE discussion.</w:t>
            </w:r>
          </w:p>
        </w:tc>
      </w:tr>
      <w:tr>
        <w:trPr>
          <w:cantSplit/>
        </w:trPr>
        <w:tc>
          <w:tcPr>
            <w:tcW w:type="dxa" w:w="3360"/>
            <w:tcW w:w="2000" w:type="dxa"/>
            <w:shd w:val="clear" w:color="auto" w:fill="F1F5F8"/>
          </w:tcPr>
          <w:p>
            <w:pPr>
              <w:spacing w:after="0"/>
            </w:pPr>
            <w:r>
              <w:rPr>
                <w:b/>
                <w:i w:val="0"/>
                <w:sz w:val="19"/>
              </w:rPr>
              <w:t>Stacchiotti 2021</w:t>
            </w:r>
          </w:p>
        </w:tc>
        <w:tc>
          <w:tcPr>
            <w:tcW w:type="dxa" w:w="3360"/>
            <w:tcW w:w="3900" w:type="dxa"/>
            <w:shd w:val="clear" w:color="auto" w:fill="F1F5F8"/>
          </w:tcPr>
          <w:p>
            <w:pPr>
              <w:spacing w:after="0"/>
            </w:pPr>
            <w:r>
              <w:rPr>
                <w:b w:val="0"/>
                <w:i w:val="0"/>
                <w:sz w:val="19"/>
              </w:rPr>
              <w:t>International expert consensus; evidence predominantly retrospective and very-low certainty. Distinguishes asymptomatic/stable systemic EHE from unresectable liver-confined disease.</w:t>
            </w:r>
          </w:p>
        </w:tc>
        <w:tc>
          <w:tcPr>
            <w:tcW w:type="dxa" w:w="3360"/>
            <w:tcW w:w="4180" w:type="dxa"/>
            <w:shd w:val="clear" w:color="auto" w:fill="F1F5F8"/>
          </w:tcPr>
          <w:p>
            <w:pPr>
              <w:spacing w:after="0"/>
            </w:pPr>
            <w:r>
              <w:rPr>
                <w:b w:val="0"/>
                <w:i w:val="0"/>
                <w:sz w:val="19"/>
              </w:rPr>
              <w:t>Supports initial active surveillance for suitable stable disease and consideration of LT for selected unresectable liver-only EHE; advises against LT with EHD (V,A).</w:t>
            </w:r>
          </w:p>
          <w:p>
            <w:pPr>
              <w:spacing w:after="0"/>
            </w:pPr>
            <w:r>
              <w:rPr>
                <w:b w:val="0"/>
                <w:i/>
                <w:sz w:val="19"/>
              </w:rPr>
              <w:t>Limits: Expert recommendation conflicts with ACG key concepts and NLRB guidance. Neither side has randomized EHD transplant-benefit evidence.</w:t>
            </w:r>
          </w:p>
          <w:p>
            <w:pPr>
              <w:spacing w:after="0"/>
            </w:pPr>
            <w:r>
              <w:rPr>
                <w:b w:val="0"/>
                <w:i w:val="0"/>
                <w:color w:val="5A6069"/>
                <w:sz w:val="18"/>
              </w:rPr>
              <w:t>Management of liver EHE, PDF p8; active-surveillance discussion.</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December 2025 transplant-oncology exception guidance, current posting checked 24 October 2026. HEHE diagnosis, unresectability and absence of macrovascular invasion are separately considered.</w:t>
            </w:r>
          </w:p>
        </w:tc>
        <w:tc>
          <w:tcPr>
            <w:tcW w:type="dxa" w:w="3360"/>
            <w:tcW w:w="4180" w:type="dxa"/>
            <w:shd w:val="clear" w:color="auto" w:fill="FFFFFF"/>
          </w:tcPr>
          <w:p>
            <w:pPr>
              <w:spacing w:after="0"/>
            </w:pPr>
            <w:r>
              <w:rPr>
                <w:b w:val="0"/>
                <w:i w:val="0"/>
                <w:sz w:val="19"/>
              </w:rPr>
              <w:t>EHD is not an absolute contraindication in this guidance. No mandatory four-month observation rule is specified.</w:t>
            </w:r>
          </w:p>
          <w:p>
            <w:pPr>
              <w:spacing w:after="0"/>
            </w:pPr>
            <w:r>
              <w:rPr>
                <w:b w:val="0"/>
                <w:i/>
                <w:sz w:val="19"/>
              </w:rPr>
              <w:t>Limits: Nonbinding allocation-review guidance; does not demonstrate individual clinical benefit or override donor/clinical judgment.</w:t>
            </w:r>
          </w:p>
          <w:p>
            <w:pPr>
              <w:spacing w:after="0"/>
            </w:pPr>
            <w:r>
              <w:rPr>
                <w:b w:val="0"/>
                <w:i w:val="0"/>
                <w:color w:val="5A6069"/>
                <w:sz w:val="18"/>
              </w:rPr>
              <w:t>HEHE section p11 and disclaimer p2.</w:t>
            </w:r>
          </w:p>
        </w:tc>
      </w:tr>
      <w:tr>
        <w:trPr>
          <w:cantSplit/>
        </w:trPr>
        <w:tc>
          <w:tcPr>
            <w:tcW w:type="dxa" w:w="3360"/>
            <w:tcW w:w="2000" w:type="dxa"/>
            <w:shd w:val="clear" w:color="auto" w:fill="F1F5F8"/>
          </w:tcPr>
          <w:p>
            <w:pPr>
              <w:spacing w:after="0"/>
            </w:pPr>
            <w:r>
              <w:rPr>
                <w:b/>
                <w:i w:val="0"/>
                <w:sz w:val="19"/>
              </w:rPr>
              <w:t>Liu 2024</w:t>
            </w:r>
          </w:p>
        </w:tc>
        <w:tc>
          <w:tcPr>
            <w:tcW w:type="dxa" w:w="3360"/>
            <w:tcW w:w="3900" w:type="dxa"/>
            <w:shd w:val="clear" w:color="auto" w:fill="F1F5F8"/>
          </w:tcPr>
          <w:p>
            <w:pPr>
              <w:spacing w:after="0"/>
            </w:pPr>
            <w:r>
              <w:rPr>
                <w:b w:val="0"/>
                <w:i w:val="0"/>
                <w:sz w:val="19"/>
              </w:rPr>
              <w:t>Single-team retrospective cohort 2014–2024: 228 evaluable; LT 8, resection/ablation 49, nonsurgical 171. Half the eight LT patients had a lesion &gt;10 cm, versus 10% of non-LT patients.</w:t>
            </w:r>
          </w:p>
        </w:tc>
        <w:tc>
          <w:tcPr>
            <w:tcW w:type="dxa" w:w="3360"/>
            <w:tcW w:w="4180" w:type="dxa"/>
            <w:shd w:val="clear" w:color="auto" w:fill="F1F5F8"/>
          </w:tcPr>
          <w:p>
            <w:pPr>
              <w:spacing w:after="0"/>
            </w:pPr>
            <w:r>
              <w:rPr>
                <w:b w:val="0"/>
                <w:i w:val="0"/>
                <w:sz w:val="19"/>
              </w:rPr>
              <w:t>Overall 5-year OS 84.9%; LT 1/3-year OS 62.5%/25%; non-LT 5-year OS 87.8%. Survival time zero is not clearly specified in the extracted Methods; do not relabel as standard post-LT estimates.</w:t>
            </w:r>
          </w:p>
          <w:p>
            <w:pPr>
              <w:spacing w:after="0"/>
            </w:pPr>
            <w:r>
              <w:rPr>
                <w:b w:val="0"/>
                <w:i/>
                <w:sz w:val="19"/>
              </w:rPr>
              <w:t>Limits: Major confounding by indication, eight recipients and loss-to-follow-up exclusion. Poor LT results cannot prove LT causes harm; they challenge assuming all HEHE has excellent transplant outcomes.</w:t>
            </w:r>
          </w:p>
          <w:p>
            <w:pPr>
              <w:spacing w:after="0"/>
            </w:pPr>
            <w:r>
              <w:rPr>
                <w:b w:val="0"/>
                <w:i w:val="0"/>
                <w:color w:val="5A6069"/>
                <w:sz w:val="18"/>
              </w:rPr>
              <w:t>Methods; Tables 1–3; Survival Outcomes/Figure 2.</w:t>
            </w:r>
          </w:p>
        </w:tc>
      </w:tr>
      <w:tr>
        <w:trPr>
          <w:cantSplit/>
        </w:trPr>
        <w:tc>
          <w:tcPr>
            <w:tcW w:type="dxa" w:w="3360"/>
            <w:tcW w:w="2000" w:type="dxa"/>
            <w:shd w:val="clear" w:color="auto" w:fill="FFFFFF"/>
          </w:tcPr>
          <w:p>
            <w:pPr>
              <w:spacing w:after="0"/>
            </w:pPr>
            <w:r>
              <w:rPr>
                <w:b/>
                <w:i w:val="0"/>
                <w:sz w:val="19"/>
              </w:rPr>
              <w:t>DGVS S2k LT guidance</w:t>
            </w:r>
          </w:p>
        </w:tc>
        <w:tc>
          <w:tcPr>
            <w:tcW w:type="dxa" w:w="3360"/>
            <w:tcW w:w="3900" w:type="dxa"/>
            <w:shd w:val="clear" w:color="auto" w:fill="FFFFFF"/>
          </w:tcPr>
          <w:p>
            <w:pPr>
              <w:spacing w:after="0"/>
            </w:pPr>
            <w:r>
              <w:rPr>
                <w:b w:val="0"/>
                <w:i w:val="0"/>
                <w:sz w:val="19"/>
              </w:rPr>
              <w:t>German S2k consensus guideline; HEHE recommendations dated 2023, publication 2024. Recommendation 3.86 addresses stable disease before LT; 3.85 concerns eligibility for evaluation.</w:t>
            </w:r>
          </w:p>
        </w:tc>
        <w:tc>
          <w:tcPr>
            <w:tcW w:type="dxa" w:w="3360"/>
            <w:tcW w:w="4180" w:type="dxa"/>
            <w:shd w:val="clear" w:color="auto" w:fill="FFFFFF"/>
          </w:tcPr>
          <w:p>
            <w:pPr>
              <w:spacing w:after="0"/>
            </w:pPr>
            <w:r>
              <w:rPr>
                <w:b w:val="0"/>
                <w:i w:val="0"/>
                <w:sz w:val="19"/>
              </w:rPr>
              <w:t>Recommends at least six months of largely stable disease before LT. Macrovascular invasion or hilar nodes are not absolute barriers to evaluation, which is not equivalent to recommending transplantation.</w:t>
            </w:r>
          </w:p>
          <w:p>
            <w:pPr>
              <w:spacing w:after="0"/>
            </w:pPr>
            <w:r>
              <w:rPr>
                <w:b w:val="0"/>
                <w:i/>
                <w:sz w:val="19"/>
              </w:rPr>
              <w:t>Limits: Expert consensus, not a randomized timing comparison or US allocation rule. It supplies a competing six-month option, not proof of superiority to four months.</w:t>
            </w:r>
          </w:p>
          <w:p>
            <w:pPr>
              <w:spacing w:after="0"/>
            </w:pPr>
            <w:r>
              <w:rPr>
                <w:b w:val="0"/>
                <w:i w:val="0"/>
                <w:color w:val="5A6069"/>
                <w:sz w:val="18"/>
              </w:rPr>
              <w:t>Official society HEHE chapter, recommendations 3.85–3.86.</w:t>
            </w:r>
          </w:p>
        </w:tc>
      </w:tr>
      <w:tr>
        <w:trPr>
          <w:cantSplit/>
        </w:trPr>
        <w:tc>
          <w:tcPr>
            <w:tcW w:type="dxa" w:w="3360"/>
            <w:tcW w:w="2000" w:type="dxa"/>
            <w:shd w:val="clear" w:color="auto" w:fill="F1F5F8"/>
          </w:tcPr>
          <w:p>
            <w:pPr>
              <w:spacing w:after="0"/>
            </w:pPr>
            <w:r>
              <w:rPr>
                <w:b/>
                <w:i w:val="0"/>
                <w:sz w:val="19"/>
              </w:rPr>
              <w:t>Lerut 2007 · ELTR</w:t>
            </w:r>
          </w:p>
        </w:tc>
        <w:tc>
          <w:tcPr>
            <w:tcW w:type="dxa" w:w="3360"/>
            <w:tcW w:w="3900" w:type="dxa"/>
            <w:shd w:val="clear" w:color="auto" w:fill="F1F5F8"/>
          </w:tcPr>
          <w:p>
            <w:pPr>
              <w:spacing w:after="0"/>
            </w:pPr>
            <w:r>
              <w:rPr>
                <w:b w:val="0"/>
                <w:i w:val="0"/>
                <w:sz w:val="19"/>
              </w:rPr>
              <w:t>European Liver Transplant Registry: 59 recipients transplanted for HEHE. Ten (16.9%) had extrahepatic disease before or at transplantation; three had extrahepatic surgery before transplantation.</w:t>
            </w:r>
          </w:p>
        </w:tc>
        <w:tc>
          <w:tcPr>
            <w:tcW w:type="dxa" w:w="3360"/>
            <w:tcW w:w="4180" w:type="dxa"/>
            <w:shd w:val="clear" w:color="auto" w:fill="F1F5F8"/>
          </w:tcPr>
          <w:p>
            <w:pPr>
              <w:spacing w:after="0"/>
            </w:pPr>
            <w:r>
              <w:rPr>
                <w:b w:val="0"/>
                <w:i w:val="0"/>
                <w:sz w:val="19"/>
              </w:rPr>
              <w:t>One-, five- and ten-year survival 90%, 80% and 80% with extrahepatic disease versus 94%, 83% and 70% without; lymph-node invasion also did not significantly change survival, whereas vascular invasion did.</w:t>
            </w:r>
          </w:p>
          <w:p>
            <w:pPr>
              <w:spacing w:after="0"/>
            </w:pPr>
            <w:r>
              <w:rPr>
                <w:b w:val="0"/>
                <w:i/>
                <w:sz w:val="19"/>
              </w:rPr>
              <w:t>Limits: Ten patients with extrahepatic disease; sites and treatment not separated.</w:t>
            </w:r>
          </w:p>
          <w:p>
            <w:pPr>
              <w:spacing w:after="0"/>
            </w:pPr>
            <w:r>
              <w:rPr>
                <w:b w:val="0"/>
                <w:i w:val="0"/>
                <w:color w:val="5A6069"/>
                <w:sz w:val="18"/>
              </w:rPr>
              <w:t>Ann Surg 2007; abstract.</w:t>
            </w:r>
          </w:p>
        </w:tc>
      </w:tr>
      <w:tr>
        <w:trPr>
          <w:cantSplit/>
        </w:trPr>
        <w:tc>
          <w:tcPr>
            <w:tcW w:type="dxa" w:w="3360"/>
            <w:tcW w:w="2000" w:type="dxa"/>
            <w:shd w:val="clear" w:color="auto" w:fill="FFFFFF"/>
          </w:tcPr>
          <w:p>
            <w:pPr>
              <w:spacing w:after="0"/>
            </w:pPr>
            <w:r>
              <w:rPr>
                <w:b/>
                <w:i w:val="0"/>
                <w:sz w:val="19"/>
              </w:rPr>
              <w:t>Sawma 2024 · Mayo</w:t>
            </w:r>
          </w:p>
        </w:tc>
        <w:tc>
          <w:tcPr>
            <w:tcW w:type="dxa" w:w="3360"/>
            <w:tcW w:w="3900" w:type="dxa"/>
            <w:shd w:val="clear" w:color="auto" w:fill="FFFFFF"/>
          </w:tcPr>
          <w:p>
            <w:pPr>
              <w:spacing w:after="0"/>
            </w:pPr>
            <w:r>
              <w:rPr>
                <w:b w:val="0"/>
                <w:i w:val="0"/>
                <w:sz w:val="19"/>
              </w:rPr>
              <w:t>Mayo cohort of 80 patients with HEHE (24 transplanted, 26 resected, 30 managed medically). Twenty-six had extrahepatic metastases at diagnosis, four of them in the transplant group.</w:t>
            </w:r>
          </w:p>
        </w:tc>
        <w:tc>
          <w:tcPr>
            <w:tcW w:type="dxa" w:w="3360"/>
            <w:tcW w:w="4180" w:type="dxa"/>
            <w:shd w:val="clear" w:color="auto" w:fill="FFFFFF"/>
          </w:tcPr>
          <w:p>
            <w:pPr>
              <w:spacing w:after="0"/>
            </w:pPr>
            <w:r>
              <w:rPr>
                <w:b w:val="0"/>
                <w:i w:val="0"/>
                <w:sz w:val="19"/>
              </w:rPr>
              <w:t>Bone metastasis was independently associated with long-term mortality (HR 6.3); lung metastasis was not (HR 0.8).</w:t>
            </w:r>
          </w:p>
          <w:p>
            <w:pPr>
              <w:spacing w:after="0"/>
            </w:pPr>
            <w:r>
              <w:rPr>
                <w:b w:val="0"/>
                <w:i/>
                <w:sz w:val="19"/>
              </w:rPr>
              <w:t>Limits: The site analysis covers all treatments; only four recipients had extrahepatic disease.</w:t>
            </w:r>
          </w:p>
          <w:p>
            <w:pPr>
              <w:spacing w:after="0"/>
            </w:pPr>
            <w:r>
              <w:rPr>
                <w:b w:val="0"/>
                <w:i w:val="0"/>
                <w:color w:val="5A6069"/>
                <w:sz w:val="18"/>
              </w:rPr>
              <w:t>J Surg Oncol 2024; abstract.</w:t>
            </w:r>
          </w:p>
        </w:tc>
      </w:tr>
      <w:tr>
        <w:trPr>
          <w:cantSplit/>
        </w:trPr>
        <w:tc>
          <w:tcPr>
            <w:tcW w:type="dxa" w:w="3360"/>
            <w:tcW w:w="2000" w:type="dxa"/>
            <w:shd w:val="clear" w:color="auto" w:fill="F1F5F8"/>
          </w:tcPr>
          <w:p>
            <w:pPr>
              <w:spacing w:after="0"/>
            </w:pPr>
            <w:r>
              <w:rPr>
                <w:b/>
                <w:i w:val="0"/>
                <w:sz w:val="19"/>
              </w:rPr>
              <w:t>Rosenbaum 2019 · EHE molecular subsets</w:t>
            </w:r>
          </w:p>
        </w:tc>
        <w:tc>
          <w:tcPr>
            <w:tcW w:type="dxa" w:w="3360"/>
            <w:tcW w:w="3900" w:type="dxa"/>
            <w:shd w:val="clear" w:color="auto" w:fill="F1F5F8"/>
          </w:tcPr>
          <w:p>
            <w:pPr>
              <w:spacing w:after="0"/>
            </w:pPr>
            <w:r>
              <w:rPr>
                <w:b w:val="0"/>
                <w:i w:val="0"/>
                <w:sz w:val="19"/>
              </w:rPr>
              <w:t>MSKCC clinicopathological cohort, 93 EHE at all sites. Nodal and pleural involvement recorded; one liver transplant.</w:t>
            </w:r>
          </w:p>
        </w:tc>
        <w:tc>
          <w:tcPr>
            <w:tcW w:type="dxa" w:w="3360"/>
            <w:tcW w:w="4180" w:type="dxa"/>
            <w:shd w:val="clear" w:color="auto" w:fill="F1F5F8"/>
          </w:tcPr>
          <w:p>
            <w:pPr>
              <w:spacing w:after="0"/>
            </w:pPr>
            <w:r>
              <w:rPr>
                <w:b w:val="0"/>
                <w:i w:val="0"/>
                <w:sz w:val="19"/>
              </w:rPr>
              <w:t>Nodal involvement HR 2.7; five-year survival 30% with nodal and 22% with pleural disease versus over 70% without (unadjusted).</w:t>
            </w:r>
          </w:p>
          <w:p>
            <w:pPr>
              <w:spacing w:after="0"/>
            </w:pPr>
            <w:r>
              <w:rPr>
                <w:b w:val="0"/>
                <w:i/>
                <w:sz w:val="19"/>
              </w:rPr>
              <w:t>Limits: Mixed anatomical sites; not transplant-specific.</w:t>
            </w:r>
          </w:p>
          <w:p>
            <w:pPr>
              <w:spacing w:after="0"/>
            </w:pPr>
            <w:r>
              <w:rPr>
                <w:b w:val="0"/>
                <w:i w:val="0"/>
                <w:color w:val="5A6069"/>
                <w:sz w:val="18"/>
              </w:rPr>
              <w:t>Mod Pathol 2019;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Start with liver-only disease and no macrovascular invasion. Define a separate extrahepatic stratum, not yet activated: lung-only disease that is stable for ≥6 months or completely resected or ablated. Bone, serosal and progressive extrahepatic disease stay closed. Do not select using an explant score.</w:t>
      </w:r>
    </w:p>
    <w:p>
      <w:pPr>
        <w:numPr>
          <w:ilvl w:val="0"/>
          <w:numId w:val="5"/>
        </w:numPr>
        <w:spacing w:after="40"/>
      </w:pPr>
      <w:r>
        <w:rPr>
          <w:b w:val="0"/>
          <w:i w:val="0"/>
        </w:rPr>
        <w:t>Proposed opening boundary: unresectable liver-only EHE with no macrovascular invasion. Extrahepatic disease is not a national absolute prohibition, but it is outside the opening cohort.</w:t>
      </w:r>
    </w:p>
    <w:p>
      <w:pPr>
        <w:numPr>
          <w:ilvl w:val="0"/>
          <w:numId w:val="5"/>
        </w:numPr>
        <w:spacing w:after="40"/>
      </w:pPr>
      <w:r>
        <w:rPr>
          <w:b w:val="0"/>
          <w:i w:val="0"/>
        </w:rPr>
        <w:t>Resolve suspicious nodes/extrahepatic lesions before proceeding. Do not use an explant-derived score as if it were a validated pretransplant eligibility test.</w:t>
      </w:r>
    </w:p>
    <w:p>
      <w:pPr>
        <w:numPr>
          <w:ilvl w:val="0"/>
          <w:numId w:val="5"/>
        </w:numPr>
        <w:spacing w:after="40"/>
      </w:pPr>
      <w:r>
        <w:rPr>
          <w:b w:val="0"/>
          <w:i w:val="0"/>
        </w:rPr>
        <w:t>Proposed extrahepatic stratum (defined, not activated): lung-only disease without pleural involvement, asymptomatic, and either stable on serial imaging for ≥6 months or completely resected or ablated with no recurrence for ≥6 months. Each case needs independent expert review and a written comparison with observation or systemic treatment.</w:t>
      </w:r>
    </w:p>
    <w:p>
      <w:pPr>
        <w:numPr>
          <w:ilvl w:val="0"/>
          <w:numId w:val="5"/>
        </w:numPr>
        <w:spacing w:after="40"/>
      </w:pPr>
      <w:r>
        <w:rPr>
          <w:b w:val="0"/>
          <w:i w:val="0"/>
        </w:rPr>
        <w:t>Closed: bone metastasis; pleural, peritoneal or other serosal disease; extrahepatic disease outside the lung; and progressive or symptomatic extrahepatic disease. Record the guideline disagreement in every case. Hilar nodal involvement is a recurrence risk factor rather than an extrahepatic exclusion; plan hilar lymphadenectomy.</w:t>
      </w:r>
    </w:p>
    <w:p>
      <w:pPr>
        <w:spacing w:after="80"/>
      </w:pPr>
      <w:r>
        <w:rPr>
          <w:b/>
          <w:i w:val="0"/>
        </w:rPr>
        <w:t xml:space="preserve">Why: </w:t>
      </w:r>
      <w:r>
        <w:rPr>
          <w:b w:val="0"/>
          <w:i w:val="0"/>
        </w:rPr>
        <w:t>The disagreement is genuine: ACG/NLRB are permissive about selected EHD, whereas the disease-specific consensus is restrictive. The best registry suggests macrovascular invasion and hilar nodes are adverse; selected EHD was not independently adverse, but the study was too small to establish equivalence. Histology-derived risk scoring cannot be substituted for preoperative staging. In the first European registry report, 10 of 59 recipients had extrahepatic disease before or at transplantation, with 1-, 5- and 10-year survival of 90%, 80% and 80% versus 94%, 83% and 70% without it. In a Mayo cohort of 80 patients, bone metastasis was independently associated with mortality (HR 6.3) whereas lung metastasis was not (HR 0.8).</w:t>
      </w:r>
    </w:p>
    <w:p>
      <w:pPr>
        <w:spacing w:after="80"/>
      </w:pPr>
      <w:r>
        <w:rPr>
          <w:b/>
          <w:i w:val="0"/>
        </w:rPr>
        <w:t xml:space="preserve">Against, or uncertain: </w:t>
      </w:r>
      <w:r>
        <w:rPr>
          <w:b w:val="0"/>
          <w:i w:val="0"/>
        </w:rPr>
        <w:t>A blanket statement that any EHD absolutely forbids LT is inaccurate. Conversely, favorable survival in selected EHD recipients does not establish benefit over observation or systemic options for all sites/burdens. The 2021 consensus advises that transplantation should not be proposed with extrahepatic disease (level V, grade A). Registry subgroups are small, extrahepatic sites and their treatment are poorly described, and the Mayo site analysis covers all treatments, not transplant recipients alone.</w:t>
      </w:r>
    </w:p>
    <w:p>
      <w:pPr>
        <w:spacing w:after="80"/>
      </w:pPr>
      <w:r>
        <w:rPr>
          <w:b/>
          <w:i w:val="0"/>
        </w:rPr>
        <w:t xml:space="preserve">Certainty: </w:t>
      </w:r>
      <w:r>
        <w:rPr>
          <w:b w:val="0"/>
          <w:i w:val="0"/>
        </w:rPr>
        <w:t>Low certainty for prognostic association; very low for causal EHD benefit, for the proposed lung-only stratum, or for pre-LT score-driven selection.</w:t>
      </w:r>
    </w:p>
    <w:p>
      <w:pPr>
        <w:spacing w:after="80"/>
      </w:pPr>
      <w:r>
        <w:rPr>
          <w:b/>
          <w:i w:val="0"/>
        </w:rPr>
        <w:t xml:space="preserve">Tests and records: </w:t>
      </w:r>
      <w:r>
        <w:rPr>
          <w:b w:val="0"/>
          <w:i w:val="0"/>
        </w:rPr>
        <w:t>Complete staging; expert pathology; vascular assessment; targeted evaluation of suspicious extrahepatic sites; technical resectability and alternative-treatment review. Record each extrahepatic site, its size and serial imaging dates, and any resection or ablation record.</w:t>
      </w:r>
    </w:p>
    <w:p>
      <w:pPr>
        <w:spacing w:after="80"/>
      </w:pPr>
      <w:r>
        <w:rPr>
          <w:b/>
          <w:i w:val="0"/>
        </w:rPr>
        <w:t xml:space="preserve">Allocation: </w:t>
      </w:r>
      <w:r>
        <w:rPr>
          <w:b w:val="0"/>
          <w:i w:val="0"/>
        </w:rPr>
        <w:t>Clinical selection and exception-review eligibility answer different questions. The proposed liver-only choice is local, not a rewrite of national guidance.</w:t>
      </w:r>
    </w:p>
    <w:p>
      <w:pPr>
        <w:spacing w:after="40"/>
      </w:pPr>
      <w:r>
        <w:rPr>
          <w:b/>
          <w:i w:val="0"/>
        </w:rPr>
        <w:t xml:space="preserve">Basis for the proposed thresholds: </w:t>
      </w:r>
    </w:p>
    <w:p>
      <w:pPr>
        <w:numPr>
          <w:ilvl w:val="0"/>
          <w:numId w:val="5"/>
        </w:numPr>
        <w:spacing w:after="40"/>
      </w:pPr>
      <w:r>
        <w:rPr>
          <w:b w:val="0"/>
          <w:i w:val="0"/>
        </w:rPr>
        <w:t>No macrovascular invasion: aligns with current favorable NLRB consideration and adverse ELTR prognosis.</w:t>
      </w:r>
    </w:p>
    <w:p>
      <w:pPr>
        <w:numPr>
          <w:ilvl w:val="0"/>
          <w:numId w:val="5"/>
        </w:numPr>
        <w:spacing w:after="40"/>
      </w:pPr>
      <w:r>
        <w:rPr>
          <w:b w:val="0"/>
          <w:i w:val="0"/>
        </w:rPr>
        <w:t>Liver-only opening cohort: conservative local choice despite permissive ACG/NLRB wording; cannot be called universally guideline-mandated.</w:t>
      </w:r>
    </w:p>
    <w:p>
      <w:pPr>
        <w:numPr>
          <w:ilvl w:val="0"/>
          <w:numId w:val="5"/>
        </w:numPr>
        <w:spacing w:after="40"/>
      </w:pPr>
      <w:r>
        <w:rPr>
          <w:b w:val="0"/>
          <w:i w:val="0"/>
        </w:rPr>
        <w:t>EHE-LT score cutoffs: post-LT risk stratification, not a validated pre-LT exclusion test.</w:t>
      </w:r>
    </w:p>
    <w:p>
      <w:pPr>
        <w:numPr>
          <w:ilvl w:val="0"/>
          <w:numId w:val="5"/>
        </w:numPr>
        <w:spacing w:after="40"/>
      </w:pPr>
      <w:r>
        <w:rPr>
          <w:b w:val="0"/>
          <w:i w:val="0"/>
        </w:rPr>
        <w:t>Lung-only stratum with ≥6 months of stability or completed treatment: lung metastasis was not adverse in the Mayo site analysis whereas bone was; six months follows the DGVS stable-disease recommendation and the registry finding that a short wait (≤120 days) predicted recurrence. Excluding pleural and other serosal disease is a conservative local choice not tested in transplant series.</w:t>
      </w:r>
    </w:p>
    <w:p>
      <w:pPr>
        <w:pStyle w:val="Heading3"/>
        <w:keepNext/>
        <w:spacing w:before="120" w:after="80"/>
      </w:pPr>
      <w:r>
        <w:rPr>
          <w:b w:val="0"/>
          <w:i w:val="0"/>
        </w:rPr>
        <w:t>HEHE-B2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transplant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5">
        <w:r>
          <w:rPr>
            <w:color w:val="0563C1"/>
            <w:u w:val="single"/>
            <w:sz w:val="19"/>
          </w:rPr>
          <w:t xml:space="preserve">PubMed</w:t>
        </w:r>
      </w:hyperlink>
      <w:r>
        <w:rPr>
          <w:b w:val="0"/>
          <w:i w:val="0"/>
          <w:sz w:val="19"/>
        </w:rPr>
        <w:t xml:space="preserve"> · </w:t>
      </w:r>
      <w:hyperlink r:id="rId26">
        <w:r>
          <w:rPr>
            <w:color w:val="0563C1"/>
            <w:u w:val="single"/>
            <w:sz w:val="19"/>
          </w:rPr>
          <w:t xml:space="preserve">Journal</w:t>
        </w:r>
      </w:hyperlink>
      <w:r>
        <w:rPr>
          <w:b w:val="0"/>
          <w:i w:val="0"/>
          <w:sz w:val="19"/>
        </w:rPr>
        <w:t xml:space="preserve"> · </w:t>
      </w:r>
      <w:hyperlink r:id="rId27">
        <w:r>
          <w:rPr>
            <w:color w:val="0563C1"/>
            <w:u w:val="single"/>
            <w:sz w:val="19"/>
          </w:rPr>
          <w:t xml:space="preserve">Free full text</w:t>
        </w:r>
      </w:hyperlink>
      <w:r>
        <w:rPr>
          <w:b w:val="0"/>
          <w:i w:val="0"/>
          <w:sz w:val="19"/>
        </w:rPr>
        <w:t xml:space="preserve"> · </w:t>
      </w:r>
      <w:hyperlink r:id="rId28">
        <w:r>
          <w:rPr>
            <w:color w:val="0563C1"/>
            <w:u w:val="single"/>
            <w:sz w:val="19"/>
          </w:rPr>
          <w:t xml:space="preserve">Source</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ACG 2024</w:t>
      </w:r>
      <w:r>
        <w:rPr>
          <w:b w:val="0"/>
          <w:i w:val="0"/>
          <w:sz w:val="19"/>
        </w:rPr>
        <w:t xml:space="preserve"> — ACG Clinical Guideline: Focal Liver Lesions</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TMC library</w:t>
        </w:r>
      </w:hyperlink>
    </w:p>
    <w:p>
      <w:pPr>
        <w:spacing w:after="60"/>
      </w:pPr>
      <w:r>
        <w:rPr>
          <w:b/>
          <w:i w:val="0"/>
          <w:sz w:val="19"/>
        </w:rPr>
        <w:t>Brahmbhatt 2020</w:t>
      </w:r>
      <w:r>
        <w:rPr>
          <w:b w:val="0"/>
          <w:i w:val="0"/>
          <w:sz w:val="19"/>
        </w:rPr>
        <w:t xml:space="preserve"> — Liver Transplantation for Hepatic Epithelioid Hemangioendothelioma Is Facilitated by Exception Points With Acceptable Long-term Outcomes</w:t>
      </w:r>
      <w:r>
        <w:rPr>
          <w:b w:val="0"/>
          <w:i w:val="0"/>
          <w:sz w:val="19"/>
        </w:rPr>
        <w:t xml:space="preserve">  </w:t>
      </w:r>
      <w:hyperlink r:id="rId36">
        <w:r>
          <w:rPr>
            <w:color w:val="0563C1"/>
            <w:u w:val="single"/>
            <w:sz w:val="19"/>
          </w:rPr>
          <w:t xml:space="preserve">PubMed</w:t>
        </w:r>
      </w:hyperlink>
      <w:r>
        <w:rPr>
          <w:b w:val="0"/>
          <w:i w:val="0"/>
          <w:sz w:val="19"/>
        </w:rPr>
        <w:t xml:space="preserve"> · </w:t>
      </w:r>
      <w:hyperlink r:id="rId37">
        <w:r>
          <w:rPr>
            <w:color w:val="0563C1"/>
            <w:u w:val="single"/>
            <w:sz w:val="19"/>
          </w:rPr>
          <w:t xml:space="preserve">Journal</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DGVS S2k LT guidance</w:t>
      </w:r>
      <w:r>
        <w:rPr>
          <w:b w:val="0"/>
          <w:i w:val="0"/>
          <w:sz w:val="19"/>
        </w:rPr>
        <w:t xml:space="preserve"> — S2k-Leitlinie Lebertransplantation: HEHE recommendations 3.83–3.86</w:t>
      </w:r>
      <w:r>
        <w:rPr>
          <w:b w:val="0"/>
          <w:i w:val="0"/>
          <w:sz w:val="19"/>
        </w:rPr>
        <w:t xml:space="preserve">  </w:t>
      </w:r>
      <w:hyperlink r:id="rId39">
        <w:r>
          <w:rPr>
            <w:color w:val="0563C1"/>
            <w:u w:val="single"/>
            <w:sz w:val="19"/>
          </w:rPr>
          <w:t xml:space="preserve">PubMed</w:t>
        </w:r>
      </w:hyperlink>
      <w:r>
        <w:rPr>
          <w:b w:val="0"/>
          <w:i w:val="0"/>
          <w:sz w:val="19"/>
        </w:rPr>
        <w:t xml:space="preserve"> · </w:t>
      </w:r>
      <w:hyperlink r:id="rId40">
        <w:r>
          <w:rPr>
            <w:color w:val="0563C1"/>
            <w:u w:val="single"/>
            <w:sz w:val="19"/>
          </w:rPr>
          <w:t xml:space="preserve">Journal</w:t>
        </w:r>
      </w:hyperlink>
      <w:r>
        <w:rPr>
          <w:b w:val="0"/>
          <w:i w:val="0"/>
          <w:sz w:val="19"/>
        </w:rPr>
        <w:t xml:space="preserve"> · </w:t>
      </w:r>
      <w:hyperlink r:id="rId41">
        <w:r>
          <w:rPr>
            <w:color w:val="0563C1"/>
            <w:u w:val="single"/>
            <w:sz w:val="19"/>
          </w:rPr>
          <w:t xml:space="preserve">Source</w:t>
        </w:r>
      </w:hyperlink>
      <w:r>
        <w:rPr>
          <w:b w:val="0"/>
          <w:i w:val="0"/>
          <w:sz w:val="19"/>
        </w:rPr>
        <w:t xml:space="preserve"> · </w:t>
      </w:r>
      <w:hyperlink r:id="rId42">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3">
        <w:r>
          <w:rPr>
            <w:color w:val="0563C1"/>
            <w:u w:val="single"/>
            <w:sz w:val="19"/>
          </w:rPr>
          <w:t xml:space="preserve">PubMed</w:t>
        </w:r>
      </w:hyperlink>
      <w:r>
        <w:rPr>
          <w:b w:val="0"/>
          <w:i w:val="0"/>
          <w:sz w:val="19"/>
        </w:rPr>
        <w:t xml:space="preserve"> · </w:t>
      </w:r>
      <w:hyperlink r:id="rId44">
        <w:r>
          <w:rPr>
            <w:color w:val="0563C1"/>
            <w:u w:val="single"/>
            <w:sz w:val="19"/>
          </w:rPr>
          <w:t xml:space="preserve">Journal</w:t>
        </w:r>
      </w:hyperlink>
      <w:r>
        <w:rPr>
          <w:b w:val="0"/>
          <w:i w:val="0"/>
          <w:sz w:val="19"/>
        </w:rPr>
        <w:t xml:space="preserve"> · </w:t>
      </w:r>
      <w:hyperlink r:id="rId45">
        <w:r>
          <w:rPr>
            <w:color w:val="0563C1"/>
            <w:u w:val="single"/>
            <w:sz w:val="19"/>
          </w:rPr>
          <w:t xml:space="preserve">Free full text</w:t>
        </w:r>
      </w:hyperlink>
      <w:r>
        <w:rPr>
          <w:b w:val="0"/>
          <w:i w:val="0"/>
          <w:sz w:val="19"/>
        </w:rPr>
        <w:t xml:space="preserve"> · </w:t>
      </w:r>
      <w:hyperlink r:id="rId46">
        <w:r>
          <w:rPr>
            <w:color w:val="0563C1"/>
            <w:u w:val="single"/>
            <w:sz w:val="19"/>
          </w:rPr>
          <w:t xml:space="preserve">Source</w:t>
        </w:r>
      </w:hyperlink>
      <w:r>
        <w:rPr>
          <w:b w:val="0"/>
          <w:i w:val="0"/>
          <w:sz w:val="19"/>
        </w:rPr>
        <w:t xml:space="preserve"> · </w:t>
      </w:r>
      <w:hyperlink r:id="rId47">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48">
        <w:r>
          <w:rPr>
            <w:color w:val="0563C1"/>
            <w:u w:val="single"/>
            <w:sz w:val="19"/>
          </w:rPr>
          <w:t xml:space="preserve">PubMed</w:t>
        </w:r>
      </w:hyperlink>
      <w:r>
        <w:rPr>
          <w:b w:val="0"/>
          <w:i w:val="0"/>
          <w:sz w:val="19"/>
        </w:rPr>
        <w:t xml:space="preserve"> · </w:t>
      </w:r>
      <w:hyperlink r:id="rId49">
        <w:r>
          <w:rPr>
            <w:color w:val="0563C1"/>
            <w:u w:val="single"/>
            <w:sz w:val="19"/>
          </w:rPr>
          <w:t xml:space="preserve">Journal</w:t>
        </w:r>
      </w:hyperlink>
      <w:r>
        <w:rPr>
          <w:b w:val="0"/>
          <w:i w:val="0"/>
          <w:sz w:val="19"/>
        </w:rPr>
        <w:t xml:space="preserve"> · </w:t>
      </w:r>
      <w:hyperlink r:id="rId50">
        <w:r>
          <w:rPr>
            <w:color w:val="0563C1"/>
            <w:u w:val="single"/>
            <w:sz w:val="19"/>
          </w:rPr>
          <w:t xml:space="preserve">Free full text</w:t>
        </w:r>
      </w:hyperlink>
      <w:r>
        <w:rPr>
          <w:b w:val="0"/>
          <w:i w:val="0"/>
          <w:sz w:val="19"/>
        </w:rPr>
        <w:t xml:space="preserve"> · </w:t>
      </w:r>
      <w:hyperlink r:id="rId51">
        <w:r>
          <w:rPr>
            <w:color w:val="0563C1"/>
            <w:u w:val="single"/>
            <w:sz w:val="19"/>
          </w:rPr>
          <w:t xml:space="preserve">Source</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EHE · consensus</w:t>
      </w:r>
      <w:r>
        <w:rPr>
          <w:b w:val="0"/>
          <w:i w:val="0"/>
          <w:sz w:val="19"/>
        </w:rPr>
        <w:t xml:space="preserve"> — Epithelioid hemangioendothelioma: international consensus</w:t>
      </w:r>
      <w:r>
        <w:rPr>
          <w:b w:val="0"/>
          <w:i w:val="0"/>
          <w:sz w:val="19"/>
        </w:rPr>
        <w:t xml:space="preserve">  </w:t>
      </w:r>
      <w:hyperlink r:id="rId53">
        <w:r>
          <w:rPr>
            <w:color w:val="0563C1"/>
            <w:u w:val="single"/>
            <w:sz w:val="19"/>
          </w:rPr>
          <w:t xml:space="preserve">Source</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4">
        <w:r>
          <w:rPr>
            <w:color w:val="0563C1"/>
            <w:u w:val="single"/>
            <w:sz w:val="19"/>
          </w:rPr>
          <w:t xml:space="preserve">PubMed</w:t>
        </w:r>
      </w:hyperlink>
      <w:r>
        <w:rPr>
          <w:b w:val="0"/>
          <w:i w:val="0"/>
          <w:sz w:val="19"/>
        </w:rPr>
        <w:t xml:space="preserve"> · </w:t>
      </w:r>
      <w:hyperlink r:id="rId55">
        <w:r>
          <w:rPr>
            <w:color w:val="0563C1"/>
            <w:u w:val="single"/>
            <w:sz w:val="19"/>
          </w:rPr>
          <w:t xml:space="preserve">Journal</w:t>
        </w:r>
      </w:hyperlink>
      <w:r>
        <w:rPr>
          <w:b w:val="0"/>
          <w:i w:val="0"/>
          <w:sz w:val="19"/>
        </w:rPr>
        <w:t xml:space="preserve"> · </w:t>
      </w:r>
      <w:hyperlink r:id="rId56">
        <w:r>
          <w:rPr>
            <w:color w:val="0563C1"/>
            <w:u w:val="single"/>
            <w:sz w:val="19"/>
          </w:rPr>
          <w:t xml:space="preserve">Source</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HEHE-LT · cohort</w:t>
      </w:r>
      <w:r>
        <w:rPr>
          <w:b w:val="0"/>
          <w:i w:val="0"/>
          <w:sz w:val="19"/>
        </w:rPr>
        <w:t xml:space="preserve"> — HEHE and adult LT: a prognostic score based on the ELTR-ELITA registry</w:t>
      </w:r>
      <w:r>
        <w:rPr>
          <w:b w:val="0"/>
          <w:i w:val="0"/>
          <w:sz w:val="19"/>
        </w:rPr>
        <w:t xml:space="preserve">  </w:t>
      </w:r>
      <w:hyperlink r:id="rId58">
        <w:r>
          <w:rPr>
            <w:color w:val="0563C1"/>
            <w:u w:val="single"/>
            <w:sz w:val="19"/>
          </w:rPr>
          <w:t xml:space="preserve">Source</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59">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60">
        <w:r>
          <w:rPr>
            <w:color w:val="0563C1"/>
            <w:u w:val="single"/>
            <w:sz w:val="19"/>
          </w:rPr>
          <w:t xml:space="preserve">PubMed</w:t>
        </w:r>
      </w:hyperlink>
      <w:r>
        <w:rPr>
          <w:b w:val="0"/>
          <w:i w:val="0"/>
          <w:sz w:val="19"/>
        </w:rPr>
        <w:t xml:space="preserve"> · </w:t>
      </w:r>
      <w:hyperlink r:id="rId61">
        <w:r>
          <w:rPr>
            <w:color w:val="0563C1"/>
            <w:u w:val="single"/>
            <w:sz w:val="19"/>
          </w:rPr>
          <w:t xml:space="preserve">Journal</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Lai 2017</w:t>
      </w:r>
      <w:r>
        <w:rPr>
          <w:b w:val="0"/>
          <w:i w:val="0"/>
          <w:sz w:val="19"/>
        </w:rPr>
        <w:t xml:space="preserve"> — Hepatic Epithelioid Hemangioendothelioma and Adult Liver Transplantation: Proposal for a Prognostic Score Based on the Analysis of the ELTR-ELITA Registry</w:t>
      </w:r>
      <w:r>
        <w:rPr>
          <w:b w:val="0"/>
          <w:i w:val="0"/>
          <w:sz w:val="19"/>
        </w:rPr>
        <w:t xml:space="preserve">  </w:t>
      </w:r>
      <w:hyperlink r:id="rId63">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Lerut 2007 · ELTR</w:t>
      </w:r>
      <w:r>
        <w:rPr>
          <w:b w:val="0"/>
          <w:i w:val="0"/>
          <w:sz w:val="19"/>
        </w:rPr>
        <w:t xml:space="preserve"> — The place of liver transplantation in the treatment of hepatic epitheloid hemangioendothelioma: report of the European liver transplant registry</w:t>
      </w:r>
      <w:r>
        <w:rPr>
          <w:b w:val="0"/>
          <w:i w:val="0"/>
          <w:sz w:val="19"/>
        </w:rPr>
        <w:t xml:space="preserve">  </w:t>
      </w:r>
      <w:hyperlink r:id="rId65">
        <w:r>
          <w:rPr>
            <w:color w:val="0563C1"/>
            <w:u w:val="single"/>
            <w:sz w:val="19"/>
          </w:rPr>
          <w:t xml:space="preserve">PubMed</w:t>
        </w:r>
      </w:hyperlink>
      <w:r>
        <w:rPr>
          <w:b w:val="0"/>
          <w:i w:val="0"/>
          <w:sz w:val="19"/>
        </w:rPr>
        <w:t xml:space="preserve"> · </w:t>
      </w:r>
      <w:hyperlink r:id="rId66">
        <w:r>
          <w:rPr>
            <w:color w:val="0563C1"/>
            <w:u w:val="single"/>
            <w:sz w:val="19"/>
          </w:rPr>
          <w:t xml:space="preserve">Journal</w:t>
        </w:r>
      </w:hyperlink>
      <w:r>
        <w:rPr>
          <w:b w:val="0"/>
          <w:i w:val="0"/>
          <w:sz w:val="19"/>
        </w:rPr>
        <w:t xml:space="preserve"> · </w:t>
      </w:r>
      <w:hyperlink r:id="rId67">
        <w:r>
          <w:rPr>
            <w:color w:val="0563C1"/>
            <w:u w:val="single"/>
            <w:sz w:val="19"/>
          </w:rPr>
          <w:t xml:space="preserve">TMC library</w:t>
        </w:r>
      </w:hyperlink>
    </w:p>
    <w:p>
      <w:pPr>
        <w:spacing w:after="60"/>
      </w:pPr>
      <w:r>
        <w:rPr>
          <w:b/>
          <w:i w:val="0"/>
          <w:sz w:val="19"/>
        </w:rPr>
        <w:t>Liu 2024</w:t>
      </w:r>
      <w:r>
        <w:rPr>
          <w:b w:val="0"/>
          <w:i w:val="0"/>
          <w:sz w:val="19"/>
        </w:rPr>
        <w:t xml:space="preserve"> — Long-term prognosis and treatment modalities of hepatic epithelioid hemangioendothelioma: a retrospective study of 228 patients</w:t>
      </w:r>
      <w:r>
        <w:rPr>
          <w:b w:val="0"/>
          <w:i w:val="0"/>
          <w:sz w:val="19"/>
        </w:rPr>
        <w:t xml:space="preserve">  </w:t>
      </w:r>
      <w:hyperlink r:id="rId68">
        <w:r>
          <w:rPr>
            <w:color w:val="0563C1"/>
            <w:u w:val="single"/>
            <w:sz w:val="19"/>
          </w:rPr>
          <w:t xml:space="preserve">PubMed</w:t>
        </w:r>
      </w:hyperlink>
      <w:r>
        <w:rPr>
          <w:b w:val="0"/>
          <w:i w:val="0"/>
          <w:sz w:val="19"/>
        </w:rPr>
        <w:t xml:space="preserve"> · </w:t>
      </w:r>
      <w:hyperlink r:id="rId69">
        <w:r>
          <w:rPr>
            <w:color w:val="0563C1"/>
            <w:u w:val="single"/>
            <w:sz w:val="19"/>
          </w:rPr>
          <w:t xml:space="preserve">Journal</w:t>
        </w:r>
      </w:hyperlink>
      <w:r>
        <w:rPr>
          <w:b w:val="0"/>
          <w:i w:val="0"/>
          <w:sz w:val="19"/>
        </w:rPr>
        <w:t xml:space="preserve"> · </w:t>
      </w:r>
      <w:hyperlink r:id="rId70">
        <w:r>
          <w:rPr>
            <w:color w:val="0563C1"/>
            <w:u w:val="single"/>
            <w:sz w:val="19"/>
          </w:rPr>
          <w:t xml:space="preserve">Free full text</w:t>
        </w:r>
      </w:hyperlink>
      <w:r>
        <w:rPr>
          <w:b w:val="0"/>
          <w:i w:val="0"/>
          <w:sz w:val="19"/>
        </w:rPr>
        <w:t xml:space="preserve"> · </w:t>
      </w:r>
      <w:hyperlink r:id="rId71">
        <w:r>
          <w:rPr>
            <w:color w:val="0563C1"/>
            <w:u w:val="single"/>
            <w:sz w:val="19"/>
          </w:rPr>
          <w:t xml:space="preserve">Source</w:t>
        </w:r>
      </w:hyperlink>
      <w:r>
        <w:rPr>
          <w:b w:val="0"/>
          <w:i w:val="0"/>
          <w:sz w:val="19"/>
        </w:rPr>
        <w:t xml:space="preserve"> · </w:t>
      </w:r>
      <w:hyperlink r:id="rId7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73">
        <w:r>
          <w:rPr>
            <w:color w:val="0563C1"/>
            <w:u w:val="single"/>
            <w:sz w:val="19"/>
          </w:rPr>
          <w:t xml:space="preserve">Source</w:t>
        </w:r>
      </w:hyperlink>
    </w:p>
    <w:p>
      <w:pPr>
        <w:spacing w:after="60"/>
      </w:pPr>
      <w:r>
        <w:rPr>
          <w:b/>
          <w:i w:val="0"/>
          <w:sz w:val="19"/>
        </w:rPr>
        <w:t>NLRB · HEHE</w:t>
      </w:r>
      <w:r>
        <w:rPr>
          <w:b w:val="0"/>
          <w:i w:val="0"/>
          <w:sz w:val="19"/>
        </w:rPr>
        <w:t xml:space="preserve"> — Adult MELD exception review guidance — HEHE</w:t>
      </w:r>
      <w:r>
        <w:rPr>
          <w:b w:val="0"/>
          <w:i w:val="0"/>
          <w:sz w:val="19"/>
        </w:rPr>
        <w:t xml:space="preserve">  </w:t>
      </w:r>
      <w:hyperlink r:id="rId74">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75">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76">
        <w:r>
          <w:rPr>
            <w:color w:val="0563C1"/>
            <w:u w:val="single"/>
            <w:sz w:val="19"/>
          </w:rPr>
          <w:t xml:space="preserve">Source</w:t>
        </w:r>
      </w:hyperlink>
    </w:p>
    <w:p>
      <w:pPr>
        <w:spacing w:after="60"/>
      </w:pPr>
      <w:r>
        <w:rPr>
          <w:b/>
          <w:i w:val="0"/>
          <w:sz w:val="19"/>
        </w:rPr>
        <w:t>Rosenbaum 2019 · EHE molecular subsets</w:t>
      </w:r>
      <w:r>
        <w:rPr>
          <w:b w:val="0"/>
          <w:i w:val="0"/>
          <w:sz w:val="19"/>
        </w:rPr>
        <w:t xml:space="preserve"> — Prognostic stratification of clinical and molecular epithelioid hemangioendothelioma subsets</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Sawma 2024 · Mayo</w:t>
      </w:r>
      <w:r>
        <w:rPr>
          <w:b w:val="0"/>
          <w:i w:val="0"/>
          <w:sz w:val="19"/>
        </w:rPr>
        <w:t xml:space="preserve"> — Management and long-term outcomes of patients with hepatic epithelioid hemangioendothelioma</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TMC library</w:t>
        </w:r>
      </w:hyperlink>
    </w:p>
    <w:p>
      <w:pPr>
        <w:spacing w:after="60"/>
      </w:pPr>
      <w:r>
        <w:rPr>
          <w:b/>
          <w:i w:val="0"/>
          <w:sz w:val="19"/>
        </w:rPr>
        <w:t>Stacchiotti 2021</w:t>
      </w:r>
      <w:r>
        <w:rPr>
          <w:b w:val="0"/>
          <w:i w:val="0"/>
          <w:sz w:val="19"/>
        </w:rPr>
        <w:t xml:space="preserve"> — Epithelioid hemangioendothelioma, an ultra-rare cancer: a consensus paper from the community of experts</w:t>
      </w:r>
      <w:r>
        <w:rPr>
          <w:b w:val="0"/>
          <w:i w:val="0"/>
          <w:sz w:val="19"/>
        </w:rPr>
        <w:t xml:space="preserve">  </w:t>
      </w:r>
      <w:hyperlink r:id="rId83">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Source</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Free full text</w:t>
        </w:r>
      </w:hyperlink>
      <w:r>
        <w:rPr>
          <w:b w:val="0"/>
          <w:i w:val="0"/>
          <w:sz w:val="19"/>
        </w:rPr>
        <w:t xml:space="preserve"> · </w:t>
      </w:r>
      <w:hyperlink r:id="rId90">
        <w:r>
          <w:rPr>
            <w:color w:val="0563C1"/>
            <w:u w:val="single"/>
            <w:sz w:val="19"/>
          </w:rPr>
          <w:t xml:space="preserve">Source</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Thomas 2014</w:t>
      </w:r>
      <w:r>
        <w:rPr>
          <w:b w:val="0"/>
          <w:i w:val="0"/>
          <w:sz w:val="19"/>
        </w:rPr>
        <w:t xml:space="preserve"> — Treatment sequencing strategy for hepatic epithelioid haemangioendothelioma</w:t>
      </w:r>
      <w:r>
        <w:rPr>
          <w:b w:val="0"/>
          <w:i w:val="0"/>
          <w:sz w:val="19"/>
        </w:rPr>
        <w:t xml:space="preserve">  </w:t>
      </w:r>
      <w:hyperlink r:id="rId92">
        <w:r>
          <w:rPr>
            <w:color w:val="0563C1"/>
            <w:u w:val="single"/>
            <w:sz w:val="19"/>
          </w:rPr>
          <w:t xml:space="preserve">PubMed</w:t>
        </w:r>
      </w:hyperlink>
      <w:r>
        <w:rPr>
          <w:b w:val="0"/>
          <w:i w:val="0"/>
          <w:sz w:val="19"/>
        </w:rPr>
        <w:t xml:space="preserve"> · </w:t>
      </w:r>
      <w:hyperlink r:id="rId93">
        <w:r>
          <w:rPr>
            <w:color w:val="0563C1"/>
            <w:u w:val="single"/>
            <w:sz w:val="19"/>
          </w:rPr>
          <w:t xml:space="preserve">Journal</w:t>
        </w:r>
      </w:hyperlink>
      <w:r>
        <w:rPr>
          <w:b w:val="0"/>
          <w:i w:val="0"/>
          <w:sz w:val="19"/>
        </w:rPr>
        <w:t xml:space="preserve"> · </w:t>
      </w:r>
      <w:hyperlink r:id="rId94">
        <w:r>
          <w:rPr>
            <w:color w:val="0563C1"/>
            <w:u w:val="single"/>
            <w:sz w:val="19"/>
          </w:rPr>
          <w:t xml:space="preserve">Free full text</w:t>
        </w:r>
      </w:hyperlink>
      <w:r>
        <w:rPr>
          <w:b w:val="0"/>
          <w:i w:val="0"/>
          <w:sz w:val="19"/>
        </w:rPr>
        <w:t xml:space="preserve"> · </w:t>
      </w:r>
      <w:hyperlink r:id="rId95">
        <w:r>
          <w:rPr>
            <w:color w:val="0563C1"/>
            <w:u w:val="single"/>
            <w:sz w:val="19"/>
          </w:rPr>
          <w:t xml:space="preserve">Source</w:t>
        </w:r>
      </w:hyperlink>
      <w:r>
        <w:rPr>
          <w:b w:val="0"/>
          <w:i w:val="0"/>
          <w:sz w:val="19"/>
        </w:rPr>
        <w:t xml:space="preserve"> · </w:t>
      </w:r>
      <w:hyperlink r:id="rId96">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97">
        <w:r>
          <w:rPr>
            <w:color w:val="0563C1"/>
            <w:u w:val="single"/>
            <w:sz w:val="19"/>
          </w:rPr>
          <w:t xml:space="preserve">PubMed</w:t>
        </w:r>
      </w:hyperlink>
      <w:r>
        <w:rPr>
          <w:b w:val="0"/>
          <w:i w:val="0"/>
          <w:sz w:val="19"/>
        </w:rPr>
        <w:t xml:space="preserve"> · </w:t>
      </w:r>
      <w:hyperlink r:id="rId98">
        <w:r>
          <w:rPr>
            <w:color w:val="0563C1"/>
            <w:u w:val="single"/>
            <w:sz w:val="19"/>
          </w:rPr>
          <w:t xml:space="preserve">Journal</w:t>
        </w:r>
      </w:hyperlink>
      <w:r>
        <w:rPr>
          <w:b w:val="0"/>
          <w:i w:val="0"/>
          <w:sz w:val="19"/>
        </w:rPr>
        <w:t xml:space="preserve"> · </w:t>
      </w:r>
      <w:hyperlink r:id="rId99">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00">
        <w:r>
          <w:rPr>
            <w:color w:val="0563C1"/>
            <w:u w:val="single"/>
            <w:sz w:val="19"/>
          </w:rPr>
          <w:t xml:space="preserve">PubMed</w:t>
        </w:r>
      </w:hyperlink>
      <w:r>
        <w:rPr>
          <w:b w:val="0"/>
          <w:i w:val="0"/>
          <w:sz w:val="19"/>
        </w:rPr>
        <w:t xml:space="preserve"> · </w:t>
      </w:r>
      <w:hyperlink r:id="rId101">
        <w:r>
          <w:rPr>
            <w:color w:val="0563C1"/>
            <w:u w:val="single"/>
            <w:sz w:val="19"/>
          </w:rPr>
          <w:t xml:space="preserve">Journal</w:t>
        </w:r>
      </w:hyperlink>
      <w:r>
        <w:rPr>
          <w:b w:val="0"/>
          <w:i w:val="0"/>
          <w:sz w:val="19"/>
        </w:rPr>
        <w:t xml:space="preserve"> · </w:t>
      </w:r>
      <w:hyperlink r:id="rId102">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06">
        <w:r>
          <w:rPr>
            <w:color w:val="0563C1"/>
            <w:u w:val="single"/>
            <w:sz w:val="19"/>
          </w:rPr>
          <w:t xml:space="preserve">PubMed</w:t>
        </w:r>
      </w:hyperlink>
      <w:r>
        <w:rPr>
          <w:b w:val="0"/>
          <w:i w:val="0"/>
          <w:sz w:val="19"/>
        </w:rPr>
        <w:t xml:space="preserve"> · </w:t>
      </w:r>
      <w:hyperlink r:id="rId107">
        <w:r>
          <w:rPr>
            <w:color w:val="0563C1"/>
            <w:u w:val="single"/>
            <w:sz w:val="19"/>
          </w:rPr>
          <w:t xml:space="preserve">Journal</w:t>
        </w:r>
      </w:hyperlink>
      <w:r>
        <w:rPr>
          <w:b w:val="0"/>
          <w:i w:val="0"/>
          <w:sz w:val="19"/>
        </w:rPr>
        <w:t xml:space="preserve"> · </w:t>
      </w:r>
      <w:hyperlink r:id="rId108">
        <w:r>
          <w:rPr>
            <w:color w:val="0563C1"/>
            <w:u w:val="single"/>
            <w:sz w:val="19"/>
          </w:rPr>
          <w:t xml:space="preserve">Free full text</w:t>
        </w:r>
      </w:hyperlink>
      <w:r>
        <w:rPr>
          <w:b w:val="0"/>
          <w:i w:val="0"/>
          <w:sz w:val="19"/>
        </w:rPr>
        <w:t xml:space="preserve"> · </w:t>
      </w:r>
      <w:hyperlink r:id="rId109">
        <w:r>
          <w:rPr>
            <w:color w:val="0563C1"/>
            <w:u w:val="single"/>
            <w:sz w:val="19"/>
          </w:rPr>
          <w:t xml:space="preserve">Source</w:t>
        </w:r>
      </w:hyperlink>
      <w:r>
        <w:rPr>
          <w:b w:val="0"/>
          <w:i w:val="0"/>
          <w:sz w:val="19"/>
        </w:rPr>
        <w:t xml:space="preserve"> · </w:t>
      </w:r>
      <w:hyperlink r:id="rId110">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ehe/#diagnosis" TargetMode="External"/><Relationship Id="rId9" Type="http://schemas.openxmlformats.org/officeDocument/2006/relationships/hyperlink" Target="https://drliuhao.github.io/mh-liver-pathways/transplant/hehe/#meeting-diagnosis" TargetMode="External"/><Relationship Id="rId10" Type="http://schemas.openxmlformats.org/officeDocument/2006/relationships/hyperlink" Target="https://drliuhao.github.io/mh-liver-pathways/transplant/hehe/#stage" TargetMode="External"/><Relationship Id="rId11" Type="http://schemas.openxmlformats.org/officeDocument/2006/relationships/hyperlink" Target="https://drliuhao.github.io/mh-liver-pathways/transplant/hehe/#meeting-extrahepatic" TargetMode="External"/><Relationship Id="rId12" Type="http://schemas.openxmlformats.org/officeDocument/2006/relationships/hyperlink" Target="https://drliuhao.github.io/mh-liver-pathways/transplant/hehe/#risk" TargetMode="External"/><Relationship Id="rId13" Type="http://schemas.openxmlformats.org/officeDocument/2006/relationships/hyperlink" Target="https://drliuhao.github.io/mh-liver-pathways/transplant/hehe/#meeting-risk-score" TargetMode="External"/><Relationship Id="rId14" Type="http://schemas.openxmlformats.org/officeDocument/2006/relationships/hyperlink" Target="https://drliuhao.github.io/mh-liver-pathways/transplant/hehe/#meeting-governance" TargetMode="External"/><Relationship Id="rId15" Type="http://schemas.openxmlformats.org/officeDocument/2006/relationships/hyperlink" Target="https://drliuhao.github.io/mh-liver-pathways/transplant/hehe/#review" TargetMode="External"/><Relationship Id="rId16" Type="http://schemas.openxmlformats.org/officeDocument/2006/relationships/hyperlink" Target="https://drliuhao.github.io/mh-liver-pathways/transplant/hehe/#meeting-submission" TargetMode="External"/><Relationship Id="rId17" Type="http://schemas.openxmlformats.org/officeDocument/2006/relationships/hyperlink" Target="https://drliuhao.github.io/mh-liver-pathways/transplant/hehe/#follow-up" TargetMode="External"/><Relationship Id="rId18" Type="http://schemas.openxmlformats.org/officeDocument/2006/relationships/hyperlink" Target="https://drliuhao.github.io/mh-liver-pathways/transplant/hehe/#meeting-surveillance" TargetMode="External"/><Relationship Id="rId19" Type="http://schemas.openxmlformats.org/officeDocument/2006/relationships/hyperlink" Target="https://drliuhao.github.io/mh-liver-pathways/transplant/hehe/#high-risk-hehe-b1" TargetMode="External"/><Relationship Id="rId20" Type="http://schemas.openxmlformats.org/officeDocument/2006/relationships/hyperlink" Target="https://drliuhao.github.io/mh-liver-pathways/transplant/hehe/#high-risk-hehe-b2" TargetMode="External"/><Relationship Id="rId21" Type="http://schemas.openxmlformats.org/officeDocument/2006/relationships/hyperlink" Target="https://drliuhao.github.io/mh-liver-pathways/transplant/hehe/#high-risk-alloc-b1" TargetMode="External"/><Relationship Id="rId22" Type="http://schemas.openxmlformats.org/officeDocument/2006/relationships/hyperlink" Target="https://drliuhao.github.io/mh-liver-pathways/transplant/hehe/#high-risk-alloc-b2" TargetMode="External"/><Relationship Id="rId23" Type="http://schemas.openxmlformats.org/officeDocument/2006/relationships/hyperlink" Target="https://drliuhao.github.io/mh-liver-pathways/transplant/hehe/#high-risk-alloc-b3" TargetMode="External"/><Relationship Id="rId24" Type="http://schemas.openxmlformats.org/officeDocument/2006/relationships/hyperlink" Target="https://drliuhao.github.io/mh-liver-pathways/transplant/hehe/#high-risk-alloc-b4" TargetMode="External"/><Relationship Id="rId25" Type="http://schemas.openxmlformats.org/officeDocument/2006/relationships/hyperlink" Target="https://pubmed.ncbi.nlm.nih.gov/22335782/" TargetMode="External"/><Relationship Id="rId26" Type="http://schemas.openxmlformats.org/officeDocument/2006/relationships/hyperlink" Target="https://doi.org/10.1111/j.1600-6143.2011.03972.x" TargetMode="External"/><Relationship Id="rId27" Type="http://schemas.openxmlformats.org/officeDocument/2006/relationships/hyperlink" Target="https://pmc.ncbi.nlm.nih.gov/articles/PMC3732171/pdf/nihms-491154.pdf" TargetMode="External"/><Relationship Id="rId28" Type="http://schemas.openxmlformats.org/officeDocument/2006/relationships/hyperlink" Target="https://pmc.ncbi.nlm.nih.gov/articles/PMC3732171/" TargetMode="External"/><Relationship Id="rId29" Type="http://schemas.openxmlformats.org/officeDocument/2006/relationships/hyperlink" Target="https://thslc-houston.primo.exlibrisgroup.com/discovery/search?vid=01TEXASHEALTH_HOUSTON%3ATMC_INST&amp;query=any,contains,10.1111%2Fj.1600-6143.2011.03972.x&amp;lang=en" TargetMode="External"/><Relationship Id="rId30" Type="http://schemas.openxmlformats.org/officeDocument/2006/relationships/hyperlink" Target="https://pubmed.ncbi.nlm.nih.gov/38958301/" TargetMode="External"/><Relationship Id="rId31" Type="http://schemas.openxmlformats.org/officeDocument/2006/relationships/hyperlink" Target="https://doi.org/10.14309/ajg.0000000000002857" TargetMode="External"/><Relationship Id="rId32" Type="http://schemas.openxmlformats.org/officeDocument/2006/relationships/hyperlink" Target="https://thslc-houston.primo.exlibrisgroup.com/discovery/search?vid=01TEXASHEALTH_HOUSTON%3ATMC_INST&amp;query=any,contains,10.14309%2Fajg.0000000000002857&amp;lang=en" TargetMode="External"/><Relationship Id="rId33" Type="http://schemas.openxmlformats.org/officeDocument/2006/relationships/hyperlink" Target="https://pubmed.ncbi.nlm.nih.gov/38521169/" TargetMode="External"/><Relationship Id="rId34" Type="http://schemas.openxmlformats.org/officeDocument/2006/relationships/hyperlink" Target="https://doi.org/10.1016/j.jhep.2024.03.020" TargetMode="External"/><Relationship Id="rId35" Type="http://schemas.openxmlformats.org/officeDocument/2006/relationships/hyperlink" Target="https://thslc-houston.primo.exlibrisgroup.com/discovery/search?vid=01TEXASHEALTH_HOUSTON%3ATMC_INST&amp;query=any,contains,10.1016%2Fj.jhep.2024.03.020&amp;lang=en" TargetMode="External"/><Relationship Id="rId36" Type="http://schemas.openxmlformats.org/officeDocument/2006/relationships/hyperlink" Target="https://pubmed.ncbi.nlm.nih.gov/31577674/" TargetMode="External"/><Relationship Id="rId37" Type="http://schemas.openxmlformats.org/officeDocument/2006/relationships/hyperlink" Target="https://doi.org/10.1097/TP.0000000000002982" TargetMode="External"/><Relationship Id="rId38" Type="http://schemas.openxmlformats.org/officeDocument/2006/relationships/hyperlink" Target="https://thslc-houston.primo.exlibrisgroup.com/discovery/search?vid=01TEXASHEALTH_HOUSTON%3ATMC_INST&amp;query=any,contains,10.1097%2FTP.0000000000002982&amp;lang=en" TargetMode="External"/><Relationship Id="rId39" Type="http://schemas.openxmlformats.org/officeDocument/2006/relationships/hyperlink" Target="https://pubmed.ncbi.nlm.nih.gov/39250961/" TargetMode="External"/><Relationship Id="rId40" Type="http://schemas.openxmlformats.org/officeDocument/2006/relationships/hyperlink" Target="https://doi.org/10.1055/a-2255-7246" TargetMode="External"/><Relationship Id="rId41" Type="http://schemas.openxmlformats.org/officeDocument/2006/relationships/hyperlink" Target="https://www.dgvs.de/new-leitlinien/chapter_69dd0a7e0a788/chapter_69dd0a8673cf0/chapter_69dd0a870db79/" TargetMode="External"/><Relationship Id="rId42" Type="http://schemas.openxmlformats.org/officeDocument/2006/relationships/hyperlink" Target="https://thslc-houston.primo.exlibrisgroup.com/discovery/search?vid=01TEXASHEALTH_HOUSTON%3ATMC_INST&amp;query=any,contains,10.1055%2Fa-2255-7246&amp;lang=en" TargetMode="External"/><Relationship Id="rId43" Type="http://schemas.openxmlformats.org/officeDocument/2006/relationships/hyperlink" Target="https://pubmed.ncbi.nlm.nih.gov/27647626/" TargetMode="External"/><Relationship Id="rId44" Type="http://schemas.openxmlformats.org/officeDocument/2006/relationships/hyperlink" Target="https://doi.org/10.1111/ajt.14055" TargetMode="External"/><Relationship Id="rId45" Type="http://schemas.openxmlformats.org/officeDocument/2006/relationships/hyperlink" Target="https://pmc.ncbi.nlm.nih.gov/articles/PMC5359081/pdf/nihms818467.pdf" TargetMode="External"/><Relationship Id="rId46" Type="http://schemas.openxmlformats.org/officeDocument/2006/relationships/hyperlink" Target="https://pmc.ncbi.nlm.nih.gov/articles/PMC5359081/" TargetMode="External"/><Relationship Id="rId47" Type="http://schemas.openxmlformats.org/officeDocument/2006/relationships/hyperlink" Target="https://thslc-houston.primo.exlibrisgroup.com/discovery/search?vid=01TEXASHEALTH_HOUSTON%3ATMC_INST&amp;query=any,contains,10.1111%2Fajt.14055&amp;lang=en" TargetMode="External"/><Relationship Id="rId48" Type="http://schemas.openxmlformats.org/officeDocument/2006/relationships/hyperlink" Target="https://pubmed.ncbi.nlm.nih.gov/42270817/" TargetMode="External"/><Relationship Id="rId49" Type="http://schemas.openxmlformats.org/officeDocument/2006/relationships/hyperlink" Target="https://doi.org/10.1038/s41571-026-01160-z" TargetMode="External"/><Relationship Id="rId50" Type="http://schemas.openxmlformats.org/officeDocument/2006/relationships/hyperlink" Target="https://pmc.ncbi.nlm.nih.gov/articles/PMC13665261/pdf/nihms-2192929.pdf" TargetMode="External"/><Relationship Id="rId51" Type="http://schemas.openxmlformats.org/officeDocument/2006/relationships/hyperlink" Target="https://pmc.ncbi.nlm.nih.gov/articles/PMC13665261/" TargetMode="External"/><Relationship Id="rId52" Type="http://schemas.openxmlformats.org/officeDocument/2006/relationships/hyperlink" Target="https://thslc-houston.primo.exlibrisgroup.com/discovery/search?vid=01TEXASHEALTH_HOUSTON%3ATMC_INST&amp;query=any,contains,10.1038%2Fs41571-026-01160-z&amp;lang=en" TargetMode="External"/><Relationship Id="rId53" Type="http://schemas.openxmlformats.org/officeDocument/2006/relationships/hyperlink" Target="https://doi.org/10.1016/j.esmoop.2021.100170" TargetMode="External"/><Relationship Id="rId54" Type="http://schemas.openxmlformats.org/officeDocument/2006/relationships/hyperlink" Target="https://pubmed.ncbi.nlm.nih.gov/27777223/" TargetMode="External"/><Relationship Id="rId55" Type="http://schemas.openxmlformats.org/officeDocument/2006/relationships/hyperlink" Target="https://doi.org/10.1136/bmj.i5239" TargetMode="External"/><Relationship Id="rId56" Type="http://schemas.openxmlformats.org/officeDocument/2006/relationships/hyperlink" Target="https://pmc.ncbi.nlm.nih.gov/articles/PMC5076380/" TargetMode="External"/><Relationship Id="rId57" Type="http://schemas.openxmlformats.org/officeDocument/2006/relationships/hyperlink" Target="https://thslc-houston.primo.exlibrisgroup.com/discovery/search?vid=01TEXASHEALTH_HOUSTON%3ATMC_INST&amp;query=any,contains,10.1136%2Fbmj.i5239&amp;lang=en" TargetMode="External"/><Relationship Id="rId58" Type="http://schemas.openxmlformats.org/officeDocument/2006/relationships/hyperlink" Target="https://doi.org/10.1097/TP.0000000000001603" TargetMode="External"/><Relationship Id="rId59" Type="http://schemas.openxmlformats.org/officeDocument/2006/relationships/hyperlink" Target="https://www.ecfr.gov/current/title-45/subtitle-A/subchapter-A/part-46/subpart-A/section-46.111" TargetMode="External"/><Relationship Id="rId60" Type="http://schemas.openxmlformats.org/officeDocument/2006/relationships/hyperlink" Target="https://pubmed.ncbi.nlm.nih.gov/42835360/" TargetMode="External"/><Relationship Id="rId61" Type="http://schemas.openxmlformats.org/officeDocument/2006/relationships/hyperlink" Target="https://doi.org/10.1155/joot/2545887" TargetMode="External"/><Relationship Id="rId62" Type="http://schemas.openxmlformats.org/officeDocument/2006/relationships/hyperlink" Target="https://thslc-houston.primo.exlibrisgroup.com/discovery/search?vid=01TEXASHEALTH_HOUSTON%3ATMC_INST&amp;query=any,contains,10.1155%2Fjoot%2F2545887&amp;lang=en" TargetMode="External"/><Relationship Id="rId63" Type="http://schemas.openxmlformats.org/officeDocument/2006/relationships/hyperlink" Target="https://pubmed.ncbi.nlm.nih.gov/28212256/" TargetMode="External"/><Relationship Id="rId64" Type="http://schemas.openxmlformats.org/officeDocument/2006/relationships/hyperlink" Target="https://thslc-houston.primo.exlibrisgroup.com/discovery/search?vid=01TEXASHEALTH_HOUSTON%3ATMC_INST&amp;query=any,contains,10.1097%2FTP.0000000000001603&amp;lang=en" TargetMode="External"/><Relationship Id="rId65" Type="http://schemas.openxmlformats.org/officeDocument/2006/relationships/hyperlink" Target="https://pubmed.ncbi.nlm.nih.gov/18043096/" TargetMode="External"/><Relationship Id="rId66" Type="http://schemas.openxmlformats.org/officeDocument/2006/relationships/hyperlink" Target="https://doi.org/10.1097/SLA.0b013e31815c2a70" TargetMode="External"/><Relationship Id="rId67" Type="http://schemas.openxmlformats.org/officeDocument/2006/relationships/hyperlink" Target="https://thslc-houston.primo.exlibrisgroup.com/discovery/search?vid=01TEXASHEALTH_HOUSTON%3ATMC_INST&amp;query=any,contains,10.1097%2FSLA.0b013e31815c2a70&amp;lang=en" TargetMode="External"/><Relationship Id="rId68" Type="http://schemas.openxmlformats.org/officeDocument/2006/relationships/hyperlink" Target="https://pubmed.ncbi.nlm.nih.gov/39415114/" TargetMode="External"/><Relationship Id="rId69" Type="http://schemas.openxmlformats.org/officeDocument/2006/relationships/hyperlink" Target="https://doi.org/10.1186/s12885-024-13053-4" TargetMode="External"/><Relationship Id="rId70" Type="http://schemas.openxmlformats.org/officeDocument/2006/relationships/hyperlink" Target="https://pmc.ncbi.nlm.nih.gov/articles/PMC11481724/pdf/12885_2024_Article_13053.pdf" TargetMode="External"/><Relationship Id="rId71" Type="http://schemas.openxmlformats.org/officeDocument/2006/relationships/hyperlink" Target="https://pmc.ncbi.nlm.nih.gov/articles/PMC11481724/" TargetMode="External"/><Relationship Id="rId72" Type="http://schemas.openxmlformats.org/officeDocument/2006/relationships/hyperlink" Target="https://thslc-houston.primo.exlibrisgroup.com/discovery/search?vid=01TEXASHEALTH_HOUSTON%3ATMC_INST&amp;query=any,contains,10.1186%2Fs12885-024-13053-4&amp;lang=en" TargetMode="External"/><Relationship Id="rId73" Type="http://schemas.openxmlformats.org/officeDocument/2006/relationships/hyperlink" Target="https://www.hrsa.gov/sites/default/files/hrsa/optn/adult-meld-exception-transplant-oncology-review-guidance.pdf" TargetMode="External"/><Relationship Id="rId74" Type="http://schemas.openxmlformats.org/officeDocument/2006/relationships/hyperlink" Target="https://www.hrsa.gov/sites/default/files/hrsa/optn/adult-meld-exception-transplant-oncology-review-guidance.pdf#page=10" TargetMode="External"/><Relationship Id="rId75" Type="http://schemas.openxmlformats.org/officeDocument/2006/relationships/hyperlink" Target="https://www.hrsa.gov/optn/professionals/resources/ethical-considerations/ethical-principles-in-the-allocation-of-human-organs" TargetMode="External"/><Relationship Id="rId76" Type="http://schemas.openxmlformats.org/officeDocument/2006/relationships/hyperlink" Target="https://www.hrsa.gov/sites/default/files/hrsa/optn/optn_policies.pdf" TargetMode="External"/><Relationship Id="rId77" Type="http://schemas.openxmlformats.org/officeDocument/2006/relationships/hyperlink" Target="https://pubmed.ncbi.nlm.nih.gov/31537895/" TargetMode="External"/><Relationship Id="rId78" Type="http://schemas.openxmlformats.org/officeDocument/2006/relationships/hyperlink" Target="https://doi.org/10.1038/s41379-019-0368-8" TargetMode="External"/><Relationship Id="rId79" Type="http://schemas.openxmlformats.org/officeDocument/2006/relationships/hyperlink" Target="https://thslc-houston.primo.exlibrisgroup.com/discovery/search?vid=01TEXASHEALTH_HOUSTON%3ATMC_INST&amp;query=any,contains,10.1038%2Fs41379-019-0368-8&amp;lang=en" TargetMode="External"/><Relationship Id="rId80" Type="http://schemas.openxmlformats.org/officeDocument/2006/relationships/hyperlink" Target="https://pubmed.ncbi.nlm.nih.gov/39318157/" TargetMode="External"/><Relationship Id="rId81" Type="http://schemas.openxmlformats.org/officeDocument/2006/relationships/hyperlink" Target="https://doi.org/10.1002/jso.27807" TargetMode="External"/><Relationship Id="rId82" Type="http://schemas.openxmlformats.org/officeDocument/2006/relationships/hyperlink" Target="https://thslc-houston.primo.exlibrisgroup.com/discovery/search?vid=01TEXASHEALTH_HOUSTON%3ATMC_INST&amp;query=any,contains,10.1002%2Fjso.27807&amp;lang=en" TargetMode="External"/><Relationship Id="rId83" Type="http://schemas.openxmlformats.org/officeDocument/2006/relationships/hyperlink" Target="https://pubmed.ncbi.nlm.nih.gov/34090171/" TargetMode="External"/><Relationship Id="rId84" Type="http://schemas.openxmlformats.org/officeDocument/2006/relationships/hyperlink" Target="https://pmc.ncbi.nlm.nih.gov/articles/PMC8182432/pdf/main.pdf" TargetMode="External"/><Relationship Id="rId85" Type="http://schemas.openxmlformats.org/officeDocument/2006/relationships/hyperlink" Target="https://pmc.ncbi.nlm.nih.gov/articles/PMC8182432/" TargetMode="External"/><Relationship Id="rId86" Type="http://schemas.openxmlformats.org/officeDocument/2006/relationships/hyperlink" Target="https://thslc-houston.primo.exlibrisgroup.com/discovery/search?vid=01TEXASHEALTH_HOUSTON%3ATMC_INST&amp;query=any,contains,10.1016%2Fj.esmoop.2021.100170&amp;lang=en" TargetMode="External"/><Relationship Id="rId87" Type="http://schemas.openxmlformats.org/officeDocument/2006/relationships/hyperlink" Target="https://pubmed.ncbi.nlm.nih.gov/39544321/" TargetMode="External"/><Relationship Id="rId88" Type="http://schemas.openxmlformats.org/officeDocument/2006/relationships/hyperlink" Target="https://doi.org/10.3389/ti.2024.13641" TargetMode="External"/><Relationship Id="rId89" Type="http://schemas.openxmlformats.org/officeDocument/2006/relationships/hyperlink" Target="https://pmc.ncbi.nlm.nih.gov/articles/PMC11560448/pdf/ti-37-13641.pdf" TargetMode="External"/><Relationship Id="rId90" Type="http://schemas.openxmlformats.org/officeDocument/2006/relationships/hyperlink" Target="https://pmc.ncbi.nlm.nih.gov/articles/PMC11560448/" TargetMode="External"/><Relationship Id="rId91" Type="http://schemas.openxmlformats.org/officeDocument/2006/relationships/hyperlink" Target="https://thslc-houston.primo.exlibrisgroup.com/discovery/search?vid=01TEXASHEALTH_HOUSTON%3ATMC_INST&amp;query=any,contains,10.3389%2Fti.2024.13641&amp;lang=en" TargetMode="External"/><Relationship Id="rId92" Type="http://schemas.openxmlformats.org/officeDocument/2006/relationships/hyperlink" Target="https://pubmed.ncbi.nlm.nih.gov/24308564/" TargetMode="External"/><Relationship Id="rId93" Type="http://schemas.openxmlformats.org/officeDocument/2006/relationships/hyperlink" Target="https://doi.org/10.1111/hpb.12202" TargetMode="External"/><Relationship Id="rId94" Type="http://schemas.openxmlformats.org/officeDocument/2006/relationships/hyperlink" Target="https://pmc.ncbi.nlm.nih.gov/articles/PMC4105907/pdf/hpb0016-0677.pdf" TargetMode="External"/><Relationship Id="rId95" Type="http://schemas.openxmlformats.org/officeDocument/2006/relationships/hyperlink" Target="https://pmc.ncbi.nlm.nih.gov/articles/PMC4105907/" TargetMode="External"/><Relationship Id="rId96" Type="http://schemas.openxmlformats.org/officeDocument/2006/relationships/hyperlink" Target="https://thslc-houston.primo.exlibrisgroup.com/discovery/search?vid=01TEXASHEALTH_HOUSTON%3ATMC_INST&amp;query=any,contains,10.1111%2Fhpb.12202&amp;lang=en" TargetMode="External"/><Relationship Id="rId97" Type="http://schemas.openxmlformats.org/officeDocument/2006/relationships/hyperlink" Target="https://pubmed.ncbi.nlm.nih.gov/39306468/" TargetMode="External"/><Relationship Id="rId98" Type="http://schemas.openxmlformats.org/officeDocument/2006/relationships/hyperlink" Target="https://doi.org/10.1016/S0140-6736(24)01595-2" TargetMode="External"/><Relationship Id="rId99" Type="http://schemas.openxmlformats.org/officeDocument/2006/relationships/hyperlink" Target="https://thslc-houston.primo.exlibrisgroup.com/discovery/search?vid=01TEXASHEALTH_HOUSTON%3ATMC_INST&amp;query=any,contains,10.1016%2FS0140-6736%2824%2901595-2&amp;lang=en" TargetMode="External"/><Relationship Id="rId100" Type="http://schemas.openxmlformats.org/officeDocument/2006/relationships/hyperlink" Target="https://pubmed.ncbi.nlm.nih.gov/38015449/" TargetMode="External"/><Relationship Id="rId101" Type="http://schemas.openxmlformats.org/officeDocument/2006/relationships/hyperlink" Target="https://doi.org/10.1097/LVT.0000000000000303" TargetMode="External"/><Relationship Id="rId102" Type="http://schemas.openxmlformats.org/officeDocument/2006/relationships/hyperlink" Target="https://thslc-houston.primo.exlibrisgroup.com/discovery/search?vid=01TEXASHEALTH_HOUSTON%3ATMC_INST&amp;query=any,contains,10.1097%2FLVT.0000000000000303&amp;lang=en" TargetMode="External"/><Relationship Id="rId103" Type="http://schemas.openxmlformats.org/officeDocument/2006/relationships/hyperlink" Target="https://pubmed.ncbi.nlm.nih.gov/32615109/" TargetMode="External"/><Relationship Id="rId104" Type="http://schemas.openxmlformats.org/officeDocument/2006/relationships/hyperlink" Target="https://doi.org/10.1016/S1470-2045(20)30224-2" TargetMode="External"/><Relationship Id="rId105" Type="http://schemas.openxmlformats.org/officeDocument/2006/relationships/hyperlink" Target="https://thslc-houston.primo.exlibrisgroup.com/discovery/search?vid=01TEXASHEALTH_HOUSTON%3ATMC_INST&amp;query=any,contains,10.1016%2FS1470-2045%2820%2930224-2&amp;lang=en" TargetMode="External"/><Relationship Id="rId106" Type="http://schemas.openxmlformats.org/officeDocument/2006/relationships/hyperlink" Target="https://pubmed.ncbi.nlm.nih.gov/40099404/" TargetMode="External"/><Relationship Id="rId107" Type="http://schemas.openxmlformats.org/officeDocument/2006/relationships/hyperlink" Target="https://doi.org/10.1093/bjs/znaf054" TargetMode="External"/><Relationship Id="rId108" Type="http://schemas.openxmlformats.org/officeDocument/2006/relationships/hyperlink" Target="https://pmc.ncbi.nlm.nih.gov/articles/PMC11914714/pdf/znaf054.pdf" TargetMode="External"/><Relationship Id="rId109" Type="http://schemas.openxmlformats.org/officeDocument/2006/relationships/hyperlink" Target="https://pmc.ncbi.nlm.nih.gov/articles/PMC11914714/" TargetMode="External"/><Relationship Id="rId110"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