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line="252" w:lineRule="auto" w:after="120"/>
      </w:pPr>
      <w:r>
        <w:rPr>
          <w:b w:val="0"/>
          <w:i w:val="0"/>
          <w:sz w:val="44"/>
        </w:rPr>
        <w:t>Intrahepatic cholangiocarcinoma — Standard transplant pathway: questions for consensus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UTHealth Houston and Memorial Hermann · HPB oncology · 29 October 2026 · V17 standardized documents</w:t>
      </w:r>
    </w:p>
    <w:p>
      <w:pPr>
        <w:spacing w:after="80"/>
      </w:pPr>
      <w:r>
        <w:rPr>
          <w:b w:val="0"/>
          <w:i w:val="0"/>
        </w:rPr>
        <w:t>Every question in the standard transplant pathway that still needs a consensus answer. Each one shows what guidelines, trials and papers say, our proposed selection, and space for the group decision. All proposals are OPEN; nothing in this document is activated or approved.</w:t>
      </w:r>
    </w:p>
    <w:p>
      <w:pPr>
        <w:spacing w:after="80"/>
      </w:pPr>
      <w:r>
        <w:rPr>
          <w:b w:val="0"/>
          <w:i w:val="0"/>
        </w:rPr>
        <w:t>Web page: https://drliuhao.github.io/mh-liver-pathways/transplant/icca/#meeting</w:t>
      </w:r>
    </w:p>
    <w:p>
      <w:pPr>
        <w:spacing w:after="160"/>
      </w:pPr>
      <w:r>
        <w:rPr>
          <w:b/>
          <w:i w:val="0"/>
        </w:rPr>
        <w:t xml:space="preserve">Companion files: </w:t>
      </w:r>
      <w:r>
        <w:rPr>
          <w:b w:val="0"/>
          <w:i w:val="0"/>
          <w:sz w:val="20"/>
        </w:rPr>
        <w:t xml:space="preserve">Full content: </w:t>
      </w:r>
      <w:r>
        <w:rPr>
          <w:b w:val="0"/>
          <w:i/>
        </w:rPr>
        <w:t>iCCA_3_Standard_Transplant_Protocol.docx</w:t>
      </w:r>
      <w:r>
        <w:rPr>
          <w:b w:val="0"/>
          <w:i w:val="0"/>
          <w:sz w:val="20"/>
        </w:rPr>
        <w:t xml:space="preserve"> · Decision discussion for all settings: </w:t>
      </w:r>
      <w:r>
        <w:rPr>
          <w:b w:val="0"/>
          <w:i/>
        </w:rPr>
        <w:t>iCCA_7_Decision_Discussion.docx</w:t>
      </w:r>
    </w:p>
    <w:p>
      <w:pPr>
        <w:pStyle w:val="Heading1"/>
        <w:keepNext/>
        <w:spacing w:before="280" w:after="80"/>
      </w:pPr>
      <w:r>
        <w:rPr>
          <w:b w:val="0"/>
          <w:i w:val="0"/>
        </w:rPr>
        <w:t>Summary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300"/>
        <w:gridCol w:w="3500"/>
        <w:gridCol w:w="3780"/>
        <w:gridCol w:w="1500"/>
      </w:tblGrid>
      <w:tr>
        <w:trPr>
          <w:tblHeader/>
        </w:trPr>
        <w:tc>
          <w:tcPr>
            <w:tcW w:type="dxa" w:w="2520"/>
            <w:tcW w:w="13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2520"/>
            <w:tcW w:w="35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type="dxa" w:w="2520"/>
            <w:tcW w:w="37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Proposed selection (summary)</w:t>
            </w:r>
          </w:p>
        </w:tc>
        <w:tc>
          <w:tcPr>
            <w:tcW w:type="dxa" w:w="2520"/>
            <w:tcW w:w="15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iCCA G1 / G2</w:t>
            </w:r>
          </w:p>
        </w:tc>
        <w:tc>
          <w:tcPr>
            <w:tcW w:type="dxa" w:w="2520"/>
            <w:tcW w:w="3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Will the local protocol include mixed HCC-iCCA?</w:t>
            </w:r>
          </w:p>
        </w:tc>
        <w:tc>
          <w:tcPr>
            <w:tcW w:type="dxa" w:w="2520"/>
            <w:tcW w:w="37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Document expert pathology and obtain explicit local program acceptance for mixed tumors; do not silently equate the two evidence bases.</w:t>
            </w:r>
          </w:p>
        </w:tc>
        <w:tc>
          <w:tcPr>
            <w:tcW w:type="dxa" w:w="2520"/>
            <w:tcW w:w="1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iCCA G2</w:t>
            </w:r>
          </w:p>
        </w:tc>
        <w:tc>
          <w:tcPr>
            <w:tcW w:type="dxa" w:w="2520"/>
            <w:tcW w:w="3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Is NLRB alignment sufficient, or do we require a prospective program?</w:t>
            </w:r>
          </w:p>
        </w:tc>
        <w:tc>
          <w:tcPr>
            <w:tcW w:type="dxa" w:w="2520"/>
            <w:tcW w:w="37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Retain a prospective/registry-based institutional restriction until the group approves the program and consent requirements.</w:t>
            </w:r>
          </w:p>
        </w:tc>
        <w:tc>
          <w:tcPr>
            <w:tcW w:type="dxa" w:w="2520"/>
            <w:tcW w:w="1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iCCA G3</w:t>
            </w:r>
          </w:p>
        </w:tc>
        <w:tc>
          <w:tcPr>
            <w:tcW w:type="dxa" w:w="2520"/>
            <w:tcW w:w="3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Which control strategy and ICI safety rules will be used?</w:t>
            </w:r>
          </w:p>
        </w:tc>
        <w:tc>
          <w:tcPr>
            <w:tcW w:type="dxa" w:w="2520"/>
            <w:tcW w:w="37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Use a patient-specific MDT control plan and separately review any checkpoint exposure. Record intended effect and transplant implications before treatment.</w:t>
            </w:r>
          </w:p>
        </w:tc>
        <w:tc>
          <w:tcPr>
            <w:tcW w:type="dxa" w:w="2520"/>
            <w:tcW w:w="1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iCCA G4</w:t>
            </w:r>
          </w:p>
        </w:tc>
        <w:tc>
          <w:tcPr>
            <w:tcW w:type="dxa" w:w="2520"/>
            <w:tcW w:w="3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Which event starts or restarts the six-month stability interval?</w:t>
            </w:r>
          </w:p>
        </w:tc>
        <w:tc>
          <w:tcPr>
            <w:tcW w:type="dxa" w:w="2520"/>
            <w:tcW w:w="37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Record both diagnosis and last-treatment dates. If the starting point is uncertain, obtain an interpretation from the clinician responsible for MELD-exception requests before submission.</w:t>
            </w:r>
          </w:p>
        </w:tc>
        <w:tc>
          <w:tcPr>
            <w:tcW w:type="dxa" w:w="2520"/>
            <w:tcW w:w="1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iCCA G5</w:t>
            </w:r>
          </w:p>
        </w:tc>
        <w:tc>
          <w:tcPr>
            <w:tcW w:type="dxa" w:w="2520"/>
            <w:tcW w:w="3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Who verifies nonstandard submission and three-month imaging?</w:t>
            </w:r>
          </w:p>
        </w:tc>
        <w:tc>
          <w:tcPr>
            <w:tcW w:type="dxa" w:w="2520"/>
            <w:tcW w:w="37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Name the clinician responsible for allocation and a separate clinical reviewer; compare each renewal with the original histology and selection criteria.</w:t>
            </w:r>
          </w:p>
        </w:tc>
        <w:tc>
          <w:tcPr>
            <w:tcW w:type="dxa" w:w="2520"/>
            <w:tcW w:w="1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iCCA G6</w:t>
            </w:r>
          </w:p>
        </w:tc>
        <w:tc>
          <w:tcPr>
            <w:tcW w:type="dxa" w:w="2520"/>
            <w:tcW w:w="3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What post-transplant recurrence surveillance will the program adopt?</w:t>
            </w:r>
          </w:p>
        </w:tc>
        <w:tc>
          <w:tcPr>
            <w:tcW w:type="dxa" w:w="2520"/>
            <w:tcW w:w="37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Agree an oncology and transplant follow-up schedule based on recurrence risk, and a plan for prospective outcome collection before the program begins treating patients.</w:t>
            </w:r>
          </w:p>
        </w:tc>
        <w:tc>
          <w:tcPr>
            <w:tcW w:type="dxa" w:w="2520"/>
            <w:tcW w:w="1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80"/>
      </w:pPr>
      <w:r>
        <w:rPr>
          <w:b w:val="0"/>
          <w:i w:val="0"/>
        </w:rPr>
        <w:t>Questions</w:t>
      </w:r>
    </w:p>
    <w:p>
      <w:pPr>
        <w:pStyle w:val="Heading2"/>
        <w:keepNext/>
        <w:spacing w:before="200" w:after="80"/>
      </w:pPr>
      <w:r>
        <w:rPr>
          <w:b w:val="0"/>
          <w:i w:val="0"/>
        </w:rPr>
        <w:t>iCCA G1 / G2 — Will the local protocol include mixed HCC-iCCA?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6">
        <w:r>
          <w:rPr>
            <w:color w:val="0563C1"/>
            <w:u w:val="single"/>
          </w:rPr>
          <w:t xml:space="preserve">Establish histology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9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iCCA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“iCCA or mixed hepatocellular carcinoma/intrahepatic cholangiocarcinoma”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iCCA guidance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Very-early iCCA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Very-early iCCA cohort evidence does not automatically establish the same benefit for every mixed tumor presentation.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Sapisochin et al. · Hepatology · 2016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Document expert pathology and obtain explicit local program acceptance for mixed tumors; do not silently equate the two evidence bases.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NLRB scope and cohort populations are not identical.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Pathology · oncology · transplant governance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iCCA G1 / G2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iCCA G2 — Is NLRB alignment sufficient, or do we require a prospective program?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0">
        <w:r>
          <w:rPr>
            <w:color w:val="0563C1"/>
            <w:u w:val="single"/>
          </w:rPr>
          <w:t xml:space="preserve">Check clinical selection criteria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1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iCCA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“unresectable solitary intrahepatic cholangiocarcinoma”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Phenotype criteria, p.7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Very-early iCCA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Retrospective selected data support very-early disease; this is not randomized evidence for routine LT.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Sapisochin et al. · Hepatology · 2016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Retain a prospective/registry-based institutional restriction until the group approves the program and consent requirements.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An allocation review pathway is not an institution-wide adoption decision.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Transplant governance · oncology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iCCA G2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iCCA G3 — Which control strategy and ICI safety rules will be used?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2">
        <w:r>
          <w:rPr>
            <w:color w:val="0563C1"/>
            <w:u w:val="single"/>
          </w:rPr>
          <w:t xml:space="preserve">Plan pretransplant treatment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3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iCCA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“Locoregional or systemic therapy for iCCA”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iCCA guidance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AASLD · CCA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Treatment options depend on stage, resectability and clinical condition; this does not specify one transplant bridge regimen.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2023 · pCCA diagnosis / transplantation · PDF pp.26–28; iCCA treatment section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Use a patient-specific MDT control plan and separately review any checkpoint exposure. Record intended effect and transplant implications before treatment.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Therapy eligibility, efficacy and transplant safety are separate judgments.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Oncology · IR · transplant pharmacy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iCCA G3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iCCA G4 — Which event starts or restarts the six-month stability interval?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4">
        <w:r>
          <w:rPr>
            <w:color w:val="0563C1"/>
            <w:u w:val="single"/>
          </w:rPr>
          <w:t xml:space="preserve">Demonstrate stability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5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iCCA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“6 months from time of diagnosis or last treatment of tumor stability”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iCCA guidance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Very-early iCCA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The very-early cohort reports transplant outcomes; the NLRB guidance specifies the observation interval for MELD-exception review.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Sapisochin et al. · Hepatology · 2016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Record both diagnosis and last-treatment dates. If the starting point is uncertain, obtain an interpretation from the clinician responsible for MELD-exception requests before submission.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Do not substitute the shortest convenient interval for ambiguous wording.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Coordinator · transplant physician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iCCA G4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iCCA G5 — Who verifies nonstandard submission and three-month imaging?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6">
        <w:r>
          <w:rPr>
            <w:color w:val="0563C1"/>
            <w:u w:val="single"/>
          </w:rPr>
          <w:t xml:space="preserve">Request an individual iCCA MELD exception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7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iCCA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“Every 3 months”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Extension imaging requirement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Name the clinician responsible for allocation and a separate clinical reviewer; compare each renewal with the original histology and selection criteria.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A prior exception does not remove the requirement for ongoing control.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Coordinator · transplant physician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iCCA G5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iCCA G6 — What post-transplant recurrence surveillance will the program adopt?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8">
        <w:r>
          <w:rPr>
            <w:color w:val="0563C1"/>
            <w:u w:val="single"/>
          </w:rPr>
          <w:t xml:space="preserve">Transplant and follow-up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9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Very-early iCCA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Selected transplant outcome data do not establish a single optimal surveillance interval.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Sapisochin et al. · Hepatology · 2016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iCCA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Guidance addresses exception review and extensions, not a complete post-LT surveillance regimen.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December 2025 · pp.7–8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Agree an oncology and transplant follow-up schedule based on recurrence risk, and a plan for prospective outcome collection before the program begins treating patients.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Avoid presenting a local schedule as a national requirement.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Oncology · transplant team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iCCA G6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1"/>
        <w:keepNext/>
        <w:spacing w:before="280" w:after="80"/>
      </w:pPr>
      <w:r>
        <w:rPr>
          <w:b w:val="0"/>
          <w:i w:val="0"/>
        </w:rPr>
        <w:t>Sources</w:t>
      </w:r>
    </w:p>
    <w:p>
      <w:pPr>
        <w:spacing w:after="60"/>
      </w:pPr>
      <w:r>
        <w:rPr>
          <w:b/>
          <w:i w:val="0"/>
          <w:sz w:val="19"/>
        </w:rPr>
        <w:t>AASLD · CCA</w:t>
      </w:r>
      <w:r>
        <w:rPr>
          <w:b w:val="0"/>
          <w:i w:val="0"/>
          <w:sz w:val="19"/>
        </w:rPr>
        <w:t xml:space="preserve"> — AASLD Practice Guidance on PSC and cholangiocarcinoma</w:t>
      </w:r>
      <w:r>
        <w:rPr>
          <w:b w:val="0"/>
          <w:i w:val="0"/>
          <w:sz w:val="19"/>
        </w:rPr>
        <w:t xml:space="preserve">  </w:t>
      </w:r>
      <w:hyperlink r:id="rId20">
        <w:r>
          <w:rPr>
            <w:color w:val="0563C1"/>
            <w:u w:val="single"/>
            <w:sz w:val="19"/>
          </w:rPr>
          <w:t xml:space="preserve">Source</w:t>
        </w:r>
      </w:hyperlink>
    </w:p>
    <w:p>
      <w:pPr>
        <w:spacing w:after="60"/>
      </w:pPr>
      <w:r>
        <w:rPr>
          <w:b/>
          <w:i w:val="0"/>
          <w:sz w:val="19"/>
        </w:rPr>
        <w:t>NLRB · iCCA</w:t>
      </w:r>
      <w:r>
        <w:rPr>
          <w:b w:val="0"/>
          <w:i w:val="0"/>
          <w:sz w:val="19"/>
        </w:rPr>
        <w:t xml:space="preserve"> — Adult MELD exception review guidance — iCCA / mixed HCC-iCCA</w:t>
      </w:r>
      <w:r>
        <w:rPr>
          <w:b w:val="0"/>
          <w:i w:val="0"/>
          <w:sz w:val="19"/>
        </w:rPr>
        <w:t xml:space="preserve">  </w:t>
      </w:r>
      <w:hyperlink r:id="rId21">
        <w:r>
          <w:rPr>
            <w:color w:val="0563C1"/>
            <w:u w:val="single"/>
            <w:sz w:val="19"/>
          </w:rPr>
          <w:t xml:space="preserve">Source</w:t>
        </w:r>
      </w:hyperlink>
    </w:p>
    <w:p>
      <w:pPr>
        <w:spacing w:after="60"/>
      </w:pPr>
      <w:r>
        <w:rPr>
          <w:b/>
          <w:i w:val="0"/>
          <w:sz w:val="19"/>
        </w:rPr>
        <w:t>Very-early iCCA</w:t>
      </w:r>
      <w:r>
        <w:rPr>
          <w:b w:val="0"/>
          <w:i w:val="0"/>
          <w:sz w:val="19"/>
        </w:rPr>
        <w:t xml:space="preserve"> — Liver transplantation for very early iCCA: international retrospective study</w:t>
      </w:r>
      <w:r>
        <w:rPr>
          <w:b w:val="0"/>
          <w:i w:val="0"/>
          <w:sz w:val="19"/>
        </w:rPr>
        <w:t xml:space="preserve">  </w:t>
      </w:r>
      <w:hyperlink r:id="rId22">
        <w:r>
          <w:rPr>
            <w:color w:val="0563C1"/>
            <w:u w:val="single"/>
            <w:sz w:val="19"/>
          </w:rPr>
          <w:t xml:space="preserve">Source</w:t>
        </w:r>
      </w:hyperlink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5A6069"/>
        <w:sz w:val="15"/>
        <w:szCs w:val="15"/>
      </w:rPr>
      <w:t xml:space="preserve">HPB oncology working reference  |  </w:t>
    </w:r>
    <w:r>
      <w:rPr>
        <w:sz w:val="15"/>
        <w:szCs w:val="15"/>
      </w:rPr>
      <w:t xml:space="preserve"/>
    </w:r>
    <w:r>
      <w:rPr>
        <w:color w:val="5A606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–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abstractNum w:abstractNumId="4">
    <w:multiLevelType w:val="multilevel"/>
    <w:lvl w:ilvl="0">
      <w:start w:val="1"/>
      <w:numFmt w:val="bullet"/>
      <w:lvlText w:val="•"/>
      <w:lvlJc w:val="left"/>
      <w:pPr>
        <w:ind w:left="360" w:hanging="180"/>
      </w:pPr>
    </w:lvl>
    <w:lvl w:ilvl="1">
      <w:start w:val="1"/>
      <w:numFmt w:val="bullet"/>
      <w:lvlText w:val="•"/>
      <w:lvlJc w:val="left"/>
      <w:pPr>
        <w:ind w:left="720" w:hanging="180"/>
      </w:pPr>
    </w:lvl>
    <w:lvl w:ilvl="2">
      <w:start w:val="1"/>
      <w:numFmt w:val="bullet"/>
      <w:lvlText w:val="•"/>
      <w:lvlJc w:val="left"/>
      <w:pPr>
        <w:ind w:left="1080" w:hanging="180"/>
      </w:pPr>
    </w:lvl>
  </w:abstractNum>
  <w:num w:numId="3">
    <w:abstractNumId w:val="4"/>
  </w:num>
  <w:abstractNum w:abstractNumId="5">
    <w:multiLevelType w:val="multilevel"/>
    <w:lvl w:ilvl="0">
      <w:start w:val="1"/>
      <w:numFmt w:val="bullet"/>
      <w:lvlText w:val="•"/>
      <w:lvlJc w:val="left"/>
      <w:pPr>
        <w:ind w:left="360" w:hanging="180"/>
      </w:pPr>
    </w:lvl>
    <w:lvl w:ilvl="1">
      <w:start w:val="1"/>
      <w:numFmt w:val="bullet"/>
      <w:lvlText w:val="•"/>
      <w:lvlJc w:val="left"/>
      <w:pPr>
        <w:ind w:left="720" w:hanging="180"/>
      </w:pPr>
    </w:lvl>
    <w:lvl w:ilvl="2">
      <w:start w:val="1"/>
      <w:numFmt w:val="bullet"/>
      <w:lvlText w:val="•"/>
      <w:lvlJc w:val="left"/>
      <w:pPr>
        <w:ind w:left="1080" w:hanging="180"/>
      </w:pPr>
    </w:lvl>
  </w:abstractNum>
  <w:num w:numId="4">
    <w:abstractNumId w:val="5"/>
  </w:num>
  <w:abstractNum w:abstractNumId="6">
    <w:multiLevelType w:val="multilevel"/>
    <w:lvl w:ilvl="0">
      <w:start w:val="1"/>
      <w:numFmt w:val="bullet"/>
      <w:lvlText w:val="•"/>
      <w:lvlJc w:val="left"/>
      <w:pPr>
        <w:ind w:left="360" w:hanging="180"/>
      </w:pPr>
    </w:lvl>
    <w:lvl w:ilvl="1">
      <w:start w:val="1"/>
      <w:numFmt w:val="bullet"/>
      <w:lvlText w:val="•"/>
      <w:lvlJc w:val="left"/>
      <w:pPr>
        <w:ind w:left="720" w:hanging="180"/>
      </w:pPr>
    </w:lvl>
    <w:lvl w:ilvl="2">
      <w:start w:val="1"/>
      <w:numFmt w:val="bullet"/>
      <w:lvlText w:val="•"/>
      <w:lvlJc w:val="left"/>
      <w:pPr>
        <w:ind w:left="1080" w:hanging="180"/>
      </w:pPr>
    </w:lvl>
  </w:abstractNum>
  <w:num w:numId="5">
    <w:abstractNumId w:val="6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5181F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  <w:color w:val="000000"/>
      <w:u w:val="none"/>
    </w:rPr>
  </w:style>
  <w:style w:type="paragraph" w:styleId="Heading1">
    <w:name w:val="Heading 1"/>
    <w:basedOn w:val="Normal"/>
    <w:next w:val="Normal"/>
    <w:qFormat/>
    <w:rPr>
      <w:rFonts w:ascii="Cambria" w:cs="Cambria" w:eastAsia="Cambria" w:hAnsi="Cambria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mbria" w:cs="Cambria" w:eastAsia="Cambria" w:hAnsi="Cambria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mbria" w:cs="Cambria" w:eastAsia="Cambria" w:hAnsi="Cambria"/>
      <w:b/>
      <w:bCs/>
      <w:color w:val="17365D"/>
      <w:sz w:val="22"/>
      <w:szCs w:val="22"/>
    </w:rPr>
  </w:style>
  <w:style w:type="paragraph" w:styleId="Heading4">
    <w:name w:val="Heading 4"/>
    <w:basedOn w:val="Normal"/>
    <w:next w:val="Normal"/>
    <w:qFormat/>
    <w:rPr>
      <w:rFonts w:ascii="Calibri" w:cs="Calibri" w:eastAsia="Calibri" w:hAnsi="Calibri"/>
      <w:b/>
      <w:bCs/>
      <w:color w:val="176A87"/>
      <w:sz w:val="20"/>
      <w:szCs w:val="20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6" Type="http://schemas.openxmlformats.org/officeDocument/2006/relationships/hyperlink" Target="https://drliuhao.github.io/mh-liver-pathways/transplant/icca/#diagnosis" TargetMode="External"/><Relationship Id="rId9" Type="http://schemas.openxmlformats.org/officeDocument/2006/relationships/hyperlink" Target="https://drliuhao.github.io/mh-liver-pathways/transplant/icca/#meeting-histology" TargetMode="External"/><Relationship Id="rId10" Type="http://schemas.openxmlformats.org/officeDocument/2006/relationships/hyperlink" Target="https://drliuhao.github.io/mh-liver-pathways/transplant/icca/#phenotype" TargetMode="External"/><Relationship Id="rId11" Type="http://schemas.openxmlformats.org/officeDocument/2006/relationships/hyperlink" Target="https://drliuhao.github.io/mh-liver-pathways/transplant/icca/#meeting-phenotype" TargetMode="External"/><Relationship Id="rId12" Type="http://schemas.openxmlformats.org/officeDocument/2006/relationships/hyperlink" Target="https://drliuhao.github.io/mh-liver-pathways/transplant/icca/#therapy" TargetMode="External"/><Relationship Id="rId13" Type="http://schemas.openxmlformats.org/officeDocument/2006/relationships/hyperlink" Target="https://drliuhao.github.io/mh-liver-pathways/transplant/icca/#meeting-therapy" TargetMode="External"/><Relationship Id="rId14" Type="http://schemas.openxmlformats.org/officeDocument/2006/relationships/hyperlink" Target="https://drliuhao.github.io/mh-liver-pathways/transplant/icca/#stability" TargetMode="External"/><Relationship Id="rId15" Type="http://schemas.openxmlformats.org/officeDocument/2006/relationships/hyperlink" Target="https://drliuhao.github.io/mh-liver-pathways/transplant/icca/#meeting-stability-clock" TargetMode="External"/><Relationship Id="rId16" Type="http://schemas.openxmlformats.org/officeDocument/2006/relationships/hyperlink" Target="https://drliuhao.github.io/mh-liver-pathways/transplant/icca/#review" TargetMode="External"/><Relationship Id="rId17" Type="http://schemas.openxmlformats.org/officeDocument/2006/relationships/hyperlink" Target="https://drliuhao.github.io/mh-liver-pathways/transplant/icca/#meeting-review-ownership" TargetMode="External"/><Relationship Id="rId18" Type="http://schemas.openxmlformats.org/officeDocument/2006/relationships/hyperlink" Target="https://drliuhao.github.io/mh-liver-pathways/transplant/icca/#follow-up" TargetMode="External"/><Relationship Id="rId19" Type="http://schemas.openxmlformats.org/officeDocument/2006/relationships/hyperlink" Target="https://drliuhao.github.io/mh-liver-pathways/transplant/icca/#meeting-surveillance" TargetMode="External"/><Relationship Id="rId20" Type="http://schemas.openxmlformats.org/officeDocument/2006/relationships/hyperlink" Target="https://doi.org/10.1002/hep.32771" TargetMode="External"/><Relationship Id="rId21" Type="http://schemas.openxmlformats.org/officeDocument/2006/relationships/hyperlink" Target="https://www.hrsa.gov/sites/default/files/hrsa/optn/adult-meld-exception-transplant-oncology-review-guidance.pdf#page=7" TargetMode="External"/><Relationship Id="rId22" Type="http://schemas.openxmlformats.org/officeDocument/2006/relationships/hyperlink" Target="https://doi.org/10.1002/hep.28744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Memorial Hermann HCC system roadmap v0.9</dc:title>
  <dc:subject>Hepatocellular carcinoma</dc:subject>
  <dc:creator>Memorial Hermann / UTHealth Houston tumour roadmap programme</dc:creator>
  <dc:description>Draft under development. Not ratified clinical policy.</dc:description>
  <cp:lastModifiedBy>Un-named</cp:lastModifiedBy>
  <cp:revision>1</cp:revision>
  <dcterms:created xsi:type="dcterms:W3CDTF">2026-10-10T04:29:15.270Z</dcterms:created>
  <dcterms:modified xsi:type="dcterms:W3CDTF">2026-10-29T14:21:32Z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