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Intrahepatic Cholangiocarcinoma</w:t>
      </w:r>
    </w:p>
    <w:p>
      <w:pPr>
        <w:pStyle w:val="Normal"/>
        <w:widowControl/>
      </w:pPr>
      <w:r>
        <w:t xml:space="preserve">This pathway addresses advanced liver-confined iCCA outside the small solitary cirrhotic category. It requires treatment-response selection, repeated resection assessment and a separate allocation/donor justification. Pure iCCA and mixed HCC–iCCA are not pooled as one efficacy population.</w:t>
      </w:r>
    </w:p>
    <w:p>
      <w:pPr>
        <w:spacing w:after="120"/>
      </w:pPr>
      <w:r>
        <w:rPr>
          <w:i/>
          <w:sz w:val="18"/>
        </w:rPr>
        <w:t xml:space="preserve">Standardized document set, 29 October 2026: this is the full-content document for the high-risk transplant protocol. Questions for consensus: iCCA_6_High_Risk_Transplant_Questions.docx. Decision discussion for all settings: iCCA_7_Decision_Discussion.docx. Web page: https://drliuhao.github.io/mh-liver-pathways/transplant/icca/#high-risk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A biopsy-proven, unresectable solitary iCCA or mixed HCC–iCCA no larger than 3 cm in cirrhosis, with the specified treatment and stability requirements, belongs in the guidance-aligned nonstandard-exception assessment. Larger, multifocal or noncirrhotic disease must not inherit that guidance by analogy.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The advanced-disease pathway is a proposed prospective treatment-selection and transplant study, not a standing approval to transplant. It has no validated universal 8 cm, three-lesion, CA19-9 or ctDNA eligibility boundary.</w:t>
      </w:r>
    </w:p>
    <w:p>
      <w:pPr>
        <w:pStyle w:val="Heading2"/>
        <w:keepNext/>
        <w:widowControl/>
      </w:pPr>
      <w:r>
        <w:t xml:space="preserve">2 Scientific rationale and patient counseling</w:t>
      </w:r>
    </w:p>
    <w:p>
      <w:pPr>
        <w:pStyle w:val="Normal"/>
        <w:widowControl/>
      </w:pPr>
      <w:r>
        <w:t xml:space="preserve">Very-early incidental explant series support further assessment of small tumors, not an advanced-disease population. In the expanded Houston experience, 65 were referred, 37 listed, five converted to resection, 32 remained in the analyzed listing cohort and 18 received LT. Reported survival was anchored to listing, including the eventual-LT subgroup. Do not label those figures post-LT survival or pool the earlier overlapping Lunsford series as independent evidence.</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pPr>
      <w:r>
        <w:t xml:space="preserve">SYSTARE included 13 entrants, nine dropouts and four recipients. A seven-recipient LDLT report estimated five-year OS of 85.7% with a wide 95% CI of 33.4–97.9%, two recurrences and one death. These data show selection and feasibility, not randomized benefit. The seven-recipient Sethi main-paper PDF is now in the depot and fully reviewed; donor morbidity, broad uncertainty intervals and the mixed referral denominator are incorporated below.</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pPr>
      <w:r>
        <w:t xml:space="preserve">A non-LT eligibility cohort found 39 retrospectively eligible patients among 1407. Median OS was 39 months from diagnosis; three-/five-year survival from the six-month eligibility landmark was 46%/26%. Many received HAI. It is a relevant warning against all-comer controls, not a causal LT comparison or a current-treatment benchmark with identical eligibility.</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Heading2"/>
        <w:keepNext/>
        <w:widowControl/>
      </w:pPr>
      <w:r>
        <w:t xml:space="preserve">3 Patient selection criteria</w:t>
      </w:r>
    </w:p>
    <w:p>
      <w:pPr>
        <w:pStyle w:val="Heading3"/>
        <w:keepNext/>
        <w:widowControl/>
      </w:pPr>
      <w:r>
        <w:t xml:space="preserve">3.1 Establish diagnosis and the exact risk stratum</w:t>
      </w:r>
    </w:p>
    <w:p>
      <w:pPr>
        <w:pStyle w:val="Normal"/>
        <w:widowControl/>
        <w:numPr>
          <w:ilvl w:val="0"/>
          <w:numId w:val="3"/>
        </w:numPr>
      </w:pPr>
      <w:r>
        <w:t xml:space="preserve">Obtain expert pathology review of a planned core biopsy, including differentiation and any mixed HCC–iCCA component. Biopsy is part of the iCCA diagnostic/guidance pathway; do not import the pCCA primary-transperitoneal-biopsy exclusion as a blanket prohibition on iCCA biopsy. Plan the route with radiology and the surgical team.</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Map pretreatment lesion number, largest and aggregate burden, segment/lobe distribution, vascular anatomy, regional/distant nodes and all extrahepatic sites. Record cirrhosis and the reason complete clearance by resection/ablation is not feasible with an adequate functional remnant.</w:t>
      </w:r>
    </w:p>
    <w:p>
      <w:pPr>
        <w:pStyle w:val="Normal"/>
        <w:widowControl/>
        <w:numPr>
          <w:ilvl w:val="0"/>
          <w:numId w:val="3"/>
        </w:numPr>
      </w:pPr>
      <w:r>
        <w:t xml:space="preserve">Require documented medical fitness, functional status, liver/renal reserve and ability to tolerate the proposed therapy. Age is a risk factor for multidisciplinary assessment, not a new national cutoff invented by this document.</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Heading3"/>
        <w:keepNext/>
        <w:widowControl/>
      </w:pPr>
      <w:bookmarkStart w:id="1" w:name="iCCA_B1"/>
      <w:r>
        <w:t xml:space="preserve">iCCA-B1 — Do we preserve separate small-cirrhotic and advanced-disease pathways?</w:t>
      </w:r>
      <w:bookmarkEnd w:id="1"/>
    </w:p>
    <w:p>
      <w:pPr>
        <w:pStyle w:val="Heading3"/>
        <w:keepNext/>
        <w:widowControl/>
      </w:pPr>
      <w:r>
        <w:t xml:space="preserve">Question and comparison</w:t>
      </w:r>
    </w:p>
    <w:p>
      <w:pPr>
        <w:pStyle w:val="Normal"/>
        <w:widowControl/>
        <w:spacing w:before="60" w:after="20"/>
      </w:pPr>
      <w:r>
        <w:t xml:space="preserve">For advanced liver-confined iCCA, how far may tumor burden, differentiation and histology be expanded beyond the small-cirrhotic pathway without treating experimental selection as guideline eligibility?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Sapisochin 2016 · very early iCCA</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International retrospective explant-defined pure iCCA; 48 recipients, 15 very-early solitary ≤ 2 cm, 33 larger/multifocal.</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Hepatology 2016; 64: 1178–1188; Methods and very-early/advanced survival analyses; full PDF.</w:t>
            </w:r>
          </w:p>
          <w:p>
            <w:pPr>
              <w:pStyle w:val="Normal"/>
              <w:widowControl/>
              <w:spacing w:before="60" w:after="20"/>
            </w:pPr>
            <w:r>
              <w:t xml:space="preserve">Review depth: Local full PDF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OS 65% very-early versus 45% advanced; 5-year recurrence 18% versus 61%.</w:t>
            </w:r>
          </w:p>
          <w:p>
            <w:pPr>
              <w:pStyle w:val="Normal"/>
              <w:widowControl/>
              <w:spacing w:before="60" w:after="20"/>
            </w:pPr>
            <w:r>
              <w:rPr>
                <w:b/>
              </w:rPr>
              <w:t xml:space="preserve">Do not infer: </w:t>
            </w:r>
            <w:r>
              <w:t xml:space="preserve">Small retrospective pathological strata, not validation of ≤ 3 cm guidance or response-selected large disease. Preoperative sampling/recognition differs from known iCCA.</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Prospective institutional SYS-TARE pathway; 13 entered, 4 LT, 9 dropout.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Transpl Int 2024; 37: 13641; Eligibility, Figure 1 and Results;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recipients alive without recurrence at 73, 40, 12, 8 months; dropouts: three unrecovered intrahepatic progression, four with extrahepatic disease, two occult nodes.</w:t>
            </w:r>
          </w:p>
          <w:p>
            <w:pPr>
              <w:pStyle w:val="Normal"/>
              <w:widowControl/>
              <w:spacing w:before="60" w:after="20"/>
            </w:pPr>
            <w:r>
              <w:rPr>
                <w:b/>
              </w:rPr>
              <w:t xml:space="preserve">Do not infer: </w:t>
            </w:r>
            <w:r>
              <w:t xml:space="preserve">Only 4 recipients; no validated maximum diameter or comparative proof of satellites being equivalent to a solitary tumor.</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bl>
    <w:p>
      <w:pPr>
        <w:pStyle w:val="Heading3"/>
        <w:keepNext/>
        <w:widowControl/>
      </w:pPr>
      <w:r>
        <w:t xml:space="preserve">Synthesis and evidence that challenges the proposal</w:t>
      </w:r>
    </w:p>
    <w:p>
      <w:pPr>
        <w:pStyle w:val="Normal"/>
        <w:widowControl/>
        <w:spacing w:before="60" w:after="20"/>
      </w:pPr>
      <w:r>
        <w:t xml:space="preserve">Incidental small-cirrhotic iCCA/mixed cohorts are not prospective validation of known advanced disease. Advanced pure-iCCA cohorts demonstrate possible durable survival but also recurrence, occult nodes, positive margins and graft harms. Houston/TESLA/Sethi included some multifocal or poor-grade disease, so it is false to claim none has ever been transplanted; these small selected data do not validate safe expansion. The local initial G1–2, mass-forming/adjacent-satellite restriction is a conservative study choice, not a universal proven boundary. Preserve the separate small-cirrhotic mixed NLRB route. Read the ILTS–ILCA source in both places: Table 1 permits investigational liver-confined noncirrhotic iCCA after at least six months of stability (printed p823), while the discussion records lack of agreement on routine large/advanced/noncirrhotic LT (p827). The current depot contains the published version, not an accepted manuscript. NCCN BTC v1.2026 INTRA-1 footnote l uses &lt;3 cm for selected small single tumors, while NLRB guidance uses ≤3 cm. Exactly 3.0 cm is therefore a clinical-guideline/allocation discrepancy, not unanimous guideline endorsement; require measurement confirmation and an explicit committee decision.</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spacing w:before="60" w:after="20"/>
      </w:pPr>
      <w:r>
        <w:t xml:space="preserve">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pStyle w:val="Normal"/>
        <w:widowControl/>
        <w:spacing w:before="60" w:after="20"/>
      </w:pPr>
      <w:r>
        <w:rPr>
          <w:b/>
        </w:rPr>
        <w:t xml:space="preserve">Certainty / applicability: </w:t>
      </w:r>
      <w:r>
        <w:t xml:space="preserve">Low for small retrospective cohorts; very low for benefit and optimal thresholds in advanced disease. No randomized advanced-iCCA LT comparison or validated universal diameter/lesion-count limit.</w:t>
      </w:r>
    </w:p>
    <w:p>
      <w:pPr>
        <w:pStyle w:val="Heading3"/>
        <w:keepNext/>
        <w:widowControl/>
      </w:pPr>
      <w:r>
        <w:t xml:space="preserve">Where each proposed threshold comes from</w:t>
      </w:r>
    </w:p>
    <w:p>
      <w:pPr>
        <w:pStyle w:val="Normal"/>
        <w:widowControl/>
        <w:numPr>
          <w:ilvl w:val="0"/>
          <w:numId w:val="3"/>
        </w:numPr>
        <w:spacing w:before="60" w:after="20"/>
      </w:pPr>
      <w:r>
        <w:t xml:space="preserve">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 single measurable lesion with or without associated peritumoral satellites”</w:t>
            </w:r>
          </w:p>
          <w:p>
            <w:pPr>
              <w:pStyle w:val="Normal"/>
              <w:widowControl/>
              <w:spacing w:before="60" w:after="20"/>
            </w:pPr>
            <w:r>
              <w:t xml:space="preserve">Published PDF pp2–3, Patients and Methods</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narrower studied morphology; it does not prove a safe upper diameter.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ILTS–ILCA consensus</w:t>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“no agreement was reached regarding LT in this population.”</w:t>
            </w:r>
          </w:p>
          <w:p>
            <w:pPr>
              <w:pStyle w:val="Normal"/>
              <w:widowControl/>
              <w:spacing w:before="60" w:after="20"/>
            </w:pPr>
            <w:r>
              <w:t xml:space="preserve">Published consensus, printed p827/current PDF p13 (prior repository-wrapped PDF p14); compare Table 1, printed pp822–823/current PDF pp8–9.</w:t>
            </w:r>
          </w:p>
          <w:p>
            <w:pPr>
              <w:pStyle w:val="Normal"/>
              <w:widowControl/>
              <w:spacing w:before="60" w:after="20"/>
            </w:pPr>
            <w:hyperlink r:id="rId45">
              <w:r>
                <w:rPr>
                  <w:color w:val="77230C"/>
                  <w:sz w:val="20"/>
                  <w:u w:val="single"/>
                </w:rPr>
                <w:t>Source</w:t>
              </w:r>
            </w:hyperlink>
            <w:r>
              <w:t xml:space="preserve"> | </w:t>
            </w:r>
            <w:hyperlink r:id="rId4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same consensus cautiously permits investigational noncirrhotic, unresectable, liver-confined iCCA after at least six months of stability in Table 1, while its discussion records no agreement on routine expansion. Both positions support study development, not routine approval.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“a maximum diameter &lt; 3 cm”</w:t>
            </w:r>
          </w:p>
          <w:p>
            <w:pPr>
              <w:pStyle w:val="Normal"/>
              <w:widowControl/>
              <w:spacing w:before="60" w:after="20"/>
            </w:pPr>
            <w:r>
              <w:t xml:space="preserve">AASLD/AST candidate-evaluation manuscript PDF p8, statement 11</w:t>
            </w:r>
          </w:p>
          <w:p>
            <w:pPr>
              <w:pStyle w:val="Normal"/>
              <w:widowControl/>
              <w:spacing w:before="60" w:after="20"/>
            </w:pPr>
            <w:hyperlink r:id="rId47">
              <w:r>
                <w:rPr>
                  <w:color w:val="77230C"/>
                  <w:sz w:val="20"/>
                  <w:u w:val="single"/>
                </w:rPr>
                <w:t>Source</w:t>
              </w:r>
            </w:hyperlink>
            <w:r>
              <w:t xml:space="preserve"> | </w:t>
            </w:r>
            <w:hyperlink r:id="rId4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clinical recommendation uses a strict inequality. Its rationale discusses solitary disease in cirrhosis; this is not the advanced-study population.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“less than or equal to 3 cm”</w:t>
            </w:r>
          </w:p>
          <w:p>
            <w:pPr>
              <w:pStyle w:val="Normal"/>
              <w:widowControl/>
              <w:spacing w:before="60" w:after="20"/>
            </w:pPr>
            <w:r>
              <w:t xml:space="preserve">December 2025 oncology guidance p8, iCCA initial/extension criteria</w:t>
            </w:r>
          </w:p>
          <w:p>
            <w:pPr>
              <w:pStyle w:val="Normal"/>
              <w:widowControl/>
              <w:spacing w:before="60" w:after="20"/>
            </w:pPr>
            <w:hyperlink r:id="rId49">
              <w:r>
                <w:rPr>
                  <w:color w:val="77230C"/>
                  <w:sz w:val="20"/>
                  <w:u w:val="single"/>
                </w:rPr>
                <w:t>Source</w:t>
              </w:r>
            </w:hyperlink>
            <w:r>
              <w:t xml:space="preserve"> | </w:t>
            </w:r>
            <w:hyperlink r:id="rId5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Allocation guidance includes equality. Exactly 3.0 cm requires clinical adjudication; preserve the exact allocation wording instead of silently harmonizing it.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small-cirrhotic pathway separate; define the initial advanced study by pure, favorable-grade, localized morphology rather than an invented size cap.</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Ni0zXTwvRGlzcGxheVRleHQ+PHJlY29yZD48cmVjLW51bWJlcj4zPC9yZWMtbnVtYmVyPjxmb3JlaWduLWtleXM+PGtleSBhcHA9IkVOIiBkYi1pZD0iMzc3ZDAwODQtMTJhZC01M2I4LWI2MDEtYzM3Mjg2YTM4MWY2IiB0aW1lc3RhbXA9IjE3OTMyODM2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Ni0xMV08L0Rpc3BsYXlUZXh0PjxyZWNvcmQ+PHJlYy1udW1iZXI+MTE8L3JlYy1udW1iZXI+PGZvcmVpZ24ta2V5cz48a2V5IGFwcD0iRU4iIGRiLWlkPSIzNzdkMDA4NC0xMmFkLTUzYjgtYjYwMS1jMzcyODZhMzgxZjYiIHRpbWVzdGFtcD0iMTc5MzI4MzY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Ni0xMl08L0Rpc3BsYXlUZXh0PjxyZWNvcmQ+PHJlYy1udW1iZXI+MTI8L3JlYy1udW1iZXI+PGZvcmVpZ24ta2V5cz48a2V5IGFwcD0iRU4iIGRiLWlkPSIzNzdkMDA4NC0xMmFkLTUzYjgtYjYwMS1jMzcyODZhMzgxZjYiIHRpbWVzdGFtcD0iMTc5MzI4MzY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2PC9SZWNOdW0+PERpc3BsYXlUZXh0PltWMTYtMTZdPC9EaXNwbGF5VGV4dD48cmVjb3JkPjxyZWMtbnVtYmVyPjE2PC9yZWMtbnVtYmVyPjxmb3JlaWduLWtleXM+PGtleSBhcHA9IkVOIiBkYi1pZD0iMzc3ZDAwODQtMTJhZC01M2I4LWI2MDEtYzM3Mjg2YTM4MWY2IiB0aW1lc3RhbXA9IjE3OTMyODM2ODUiPjE2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2LTE1XTwvRGlzcGxheVRleHQ+PHJlY29yZD48cmVjLW51bWJlcj4xNTwvcmVjLW51bWJlcj48Zm9yZWlnbi1rZXlzPjxrZXkgYXBwPSJFTiIgZGItaWQ9IjM3N2QwMDg0LTEyYWQtNTNiOC1iNjAxLWMzNzI4NmEzODFmNiIgdGltZXN0YW1wPSIxNzkzMjgzNj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Proposed advanced entry phenotype: pure iCCA, G1–2, one mass-forming focus with or without adjacent peritumoral satellites; no separate multifocal deposits across distinct segments.</w:t>
      </w:r>
    </w:p>
    <w:p>
      <w:pPr>
        <w:pStyle w:val="Normal"/>
        <w:widowControl/>
        <w:numPr>
          <w:ilvl w:val="1"/>
          <w:numId w:val="3"/>
        </w:numPr>
        <w:spacing w:before="60" w:after="20"/>
      </w:pPr>
      <w:r>
        <w:t xml:space="preserve">No universal 8 cm/three-lesion rule is adopted.</w:t>
      </w:r>
    </w:p>
    <w:p>
      <w:pPr>
        <w:pStyle w:val="Normal"/>
        <w:widowControl/>
        <w:numPr>
          <w:ilvl w:val="0"/>
          <w:numId w:val="3"/>
        </w:numPr>
      </w:pPr>
      <w:r>
        <w:t xml:space="preserve">Exclude known G3/poor differentiation, mixed HCC-iCCA, macroscopic tumor thrombus, proven malignant nodes, peritoneal or other extrahepatic disease from the initial advanced pilot.</w:t>
      </w:r>
    </w:p>
    <w:p>
      <w:pPr>
        <w:pStyle w:val="Normal"/>
        <w:widowControl/>
        <w:numPr>
          <w:ilvl w:val="1"/>
          <w:numId w:val="3"/>
        </w:numPr>
        <w:spacing w:before="60" w:after="20"/>
      </w:pPr>
      <w:r>
        <w:t xml:space="preserve">Negative core sampling cannot guarantee the whole tumor grade; record this limitation.</w:t>
      </w:r>
    </w:p>
    <w:p>
      <w:pPr>
        <w:pStyle w:val="Normal"/>
        <w:widowControl/>
        <w:numPr>
          <w:ilvl w:val="0"/>
          <w:numId w:val="3"/>
        </w:numPr>
      </w:pPr>
      <w:r>
        <w:t xml:space="preserve">Intrahepatic vascular encasement without tumor thrombus may be considered if complete explant/reconstruction is technically feasible.</w:t>
      </w:r>
    </w:p>
    <w:p>
      <w:pPr>
        <w:pStyle w:val="Normal"/>
        <w:widowControl/>
        <w:numPr>
          <w:ilvl w:val="1"/>
          <w:numId w:val="3"/>
        </w:numPr>
        <w:spacing w:before="60" w:after="20"/>
      </w:pPr>
      <w:r>
        <w:t xml:space="preserve">Larger size needs individualized technical/biological review, not an automatic permission.</w:t>
      </w:r>
    </w:p>
    <w:p>
      <w:pPr>
        <w:pStyle w:val="Normal"/>
        <w:widowControl/>
        <w:numPr>
          <w:ilvl w:val="0"/>
          <w:numId w:val="3"/>
        </w:numPr>
      </w:pPr>
      <w:r>
        <w:t xml:space="preserve">Do not apply the advanced-study mixed-histology exclusion to the separate NLRB small-cirrhotic route.</w:t>
      </w:r>
    </w:p>
    <w:p>
      <w:pPr>
        <w:pStyle w:val="Normal"/>
        <w:widowControl/>
        <w:numPr>
          <w:ilvl w:val="1"/>
          <w:numId w:val="3"/>
        </w:numPr>
        <w:spacing w:before="60" w:after="20"/>
      </w:pPr>
      <w:r>
        <w:t xml:space="preserve">Preserve ≤3 cm guidance wording and flag the exactly-3.0 cm clinical discrepancy with &lt;3 cm candidate-evaluation prose.</w:t>
      </w:r>
    </w:p>
    <w:p>
      <w:pPr>
        <w:pStyle w:val="Normal"/>
        <w:widowControl/>
        <w:numPr>
          <w:ilvl w:val="0"/>
          <w:numId w:val="3"/>
        </w:numPr>
      </w:pPr>
      <w:r>
        <w:t xml:space="preserve">Do not invent an 8-cm/three-lesion cap or imply that absence of a published cap equals unrestricted eligibility.</w:t>
      </w:r>
    </w:p>
    <w:p>
      <w:pPr>
        <w:pStyle w:val="Normal"/>
        <w:widowControl/>
        <w:numPr>
          <w:ilvl w:val="0"/>
          <w:numId w:val="3"/>
        </w:numPr>
      </w:pPr>
      <w:r>
        <w:t xml:space="preserve">Keep known G3, advanced mixed, diffuse separate multifocal disease, tumor thrombus, malignant nodes/EHD outside the proposed initial arm; record biopsy sampling and encasement-versus-thrombus uncertainty.</w:t>
      </w:r>
    </w:p>
    <w:p>
      <w:pPr>
        <w:pStyle w:val="Normal"/>
        <w:widowControl/>
        <w:numPr>
          <w:ilvl w:val="0"/>
          <w:numId w:val="3"/>
        </w:numPr>
      </w:pPr>
      <w:r>
        <w:t xml:space="preserve">For a solitary iCCA exactly 3.0 cm, document NCCN &lt;3 versus NLRB ≤3 wording, measurement certainty, disease biology and the separate clinical benefit judgment; allocation eligibility alone is insufficient.</w:t>
      </w:r>
    </w:p>
    <w:p>
      <w:pPr>
        <w:pStyle w:val="Normal"/>
        <w:widowControl/>
        <w:numPr>
          <w:ilvl w:val="1"/>
          <w:numId w:val="3"/>
        </w:numPr>
        <w:spacing w:before="60" w:after="20"/>
      </w:pPr>
      <w:r>
        <w:t xml:space="preserve">Record the local decision explicitly.</w:t>
      </w:r>
    </w:p>
    <w:p>
      <w:pPr>
        <w:pStyle w:val="Normal"/>
        <w:widowControl/>
        <w:spacing w:before="60" w:after="20"/>
      </w:pPr>
      <w:r>
        <w:rPr>
          <w:b/>
        </w:rPr>
        <w:t xml:space="preserve">Why retain or change it: </w:t>
      </w:r>
      <w:r>
        <w:t xml:space="preserve">OPEN: initial advanced study accepts biopsy-confirmed pure iCCA, G1–2 on expert review, one dominant measurable mass with only adjacent peritumoral satellites, not separate multisegment/diffuse deposits. Do not invent 8 cm or 3 lesion limits. Exclude known G3, mixed histology, macroscopic tumor thrombus, proven nodal, peritoneal or extrahepatic disease from this first arm; allow intrahepatic vessel encasement without thrombus only if resection and transplant technical reviews agree. Record sampled grade uncertainty and all lesions centrally. Create separately approved expansion cohorts if G3, multifocal or mixed disease is to be studied.</w:t>
      </w:r>
    </w:p>
    <w:p>
      <w:pPr>
        <w:pStyle w:val="Heading3"/>
        <w:keepNext/>
        <w:widowControl/>
      </w:pPr>
      <w:r>
        <w:t xml:space="preserve">Information required before the decision</w:t>
      </w:r>
    </w:p>
    <w:p>
      <w:pPr>
        <w:pStyle w:val="Normal"/>
        <w:widowControl/>
        <w:spacing w:before="60" w:after="20"/>
      </w:pPr>
      <w:r>
        <w:t xml:space="preserve">Expert core-pathology review including pure versus mixed and grade; MRI/CT segment map; chest/systemic staging; nodal resolution; vascular thrombus versus encasement; resection review.</w:t>
      </w:r>
    </w:p>
    <w:p>
      <w:pPr>
        <w:pStyle w:val="Normal"/>
        <w:widowControl/>
        <w:spacing w:before="60" w:after="20"/>
      </w:pPr>
      <w:r>
        <w:rPr>
          <w:b/>
        </w:rPr>
        <w:t xml:space="preserve">Clinical versus allocation: </w:t>
      </w:r>
      <w:r>
        <w:t xml:space="preserve">Advanced noncirrhotic or larger disease does not inherit the small-cirrhotic favorable NLRB pathway. Organ-route and research decisions remain explicit.</w:t>
      </w:r>
    </w:p>
    <w:p>
      <w:pPr>
        <w:pStyle w:val="Normal"/>
        <w:widowControl/>
        <w:spacing w:before="60" w:after="20"/>
      </w:pPr>
      <w:r>
        <w:rPr>
          <w:b/>
        </w:rPr>
        <w:t xml:space="preserve">Roadmap / protocol reconciliation: </w:t>
      </w:r>
      <w:r>
        <w:t xml:space="preserve">Keep molecular profiling and conversion treatment from the iCCA roadmap; an actionable alteration is a treatment option, not a transplant biomarker.</w:t>
      </w:r>
    </w:p>
    <w:p>
      <w:pPr>
        <w:pStyle w:val="Normal"/>
        <w:widowControl/>
        <w:spacing w:before="60" w:after="20"/>
      </w:pPr>
      <w:hyperlink r:id="rId51">
        <w:r>
          <w:rPr>
            <w:color w:val="77230C"/>
            <w:sz w:val="20"/>
            <w:u w:val="single"/>
          </w:rPr>
          <w:t>Meeting record: iCCA-B1</w:t>
        </w:r>
      </w:hyperlink>
      <w:r>
        <w:t xml:space="preserve">  |  </w:t>
      </w:r>
      <w:hyperlink r:id="rId5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Findings that hold or stop this pathway</w:t>
      </w:r>
    </w:p>
    <w:p>
      <w:pPr>
        <w:pStyle w:val="Normal"/>
        <w:widowControl/>
        <w:numPr>
          <w:ilvl w:val="0"/>
          <w:numId w:val="3"/>
        </w:numPr>
      </w:pPr>
      <w:r>
        <w:t xml:space="preserve">Hold for uncertain primary or mixed histology, indeterminate nodes, unresolved distant lesions, unexplained marker rise or incomplete resectability review. Repeat imaging or targeted tissue assessment when it can resolve the decision.</w:t>
      </w:r>
    </w:p>
    <w:p>
      <w:pPr>
        <w:pStyle w:val="Normal"/>
        <w:widowControl/>
        <w:numPr>
          <w:ilvl w:val="0"/>
          <w:numId w:val="3"/>
        </w:numPr>
      </w:pPr>
      <w:r>
        <w:t xml:space="preserve">Active extrahepatic disease, malignant nodal/peritoneal staging or medical risk incompatible with LT stops this proposed liver-confined study route. Liver-only progression is handled by the OPEN iCCA-B2 hold/salvage rule. The initial iCCA-B1 proposal excludes G3/poor differentiation, mixed histology and macroscopic tumor thrombus; a broader arm is not activated.</w:t>
      </w:r>
    </w:p>
    <w:p>
      <w:pPr>
        <w:pStyle w:val="Heading2"/>
        <w:keepNext/>
        <w:widowControl/>
      </w:pPr>
      <w:r>
        <w:t xml:space="preserve">4 Pretreatment workup</w:t>
      </w:r>
    </w:p>
    <w:p>
      <w:pPr>
        <w:pStyle w:val="Normal"/>
        <w:widowControl/>
        <w:numPr>
          <w:ilvl w:val="0"/>
          <w:numId w:val="3"/>
        </w:numPr>
      </w:pPr>
      <w:r>
        <w:t xml:space="preserve">Order liver-protocol CT/MRI and chest imaging; obtain CBC, liver chemistry, bilirubin, albumin, INR, creatinine, CA19-9 and CEA, with infection/obstruction and nonsecretor context. Complete standard transplant fitness assessment if a clinically justified transplant evaluation is proceeding.</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Use PET/CT and directed nodal assessment when appropriate for metastatic exclusion; a negative study cannot certify absence of microscopic disease. A mandatory repeated PET schedule is not a validated stand-alone transplant gate.</w:t>
      </w:r>
    </w:p>
    <w:p>
      <w:pPr>
        <w:pStyle w:val="Normal"/>
        <w:widowControl/>
        <w:numPr>
          <w:ilvl w:val="0"/>
          <w:numId w:val="3"/>
        </w:numPr>
      </w:pPr>
      <w:r>
        <w:t xml:space="preserve">Obtain molecular profiling appropriate for iCCA treatment choices and trial access. Record any assay/biopsy limitations. ctDNA may be collected under a defined correlative protocol but is not a required negative test for listing.</w:t>
      </w:r>
    </w:p>
    <w:p>
      <w:pPr>
        <w:pStyle w:val="Normal"/>
        <w:widowControl/>
        <w:numPr>
          <w:ilvl w:val="0"/>
          <w:numId w:val="3"/>
        </w:numPr>
      </w:pPr>
      <w:r>
        <w:t xml:space="preserve">Have HPB surgery, oncology and IR document resection, ablation, HAI and other liver-directed options. Before HAI or arterial therapy, review hepatic arterial anatomy and possible future reconstruction with the transplant surgeon. Do not imply that all HAI placement makes LT infeasible.</w:t>
      </w:r>
    </w:p>
    <w:p>
      <w:pPr>
        <w:pStyle w:val="Heading2"/>
        <w:keepNext/>
        <w:widowControl/>
      </w:pPr>
      <w:r>
        <w:t xml:space="preserve">5 Neoadjuvant therapy and reassessment</w:t>
      </w:r>
    </w:p>
    <w:p>
      <w:pPr>
        <w:pStyle w:val="Heading3"/>
        <w:widowControl/>
        <w:keepNext/>
      </w:pPr>
      <w:r>
        <w:t xml:space="preserve">Systemic treatment evidence and transplant boundaries</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c8L1JlY051bT48RGlzcGxheVRleHQ+W1YxNi0xN108L0Rpc3BsYXlUZXh0PjxyZWNvcmQ+PHJlYy1udW1iZXI+MTc8L3JlYy1udW1iZXI+PGZvcmVpZ24ta2V5cz48a2V5IGFwcD0iRU4iIGRiLWlkPSIzNzdkMDA4NC0xMmFkLTUzYjgtYjYwMS1jMzcyODZhMzgxZjYiIHRpbWVzdGFtcD0iMTc5MzI4MzY4NSI+MTc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94">
        <w:r>
          <w:rPr>
            <w:color w:val="0563C1"/>
            <w:u w:val="single"/>
          </w:rPr>
          <w:t>Source</w:t>
        </w:r>
      </w:hyperlink>
      <w:r>
        <w:t xml:space="preserve"> · </w:t>
      </w:r>
      <w:hyperlink r:id="rId195">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4PC9SZWNOdW0+PERpc3BsYXlUZXh0PltWMTYtMThdPC9EaXNwbGF5VGV4dD48cmVjb3JkPjxyZWMtbnVtYmVyPjE4PC9yZWMtbnVtYmVyPjxmb3JlaWduLWtleXM+PGtleSBhcHA9IkVOIiBkYi1pZD0iMzc3ZDAwODQtMTJhZC01M2I4LWI2MDEtYzM3Mjg2YTM4MWY2IiB0aW1lc3RhbXA9IjE3OTMyODM2ODUiPjE4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96">
        <w:r>
          <w:rPr>
            <w:color w:val="0563C1"/>
            <w:u w:val="single"/>
          </w:rPr>
          <w:t>Source</w:t>
        </w:r>
      </w:hyperlink>
      <w:r>
        <w:t xml:space="preserve"> · </w:t>
      </w:r>
      <w:hyperlink r:id="rId197">
        <w:r>
          <w:rPr>
            <w:color w:val="0563C1"/>
            <w:u w:val="single"/>
          </w:rPr>
          <w:t>PDF</w:t>
        </w:r>
      </w:hyperlink>
    </w:p>
    <w:p>
      <w:pPr>
        <w:pStyle w:val="Heading4"/>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OTwvUmVjTnVtPjxEaXNwbGF5VGV4dD5bVjE2LTE5XTwvRGlzcGxheVRleHQ+PHJlY29yZD48cmVjLW51bWJlcj4xOTwvcmVjLW51bWJlcj48Zm9yZWlnbi1rZXlzPjxrZXkgYXBwPSJFTiIgZGItaWQ9IjM3N2QwMDg0LTEyYWQtNTNiOC1iNjAxLWMzNzI4NmEzODFmNiIgdGltZXN0YW1wPSIxNzkzMjgzNjg1Ij4xO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198">
        <w:r>
          <w:rPr>
            <w:color w:val="0563C1"/>
            <w:u w:val="single"/>
          </w:rPr>
          <w:t>Source</w:t>
        </w:r>
      </w:hyperlink>
      <w:r>
        <w:t xml:space="preserve"> · </w:t>
      </w:r>
      <w:hyperlink r:id="rId199">
        <w:r>
          <w:rPr>
            <w:color w:val="0563C1"/>
            <w:u w:val="single"/>
          </w:rPr>
          <w:t>PDF</w:t>
        </w:r>
      </w:hyperlink>
    </w:p>
    <w:p>
      <w:pPr>
        <w:pStyle w:val="Normal"/>
        <w:widowControl/>
        <w:spacing w:after="120"/>
      </w:pPr>
      <w:r>
        <w:t xml:space="preserve">Treatment comparisons and detailed regimen evidence: </w:t>
      </w:r>
      <w:hyperlink r:id="rId193">
        <w:r>
          <w:rPr>
            <w:color w:val="0563C1"/>
            <w:u w:val="single"/>
          </w:rPr>
          <w:t>Cross-tumor systemic matrix</w:t>
        </w:r>
      </w:hyperlink>
    </w:p>
    <w:p>
      <w:pPr>
        <w:pStyle w:val="Heading3"/>
        <w:keepNext/>
        <w:widowControl/>
      </w:pPr>
      <w:r>
        <w:t xml:space="preserve">5.1 Select a disease treatment plan without assuming transplant efficacy</w:t>
      </w:r>
    </w:p>
    <w:p>
      <w:pPr>
        <w:pStyle w:val="Normal"/>
        <w:widowControl/>
        <w:numPr>
          <w:ilvl w:val="0"/>
          <w:numId w:val="3"/>
        </w:numPr>
      </w:pPr>
      <w:r>
        <w:t xml:space="preserve">Choose systemic treatment through the biliary oncology MDT and the corresponding cancer roadmap. Record regimen, dose intensity, toxicity, planned restaging and alternatives. Therapy is intended to control disease and test biology; transplant is not promised if imaging improves.</w:t>
      </w:r>
    </w:p>
    <w:p>
      <w:pPr>
        <w:pStyle w:val="Normal"/>
        <w:widowControl/>
        <w:numPr>
          <w:ilvl w:val="0"/>
          <w:numId w:val="3"/>
        </w:numPr>
      </w:pPr>
      <w:r>
        <w:t xml:space="preserve">Do not make gemcitabine/cisplatin/nab-paclitaxel the preferred intensification regimen. SWOG S1815 did not show a significant OS improvement over gemcitabine/cisplatin and added toxicity in advanced biliary cancer.</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The GOLP randomized trial enrolled resectable high-risk iCCA. Conversion studies such as TransGOLP address a different population; neither establishes LT efficacy or post-LT ICI safety. Do not copy an 80% response claim or a transplant eligibility rule from these studies.</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1PC9ZZWFyPjxSZWNOdW0+MjI8L1JlY051bT48RGlzcGxheVRleHQ+W1YxNi0yMl08L0Rpc3BsYXlUZXh0PjxyZWNvcmQ+PHJlYy1udW1iZXI+MjI8L3JlYy1udW1iZXI+PGZvcmVpZ24ta2V5cz48a2V5IGFwcD0iRU4iIGRiLWlkPSIzNzdkMDA4NC0xMmFkLTUzYjgtYjYwMS1jMzcyODZhMzgxZjYiIHRpbWVzdGFtcD0iMTc5MzI4MzY4NSI+MjI8L2tleT48L2ZvcmVpZ24ta2V5cz48cmVmLXR5cGUgbmFtZT0iSm91cm5hbCBBcnRpY2xlIj4xNzwvcmVmLXR5cGU+PGNvbnRyaWJ1dG9ycz48YXV0aG9ycz48YXV0aG9yPlNoaSwgR3VvbWluZzwvYXV0aG9yPjxhdXRob3I+SHVhbmcsIFhpYW95b25nPC9hdXRob3I+PGF1dGhvcj5MaSwgWGlhb3d1PC9hdXRob3I+PGF1dGhvcj5MaWFuZywgRmVpPC9hdXRob3I+PGF1dGhvcj5HYW8sIFFpYW5nPC9hdXRob3I+PGF1dGhvcj5aaGFuZywgRGFvaGFuPC9hdXRob3I+PGF1dGhvcj5MdSwgSmlhY2hlbmc8L2F1dGhvcj48YXV0aG9yPkppLCBZdWFuPC9hdXRob3I+PGF1dGhvcj5IdSwgWmhpcWlhbmc8L2F1dGhvcj48YXV0aG9yPkNoZW4sIFlpPC9hdXRob3I+PGF1dGhvcj5RaXUsIFNodWFuZ2ppYW48L2F1dGhvcj48YXV0aG9yPllpLCBZb25nPC9hdXRob3I+PGF1dGhvcj5aaHUsIFhpYW9kb25nPC9hdXRob3I+PGF1dGhvcj5TdW4sIEh1aWNodWFuPC9hdXRob3I+PGF1dGhvcj5TaGksIFlpbmdob25nPC9hdXRob3I+PGF1dGhvcj5QZW5nLCBNaW5KaWU8L2F1dGhvcj48YXV0aG9yPldhbmcsIFhpYW95aW5nPC9hdXRob3I+PGF1dGhvcj5IdWFuZywgQ2hlbmc8L2F1dGhvcj48YXV0aG9yPkRpbmcsIFpoZW5iaW48L2F1dGhvcj48YXV0aG9yPkhlLCBZaWZlbmc8L2F1dGhvcj48YXV0aG9yPlNoZW4sIFlpbmdoYW88L2F1dGhvcj48YXV0aG9yPlh1LCBZb25nZmVuZzwvYXV0aG9yPjxhdXRob3I+WGlhbywgWW9uZ3NoZW5nPC9hdXRob3I+PGF1dGhvcj5IdSwgSmllPC9hdXRob3I+PGF1dGhvcj5aaG91LCBKaWFuPC9hdXRob3I+PGF1dGhvcj5GYW4sIEppYTwvYXV0aG9yPjwvYXV0aG9ycz48L2NvbnRyaWJ1dG9ycz48dGl0bGVzPjx0aXRsZT5Db252ZXJzaW9uIHRoZXJhcHkgb2YgdGlzbGVsaXp1bWFiIHBsdXMgbGVudmF0aW5pYiBhbmQgR0VNT1ggaW4gdW5yZXNlY3RhYmxlIGxvY2FsbHkgYWR2YW5jZWQgYmlsaWFyeSB0cmFjdCBjYW5jZXIgKFpTQUItVHJhbnNHT0xQKTogYSBtdWx0aWNlbnRyZSwgcHJvc3BlY3RpdmUsIHBoYXNlIDIgc3R1ZHk8L3RpdGxlPjxzZWNvbmRhcnktdGl0bGU+VGhlIExhbmNldC4gT25jb2xvZ3k8L3NlY29uZGFyeS10aXRsZT48L3RpdGxlcz48cGVyaW9kaWNhbD48ZnVsbC10aXRsZT5UaGUgTGFuY2V0LiBPbmNvbG9neTwvZnVsbC10aXRsZT48L3BlcmlvZGljYWw+PGRhdGVzPjx5ZWFyPjIwMjU8L3llYXI+PC9kYXRlcz48dm9sdW1lPjI2PC92b2x1bWU+PG51bWJlcj4xMDwvbnVtYmVyPjxwYWdlcz4xMzM0LTEzNDU8L3BhZ2VzPjxlbGVjdHJvbmljLXJlc291cmNlLW51bT4xMC4xMDE2L1MxNDcwLTIwNDUoMjUpMDAzNzYtNjwvZWxlY3Ryb25pYy1yZXNvdXJjZS1udW0+PG5vdGVzPlNpbmdsZS1hcm0gcGhhc2UgSUkgcmVzZWN0aW9uLWNvbnZlcnNpb24gc3R1ZHkgQ29tcGxldGUgb3JpZ2luYWwgTGFuY2V0IE9uY29sIDIwMjU7IDI2OjEzMzQmIzgyMTE7MTM0NSBhcnRpY2xlLCBwdWJsaXNoZWQgb25saW5lIDI5IEF1Z3VzdCAyMDI1OyBhbGwgbWFpbi1wYXBlciBwYWdlcyByZXZpZXdlZC4gU2VwYXJhdGUgb25saW5lIGFwcGVuZGl4IG5vdCBpbmRlcGVuZGVudGx5IHZlcmlmaWVkLiBWOCBleHRyYWN0aW9uIGFuZCBsaW1pdGF0aW9uczogc291cmNlL2JpbGlhcnlfZnVsbHRleHRfcmV2aWV3Lmpzb248L25vdGVzPjx1cmxzPjxyZWxhdGVkLXVybHM+PHVybD5odHRwczovL2RvaS5vcmcvMTAuMTAxNi9TMTQ3MC0yMDQ1KDI1KTAwMzc2LTY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Consider HAI or other liver-directed therapy according to expertise, anatomy and treatment goals, with explicit conversion-to-resection review. No Y90 dose, radiation schedule or modality is mandatory as a universal LT bridge.</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5.2 Define response and time under observation</w:t>
      </w:r>
    </w:p>
    <w:p>
      <w:pPr>
        <w:pStyle w:val="Normal"/>
        <w:widowControl/>
        <w:numPr>
          <w:ilvl w:val="0"/>
          <w:numId w:val="3"/>
        </w:numPr>
      </w:pPr>
      <w:r>
        <w:t xml:space="preserve">OPEN proposed advanced-disease rule: at least six consecutive months of response/stability on the effective treatment strategy after the most recent confirmed progression. Toxicity-driven changes with continuous control need not reset the clock; one liver-only salvage re-entry may be proposed under iCCA-B2. This is not proof that six months guarantees favorable biology.</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For the small-cirrhotic exception route, apply the current NLRB six-month stability wording and required lesion/no-new-disease conditions; document diagnosis, every treatment date and the allocation coordinator’s interval determination. Do not silently substitute the advanced-study clock.</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Proposed local schedule: contrast CT/MRI approximately every eight weeks during active therapy, with chest restaging and CA19-9 about every four weeks. Use RECIST 1.1 with original site mapping; mRECIST is not a validated iCCA LT eligibility system. Review earlier for symptoms, biochemical concern or toxicity.</w:t>
      </w:r>
    </w:p>
    <w:p>
      <w:pPr>
        <w:pStyle w:val="Normal"/>
        <w:widowControl/>
        <w:numPr>
          <w:ilvl w:val="0"/>
          <w:numId w:val="3"/>
        </w:numPr>
      </w:pPr>
      <w:r>
        <w:t xml:space="preserve">If ICI was given, record agent/last dose, immune toxicity and treatment, proposed interval, residual rejection risk and a graft-safety plan. An approximately 90-day planning safeguard is not a proven CCA-specific safe cutoff. Do not infer safety from a small selected series with internally inconsistent aggregate and case-level rejection reporting.</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M3N2QwMDg0LTEyYWQtNTNiOC1iNjAxLWMzNzI4NmEzODFmNiIgdGltZXN0YW1wPSIxNzkzMjgzNj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I1PC9SZWNOdW0+PERpc3BsYXlUZXh0PltWMTYtMjVdPC9EaXNwbGF5VGV4dD48cmVjb3JkPjxyZWMtbnVtYmVyPjI1PC9yZWMtbnVtYmVyPjxmb3JlaWduLWtleXM+PGtleSBhcHA9IkVOIiBkYi1pZD0iMzc3ZDAwODQtMTJhZC01M2I4LWI2MDEtYzM3Mjg2YTM4MWY2IiB0aW1lc3RhbXA9IjE3OTMyODM2ODUiPjI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Heading3"/>
        <w:keepNext/>
        <w:widowControl/>
      </w:pPr>
      <w:bookmarkStart w:id="2" w:name="iCCA_B2"/>
      <w:r>
        <w:t xml:space="preserve">iCCA-B2 — What does sustained control have to prove before transplant activation?</w:t>
      </w:r>
      <w:bookmarkEnd w:id="2"/>
    </w:p>
    <w:p>
      <w:pPr>
        <w:pStyle w:val="Heading3"/>
        <w:keepNext/>
        <w:widowControl/>
      </w:pPr>
      <w:r>
        <w:t xml:space="preserve">Question and comparison</w:t>
      </w:r>
    </w:p>
    <w:p>
      <w:pPr>
        <w:pStyle w:val="Normal"/>
        <w:widowControl/>
        <w:spacing w:before="60" w:after="20"/>
      </w:pPr>
      <w:r>
        <w:t xml:space="preserve">What disease-control duration, imaging definition and salvage re-entry rule should govern listing or activation for advanced iCCA while preserving conversion-to-resection opportunities?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Prospective case series: 21 referrals, 12 accepted and six LT recipients.</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Lancet Gastroenterol Hepatol 2018; 3: 337–348; Eligibility/Protocol, Table 1 and Figure 2; full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diagnosis-to-LT interval 26 months. Post-LT 1-/3-/5-year OS 100%/83.3%/83.3%; five-year CI 27.3–97.5. Three of six recurred, median 7.6 months; RFS 50%.</w:t>
            </w:r>
          </w:p>
          <w:p>
            <w:pPr>
              <w:pStyle w:val="Normal"/>
              <w:widowControl/>
              <w:spacing w:before="60" w:after="20"/>
            </w:pPr>
            <w:r>
              <w:rPr>
                <w:b/>
              </w:rPr>
              <w:t xml:space="preserve">Do not infer: </w:t>
            </w:r>
            <w:r>
              <w:t xml:space="preserve">Six highly selected recipients, wide intervals and substantial pre-LT survival. Does not establish six months as optimal or one salvage line as the maximum.</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Thirteen entrants; four LT recipients.</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Transpl Int 2024; Protocol, restaging and individual-recipient tables;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four recipients had RECIST stable disease and Choi response, with median density reduction 52.5%. One FGFR 2-targeted pemigatinib rescue reached LT. Two of six staged patients had positive nodes.</w:t>
            </w:r>
          </w:p>
          <w:p>
            <w:pPr>
              <w:pStyle w:val="Normal"/>
              <w:widowControl/>
              <w:spacing w:before="60" w:after="20"/>
            </w:pPr>
            <w:r>
              <w:rPr>
                <w:b/>
              </w:rPr>
              <w:t xml:space="preserve">Do not infer: </w:t>
            </w:r>
            <w:r>
              <w:t xml:space="preserve">One rescue does not validate a general reset rule. PET-negative imaging cannot replace pathological staging.</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Two-center retrospective: 1, 407 total iCCA, 327 advanced liver-confined; 180 progressed/died before six months, 47 converted to resection, 39 potentially LT-eligible.</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Ann Surg Oncol 2026; survival methods, Results and Table 2; full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39 months from diagnosis; 3-/5-year survival 46%/26% from the six-month estimated-eligibility landmark.</w:t>
            </w:r>
          </w:p>
          <w:p>
            <w:pPr>
              <w:pStyle w:val="Normal"/>
              <w:widowControl/>
              <w:spacing w:before="60" w:after="20"/>
            </w:pPr>
            <w:r>
              <w:rPr>
                <w:b/>
              </w:rPr>
              <w:t xml:space="preserve">Do not infer: </w:t>
            </w:r>
            <w:r>
              <w:t xml:space="preserve">Favorable biology selects survivors before any LT. Historical 2008–2018 cohort, not a randomized treatment comparison.</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Prospective phase II: 50 pump placements, 48 received FUDR, 37 concurrent GemCis.</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JCO 2026; PUMP-2 Methods/Results; full PDF.</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Partial response 44%, disease control at six months 84%; five resected, one pathological complete response. Median survival 22.3 months, three-year 31.5%.</w:t>
            </w:r>
          </w:p>
          <w:p>
            <w:pPr>
              <w:pStyle w:val="Normal"/>
              <w:widowControl/>
              <w:spacing w:before="60" w:after="20"/>
            </w:pPr>
            <w:r>
              <w:rPr>
                <w:b/>
              </w:rPr>
              <w:t xml:space="preserve">Do not infer: </w:t>
            </w:r>
            <w:r>
              <w:t xml:space="preserve">Does not validate a pre-LT clearance test or subsequent arterial safety. Reassess resection after response.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hyperlink r:id="rId69">
              <w:r>
                <w:rPr>
                  <w:color w:val="77230C"/>
                  <w:sz w:val="20"/>
                  <w:u w:val="single"/>
                </w:rPr>
                <w:t>Primary source</w:t>
              </w:r>
            </w:hyperlink>
            <w:r>
              <w:t xml:space="preserve"> | </w:t>
            </w:r>
            <w:hyperlink r:id="rId70">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bl>
    <w:p>
      <w:pPr>
        <w:pStyle w:val="Heading3"/>
        <w:keepNext/>
        <w:widowControl/>
      </w:pPr>
      <w:r>
        <w:t xml:space="preserve">Synthesis and evidence that challenges the proposal</w:t>
      </w:r>
    </w:p>
    <w:p>
      <w:pPr>
        <w:pStyle w:val="Normal"/>
        <w:widowControl/>
        <w:spacing w:before="60" w:after="20"/>
      </w:pPr>
      <w:r>
        <w:t xml:space="preserve">Six-month continuous control is a tested entry rule, not a proven optimum; TESLA's twelve-month rule did not remove recurrence in extensive multifocal disease. Houston allowed reconsideration after liver-only progression but delisted extrahepatic progression. A one-salvage ceiling and approximately eight-week imaging remain local proposals. Response can restore R0 resectability; TransGOLP supports considering conversion options but not LT clearance. Keep the advanced-study clock separate from NLRB small-cirrhotic allocation wording.</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spacing w:before="60" w:after="20"/>
      </w:pPr>
      <w:r>
        <w:t xml:space="preserve">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pStyle w:val="Normal"/>
        <w:widowControl/>
        <w:spacing w:before="60" w:after="20"/>
      </w:pPr>
      <w:r>
        <w:rPr>
          <w:b/>
        </w:rPr>
        <w:t xml:space="preserve">Certainty / applicability: </w:t>
      </w:r>
      <w:r>
        <w:t xml:space="preserve">Very low certainty for the optimal control clock, imaging metric or allowable salvage count; low certainty for sustained control as a useful selection approach.</w:t>
      </w:r>
    </w:p>
    <w:p>
      <w:pPr>
        <w:pStyle w:val="Heading3"/>
        <w:keepNext/>
        <w:widowControl/>
      </w:pPr>
      <w:r>
        <w:t xml:space="preserve">Where each proposed threshold comes from</w:t>
      </w:r>
    </w:p>
    <w:p>
      <w:pPr>
        <w:pStyle w:val="Normal"/>
        <w:widowControl/>
        <w:numPr>
          <w:ilvl w:val="0"/>
          <w:numId w:val="3"/>
        </w:numPr>
        <w:spacing w:before="60" w:after="20"/>
      </w:pPr>
      <w:r>
        <w:t xml:space="preserve">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“disease must have been controlled for 6 months on that regimen.”</w:t>
            </w:r>
          </w:p>
          <w:p>
            <w:pPr>
              <w:pStyle w:val="Normal"/>
              <w:widowControl/>
              <w:spacing w:before="60" w:after="20"/>
            </w:pPr>
            <w:r>
              <w:t xml:space="preserve">Published PDF p3, Methods—Study design and participants</w:t>
            </w:r>
          </w:p>
          <w:p>
            <w:pPr>
              <w:pStyle w:val="Normal"/>
              <w:widowControl/>
              <w:spacing w:before="60" w:after="20"/>
            </w:pPr>
            <w:hyperlink r:id="rId73">
              <w:r>
                <w:rPr>
                  <w:color w:val="77230C"/>
                  <w:sz w:val="20"/>
                  <w:u w:val="single"/>
                </w:rPr>
                <w:t>Source</w:t>
              </w:r>
            </w:hyperlink>
            <w:r>
              <w:t xml:space="preserve"> | </w:t>
            </w:r>
            <w:hyperlink r:id="rId7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on an effective strategy has direct study precedent, including second-line treatment.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“Patients who developed extrahepatic disease were delisted.”</w:t>
            </w:r>
          </w:p>
          <w:p>
            <w:pPr>
              <w:pStyle w:val="Normal"/>
              <w:widowControl/>
              <w:spacing w:before="60" w:after="20"/>
            </w:pPr>
            <w:r>
              <w:t xml:space="preserve">Full text, section 2.2</w:t>
            </w:r>
          </w:p>
          <w:p>
            <w:pPr>
              <w:pStyle w:val="Normal"/>
              <w:widowControl/>
              <w:spacing w:before="60" w:after="20"/>
            </w:pPr>
            <w:hyperlink r:id="rId75">
              <w:r>
                <w:rPr>
                  <w:color w:val="77230C"/>
                  <w:sz w:val="20"/>
                  <w:u w:val="single"/>
                </w:rPr>
                <w:t>Source</w:t>
              </w:r>
            </w:hyperlink>
            <w:r>
              <w:t xml:space="preserve"> | </w:t>
            </w:r>
            <w:hyperlink r:id="rId7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Liver-only progression was deferred and could be reconsidered; it was not treated identically to extrahepatic spread.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six months of continuous disease control, but distinguish liver-only progression with salvage from permanent exclusion.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YtMjZdPC9EaXNwbGF5VGV4dD48cmVjb3JkPjxyZWMtbnVtYmVyPjI2PC9yZWMtbnVtYmVyPjxmb3JlaWduLWtleXM+PGtleSBhcHA9IkVOIiBkYi1pZD0iMzc3ZDAwODQtMTJhZC01M2I4LWI2MDEtYzM3Mjg2YTM4MWY2IiB0aW1lc3RhbXA9IjE3OTMyODM2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Ni0yMV08L0Rpc3BsYXlUZXh0PjxyZWNvcmQ+PHJlYy1udW1iZXI+MjE8L3JlYy1udW1iZXI+PGZvcmVpZ24ta2V5cz48a2V5IGFwcD0iRU4iIGRiLWlkPSIzNzdkMDA4NC0xMmFkLTUzYjgtYjYwMS1jMzcyODZhMzgxZjYiIHRpbWVzdGFtcD0iMTc5MzI4MzY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Ni0yMF08L0Rpc3BsYXlUZXh0PjxyZWNvcmQ+PHJlYy1udW1iZXI+MjA8L3JlYy1udW1iZXI+PGZvcmVpZ24ta2V5cz48a2V5IGFwcD0iRU4iIGRiLWlkPSIzNzdkMDA4NC0xMmFkLTUzYjgtYjYwMS1jMzcyODZhMzgxZjYiIHRpbWVzdGFtcD0iMTc5MzI4MzY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Proposed clock: ≥6 consecutive months of radiological response/stability from initiation of the effective strategy after the most recent confirmed progression, with baseline imaging, no extrahepatic disease and persistent unresectability.</w:t>
      </w:r>
    </w:p>
    <w:p>
      <w:pPr>
        <w:pStyle w:val="Normal"/>
        <w:widowControl/>
        <w:numPr>
          <w:ilvl w:val="1"/>
          <w:numId w:val="3"/>
        </w:numPr>
        <w:spacing w:before="60" w:after="20"/>
      </w:pPr>
      <w:r>
        <w:t xml:space="preserve">Image approximately every eight weeks and restage at completion.</w:t>
      </w:r>
    </w:p>
    <w:p>
      <w:pPr>
        <w:pStyle w:val="Normal"/>
        <w:widowControl/>
        <w:numPr>
          <w:ilvl w:val="0"/>
          <w:numId w:val="3"/>
        </w:numPr>
      </w:pPr>
      <w:r>
        <w:t xml:space="preserve">Dose reduction, toxicity-driven substitution or planned consolidation does not automatically reset the clock when control is continuous.</w:t>
      </w:r>
    </w:p>
    <w:p>
      <w:pPr>
        <w:pStyle w:val="Normal"/>
        <w:widowControl/>
        <w:numPr>
          <w:ilvl w:val="1"/>
          <w:numId w:val="3"/>
        </w:numPr>
        <w:spacing w:before="60" w:after="20"/>
      </w:pPr>
      <w:r>
        <w:t xml:space="preserve">Confirmed liver-only progression pauses eligibility; allow one separately reported salvage re-entry after a fresh six months of control.</w:t>
      </w:r>
    </w:p>
    <w:p>
      <w:pPr>
        <w:pStyle w:val="Normal"/>
        <w:widowControl/>
        <w:numPr>
          <w:ilvl w:val="0"/>
          <w:numId w:val="3"/>
        </w:numPr>
      </w:pPr>
      <w:r>
        <w:t xml:space="preserve">Further progression after that salvage strategy, proven malignant nodes or extrahepatic spread excludes the patient from the initial study.</w:t>
      </w:r>
    </w:p>
    <w:p>
      <w:pPr>
        <w:pStyle w:val="Normal"/>
        <w:widowControl/>
        <w:numPr>
          <w:ilvl w:val="1"/>
          <w:numId w:val="3"/>
        </w:numPr>
        <w:spacing w:before="60" w:after="20"/>
      </w:pPr>
      <w:r>
        <w:t xml:space="preserve">Reassess resection after each major response and immediately before LT; conversion to feasible curative resection redirects to resection.</w:t>
      </w:r>
    </w:p>
    <w:p>
      <w:pPr>
        <w:pStyle w:val="Normal"/>
        <w:widowControl/>
        <w:numPr>
          <w:ilvl w:val="0"/>
          <w:numId w:val="3"/>
        </w:numPr>
      </w:pPr>
      <w:r>
        <w:t xml:space="preserve">Record latest progression, effective-strategy start, first documented control, each comparable scan and activation date; do not call CA19-9 change alone progression.</w:t>
      </w:r>
    </w:p>
    <w:p>
      <w:pPr>
        <w:pStyle w:val="Normal"/>
        <w:widowControl/>
        <w:numPr>
          <w:ilvl w:val="0"/>
          <w:numId w:val="3"/>
        </w:numPr>
      </w:pPr>
      <w:r>
        <w:t xml:space="preserve">Reassess R0/functional-FLR feasibility after significant response and before LT; redirect to resection if feasible unless a separate comparative study is approved.</w:t>
      </w:r>
    </w:p>
    <w:p>
      <w:pPr>
        <w:pStyle w:val="Normal"/>
        <w:widowControl/>
        <w:numPr>
          <w:ilvl w:val="0"/>
          <w:numId w:val="3"/>
        </w:numPr>
      </w:pPr>
      <w:r>
        <w:t xml:space="preserve">Remove the &gt;10% CRLM progression rule from the standard iCCA pathway rather than rebranding it as iCCA guidance.</w:t>
      </w:r>
    </w:p>
    <w:p>
      <w:pPr>
        <w:pStyle w:val="Normal"/>
        <w:widowControl/>
        <w:spacing w:before="60" w:after="20"/>
      </w:pPr>
      <w:r>
        <w:rPr>
          <w:b/>
        </w:rPr>
        <w:t xml:space="preserve">Why retain or change it: </w:t>
      </w:r>
      <w:r>
        <w:t xml:space="preserve">OPEN: require at least six consecutive months without progression on the effective current strategy before activation. Record treatment start and first documented control after the latest progression. Obtain liver CT/MRI and chest staging approximately every eight weeks, with repeat resectability review. Accept RECIST stable disease or partial response with no new lesions or extrahepatic spread and a supportive biomarker trajectory; do not use CA19-9 alone. Dose reduction, toxicity-driven switching or planned consolidation need not restart the clock when control remains continuous. Permit one separately recorded salvage re-entry after a fresh six months of control and complete restaging. Further progression after that rescue, or proven extrahepatic/nodal disease, closes the initial arm. The one-rescue ceiling is local governance, not a validated published maximum.</w:t>
      </w:r>
    </w:p>
    <w:p>
      <w:pPr>
        <w:pStyle w:val="Heading3"/>
        <w:keepNext/>
        <w:widowControl/>
      </w:pPr>
      <w:r>
        <w:t xml:space="preserve">Information required before the decision</w:t>
      </w:r>
    </w:p>
    <w:p>
      <w:pPr>
        <w:pStyle w:val="Normal"/>
        <w:widowControl/>
        <w:spacing w:before="60" w:after="20"/>
      </w:pPr>
      <w:r>
        <w:t xml:space="preserve">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pStyle w:val="Normal"/>
        <w:widowControl/>
        <w:spacing w:before="60" w:after="20"/>
      </w:pPr>
      <w:r>
        <w:rPr>
          <w:b/>
        </w:rPr>
        <w:t xml:space="preserve">Clinical versus allocation: </w:t>
      </w:r>
      <w:r>
        <w:t xml:space="preserve">This is the advanced-study clock; do not substitute it for the separate small-cirrhotic NLRB observation/exception requirements.</w:t>
      </w:r>
    </w:p>
    <w:p>
      <w:pPr>
        <w:pStyle w:val="Normal"/>
        <w:widowControl/>
        <w:spacing w:before="60" w:after="20"/>
      </w:pPr>
      <w:r>
        <w:rPr>
          <w:b/>
        </w:rPr>
        <w:t xml:space="preserve">Roadmap / protocol reconciliation: </w:t>
      </w:r>
      <w:r>
        <w:t xml:space="preserve">Preserve systemic/HAI/liver-directed conversion options. The V5 blanket progression-stop wording is replaced by hold, approved salvage re-entry and definitive study exclusion.</w:t>
      </w:r>
    </w:p>
    <w:p>
      <w:pPr>
        <w:pStyle w:val="Normal"/>
        <w:widowControl/>
        <w:spacing w:before="60" w:after="20"/>
      </w:pPr>
      <w:hyperlink r:id="rId77">
        <w:r>
          <w:rPr>
            <w:color w:val="77230C"/>
            <w:sz w:val="20"/>
            <w:u w:val="single"/>
          </w:rPr>
          <w:t>Meeting record: iCCA-B2</w:t>
        </w:r>
      </w:hyperlink>
      <w:r>
        <w:t xml:space="preserve">  |  </w:t>
      </w:r>
      <w:hyperlink r:id="rId7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Response assessment and decision to advance</w:t>
      </w:r>
    </w:p>
    <w:p>
      <w:pPr>
        <w:pStyle w:val="Normal"/>
        <w:widowControl/>
        <w:numPr>
          <w:ilvl w:val="0"/>
          <w:numId w:val="3"/>
        </w:numPr>
      </w:pPr>
      <w:r>
        <w:t xml:space="preserve">Advance to final staging only when serial imaging shows response/stability without new disease, liver/medical reserve remains acceptable, toxicity has recovered, and independent review still finds no durable resection/ablation option. Document what changed since the previous surgical assessment.</w:t>
      </w:r>
    </w:p>
    <w:p>
      <w:pPr>
        <w:pStyle w:val="Normal"/>
        <w:widowControl/>
        <w:numPr>
          <w:ilvl w:val="0"/>
          <w:numId w:val="3"/>
        </w:numPr>
      </w:pPr>
      <w:r>
        <w:t xml:space="preserve">If conversion to complete resection becomes feasible, reassess that route before LT; record conversion as a treatment success, not transplant-program failure. A transplanting study must not keep a now-resectable patient merely to preserve its recipient denominator.</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Hold for uncertain nodal/extrahepatic findings or marker-imaging discordance. Confirmed liver-only progression pauses eligibility; the OPEN iCCA-B2 proposal permits one separately reported salvage re-entry after a fresh six months of control. Further progression after salvage, new extrahepatic disease or malignant operative staging excludes the initial study. Do not escalate toxic therapy solely to manufacture eligibility.</w:t>
      </w:r>
    </w:p>
    <w:p>
      <w:pPr>
        <w:pStyle w:val="Heading2"/>
        <w:keepNext/>
        <w:widowControl/>
      </w:pPr>
      <w:r>
        <w:t xml:space="preserve">7 Listing and organ allocation</w:t>
      </w:r>
    </w:p>
    <w:p>
      <w:pPr>
        <w:pStyle w:val="Normal"/>
        <w:widowControl/>
        <w:numPr>
          <w:ilvl w:val="0"/>
          <w:numId w:val="3"/>
        </w:numPr>
      </w:pPr>
      <w:r>
        <w:t xml:space="preserve">Advanced iCCA is not a standardized exception. A nonstandard narrative may be submitted, but approval and score are uncertain. Meeting a study rule or possessing a donor does not create exception eligibility. Record calculated MELD separately.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Heading3"/>
        <w:keepNext/>
        <w:widowControl/>
      </w:pPr>
      <w:bookmarkStart w:id="3" w:name="ALLOC_B1"/>
      <w:r>
        <w:t xml:space="preserve">ALLOC-B1 — What are we approving?</w:t>
      </w:r>
      <w:bookmarkEnd w:id="3"/>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zNzdkMDA4NC0xMmFkLTUzYjgtYjYwMS1jMzcyODZhMzgxZjY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79">
        <w:r>
          <w:rPr>
            <w:color w:val="77230C"/>
            <w:sz w:val="20"/>
            <w:u w:val="single"/>
          </w:rPr>
          <w:t>Meeting record: ALLOC-B1</w:t>
        </w:r>
      </w:hyperlink>
      <w:r>
        <w:t xml:space="preserve">  |  </w:t>
      </w:r>
      <w:hyperlink r:id="rId8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4" w:name="ALLOC_B2"/>
      <w:r>
        <w:t xml:space="preserve">ALLOC-B2 — What is the relevant organ opportunity cost?</w:t>
      </w:r>
      <w:bookmarkEnd w:id="4"/>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zc3ZDAwODQtMTJhZC01M2I4LWI2MDEtYzM3Mjg2YTM4MWY2IiB0aW1lc3RhbXA9IjE3OTMyODM2ODU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zc3ZDAwODQtMTJhZC01M2I4LWI2MDEtYzM3Mjg2YTM4MWY2IiB0aW1lc3RhbXA9IjE3OTMyODM2ODU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M3N2QwMDg0LTEyYWQtNTNiOC1iNjAxLWMzNzI4NmEzODFmNiIgdGltZXN0YW1wPSIxNzkzMjgzNjg1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zc3ZDAwODQtMTJhZC01M2I4LWI2MDEtYzM3Mjg2YTM4MWY2IiB0aW1lc3RhbXA9IjE3OTMyODM2ODU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zNzdkMDA4NC0xMmFkLTUzYjgtYjYwMS1jMzcyODZhMzgxZjYiIHRpbWVzdGFtcD0iMTc5MzI4MzY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zc3ZDAwODQtMTJhZC01M2I4LWI2MDEtYzM3Mjg2YTM4MWY2IiB0aW1lc3RhbXA9IjE3OTMyODM2ODU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M3N2QwMDg0LTEyYWQtNTNiOC1iNjAxLWMzNzI4NmEzODFmNiIgdGltZXN0YW1wPSIxNzkzMjgzNjg1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81">
        <w:r>
          <w:rPr>
            <w:color w:val="77230C"/>
            <w:sz w:val="20"/>
            <w:u w:val="single"/>
          </w:rPr>
          <w:t>Meeting record: ALLOC-B2</w:t>
        </w:r>
      </w:hyperlink>
      <w:r>
        <w:t xml:space="preserve">  |  </w:t>
      </w:r>
      <w:hyperlink r:id="rId8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3"/>
      <w:r>
        <w:t xml:space="preserve">ALLOC-B3 — What must donor consent and follow-up include?</w:t>
      </w:r>
      <w:bookmarkEnd w:id="5"/>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zNzdkMDA4NC0xMmFkLTUzYjgtYjYwMS1jMzcyODZhMzgxZjYiIHRpbWVzdGFtcD0iMTc5MzI4MzY4NS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zNzdkMDA4NC0xMmFkLTUzYjgtYjYwMS1jMzcyODZhMzgxZjYiIHRpbWVzdGFtcD0iMTc5MzI4MzY4NS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zc3ZDAwODQtMTJhZC01M2I4LWI2MDEtYzM3Mjg2YTM4MWY2IiB0aW1lc3RhbXA9IjE3OTMyODM2ODU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zNzdkMDA4NC0xMmFkLTUzYjgtYjYwMS1jMzcyODZhMzgxZjY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zNzdkMDA4NC0xMmFkLTUzYjgtYjYwMS1jMzcyODZhMzgxZjYiIHRpbWVzdGFtcD0iMTc5MzI4MzY4NS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zNzdkMDA4NC0xMmFkLTUzYjgtYjYwMS1jMzcyODZhMzgxZjYiIHRpbWVzdGFtcD0iMTc5MzI4MzY4NS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zc3ZDAwODQtMTJhZC01M2I4LWI2MDEtYzM3Mjg2YTM4MWY2IiB0aW1lc3RhbXA9IjE3OTMyODM2ODU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83">
        <w:r>
          <w:rPr>
            <w:color w:val="77230C"/>
            <w:sz w:val="20"/>
            <w:u w:val="single"/>
          </w:rPr>
          <w:t>Meeting record: ALLOC-B3</w:t>
        </w:r>
      </w:hyperlink>
      <w:r>
        <w:t xml:space="preserve">  |  </w:t>
      </w:r>
      <w:hyperlink r:id="rId8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iCCA_B3"/>
      <w:r>
        <w:t xml:space="preserve">iCCA-B3 — Does access to LDLT change the evidentiary threshold?</w:t>
      </w:r>
      <w:bookmarkEnd w:id="6"/>
    </w:p>
    <w:p>
      <w:pPr>
        <w:pStyle w:val="Heading3"/>
        <w:keepNext/>
        <w:widowControl/>
      </w:pPr>
      <w:r>
        <w:t xml:space="preserve">Question and comparison</w:t>
      </w:r>
    </w:p>
    <w:p>
      <w:pPr>
        <w:pStyle w:val="Normal"/>
        <w:widowControl/>
        <w:spacing w:before="60" w:after="20"/>
      </w:pPr>
      <w:r>
        <w:t xml:space="preserve">Does current recipient-benefit and donor-risk evidence justify an advanced-iCCA LDLT study, and what must be in place before an individual donor/recipient pair can proceed?</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hyperlink r:id="rId85">
              <w:r>
                <w:rPr>
                  <w:color w:val="77230C"/>
                  <w:sz w:val="20"/>
                  <w:u w:val="single"/>
                </w:rPr>
                <w:t>Primary source</w:t>
              </w:r>
            </w:hyperlink>
            <w:r>
              <w:t xml:space="preserve"> | </w:t>
            </w:r>
            <w:hyperlink r:id="rId86">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Twenty-one referrals, twelve accepted, six recipients.</w:t>
            </w:r>
          </w:p>
          <w:p>
            <w:pPr>
              <w:pStyle w:val="Normal"/>
              <w:widowControl/>
              <w:spacing w:before="60" w:after="20"/>
            </w:pPr>
            <w:hyperlink r:id="rId87">
              <w:r>
                <w:rPr>
                  <w:color w:val="77230C"/>
                  <w:sz w:val="20"/>
                  <w:u w:val="single"/>
                </w:rPr>
                <w:t>Primary source</w:t>
              </w:r>
            </w:hyperlink>
            <w:r>
              <w:t xml:space="preserve"> | </w:t>
            </w:r>
            <w:hyperlink r:id="rId88">
              <w:r>
                <w:rPr>
                  <w:color w:val="77230C"/>
                  <w:sz w:val="20"/>
                  <w:u w:val="single"/>
                </w:rPr>
                <w:t>Full-text PDF</w:t>
              </w:r>
            </w:hyperlink>
          </w:p>
          <w:p>
            <w:pPr>
              <w:pStyle w:val="Normal"/>
              <w:widowControl/>
              <w:spacing w:before="60" w:after="20"/>
            </w:pPr>
            <w:r>
              <w:t xml:space="preserve">Locator: Lancet Gastroenterol Hepatol 2018; Methods/Results;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survival 83.3% with very wide CI; three of six recurred.</w:t>
            </w:r>
          </w:p>
          <w:p>
            <w:pPr>
              <w:pStyle w:val="Normal"/>
              <w:widowControl/>
              <w:spacing w:before="60" w:after="20"/>
            </w:pPr>
            <w:r>
              <w:rPr>
                <w:b/>
              </w:rPr>
              <w:t xml:space="preserve">Do not infer: </w:t>
            </w:r>
            <w:r>
              <w:t xml:space="preserve">Feasibility, not LDLT-specific causal benefit; overlaps McMillan.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89">
              <w:r>
                <w:rPr>
                  <w:color w:val="77230C"/>
                  <w:sz w:val="20"/>
                  <w:u w:val="single"/>
                </w:rPr>
                <w:t>Primary source</w:t>
              </w:r>
            </w:hyperlink>
            <w:r>
              <w:t xml:space="preserve"> | </w:t>
            </w:r>
            <w:hyperlink r:id="rId90">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Thirty-nine selected non-LT patients from 327 advanced liver-confined cases; 22 received HAIP.</w:t>
            </w:r>
          </w:p>
          <w:p>
            <w:pPr>
              <w:pStyle w:val="Normal"/>
              <w:widowControl/>
              <w:spacing w:before="60" w:after="20"/>
            </w:pPr>
            <w:hyperlink r:id="rId91">
              <w:r>
                <w:rPr>
                  <w:color w:val="77230C"/>
                  <w:sz w:val="20"/>
                  <w:u w:val="single"/>
                </w:rPr>
                <w:t>Primary source</w:t>
              </w:r>
            </w:hyperlink>
            <w:r>
              <w:t xml:space="preserve"> | </w:t>
            </w:r>
            <w:hyperlink r:id="rId92">
              <w:r>
                <w:rPr>
                  <w:color w:val="77230C"/>
                  <w:sz w:val="20"/>
                  <w:u w:val="single"/>
                </w:rPr>
                <w:t>Full-text PDF</w:t>
              </w:r>
            </w:hyperlink>
          </w:p>
          <w:p>
            <w:pPr>
              <w:pStyle w:val="Normal"/>
              <w:widowControl/>
              <w:spacing w:before="60" w:after="20"/>
            </w:pPr>
            <w:r>
              <w:t xml:space="preserve">Locator: Ann Surg Oncol 2026; Methods/Results/Table 2; local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39 months from diagnosis; five-year survival 26% from the six-month landmark.</w:t>
            </w:r>
          </w:p>
          <w:p>
            <w:pPr>
              <w:pStyle w:val="Normal"/>
              <w:widowControl/>
              <w:spacing w:before="60" w:after="20"/>
            </w:pPr>
            <w:r>
              <w:rPr>
                <w:b/>
              </w:rPr>
              <w:t xml:space="preserve">Do not infer: </w:t>
            </w:r>
            <w:r>
              <w:t xml:space="preserve">More relevant than unselected metastatic BTC but historical and nonrandomized; cannot yield precise individual LT benefit.</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Fifty pump placements; 48 received FUDR; single-arm phase II.</w:t>
            </w:r>
          </w:p>
          <w:p>
            <w:pPr>
              <w:pStyle w:val="Normal"/>
              <w:widowControl/>
              <w:spacing w:before="60" w:after="20"/>
            </w:pPr>
            <w:hyperlink r:id="rId93">
              <w:r>
                <w:rPr>
                  <w:color w:val="77230C"/>
                  <w:sz w:val="20"/>
                  <w:u w:val="single"/>
                </w:rPr>
                <w:t>Primary source</w:t>
              </w:r>
            </w:hyperlink>
            <w:r>
              <w:t xml:space="preserve"> | </w:t>
            </w:r>
            <w:hyperlink r:id="rId94">
              <w:r>
                <w:rPr>
                  <w:color w:val="77230C"/>
                  <w:sz w:val="20"/>
                  <w:u w:val="single"/>
                </w:rPr>
                <w:t>Full-text PDF</w:t>
              </w:r>
            </w:hyperlink>
          </w:p>
          <w:p>
            <w:pPr>
              <w:pStyle w:val="Normal"/>
              <w:widowControl/>
              <w:spacing w:before="60" w:after="20"/>
            </w:pPr>
            <w:r>
              <w:t xml:space="preserve">Locator: JCO 2026 PUMP-2; full-PDF Methods/Results and adverse events.</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22.3 months; three-year 31.5%; five conversion resections. Arterial dissection prevented treatment in one patient.</w:t>
            </w:r>
          </w:p>
          <w:p>
            <w:pPr>
              <w:pStyle w:val="Normal"/>
              <w:widowControl/>
              <w:spacing w:before="60" w:after="20"/>
            </w:pPr>
            <w:r>
              <w:rPr>
                <w:b/>
              </w:rPr>
              <w:t xml:space="preserve">Do not infer: </w:t>
            </w:r>
            <w:r>
              <w:t xml:space="preserve">A current regional option, not a randomized LDLT comparator or proof of later graft-arterial safety.</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hyperlink r:id="rId95">
              <w:r>
                <w:rPr>
                  <w:color w:val="77230C"/>
                  <w:sz w:val="20"/>
                  <w:u w:val="single"/>
                </w:rPr>
                <w:t>Primary source</w:t>
              </w:r>
            </w:hyperlink>
            <w:r>
              <w:t xml:space="preserve"> | </w:t>
            </w:r>
            <w:hyperlink r:id="rId9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Kelly 2026</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SRTR 1989–2023: 8, 981 eligible donors, 8, 619 mortality analysis and 8, 314 secondary follow-up.</w:t>
            </w:r>
          </w:p>
          <w:p>
            <w:pPr>
              <w:pStyle w:val="Normal"/>
              <w:widowControl/>
              <w:spacing w:before="60" w:after="20"/>
            </w:pPr>
            <w:hyperlink r:id="rId97">
              <w:r>
                <w:rPr>
                  <w:color w:val="77230C"/>
                  <w:sz w:val="20"/>
                  <w:u w:val="single"/>
                </w:rPr>
                <w:t>Primary source</w:t>
              </w:r>
            </w:hyperlink>
            <w:r>
              <w:t xml:space="preserve"> | </w:t>
            </w:r>
            <w:hyperlink r:id="rId98">
              <w:r>
                <w:rPr>
                  <w:color w:val="77230C"/>
                  <w:sz w:val="20"/>
                  <w:u w:val="single"/>
                </w:rPr>
                <w:t>Full-text PDF</w:t>
              </w:r>
            </w:hyperlink>
          </w:p>
          <w:p>
            <w:pPr>
              <w:pStyle w:val="Normal"/>
              <w:widowControl/>
              <w:spacing w:before="60" w:after="20"/>
            </w:pPr>
            <w:r>
              <w:t xml:space="preserve">Locator: J Transplant 2026: 2545887; Missing Data and Results§§3.1–3.3; complete 8-page PDF.</w:t>
            </w:r>
          </w:p>
          <w:p>
            <w:pPr>
              <w:pStyle w:val="Normal"/>
              <w:widowControl/>
              <w:spacing w:before="60" w:after="20"/>
            </w:pPr>
            <w:r>
              <w:t xml:space="preserve">Review depth: Original full PDF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90-day deaths (0.1%), 18 within two years (0.2%). Contemporary 90-day mortality approximately 0.04%. Secondary-outcome completeness 60–67% at six months and 37–39% at two years.</w:t>
            </w:r>
          </w:p>
          <w:p>
            <w:pPr>
              <w:pStyle w:val="Normal"/>
              <w:widowControl/>
              <w:spacing w:before="60" w:after="20"/>
            </w:pPr>
            <w:r>
              <w:rPr>
                <w:b/>
              </w:rPr>
              <w:t xml:space="preserve">Do not infer: </w:t>
            </w:r>
            <w:r>
              <w:t xml:space="preserve">All-cause deaths are not all donation-attributable. Missingness, historical eras and mixed graft types limit individual risk estimates; employment burden also matters.</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99">
              <w:r>
                <w:rPr>
                  <w:color w:val="77230C"/>
                  <w:sz w:val="20"/>
                  <w:u w:val="single"/>
                </w:rPr>
                <w:t>Primary source</w:t>
              </w:r>
            </w:hyperlink>
            <w:r>
              <w:t xml:space="preserve"> | </w:t>
            </w:r>
            <w:hyperlink r:id="rId100">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101">
              <w:r>
                <w:rPr>
                  <w:color w:val="77230C"/>
                  <w:sz w:val="20"/>
                  <w:u w:val="single"/>
                </w:rPr>
                <w:t>Primary source</w:t>
              </w:r>
            </w:hyperlink>
            <w:r>
              <w:t xml:space="preserve"> | </w:t>
            </w:r>
            <w:hyperlink r:id="rId102">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103">
              <w:r>
                <w:rPr>
                  <w:color w:val="77230C"/>
                  <w:sz w:val="20"/>
                  <w:u w:val="single"/>
                </w:rPr>
                <w:t>Primary source</w:t>
              </w:r>
            </w:hyperlink>
            <w:r>
              <w:t xml:space="preserve"> | </w:t>
            </w:r>
            <w:hyperlink r:id="rId104">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bl>
    <w:p>
      <w:pPr>
        <w:pStyle w:val="Heading3"/>
        <w:keepNext/>
        <w:widowControl/>
      </w:pPr>
      <w:r>
        <w:t xml:space="preserve">Synthesis and evidence that challenges the proposal</w:t>
      </w:r>
    </w:p>
    <w:p>
      <w:pPr>
        <w:pStyle w:val="Normal"/>
        <w:widowControl/>
        <w:spacing w:before="60" w:after="20"/>
      </w:pPr>
      <w:r>
        <w:t xml:space="preserve">The complete seven-recipient LDLT report supports prospective study development, not a standard indication. Its wide survival uncertainty, mixed referral denominator, occult N1/R1 disease and donor reoperation must be visible. All donors being alive does not mean no morbidity. Do not compare selected post-LT survival directly with mostly metastatic TOPAZ patients or nonrandomized conversion cohorts. Donor willingness does not remove recipient uncertainty, competing resection options or potential retransplant demand. Semaan’s 53-recipient series does not establish mTOR survival benefit in time-dependent analysis (OS HR 0.52, 95% CI 0.19–1.43; RFS HR 0.82, 0.32–2.08). The median 38-day initiation is not a conversion deadline. Current US everolimus labeling prohibits initiation before day 30 after adult LT; retain this drug-specific safety floor while individualizing the decision.</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spacing w:before="60" w:after="20"/>
      </w:pPr>
      <w:r>
        <w:t xml:space="preserve">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pStyle w:val="Normal"/>
        <w:widowControl/>
        <w:spacing w:before="60" w:after="20"/>
      </w:pPr>
      <w:r>
        <w:rPr>
          <w:b/>
        </w:rPr>
        <w:t xml:space="preserve">Certainty / applicability: </w:t>
      </w:r>
      <w:r>
        <w:t xml:space="preserve">Very low certainty for causal LDLT benefit and the disease-specific donor-risk tradeoff; moderate confidence in broad national donor-mortality estimates, with limited individual transferability.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donor independence, informed consent and withdrawal protections remain mandatory. STUDY: seven-recipient LDLT feasibility with wide confidence intervals; no validated minimum survival forecast. LOCAL: six-domain readiness gate. Recipient boundaries and safety stopping rules require prospective institutional approval before the first pair.</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“This retrospective, single-center study investigated outcomes for seven patients”</w:t>
            </w:r>
          </w:p>
          <w:p>
            <w:pPr>
              <w:pStyle w:val="Normal"/>
              <w:widowControl/>
              <w:spacing w:before="60" w:after="20"/>
            </w:pPr>
            <w:r>
              <w:t xml:space="preserve">Complete 11-page AJT 2026 main-paper proof; Methods, referral flow, Tables 1–2 and recipient/donor outcomes</w:t>
            </w:r>
          </w:p>
          <w:p>
            <w:pPr>
              <w:pStyle w:val="Normal"/>
              <w:widowControl/>
              <w:spacing w:before="60" w:after="20"/>
            </w:pPr>
            <w:hyperlink r:id="rId105">
              <w:r>
                <w:rPr>
                  <w:color w:val="77230C"/>
                  <w:sz w:val="20"/>
                  <w:u w:val="single"/>
                </w:rPr>
                <w:t>Source</w:t>
              </w:r>
            </w:hyperlink>
            <w:r>
              <w:t xml:space="preserve"> | </w:t>
            </w:r>
            <w:hyperlink r:id="rId10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complete main paper was reviewed. Seven selected recipients, wide confidence intervals and donor reoperation/drainage support prospective study development, not routine LDLT access. Separate supplementary details and individual ICI intervals remain unverified.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“Their median survival from diagnosis was 39 months”</w:t>
            </w:r>
          </w:p>
          <w:p>
            <w:pPr>
              <w:pStyle w:val="Normal"/>
              <w:widowControl/>
              <w:spacing w:before="60" w:after="20"/>
            </w:pPr>
            <w:r>
              <w:t xml:space="preserve">Published PDF p1 / journal p6099, abstract Results</w:t>
            </w:r>
          </w:p>
          <w:p>
            <w:pPr>
              <w:pStyle w:val="Normal"/>
              <w:widowControl/>
              <w:spacing w:before="60" w:after="20"/>
            </w:pPr>
            <w:hyperlink r:id="rId107">
              <w:r>
                <w:rPr>
                  <w:color w:val="77230C"/>
                  <w:sz w:val="20"/>
                  <w:u w:val="single"/>
                </w:rPr>
                <w:t>Source</w:t>
              </w:r>
            </w:hyperlink>
            <w:r>
              <w:t xml:space="preserve"> | </w:t>
            </w:r>
            <w:hyperlink r:id="rId10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Selected contemporary non-LT survival is a relevant comparator; this is not a randomized LT-benefit estimate.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 prospective LDLT feasibility study, but do not permit transplantation under this proposal yet.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2LThdPC9EaXNwbGF5VGV4dD48cmVjb3JkPjxyZWMtbnVtYmVyPjg8L3JlYy1udW1iZXI+PGZvcmVpZ24ta2V5cz48a2V5IGFwcD0iRU4iIGRiLWlkPSIzNzdkMDA4NC0xMmFkLTUzYjgtYjYwMS1jMzcyODZhMzgxZjYiIHRpbWVzdGFtcD0iMTc5MzI4MzY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Ni0xNF08L0Rpc3BsYXlUZXh0PjxyZWNvcmQ+PHJlYy1udW1iZXI+MTQ8L3JlYy1udW1iZXI+PGZvcmVpZ24ta2V5cz48a2V5IGFwcD0iRU4iIGRiLWlkPSIzNzdkMDA4NC0xMmFkLTUzYjgtYjYwMS1jMzcyODZhMzgxZjYiIHRpbWVzdGFtcD0iMTc5MzI4MzY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2LTIzXTwvRGlzcGxheVRleHQ+PHJlY29yZD48cmVjLW51bWJlcj4yMzwvcmVjLW51bWJlcj48Zm9yZWlnbi1rZXlzPjxrZXkgYXBwPSJFTiIgZGItaWQ9IjM3N2QwMDg0LTEyYWQtNTNiOC1iNjAxLWMzNzI4NmEzODFmNiIgdGltZXN0YW1wPSIxNzkzMjgzNj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2LTM3XTwvRGlzcGxheVRleHQ+PHJlY29yZD48cmVjLW51bWJlcj4zNzwvcmVjLW51bWJlcj48Zm9yZWlnbi1rZXlzPjxrZXkgYXBwPSJFTiIgZGItaWQ9IjM3N2QwMDg0LTEyYWQtNTNiOC1iNjAxLWMzNzI4NmEzODFmNiIgdGltZXN0YW1wPSIxNzkzMjgzNjg1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NDE8L1JlY051bT48RGlzcGxheVRleHQ+W1YxNi00MV08L0Rpc3BsYXlUZXh0PjxyZWNvcmQ+PHJlYy1udW1iZXI+NDE8L3JlYy1udW1iZXI+PGZvcmVpZ24ta2V5cz48a2V5IGFwcD0iRU4iIGRiLWlkPSIzNzdkMDA4NC0xMmFkLTUzYjgtYjYwMS1jMzcyODZhMzgxZjYiIHRpbWVzdGFtcD0iMTc5MzI4MzY4NSI+NDE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Ni0zOF08L0Rpc3BsYXlUZXh0PjxyZWNvcmQ+PHJlYy1udW1iZXI+Mzg8L3JlYy1udW1iZXI+PGZvcmVpZ24ta2V5cz48a2V5IGFwcD0iRU4iIGRiLWlkPSIzNzdkMDA4NC0xMmFkLTUzYjgtYjYwMS1jMzcyODZhMzgxZjYiIHRpbWVzdGFtcD0iMTc5MzI4MzY4NS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2LTM5XTwvRGlzcGxheVRleHQ+PHJlY29yZD48cmVjLW51bWJlcj4zOTwvcmVjLW51bWJlcj48Zm9yZWlnbi1rZXlzPjxrZXkgYXBwPSJFTiIgZGItaWQ9IjM3N2QwMDg0LTEyYWQtNTNiOC1iNjAxLWMzNzI4NmEzODFmNiIgdGltZXN0YW1wPSIxNzkzMjgzNjg1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YtNDBdPC9EaXNwbGF5VGV4dD48cmVjb3JkPjxyZWMtbnVtYmVyPjQwPC9yZWMtbnVtYmVyPjxmb3JlaWduLWtleXM+PGtleSBhcHA9IkVOIiBkYi1pZD0iMzc3ZDAwODQtMTJhZC01M2I4LWI2MDEtYzM3Mjg2YTM4MWY2IiB0aW1lc3RhbXA9IjE3OTMyODM2ODU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pPr>
      <w:r>
        <w:t xml:space="preserve">Activation cutoff: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pStyle w:val="Normal"/>
        <w:widowControl/>
        <w:numPr>
          <w:ilvl w:val="0"/>
          <w:numId w:val="3"/>
        </w:numPr>
      </w:pPr>
      <w:r>
        <w:t xml:space="preserve">Donor availability never lowers iCCA-B1/B2 selection or control requirements.</w:t>
      </w:r>
    </w:p>
    <w:p>
      <w:pPr>
        <w:pStyle w:val="Normal"/>
        <w:widowControl/>
        <w:numPr>
          <w:ilvl w:val="1"/>
          <w:numId w:val="3"/>
        </w:numPr>
        <w:spacing w:before="60" w:after="20"/>
      </w:pPr>
      <w:r>
        <w:t xml:space="preserve">Retain ordinary donor safety criteria and independent withdrawal rights.</w:t>
      </w:r>
    </w:p>
    <w:p>
      <w:pPr>
        <w:pStyle w:val="Normal"/>
        <w:widowControl/>
        <w:numPr>
          <w:ilvl w:val="0"/>
          <w:numId w:val="3"/>
        </w:numPr>
      </w:pPr>
      <w:r>
        <w:t xml:space="preserve">Do not use predicted five-year survival ≥50%, or another unvalidated number, as proof of readiness.</w:t>
      </w:r>
    </w:p>
    <w:p>
      <w:pPr>
        <w:pStyle w:val="Normal"/>
        <w:widowControl/>
        <w:numPr>
          <w:ilvl w:val="1"/>
          <w:numId w:val="3"/>
        </w:numPr>
        <w:spacing w:before="60" w:after="20"/>
      </w:pPr>
      <w:r>
        <w:t xml:space="preserve">Until approvals are complete: screening/registry and study development only, no protocol-directed LT.</w:t>
      </w:r>
    </w:p>
    <w:p>
      <w:pPr>
        <w:pStyle w:val="Normal"/>
        <w:widowControl/>
        <w:numPr>
          <w:ilvl w:val="0"/>
          <w:numId w:val="3"/>
        </w:numPr>
      </w:pPr>
      <w:r>
        <w:t xml:space="preserve">Recipient and donor counseling must incorporate the verified donor reoperation and drainage, mixed-referral denominator and wide survival confidence intervals in the complete Sethi main paper.</w:t>
      </w:r>
    </w:p>
    <w:p>
      <w:pPr>
        <w:pStyle w:val="Normal"/>
        <w:widowControl/>
        <w:numPr>
          <w:ilvl w:val="1"/>
          <w:numId w:val="3"/>
        </w:numPr>
        <w:spacing w:before="60" w:after="20"/>
      </w:pPr>
      <w:r>
        <w:t xml:space="preserve">Separate supplementary details and individual ICI intervals remain unverified.</w:t>
      </w:r>
    </w:p>
    <w:p>
      <w:pPr>
        <w:pStyle w:val="Normal"/>
        <w:widowControl/>
        <w:numPr>
          <w:ilvl w:val="0"/>
          <w:numId w:val="3"/>
        </w:numPr>
      </w:pPr>
      <w:r>
        <w:t xml:space="preserve">Add recipient staging clearance before irreversible donor surgery to the proposed LDLT safety workflow, independently approved by the donor/recipient teams.</w:t>
      </w:r>
    </w:p>
    <w:p>
      <w:pPr>
        <w:pStyle w:val="Normal"/>
        <w:widowControl/>
        <w:numPr>
          <w:ilvl w:val="0"/>
          <w:numId w:val="3"/>
        </w:numPr>
      </w:pPr>
      <w:r>
        <w:t xml:space="preserve">Retain independent donor advocacy/withdrawal, center-specific complication counseling and funded long-term medical, psychosocial and financial follow-up; do not activate clinical LT until all six readiness domains are approved.</w:t>
      </w:r>
    </w:p>
    <w:p>
      <w:pPr>
        <w:pStyle w:val="Normal"/>
        <w:widowControl/>
        <w:numPr>
          <w:ilvl w:val="0"/>
          <w:numId w:val="3"/>
        </w:numPr>
      </w:pPr>
      <w:r>
        <w:t xml:space="preserve">Do not reduce ICI washout to three weeks on the basis of this small center series; individual exposure requires separate transplant-oncology/pharmacy review.</w:t>
      </w:r>
    </w:p>
    <w:p>
      <w:pPr>
        <w:pStyle w:val="Normal"/>
        <w:widowControl/>
        <w:numPr>
          <w:ilvl w:val="0"/>
          <w:numId w:val="3"/>
        </w:numPr>
      </w:pPr>
      <w:r>
        <w:t xml:space="preserve">Do not assume an mTOR regimen offsets adverse tumor or donor risk.</w:t>
      </w:r>
    </w:p>
    <w:p>
      <w:pPr>
        <w:pStyle w:val="Normal"/>
        <w:widowControl/>
        <w:numPr>
          <w:ilvl w:val="1"/>
          <w:numId w:val="3"/>
        </w:numPr>
        <w:spacing w:before="60" w:after="20"/>
      </w:pPr>
      <w:r>
        <w:t xml:space="preserve">If everolimus is selected, observe its US adult-LT no-earlier-than-day-30 restriction and individualized transplant-pharmacy safeguards; no mandatory conversion date or CCA-specific anticancer benefit is established.</w:t>
      </w:r>
    </w:p>
    <w:p>
      <w:pPr>
        <w:pStyle w:val="Normal"/>
        <w:widowControl/>
        <w:spacing w:before="60" w:after="20"/>
      </w:pPr>
      <w:r>
        <w:rPr>
          <w:b/>
        </w:rPr>
        <w:t xml:space="preserve">Why retain or change it: </w:t>
      </w:r>
      <w:r>
        <w:t xml:space="preserve">OPEN: develop the protocol, but do not activate clinical transplantation yet. Require six readiness domains: fixed B 1/B 2 recipient rules and independent HPB review; documented best non-LT comparator and individualized expected benefit; independent donor advocacy, medical and psychosocial clearance with center-specific risks and withdrawal protection; explicit recipient/donor uncertainty consent; funded long-term follow-up; and an all-screened registry with prespecified safety review and independent IRB/DSMB governance. A willing donor must not relax tumor-burden or control requirements, or enable an unapproved ICI/regimen arm.</w:t>
      </w:r>
    </w:p>
    <w:p>
      <w:pPr>
        <w:pStyle w:val="Heading3"/>
        <w:keepNext/>
        <w:widowControl/>
      </w:pPr>
      <w:r>
        <w:t xml:space="preserve">Information required before the decision</w:t>
      </w:r>
    </w:p>
    <w:p>
      <w:pPr>
        <w:pStyle w:val="Normal"/>
        <w:widowControl/>
        <w:spacing w:before="60" w:after="20"/>
      </w:pPr>
      <w:r>
        <w:t xml:space="preserve">Written study, statistical/safety plan, non-LT alternatives including HAI/conversion, donor resources, consent forms and documented independent approvals.</w:t>
      </w:r>
    </w:p>
    <w:p>
      <w:pPr>
        <w:pStyle w:val="Normal"/>
        <w:widowControl/>
        <w:spacing w:before="60" w:after="20"/>
      </w:pPr>
      <w:r>
        <w:rPr>
          <w:b/>
        </w:rPr>
        <w:t xml:space="preserve">Clinical versus allocation: </w:t>
      </w:r>
      <w:r>
        <w:t xml:space="preserve">LDLT avoids allocation of that deceased-donor graft but adds healthy-donor risk and potential retransplant demand; it does not itself prove net benefit.</w:t>
      </w:r>
    </w:p>
    <w:p>
      <w:pPr>
        <w:pStyle w:val="Normal"/>
        <w:widowControl/>
        <w:spacing w:before="60" w:after="20"/>
      </w:pPr>
      <w:r>
        <w:rPr>
          <w:b/>
        </w:rPr>
        <w:t xml:space="preserve">Roadmap / protocol reconciliation: </w:t>
      </w:r>
      <w:r>
        <w:t xml:space="preserve">Continue the iCCA treatment roadmap while developing the study; document which contemporary alternative the candidate would otherwise receive.</w:t>
      </w:r>
    </w:p>
    <w:p>
      <w:pPr>
        <w:pStyle w:val="Normal"/>
        <w:widowControl/>
        <w:spacing w:before="60" w:after="20"/>
      </w:pPr>
      <w:hyperlink r:id="rId109">
        <w:r>
          <w:rPr>
            <w:color w:val="77230C"/>
            <w:sz w:val="20"/>
            <w:u w:val="single"/>
          </w:rPr>
          <w:t>Meeting record: iCCA-B3</w:t>
        </w:r>
      </w:hyperlink>
      <w:r>
        <w:t xml:space="preserve">  |  </w:t>
      </w:r>
      <w:hyperlink r:id="rId11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Operative staging and surgery</w:t>
      </w:r>
    </w:p>
    <w:p>
      <w:pPr>
        <w:pStyle w:val="Normal"/>
        <w:widowControl/>
        <w:numPr>
          <w:ilvl w:val="0"/>
          <w:numId w:val="3"/>
        </w:numPr>
      </w:pPr>
      <w:r>
        <w:t xml:space="preserve">Define staging laparoscopy/laparotomy and appropriate nodal/peritoneal assessment in the approved study before transplant. Sample suspicious findings; use frozen section where it affects the operation. Do not proceed with unresolved malignant findings or treat a negative PET as a substitute.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Complete native hepatectomy with oncologic handling and planned vascular/biliary reconstruction if LT is authorized. An additional “extended hepatectomy” is not a separate maneuver during total native hepatectomy. Unexpected metastatic disease stops this study operation.</w:t>
      </w:r>
    </w:p>
    <w:p>
      <w:pPr>
        <w:pStyle w:val="Normal"/>
        <w:widowControl/>
        <w:numPr>
          <w:ilvl w:val="0"/>
          <w:numId w:val="3"/>
        </w:numPr>
      </w:pPr>
      <w:r>
        <w:t xml:space="preserve">Explant pathology must map viable disease, differentiation, mixed components, margins, vascular/nodal findings and treatment response for the prespecified analytic stratum.</w:t>
      </w:r>
    </w:p>
    <w:p>
      <w:pPr>
        <w:pStyle w:val="Heading2"/>
        <w:keepNext/>
        <w:widowControl/>
      </w:pPr>
      <w:r>
        <w:t xml:space="preserve">9 Post transplant immunosuppression</w:t>
      </w:r>
    </w:p>
    <w:p>
      <w:pPr>
        <w:pStyle w:val="Normal"/>
        <w:widowControl/>
        <w:numPr>
          <w:ilvl w:val="0"/>
          <w:numId w:val="3"/>
        </w:numPr>
      </w:pPr>
      <w:r>
        <w:t xml:space="preserve">Use institutional induction and maintenance with pharmacy review of graft, renal, infection and oncologic risks. No iCCA-specific regimen has proven recurrence benefit. Do not mandate early steroid withdrawal or empiric high tacrolimus because of prior ICI.</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YtMTBdPC9EaXNwbGF5VGV4dD48cmVjb3JkPjxyZWMtbnVtYmVyPjEwPC9yZWMtbnVtYmVyPjxmb3JlaWduLWtleXM+PGtleSBhcHA9IkVOIiBkYi1pZD0iMzc3ZDAwODQtMTJhZC01M2I4LWI2MDEtYzM3Mjg2YTM4MWY2IiB0aW1lc3RhbXA9IjE3OTMyODM2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M3N2QwMDg0LTEyYWQtNTNiOC1iNjAxLWMzNzI4NmEzODFmNiIgdGltZXN0YW1wPSIxNzkzMjgzNj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If considering an mTOR inhibitor, follow its current label and defer initiation until appropriate healing and vascular stability. Antitumor properties are not proof of clinical prevention of iCCA recurrence.</w:t>
      </w:r>
    </w:p>
    <w:p>
      <w:pPr>
        <w:pStyle w:val="Normal"/>
        <w:widowControl/>
        <w:numPr>
          <w:ilvl w:val="0"/>
          <w:numId w:val="3"/>
        </w:numPr>
      </w:pPr>
      <w:r>
        <w:t xml:space="preserve">Monitor graft function closely and investigate unexplained abnormalities, including infection, vascular/biliary causes and rejection. For-cause biopsy is appropriate when needed; fixed protocol biopsies require their own justified research plan.</w:t>
      </w:r>
    </w:p>
    <w:p>
      <w:pPr>
        <w:pStyle w:val="Heading2"/>
        <w:keepNext/>
        <w:widowControl/>
      </w:pPr>
      <w:r>
        <w:t xml:space="preserve">10 Adjuvant therapy</w:t>
      </w:r>
    </w:p>
    <w:p>
      <w:pPr>
        <w:pStyle w:val="Normal"/>
        <w:widowControl/>
        <w:numPr>
          <w:ilvl w:val="0"/>
          <w:numId w:val="3"/>
        </w:numPr>
      </w:pPr>
      <w:r>
        <w:t xml:space="preserve">There is no established routine post-LT adjuvant regimen for advanced iCCA. Residual viable tumor does not automatically mandate capecitabine, gemcitabine or targeted therapy. An actionable FGFR/IDH alteration without recurrence is not an adjuvant indication.</w:t>
      </w:r>
    </w:p>
    <w:p>
      <w:pPr>
        <w:pStyle w:val="Normal"/>
        <w:widowControl/>
        <w:numPr>
          <w:ilvl w:val="0"/>
          <w:numId w:val="3"/>
        </w:numPr>
      </w:pPr>
      <w:r>
        <w:t xml:space="preserve">Any postoperative systemic study must separately define recovery requirements, dose/interaction evaluation, infection and marrow monitoring, and graft-related stopping rules. Pre-LT drug activity is not a post-LT safety result.</w:t>
      </w:r>
    </w:p>
    <w:p>
      <w:pPr>
        <w:pStyle w:val="Heading2"/>
        <w:keepNext/>
        <w:widowControl/>
      </w:pPr>
      <w:r>
        <w:t xml:space="preserve">11 Surveillance</w:t>
      </w:r>
    </w:p>
    <w:p>
      <w:pPr>
        <w:pStyle w:val="Normal"/>
        <w:widowControl/>
        <w:numPr>
          <w:ilvl w:val="0"/>
          <w:numId w:val="3"/>
        </w:numPr>
      </w:pPr>
      <w:r>
        <w:t xml:space="preserve">Proposed local schedule for approval: chest and contrast abdominal/pelvic imaging with CA19-9 and CEA every three months for two years, every six months through year five, then individualized follow-up. Choose CT/MRI according to clinical circumstances. This is not a trial-proven optimal schedule.</w:t>
      </w:r>
    </w:p>
    <w:p>
      <w:pPr>
        <w:pStyle w:val="Normal"/>
        <w:widowControl/>
        <w:numPr>
          <w:ilvl w:val="0"/>
          <w:numId w:val="3"/>
        </w:numPr>
      </w:pPr>
      <w:r>
        <w:t xml:space="preserve">Use PET or biopsy to resolve a specific concern. ctDNA is exploratory and should trigger confirmatory assessment when discordant, not automatic treatment or delisting.</w:t>
      </w:r>
    </w:p>
    <w:p>
      <w:pPr>
        <w:pStyle w:val="Heading2"/>
        <w:keepNext/>
        <w:widowControl/>
      </w:pPr>
      <w:r>
        <w:t xml:space="preserve">12 Recurrence management</w:t>
      </w:r>
    </w:p>
    <w:p>
      <w:pPr>
        <w:pStyle w:val="Normal"/>
        <w:widowControl/>
        <w:numPr>
          <w:ilvl w:val="0"/>
          <w:numId w:val="3"/>
        </w:numPr>
      </w:pPr>
      <w:r>
        <w:t xml:space="preserve">Restage and review suspected recurrence with the biliary and transplant MDT. Local treatment may suit selected limited disease; systemic options depend on molecular findings, graft function, interactions and patient goals. Do not prescribe uniformly aggressive multimodality treatment.</w:t>
      </w:r>
    </w:p>
    <w:p>
      <w:pPr>
        <w:pStyle w:val="Normal"/>
        <w:widowControl/>
        <w:numPr>
          <w:ilvl w:val="0"/>
          <w:numId w:val="3"/>
        </w:numPr>
      </w:pPr>
      <w:r>
        <w:t xml:space="preserve">Individualize immunosuppression adjustment. Post-LT checkpoint therapy is not routine and carries rejection/graft-loss risk distinct from pre-LT exposure.</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NDI8L1JlY051bT48RGlzcGxheVRleHQ+W1YxNi00Ml08L0Rpc3BsYXlUZXh0PjxyZWNvcmQ+PHJlYy1udW1iZXI+NDI8L3JlYy1udW1iZXI+PGZvcmVpZ24ta2V5cz48a2V5IGFwcD0iRU4iIGRiLWlkPSIzNzdkMDA4NC0xMmFkLTUzYjgtYjYwMS1jMzcyODZhMzgxZjYiIHRpbWVzdGFtcD0iMTc5MzI4MzY4NSI+ND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[V16-42]</w:t>
      </w:r>
      <w:r>
        <w:fldChar w:fldCharType="end"/>
      </w:r>
    </w:p>
    <w:p>
      <w:pPr>
        <w:pStyle w:val="Heading2"/>
        <w:keepNext/>
        <w:widowControl/>
      </w:pPr>
      <w:r>
        <w:t xml:space="preserve">13 Outcomes and safety monitoring</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2LTQzXTwvRGlzcGxheVRleHQ+PHJlY29yZD48cmVjLW51bWJlcj40MzwvcmVjLW51bWJlcj48Zm9yZWlnbi1rZXlzPjxrZXkgYXBwPSJFTiIgZGItaWQ9IjM3N2QwMDg0LTEyYWQtNTNiOC1iNjAxLWMzNzI4NmEzODFmNiIgdGltZXN0YW1wPSIxNzkzMjgzNjg1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zNzdkMDA4NC0xMmFkLTUzYjgtYjYwMS1jMzcyODZhMzgxZjYiIHRpbWVzdGFtcD0iMTc5MzI4MzY4NS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2LTQzXTwvRGlzcGxheVRleHQ+PHJlY29yZD48cmVjLW51bWJlcj40MzwvcmVjLW51bWJlcj48Zm9yZWlnbi1rZXlzPjxrZXkgYXBwPSJFTiIgZGItaWQ9IjM3N2QwMDg0LTEyYWQtNTNiOC1iNjAxLWMzNzI4NmEzODFmNiIgdGltZXN0YW1wPSIxNzkzMjgzNjg1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zNzdkMDA4NC0xMmFkLTUzYjgtYjYwMS1jMzcyODZhMzgxZjYiIHRpbWVzdGFtcD0iMTc5MzI4MzY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M3N2QwMDg0LTEyYWQtNTNiOC1iNjAxLWMzNzI4NmEzODFmNiIgdGltZXN0YW1wPSIxNzkzMjgzNj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2LTEzXTwvRGlzcGxheVRleHQ+PHJlY29yZD48cmVjLW51bWJlcj4xMzwvcmVjLW51bWJlcj48Zm9yZWlnbi1rZXlzPjxrZXkgYXBwPSJFTiIgZGItaWQ9IjM3N2QwMDg0LTEyYWQtNTNiOC1iNjAxLWMzNzI4NmEzODFmNiIgdGltZXN0YW1wPSIxNzkzMjgzNj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11">
        <w:r>
          <w:rPr>
            <w:color w:val="77230C"/>
            <w:sz w:val="20"/>
            <w:u w:val="single"/>
          </w:rPr>
          <w:t>Meeting record: ALLOC-B4</w:t>
        </w:r>
      </w:hyperlink>
      <w:r>
        <w:t xml:space="preserve">  |  </w:t>
      </w:r>
      <w:hyperlink r:id="rId11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14 Multidisciplinary responsibility</w:t>
      </w:r>
    </w:p>
    <w:p>
      <w:pPr>
        <w:pStyle w:val="Normal"/>
        <w:widowControl/>
        <w:numPr>
          <w:ilvl w:val="0"/>
          <w:numId w:val="3"/>
        </w:numPr>
      </w:pPr>
      <w:r>
        <w:t xml:space="preserve">Transplant/HPB surgery, hepatology, oncology, IR, radiology and pathology own selection and treatment interpretation. Pharmacy owns drug interaction and perioperative review; the donor team is independent. Research methods and safety oversight require designated accountable reviewers.</w:t>
      </w:r>
    </w:p>
    <w:p>
      <w:pPr>
        <w:pStyle w:val="Heading2"/>
        <w:keepNext/>
        <w:widowControl/>
      </w:pPr>
      <w:r>
        <w:t xml:space="preserve">15 Decisions required before expansion</w:t>
      </w:r>
    </w:p>
    <w:p>
      <w:pPr>
        <w:pStyle w:val="Normal"/>
        <w:widowControl/>
      </w:pPr>
      <w:r>
        <w:t xml:space="preserve">Resolve iCCA-B1–B3 and ALLOC-B1–B4 before study activation. Record final wording, population, histology strata, comparator, response clock, organ route and safety authority. Pure iCCA and mixed HCC–iCCA outcomes must remain separately reportable.</w:t>
      </w:r>
    </w:p>
    <w:p>
      <w:pPr>
        <w:pStyle w:val="Normal"/>
        <w:widowControl/>
      </w:pPr>
      <w:r>
        <w:t xml:space="preserve">Evidence review record: </w:t>
      </w:r>
      <w:hyperlink r:id="rId113">
        <w:r>
          <w:rPr>
            <w:color w:val="77230C"/>
            <w:sz w:val="20"/>
            <w:u w:val="single"/>
          </w:rPr>
          <w:t>Five analyst comments and reconciliation</w:t>
        </w:r>
      </w:hyperlink>
      <w:r>
        <w:t xml:space="preserve">  |  </w:t>
      </w:r>
      <w:hyperlink r:id="rId114">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iCCA_B4"/>
      <w:r>
        <w:t xml:space="preserve">iCCA-B4 — Previously treated nodal or extrahepatic disease</w:t>
      </w:r>
      <w:bookmarkEnd w:id="16010"/>
    </w:p>
    <w:p>
      <w:pPr>
        <w:pStyle w:val="Normal"/>
        <w:widowControl/>
        <w:spacing w:after="120"/>
      </w:pPr>
      <w:r>
        <w:t xml:space="preserve">Status: Closed. OPEN proposal for multidisciplinary review; not activated.</w:t>
      </w:r>
    </w:p>
    <w:p>
      <w:pPr>
        <w:pStyle w:val="Normal"/>
        <w:widowControl/>
        <w:spacing w:after="120"/>
      </w:pPr>
      <w:r>
        <w:t xml:space="preserve">Question: Should a patient whose iCCA nodal or extrahepatic disease has responded or been resected ever be considered for transplantation?</w:t>
      </w:r>
    </w:p>
    <w:p>
      <w:pPr>
        <w:pStyle w:val="Normal"/>
        <w:widowControl/>
        <w:spacing w:after="120"/>
      </w:pPr>
      <w:r>
        <w:t xml:space="preserve">Proposed position (OPEN): Keep closed. Proven nodal metastasis or extrahepatic disease, current or previously treated (including resected), excludes the small-cirrhotic route and the advanced-iCCA study. Confirm node-negative status with tissue before listing, and characterize every indeterminate extrahepatic lesion. Applies also to mixed HCC–iCCA.</w:t>
      </w:r>
    </w:p>
    <w:p>
      <w:pPr>
        <w:pStyle w:val="Heading3"/>
        <w:widowControl/>
        <w:keepNext/>
      </w:pPr>
      <w:r>
        <w:t xml:space="preserve">Proposed rules</w:t>
      </w:r>
    </w:p>
    <w:p>
      <w:pPr>
        <w:pStyle w:val="Normal"/>
        <w:widowControl/>
        <w:spacing w:after="120"/>
        <w:numPr>
          <w:ilvl w:val="0"/>
          <w:numId w:val="5"/>
        </w:numPr>
      </w:pPr>
      <w:r>
        <w:t xml:space="preserve">Previously proven malignant nodes, even after radiological or pathological response, and any previous distant metastasis (peritoneum, lung, bone, distant nodes) are outside the initial iCCA routes. Resection of an extrahepatic site does not clear this history.</w:t>
      </w:r>
    </w:p>
    <w:p>
      <w:pPr>
        <w:pStyle w:val="Normal"/>
        <w:widowControl/>
        <w:spacing w:after="120"/>
        <w:numPr>
          <w:ilvl w:val="0"/>
          <w:numId w:val="5"/>
        </w:numPr>
      </w:pPr>
      <w:r>
        <w:t xml:space="preserve">Suspicious or indeterminate nodes are HOLD until resolved with tissue; an imaging response is not nodal clearance.</w:t>
      </w:r>
    </w:p>
    <w:p>
      <w:pPr>
        <w:pStyle w:val="Normal"/>
        <w:widowControl/>
        <w:spacing w:after="120"/>
        <w:numPr>
          <w:ilvl w:val="0"/>
          <w:numId w:val="5"/>
        </w:numPr>
      </w:pPr>
      <w:r>
        <w:t xml:space="preserve">Advanced-iCCA study: before listing, sample stations 8 and 12 surgically, plus any suspicious node (EUS-FNA or surgical). For living donation, complete this before listing, not only at the combined donor–recipient laparotomy. A positive result ends the route.</w:t>
      </w:r>
    </w:p>
    <w:p>
      <w:pPr>
        <w:pStyle w:val="Normal"/>
        <w:widowControl/>
        <w:spacing w:after="120"/>
        <w:numPr>
          <w:ilvl w:val="0"/>
          <w:numId w:val="5"/>
        </w:numPr>
      </w:pPr>
      <w:r>
        <w:t xml:space="preserve">Indeterminate extrahepatic lesions (subcentimetre lung nodules, bone lesions) need biopsy or interval imaging; “stable on chemotherapy” is not clearance.</w:t>
      </w:r>
    </w:p>
    <w:p>
      <w:pPr>
        <w:pStyle w:val="Normal"/>
        <w:widowControl/>
        <w:spacing w:after="120"/>
        <w:numPr>
          <w:ilvl w:val="0"/>
          <w:numId w:val="5"/>
        </w:numPr>
      </w:pPr>
      <w:r>
        <w:t xml:space="preserve">Previously node-positive disease that has cleared is a separate future research question; do not combine it with multifocal, G3 or living-donor expansions.</w:t>
      </w:r>
    </w:p>
    <w:p>
      <w:pPr>
        <w:pStyle w:val="Normal"/>
        <w:widowControl/>
        <w:spacing w:after="120"/>
      </w:pPr>
      <w:r>
        <w:t xml:space="preserve">Why: Published iCCA transplant protocols exclude proven nodal and extrahepatic disease (one pilot, Wong 2019, admitted regional lymphadenopathy), and the Milan protocol excludes even resected extrahepatic spread. In the published series, early recurrences came from nodal disease missed by imaging, from indeterminate lesions accepted as stable, or from positive margins and perihilar-fat invasion.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Lunsford 2018 · Houston iCCA protocol</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Houston prospective protocol; 6 transplanted. Excluded extrahepatic metastases and lymph-node involvement; suspicious regional nodes biopsied by EUS.</w:t>
            </w:r>
          </w:p>
        </w:tc>
        <w:tc>
          <w:tcPr>
            <w:tcW w:w="3743" w:type="dxa"/>
            <w:vAlign w:val="top"/>
            <w:shd w:fill="F1F5F8"/>
          </w:tcPr>
          <w:p>
            <w:pPr>
              <w:pStyle w:val="Normal"/>
              <w:widowControl/>
              <w:spacing w:after="55" w:line="240" w:lineRule="auto"/>
              <w:keepNext w:val="0"/>
              <w:keepLines/>
            </w:pPr>
            <w:r>
              <w:rPr>
                <w:sz w:val="21"/>
                <w:szCs w:val="21"/>
              </w:rPr>
              <w:t xml:space="preserve">Results: 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w:t>
            </w:r>
          </w:p>
          <w:p>
            <w:pPr>
              <w:pStyle w:val="Normal"/>
              <w:widowControl/>
              <w:spacing w:after="55" w:line="240" w:lineRule="auto"/>
              <w:keepNext w:val="0"/>
              <w:keepLines/>
            </w:pPr>
            <w:r>
              <w:rPr>
                <w:sz w:val="21"/>
                <w:szCs w:val="21"/>
              </w:rPr>
              <w:t xml:space="preserve">Limits: Six recipients.</w:t>
            </w:r>
          </w:p>
          <w:p>
            <w:pPr>
              <w:pStyle w:val="Normal"/>
              <w:widowControl/>
              <w:spacing w:after="55" w:line="240" w:lineRule="auto"/>
              <w:keepNext w:val="0"/>
              <w:keepLines/>
            </w:pPr>
            <w:r>
              <w:rPr>
                <w:sz w:val="21"/>
                <w:szCs w:val="21"/>
              </w:rPr>
              <w:t xml:space="preserve">Lancet Gastroenterol Hepatol 2018; Methods,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YtNV08L0Rpc3BsYXlUZXh0PjxyZWNvcmQ+PHJlYy1udW1iZXI+NTwvcmVjLW51bWJlcj48Zm9yZWlnbi1rZXlzPjxrZXkgYXBwPSJFTiIgZGItaWQ9IjM3N2QwMDg0LTEyYWQtNTNiOC1iNjAxLWMzNzI4NmEzODFmNiIgdGltZXN0YW1wPSIxNzkzMjgzNj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RnVsbCB0ZXh0IHJlYWQgZm9yIHRoZSBWMTYgZXh0cmFoZXBhdGljLWRpc2Vhc2UgcmV2aWV3IChjb21wbGV0ZSBtYWluIHRleHQ7IHJlbGV2YW50IGNvbXBsZXRlIHNlY3Rpb25zIGZvciBsb25nIGd1aWRlbGluZXMpLiAyMSByZWZlcnJlZCwgMTIgYWNjZXB0ZWQsIHNpeCBMVCBhZnRlciBzdXN0YWluZWQgY29udHJvbC4gVGhyZWUgcmVjdXJyZW5jZXMuIE5vdCBpbmRlcGVuZGVudCBvZiB0aGUgbGF0ZXIgSG91c3RvbiB1cGRhdGU7IGRvIG5vdCBzdW0gdGhlc2UgY29ob3J0cy48L25vdGVzPjx1cmxzPjxyZWxhdGVkLXVybHM+PHVybD5odHRwczovL2RvaS5vcmcvMTAuMTAxNi9TMjQ2OC0xMjUzKDE4KTMwMDQ1LTE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284">
              <w:r>
                <w:rPr>
                  <w:color w:val="0563C1"/>
                  <w:u w:val="single"/>
                </w:rPr>
                <w:t>Source</w:t>
              </w:r>
            </w:hyperlink>
            <w:r>
              <w:t xml:space="preserve"> · </w:t>
            </w:r>
            <w:hyperlink r:id="rId285">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McMillan 2021 · Houston iCCA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Houston extended series; 32 listed, 18 transplanted. Nodal or distant metastasis defined as extrahepatic disease and excluded; delisted on extrahepatic progression.</w:t>
            </w:r>
          </w:p>
        </w:tc>
        <w:tc>
          <w:tcPr>
            <w:tcW w:w="3743" w:type="dxa"/>
            <w:vAlign w:val="top"/>
            <w:shd w:fill="FFFFFF"/>
          </w:tcPr>
          <w:p>
            <w:pPr>
              <w:pStyle w:val="Normal"/>
              <w:widowControl/>
              <w:spacing w:after="55" w:line="240" w:lineRule="auto"/>
              <w:keepNext w:val="0"/>
              <w:keepLines/>
            </w:pPr>
            <w:r>
              <w:rPr>
                <w:sz w:val="21"/>
                <w:szCs w:val="21"/>
              </w:rPr>
              <w:t xml:space="preserve">Results: Survival from listing 100/71/57% at 1/3/5 years (all listed: 90/61/49%); one explant had metastatic carcinoma in 4 of 7 hilar nodes; two early recurrences arose from indeterminate pre-transplant lesions.</w:t>
            </w:r>
          </w:p>
          <w:p>
            <w:pPr>
              <w:pStyle w:val="Normal"/>
              <w:widowControl/>
              <w:spacing w:after="55" w:line="240" w:lineRule="auto"/>
              <w:keepNext w:val="0"/>
              <w:keepLines/>
            </w:pPr>
            <w:r>
              <w:rPr>
                <w:sz w:val="21"/>
                <w:szCs w:val="21"/>
              </w:rPr>
              <w:t xml:space="preserve">Limits: Single centre.</w:t>
            </w:r>
          </w:p>
          <w:p>
            <w:pPr>
              <w:pStyle w:val="Normal"/>
              <w:widowControl/>
              <w:spacing w:after="55" w:line="240" w:lineRule="auto"/>
              <w:keepNext w:val="0"/>
              <w:keepLines/>
            </w:pPr>
            <w:r>
              <w:rPr>
                <w:sz w:val="21"/>
                <w:szCs w:val="21"/>
              </w:rPr>
              <w:t xml:space="preserve">Am J Transplant 2022 (online 2021); Sections 2.1–2.2, 3.4–3.5.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YtNF08L0Rpc3BsYXlUZXh0PjxyZWNvcmQ+PHJlYy1udW1iZXI+NDwvcmVjLW51bWJlcj48Zm9yZWlnbi1rZXlzPjxrZXkgYXBwPSJFTiIgZGItaWQ9IjM3N2QwMDg0LTEyYWQtNTNiOC1iNjAxLWMzNzI4NmEzODFmNiIgdGltZXN0YW1wPSIxNzkzMjgzNj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86">
              <w:r>
                <w:rPr>
                  <w:color w:val="0563C1"/>
                  <w:u w:val="single"/>
                </w:rPr>
                <w:t>Source</w:t>
              </w:r>
            </w:hyperlink>
            <w:r>
              <w:t xml:space="preserve"> · </w:t>
            </w:r>
            <w:hyperlink r:id="rId287">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Maspero 2024 · Milan SYS-TARE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SYS-TARE protocol; 13 enrolled, 4 transplanted. Excludes “prior resected extrahepatic tumor spread”; surgical sampling of stations 8 and 12 before listing.</w:t>
            </w:r>
          </w:p>
        </w:tc>
        <w:tc>
          <w:tcPr>
            <w:tcW w:w="3743" w:type="dxa"/>
            <w:vAlign w:val="top"/>
            <w:shd w:fill="F1F5F8"/>
          </w:tcPr>
          <w:p>
            <w:pPr>
              <w:pStyle w:val="Normal"/>
              <w:widowControl/>
              <w:spacing w:after="55" w:line="240" w:lineRule="auto"/>
              <w:keepNext w:val="0"/>
              <w:keepLines/>
            </w:pPr>
            <w:r>
              <w:rPr>
                <w:sz w:val="21"/>
                <w:szCs w:val="21"/>
              </w:rPr>
              <w:t xml:space="preserve">Results: Positive nodes in 2 of 6 explored, missed by imaging and PET; all 4 transplanted patients disease-free at 8–73 months.</w:t>
            </w:r>
          </w:p>
          <w:p>
            <w:pPr>
              <w:pStyle w:val="Normal"/>
              <w:widowControl/>
              <w:spacing w:after="55" w:line="240" w:lineRule="auto"/>
              <w:keepNext w:val="0"/>
              <w:keepLines/>
            </w:pPr>
            <w:r>
              <w:rPr>
                <w:sz w:val="21"/>
                <w:szCs w:val="21"/>
              </w:rPr>
              <w:t xml:space="preserve">Limits: Small; abstract and Results drop-out counts differ.</w:t>
            </w:r>
          </w:p>
          <w:p>
            <w:pPr>
              <w:pStyle w:val="Normal"/>
              <w:widowControl/>
              <w:spacing w:after="55" w:line="240" w:lineRule="auto"/>
              <w:keepNext w:val="0"/>
              <w:keepLines/>
            </w:pPr>
            <w:r>
              <w:rPr>
                <w:sz w:val="21"/>
                <w:szCs w:val="21"/>
              </w:rPr>
              <w:t xml:space="preserve">Transpl Int 2024; Methods,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NDwvWWVhcj48UmVjTnVtPjY8L1JlY051bT48RGlzcGxheVRleHQ+W1YxNi02XTwvRGlzcGxheVRleHQ+PHJlY29yZD48cmVjLW51bWJlcj42PC9yZWMtbnVtYmVyPjxmb3JlaWduLWtleXM+PGtleSBhcHA9IkVOIiBkYi1pZD0iMzc3ZDAwODQtMTJhZC01M2I4LWI2MDEtYzM3Mjg2YTM4MWY2IiB0aW1lc3RhbXA9IjE3OTMyODM2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YWQgZm9yIHRoZSBWMTYgZXh0cmFoZXBhdGljLWRpc2Vhc2UgcmV2aWV3IChjb21wbGV0ZSBtYWluIHRleHQ7IHJlbGV2YW50IGNvbXBsZXRlIHNlY3Rpb25zIGZvciBsb25nIGd1aWRlbGluZXMp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88">
              <w:r>
                <w:rPr>
                  <w:color w:val="0563C1"/>
                  <w:u w:val="single"/>
                </w:rPr>
                <w:t>Source</w:t>
              </w:r>
            </w:hyperlink>
            <w:r>
              <w:t xml:space="preserve"> · </w:t>
            </w:r>
            <w:hyperlink r:id="rId28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Sethi 2026 · UPMC LDLT for iCCA</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UPMC living-donor series, 7 recipients (co-authored by Hao Liu). Liver-confined disease; nodes biopsied at the combined laparotomy.</w:t>
            </w:r>
          </w:p>
        </w:tc>
        <w:tc>
          <w:tcPr>
            <w:tcW w:w="3743" w:type="dxa"/>
            <w:vAlign w:val="top"/>
            <w:shd w:fill="FFFFFF"/>
          </w:tcPr>
          <w:p>
            <w:pPr>
              <w:pStyle w:val="Normal"/>
              <w:widowControl/>
              <w:spacing w:after="55" w:line="240" w:lineRule="auto"/>
              <w:keepNext w:val="0"/>
              <w:keepLines/>
            </w:pPr>
            <w:r>
              <w:rPr>
                <w:sz w:val="21"/>
                <w:szCs w:val="21"/>
              </w:rPr>
              <w:t xml:space="preserve">Results: 2 of 6 explants with viable tumor were node-positive although the protocol included nodal biopsy at the same laparotomy; one died at about 7 months; a sub-PET-threshold lung nodule became a metastasis.</w:t>
            </w:r>
          </w:p>
          <w:p>
            <w:pPr>
              <w:pStyle w:val="Normal"/>
              <w:widowControl/>
              <w:spacing w:after="55" w:line="240" w:lineRule="auto"/>
              <w:keepNext w:val="0"/>
              <w:keepLines/>
            </w:pPr>
            <w:r>
              <w:rPr>
                <w:sz w:val="21"/>
                <w:szCs w:val="21"/>
              </w:rPr>
              <w:t xml:space="preserve">Limits: Seven patients.</w:t>
            </w:r>
          </w:p>
          <w:p>
            <w:pPr>
              <w:pStyle w:val="Normal"/>
              <w:widowControl/>
              <w:spacing w:after="55" w:line="240" w:lineRule="auto"/>
              <w:keepNext w:val="0"/>
              <w:keepLines/>
            </w:pPr>
            <w:r>
              <w:rPr>
                <w:sz w:val="21"/>
                <w:szCs w:val="21"/>
              </w:rPr>
              <w:t xml:space="preserve">Am J Transplant 2026; Results,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ZXRoaTwvQXV0aG9yPjxZZWFyPjIwMjY8L1llYXI+PFJlY051bT43PC9SZWNOdW0+PERpc3BsYXlUZXh0PltWMTYtN108L0Rpc3BsYXlUZXh0PjxyZWNvcmQ+PHJlYy1udW1iZXI+NzwvcmVjLW51bWJlcj48Zm9yZWlnbi1rZXlzPjxrZXkgYXBwPSJFTiIgZGItaWQ9IjM3N2QwMDg0LTEyYWQtNTNiOC1iNjAxLWMzNzI4NmEzODFmNiIgdGltZXN0YW1wPSIxNzkzMjgzNj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br/>
            </w:r>
            <w:hyperlink r:id="rId290">
              <w:r>
                <w:rPr>
                  <w:color w:val="0563C1"/>
                  <w:u w:val="single"/>
                </w:rPr>
                <w:t>Source</w:t>
              </w:r>
            </w:hyperlink>
            <w:r>
              <w:t xml:space="preserve"> · </w:t>
            </w:r>
            <w:hyperlink r:id="rId29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series, 98 biliary-cancer transplants. Explant nodal status.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1.32–8.10) but not overall survival (p=0.14); in the intentional pCCA/iCCA subset (n=53) the recurrence HR was 2.48 and not significant (p=0.17).</w:t>
            </w:r>
          </w:p>
          <w:p>
            <w:pPr>
              <w:pStyle w:val="Normal"/>
              <w:widowControl/>
              <w:spacing w:after="55" w:line="240" w:lineRule="auto"/>
              <w:keepNext w:val="0"/>
              <w:keepLines/>
            </w:pPr>
            <w:r>
              <w:rPr>
                <w:sz w:val="21"/>
                <w:szCs w:val="21"/>
              </w:rPr>
              <w:t xml:space="preserve">Limits: Mixed subtypes; nodes found on explant, not before.</w:t>
            </w:r>
          </w:p>
          <w:p>
            <w:pPr>
              <w:pStyle w:val="Normal"/>
              <w:widowControl/>
              <w:spacing w:after="55" w:line="240" w:lineRule="auto"/>
              <w:keepNext w:val="0"/>
              <w:keepLines/>
            </w:pPr>
            <w:r>
              <w:rPr>
                <w:sz w:val="21"/>
                <w:szCs w:val="21"/>
              </w:rPr>
              <w:t xml:space="preserve">Ann Surg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40NDwvUmVjTnVtPjxEaXNwbGF5VGV4dD5bVjE2LTQ0XTwvRGlzcGxheVRleHQ+PHJlY29yZD48cmVjLW51bWJlcj40NDwvcmVjLW51bWJlcj48Zm9yZWlnbi1rZXlzPjxrZXkgYXBwPSJFTiIgZGItaWQ9IjM3N2QwMDg0LTEyYWQtNTNiOC1iNjAxLWMzNzI4NmEzODFmNiIgdGltZXN0YW1wPSIxNzkzMjgzNjg1Ij40ND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[V16-44]</w:t>
            </w:r>
            <w:r>
              <w:fldChar w:fldCharType="end"/>
            </w:r>
            <w:r>
              <w:br/>
            </w:r>
            <w:hyperlink r:id="rId292">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2024 ILTS–ILCA consensus. Transplant for iCCA only without extrahepatic metastasis (cirrhotic ≤3 cm) or for liver-confined disease within protocols.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Silent on previously treated disease.</w:t>
            </w:r>
          </w:p>
          <w:p>
            <w:pPr>
              <w:pStyle w:val="Normal"/>
              <w:widowControl/>
              <w:spacing w:after="55" w:line="240" w:lineRule="auto"/>
              <w:keepNext w:val="0"/>
              <w:keepLines/>
            </w:pPr>
            <w:r>
              <w:rPr>
                <w:sz w:val="21"/>
                <w:szCs w:val="21"/>
              </w:rPr>
              <w:t xml:space="preserve">Liver Cancer 2026; Working Group statements.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OTwvUmVjTnVtPjxEaXNwbGF5VGV4dD5bVjE2LTldPC9EaXNwbGF5VGV4dD48cmVjb3JkPjxyZWMtbnVtYmVyPjk8L3JlYy1udW1iZXI+PGZvcmVpZ24ta2V5cz48a2V5IGFwcD0iRU4iIGRiLWlkPSIzNzdkMDA4NC0xMmFkLTUzYjgtYjYwMS1jMzcyODZhMzgxZjYiIHRpbWVzdGFtcD0iMTc5MzI4MzY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GdWxsIHRleHQgcmVhZCBmb3IgdGhlIFYxNiBleHRyYWhlcGF0aWMtZGlzZWFzZSByZXZpZXcgKGNvbXBsZXRlIG1haW4gdGV4dDsgcmVsZXZhbnQgY29tcGxldGUgc2VjdGlvbnMgZm9yIGxvbmcgZ3VpZGVsaW5lcyk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br/>
            </w:r>
            <w:hyperlink r:id="rId293">
              <w:r>
                <w:rPr>
                  <w:color w:val="0563C1"/>
                  <w:u w:val="single"/>
                </w:rPr>
                <w:t>Source</w:t>
              </w:r>
            </w:hyperlink>
            <w:r>
              <w:t xml:space="preserve"> · </w:t>
            </w:r>
            <w:hyperlink r:id="rId294">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Hu 2011 · LT for iCCA</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Single-centre series, 20 transplants. Nodal invasion recorded.</w:t>
            </w:r>
          </w:p>
        </w:tc>
        <w:tc>
          <w:tcPr>
            <w:tcW w:w="3743" w:type="dxa"/>
            <w:vAlign w:val="top"/>
            <w:shd w:fill="F1F5F8"/>
          </w:tcPr>
          <w:p>
            <w:pPr>
              <w:pStyle w:val="Normal"/>
              <w:widowControl/>
              <w:spacing w:after="55" w:line="240" w:lineRule="auto"/>
              <w:keepNext w:val="0"/>
              <w:keepLines/>
            </w:pPr>
            <w:r>
              <w:rPr>
                <w:sz w:val="21"/>
                <w:szCs w:val="21"/>
              </w:rPr>
              <w:t xml:space="preserve">Results: Nodal invasion an independent predictor of death.</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Hepatogastroenterology 2011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dTwvQXV0aG9yPjxZZWFyPjIwMTE8L1llYXI+PFJlY051bT40NTwvUmVjTnVtPjxEaXNwbGF5VGV4dD5bVjE2LTQ1XTwvRGlzcGxheVRleHQ+PHJlY29yZD48cmVjLW51bWJlcj40NTwvcmVjLW51bWJlcj48Zm9yZWlnbi1rZXlzPjxrZXkgYXBwPSJFTiIgZGItaWQ9IjM3N2QwMDg0LTEyYWQtNTNiOC1iNjAxLWMzNzI4NmEzODFmNiIgdGltZXN0YW1wPSIxNzkzMjgzNjg1Ij40NTwva2V5PjwvZm9yZWlnbi1rZXlzPjxyZWYtdHlwZSBuYW1lPSJKb3VybmFsIEFydGljbGUiPjE3PC9yZWYtdHlwZT48Y29udHJpYnV0b3JzPjxhdXRob3JzPjxhdXRob3I+SHUsIFhpYW8tWGluZzwvYXV0aG9yPjxhdXRob3I+WWFuLCBMdS1OYW48L2F1dGhvcj48L2F1dGhvcnM+PC9jb250cmlidXRvcnM+PHRpdGxlcz48dGl0bGU+UmV0cm9zcGVjdGl2ZSBhbmFseXNpcyBvZiBwcm9nbm9zdGljIGZhY3RvcnMgYWZ0ZXIgbGl2ZXIgdHJhbnNwbGFudGF0aW9uIGZvciBpbnRyYWhlcGF0aWMgY2hvbGFuZ2lvY2FyY2lub21hIGluIENoaW5hOiBhIHNpbmdsZS1jZW50ZXIgZXhwZXJpZW5jZTwvdGl0bGU+PHNlY29uZGFyeS10aXRsZT5IZXBhdG8tZ2FzdHJvZW50ZXJvbG9neTwvc2Vjb25kYXJ5LXRpdGxlPjwvdGl0bGVzPjxwZXJpb2RpY2FsPjxmdWxsLXRpdGxlPkhlcGF0by1nYXN0cm9lbnRlcm9sb2d5PC9mdWxsLXRpdGxlPjwvcGVyaW9kaWNhbD48ZGF0ZXM+PHllYXI+MjAxMTwveWVhcj48L2RhdGVzPjx2b2x1bWU+NTg8L3ZvbHVtZT48bnVtYmVyPjEwOTwvbnVtYmVyPjxwYWdlcz4xMjU1LTk8L3BhZ2VzPjxlbGVjdHJvbmljLXJlc291cmNlLW51bT4xMC41NzU0L2hnZTEwNzA0PC9lbGVjdHJvbmljLXJlc291cmNlLW51bT48bm90ZXM+Sm91cm5hbCBhcnRpY2xlIFB1Yk1lZCBhYnN0cmFjdCB2ZXJpZmllZDsgZnVsbCB0ZXh0IHBlbmRpbmcgVE1DIGRvd25sb2FkLiBOb3QgcmVwcmVzZW50ZWQgYXMgYSBmdWxsLXRleHQgcmV2aWV3Ljwvbm90ZXM+PHVybHM+PHJlbGF0ZWQtdXJscz48dXJsPmh0dHBzOi8vZG9pLm9yZy8xMC41NzU0L2hnZTEwNzA0PC91cmw+PC9yZWxhdGVkLXVybHM+PC91cmxzPjwvcmVjb3JkPjwvQ2l0ZT48L0VuZE5vdGU+</w:fldData>
              </w:fldChar>
            </w:r>
            <w:r>
              <w:instrText xml:space="preserve"> ADDIN EN.CITE.DATA </w:instrText>
            </w:r>
            <w:r>
              <w:fldChar w:fldCharType="end"/>
            </w:r>
            <w:r>
              <w:fldChar w:fldCharType="separate"/>
            </w:r>
            <w:r>
              <w:t xml:space="preserve">[V16-45]</w:t>
            </w:r>
            <w:r>
              <w:fldChar w:fldCharType="end"/>
            </w:r>
            <w:r>
              <w:br/>
            </w:r>
            <w:hyperlink r:id="rId29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One pilot admitted regional lymphadenopathy in mixed hilar and intrahepatic tumors (5 of 18 transplanted, one nodal recurrence); whether the nodes were proven malignant is not reported in the abstract, and it cannot establish a cleared-node pathway.</w:t>
      </w:r>
    </w:p>
    <w:p>
      <w:pPr>
        <w:pStyle w:val="Normal"/>
        <w:widowControl/>
        <w:spacing w:after="120"/>
      </w:pPr>
      <w:r>
        <w:t xml:space="preserve">Certainty: Low that liver-confined disease after sustained response selects better recipients; very low for transplantation after previously malignant nodes; none for previously treated distant disease.</w:t>
      </w:r>
    </w:p>
    <w:p>
      <w:pPr>
        <w:pStyle w:val="Normal"/>
        <w:widowControl/>
        <w:spacing w:after="120"/>
      </w:pPr>
      <w:r>
        <w:t xml:space="preserve">What would change the answer: A protocol series with tissue-proven nodal clearance before listing and ≥3-year outcomes.</w:t>
      </w:r>
    </w:p>
    <w:p>
      <w:pPr>
        <w:pStyle w:val="Normal"/>
        <w:widowControl/>
        <w:spacing w:after="120"/>
      </w:pPr>
      <w:r>
        <w:t xml:space="preserve">Meeting question iCCA-B4,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96">
        <w:r>
          <w:rPr>
            <w:color w:val="0563C1"/>
            <w:u w:val="single"/>
          </w:rPr>
          <w:t>Source</w:t>
        </w:r>
      </w:hyperlink>
      <w:r>
        <w:t xml:space="preserve"> | </w:t>
      </w:r>
      <w:hyperlink r:id="rId297">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98">
        <w:r>
          <w:rPr>
            <w:color w:val="0563C1"/>
            <w:u w:val="single"/>
          </w:rPr>
          <w:t>Source</w:t>
        </w:r>
      </w:hyperlink>
      <w:r>
        <w:t xml:space="preserve"> | </w:t>
      </w:r>
      <w:hyperlink r:id="rId299">
        <w:r>
          <w:rPr>
            <w:color w:val="0563C1"/>
            <w:u w:val="single"/>
          </w:rPr>
          <w:t>Full-text access</w:t>
        </w:r>
      </w:hyperlink>
    </w:p>
    <w:p>
      <w:pPr>
        <w:pStyle w:val="Normal"/>
        <w:widowControl/>
        <w:spacing w:after="120"/>
      </w:pPr>
      <w:r>
        <w:t xml:space="preserve"/>
      </w:r>
      <w:r>
        <w:t xml:space="preserve">[V16-3] Sapisochin, G; Facciuto, M; Rubbia-Brandt, L; et al. Liver transplantation for "very early" intrahepatic cholangiocarcinoma: International retrospective study supporting a prospective assessment. Hepatology (Baltimore, Md.). 2016; 64(4):1178-88. </w:t>
      </w:r>
      <w:hyperlink r:id="rId300">
        <w:r>
          <w:rPr>
            <w:color w:val="0563C1"/>
            <w:u w:val="single"/>
          </w:rPr>
          <w:t>Source</w:t>
        </w:r>
      </w:hyperlink>
      <w:r>
        <w:t xml:space="preserve"> | </w:t>
      </w:r>
      <w:hyperlink r:id="rId301">
        <w:r>
          <w:rPr>
            <w:color w:val="0563C1"/>
            <w:u w:val="single"/>
          </w:rPr>
          <w:t>Full-text access</w:t>
        </w:r>
      </w:hyperlink>
    </w:p>
    <w:p>
      <w:pPr>
        <w:pStyle w:val="Normal"/>
        <w:widowControl/>
        <w:spacing w:after="120"/>
      </w:pPr>
      <w:r>
        <w:t xml:space="preserve"/>
      </w:r>
      <w:r>
        <w:t xml:space="preserve">[V16-4]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302">
        <w:r>
          <w:rPr>
            <w:color w:val="0563C1"/>
            <w:u w:val="single"/>
          </w:rPr>
          <w:t>Source</w:t>
        </w:r>
      </w:hyperlink>
      <w:r>
        <w:t xml:space="preserve"> | </w:t>
      </w:r>
      <w:hyperlink r:id="rId303">
        <w:r>
          <w:rPr>
            <w:color w:val="0563C1"/>
            <w:u w:val="single"/>
          </w:rPr>
          <w:t>Full-text access</w:t>
        </w:r>
      </w:hyperlink>
    </w:p>
    <w:p>
      <w:pPr>
        <w:pStyle w:val="Normal"/>
        <w:widowControl/>
        <w:spacing w:after="120"/>
      </w:pPr>
      <w:r>
        <w:t xml:space="preserve"/>
      </w:r>
      <w:r>
        <w:t xml:space="preserve">[V16-5] Lunsford, Keri E; Javle, Milind; Heyne, Kirk; et al. Liver transplantation for locally advanced intrahepatic cholangiocarcinoma treated with neoadjuvant therapy: a prospective case-series. The lancet. Gastroenterology &amp; hepatology. 2018; 3(5):337-348. </w:t>
      </w:r>
      <w:hyperlink r:id="rId304">
        <w:r>
          <w:rPr>
            <w:color w:val="0563C1"/>
            <w:u w:val="single"/>
          </w:rPr>
          <w:t>Source</w:t>
        </w:r>
      </w:hyperlink>
      <w:r>
        <w:t xml:space="preserve"> | </w:t>
      </w:r>
      <w:hyperlink r:id="rId305">
        <w:r>
          <w:rPr>
            <w:color w:val="0563C1"/>
            <w:u w:val="single"/>
          </w:rPr>
          <w:t>Full-text access</w:t>
        </w:r>
      </w:hyperlink>
    </w:p>
    <w:p>
      <w:pPr>
        <w:pStyle w:val="Normal"/>
        <w:widowControl/>
        <w:spacing w:after="120"/>
      </w:pPr>
      <w:r>
        <w:t xml:space="preserve"/>
      </w:r>
      <w:r>
        <w:t xml:space="preserve">[V16-6]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06">
        <w:r>
          <w:rPr>
            <w:color w:val="0563C1"/>
            <w:u w:val="single"/>
          </w:rPr>
          <w:t>Source</w:t>
        </w:r>
      </w:hyperlink>
      <w:r>
        <w:t xml:space="preserve"> | </w:t>
      </w:r>
      <w:hyperlink r:id="rId307">
        <w:r>
          <w:rPr>
            <w:color w:val="0563C1"/>
            <w:u w:val="single"/>
          </w:rPr>
          <w:t>Full-text access</w:t>
        </w:r>
      </w:hyperlink>
    </w:p>
    <w:p>
      <w:pPr>
        <w:pStyle w:val="Normal"/>
        <w:widowControl/>
        <w:spacing w:after="120"/>
      </w:pPr>
      <w:r>
        <w:t xml:space="preserve"/>
      </w:r>
      <w:r>
        <w:t xml:space="preserve">[V16-7] Sethi, Vrishketan; Gunabushanam, Vikraman; Liu, Hao; et al. Outcomes after living donor liver transplant for intrahepatic cholangiocarcinoma. American Journal of Transplantation. 2026. </w:t>
      </w:r>
      <w:hyperlink r:id="rId308">
        <w:r>
          <w:rPr>
            <w:color w:val="0563C1"/>
            <w:u w:val="single"/>
          </w:rPr>
          <w:t>Source</w:t>
        </w:r>
      </w:hyperlink>
      <w:r>
        <w:t xml:space="preserve"> | </w:t>
      </w:r>
      <w:hyperlink r:id="rId309">
        <w:r>
          <w:rPr>
            <w:color w:val="0563C1"/>
            <w:u w:val="single"/>
          </w:rPr>
          <w:t>Full-text access</w:t>
        </w:r>
      </w:hyperlink>
    </w:p>
    <w:p>
      <w:pPr>
        <w:pStyle w:val="Normal"/>
        <w:widowControl/>
        <w:spacing w:after="120"/>
      </w:pPr>
      <w:r>
        <w:t xml:space="preserve"/>
      </w:r>
      <w:r>
        <w:t xml:space="preserve">[V16-8] Schleimer, Lauren E; Rousian, Merve; Alessandris, Remo; et al. Eligibility for Liver Transplantation in Patients with Intrahepatic Cholangiocarcinoma. Annals of surgical oncology. 2026; 33(7):6099-6109. </w:t>
      </w:r>
      <w:hyperlink r:id="rId310">
        <w:r>
          <w:rPr>
            <w:color w:val="0563C1"/>
            <w:u w:val="single"/>
          </w:rPr>
          <w:t>Source</w:t>
        </w:r>
      </w:hyperlink>
      <w:r>
        <w:t xml:space="preserve"> | </w:t>
      </w:r>
      <w:hyperlink r:id="rId311">
        <w:r>
          <w:rPr>
            <w:color w:val="0563C1"/>
            <w:u w:val="single"/>
          </w:rPr>
          <w:t>Full-text access</w:t>
        </w:r>
      </w:hyperlink>
    </w:p>
    <w:p>
      <w:pPr>
        <w:pStyle w:val="Normal"/>
        <w:widowControl/>
        <w:spacing w:after="120"/>
      </w:pPr>
      <w:r>
        <w:t xml:space="preserve"/>
      </w:r>
      <w:r>
        <w:t xml:space="preserve">[V16-9]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312">
        <w:r>
          <w:rPr>
            <w:color w:val="0563C1"/>
            <w:u w:val="single"/>
          </w:rPr>
          <w:t>Source</w:t>
        </w:r>
      </w:hyperlink>
      <w:r>
        <w:t xml:space="preserve"> | </w:t>
      </w:r>
      <w:hyperlink r:id="rId313">
        <w:r>
          <w:rPr>
            <w:color w:val="0563C1"/>
            <w:u w:val="single"/>
          </w:rPr>
          <w:t>Full-text access</w:t>
        </w:r>
      </w:hyperlink>
    </w:p>
    <w:p>
      <w:pPr>
        <w:pStyle w:val="Normal"/>
        <w:widowControl/>
        <w:spacing w:after="120"/>
      </w:pPr>
      <w:r>
        <w:t xml:space="preserve"/>
      </w:r>
      <w:r>
        <w:t xml:space="preserve">[V16-10] Dove, Lorna; Chadha, Ryan M.; Lai, Jennifer C.; et al. AASLD AST Practice Guideline on adult liver transplantation: Candidate evaluation. Hepatology. 2026; 83(6):1609-1645. </w:t>
      </w:r>
      <w:hyperlink r:id="rId314">
        <w:r>
          <w:rPr>
            <w:color w:val="0563C1"/>
            <w:u w:val="single"/>
          </w:rPr>
          <w:t>Source</w:t>
        </w:r>
      </w:hyperlink>
      <w:r>
        <w:t xml:space="preserve"> | </w:t>
      </w:r>
      <w:hyperlink r:id="rId315">
        <w:r>
          <w:rPr>
            <w:color w:val="0563C1"/>
            <w:u w:val="single"/>
          </w:rPr>
          <w:t>Full-text access</w:t>
        </w:r>
      </w:hyperlink>
    </w:p>
    <w:p>
      <w:pPr>
        <w:pStyle w:val="Normal"/>
        <w:widowControl/>
        <w:spacing w:after="120"/>
      </w:pPr>
      <w:r>
        <w:t xml:space="preserve"/>
      </w:r>
      <w:r>
        <w:t xml:space="preserve">[V16-11] De Martin, E; Rayar, M; Golse, N; et al. Analysis of Liver Resection Versus Liver Transplantation on Outcome of Small Intrahepatic Cholangiocarcinoma and Combined Hepatocellular-Cholangiocarcinoma in the Setting of Cirrhosis. Liver Transplantation. 2020. </w:t>
      </w:r>
      <w:hyperlink r:id="rId316">
        <w:r>
          <w:rPr>
            <w:color w:val="0563C1"/>
            <w:u w:val="single"/>
          </w:rPr>
          <w:t>Source</w:t>
        </w:r>
      </w:hyperlink>
      <w:r>
        <w:t xml:space="preserve"> | </w:t>
      </w:r>
      <w:hyperlink r:id="rId317">
        <w:r>
          <w:rPr>
            <w:color w:val="0563C1"/>
            <w:u w:val="single"/>
          </w:rPr>
          <w:t>Full-text access</w:t>
        </w:r>
      </w:hyperlink>
    </w:p>
    <w:p>
      <w:pPr>
        <w:pStyle w:val="Normal"/>
        <w:widowControl/>
        <w:spacing w:after="120"/>
      </w:pPr>
      <w:r>
        <w:t xml:space="preserve"/>
      </w:r>
      <w:r>
        <w:t xml:space="preserve">[V16-12] Dageforde, Leigh Anne; Vachharajani, Neeta; Tabrizian, Parissa; et al. Multi-Center Analysis of Liver Transplantation for Combined Hepatocellular Carcinoma-Cholangiocarcinoma Liver Tumors. Journal of the American College of Surgeons. 2021. </w:t>
      </w:r>
      <w:hyperlink r:id="rId318">
        <w:r>
          <w:rPr>
            <w:color w:val="0563C1"/>
            <w:u w:val="single"/>
          </w:rPr>
          <w:t>Source</w:t>
        </w:r>
      </w:hyperlink>
      <w:r>
        <w:t xml:space="preserve"> | </w:t>
      </w:r>
      <w:hyperlink r:id="rId319">
        <w:r>
          <w:rPr>
            <w:color w:val="0563C1"/>
            <w:u w:val="single"/>
          </w:rPr>
          <w:t>Full-text access</w:t>
        </w:r>
      </w:hyperlink>
    </w:p>
    <w:p>
      <w:pPr>
        <w:pStyle w:val="Normal"/>
        <w:widowControl/>
        <w:spacing w:after="120"/>
      </w:pPr>
      <w:r>
        <w:t xml:space="preserve"/>
      </w:r>
      <w:r>
        <w:t xml:space="preserve">[V16-13] Yaqub, Sheraz; Busund, Sondre; Smedman, Tor Magnus; et al. Liver transplantation for locally advanced non-resectable intrahepatic cholangiocarcinoma treated with neoadjuvant therapy: early results from the TESLA trial. British Journal of Surgery. 2025. </w:t>
      </w:r>
      <w:hyperlink r:id="rId320">
        <w:r>
          <w:rPr>
            <w:color w:val="0563C1"/>
            <w:u w:val="single"/>
          </w:rPr>
          <w:t>Source</w:t>
        </w:r>
      </w:hyperlink>
      <w:r>
        <w:t xml:space="preserve"> | </w:t>
      </w:r>
      <w:hyperlink r:id="rId321">
        <w:r>
          <w:rPr>
            <w:color w:val="0563C1"/>
            <w:u w:val="single"/>
          </w:rPr>
          <w:t>Full-text access</w:t>
        </w:r>
      </w:hyperlink>
    </w:p>
    <w:p>
      <w:pPr>
        <w:pStyle w:val="Normal"/>
        <w:widowControl/>
        <w:spacing w:after="120"/>
      </w:pPr>
      <w:r>
        <w:t xml:space="preserve"/>
      </w:r>
      <w:r>
        <w:t xml:space="preserve">[V16-14] Giguet, Baptiste; Artru, Florent; Jeddou, Heithem; et al. Liver transplantation in unresectable intrahepatic cholangiocarcinoma following neoadjuvant chemotherapy and SIRT. JHEP Reports. 2026. </w:t>
      </w:r>
      <w:hyperlink r:id="rId322">
        <w:r>
          <w:rPr>
            <w:color w:val="0563C1"/>
            <w:u w:val="single"/>
          </w:rPr>
          <w:t>Source</w:t>
        </w:r>
      </w:hyperlink>
      <w:r>
        <w:t xml:space="preserve"> | </w:t>
      </w:r>
      <w:hyperlink r:id="rId323">
        <w:r>
          <w:rPr>
            <w:color w:val="0563C1"/>
            <w:u w:val="single"/>
          </w:rPr>
          <w:t>Full-text access</w:t>
        </w:r>
      </w:hyperlink>
    </w:p>
    <w:p>
      <w:pPr>
        <w:pStyle w:val="Normal"/>
        <w:widowControl/>
        <w:spacing w:after="120"/>
      </w:pPr>
      <w:r>
        <w:t xml:space="preserve"/>
      </w:r>
      <w:r>
        <w:t xml:space="preserve">[V16-15]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324">
        <w:r>
          <w:rPr>
            <w:color w:val="0563C1"/>
            <w:u w:val="single"/>
          </w:rPr>
          <w:t>Source</w:t>
        </w:r>
      </w:hyperlink>
      <w:r>
        <w:t xml:space="preserve"> | </w:t>
      </w:r>
      <w:hyperlink r:id="rId325">
        <w:r>
          <w:rPr>
            <w:color w:val="0563C1"/>
            <w:u w:val="single"/>
          </w:rPr>
          <w:t>Full-text access</w:t>
        </w:r>
      </w:hyperlink>
    </w:p>
    <w:p>
      <w:pPr>
        <w:pStyle w:val="Normal"/>
        <w:widowControl/>
        <w:spacing w:after="120"/>
      </w:pPr>
      <w:r>
        <w:t xml:space="preserve"/>
      </w:r>
      <w:r>
        <w:t xml:space="preserve">[V16-16] National Comprehensive Cancer Network. NCCN Clinical Practice Guidelines in Oncology: Biliary Tract Cancers, Version 1.2026 (10 March 2026). . 2026. </w:t>
      </w:r>
      <w:hyperlink r:id="rId326">
        <w:r>
          <w:rPr>
            <w:color w:val="0563C1"/>
            <w:u w:val="single"/>
          </w:rPr>
          <w:t>Source</w:t>
        </w:r>
      </w:hyperlink>
      <w:r>
        <w:t xml:space="preserve"> | </w:t>
      </w:r>
      <w:hyperlink r:id="rId327">
        <w:r>
          <w:rPr>
            <w:color w:val="0563C1"/>
            <w:u w:val="single"/>
          </w:rPr>
          <w:t>Full-text access</w:t>
        </w:r>
      </w:hyperlink>
    </w:p>
    <w:p>
      <w:pPr>
        <w:pStyle w:val="Normal"/>
        <w:widowControl/>
        <w:spacing w:after="120"/>
      </w:pPr>
      <w:r>
        <w:t xml:space="preserve"/>
      </w:r>
      <w:r>
        <w:t xml:space="preserve">[V16-17] Shroff RT; Kennedy EB; Alarcon Rozas AE; et al. Treatment of Advanced Biliary Tract Cancer: ASCO Living Guideline, Version 2026.1.0.. Journal of clinical oncology : official journal of the American Society of Clinical Oncology. 2026; :101200JCO2602462. </w:t>
      </w:r>
      <w:hyperlink r:id="rId328">
        <w:r>
          <w:rPr>
            <w:color w:val="0563C1"/>
            <w:u w:val="single"/>
          </w:rPr>
          <w:t>Source</w:t>
        </w:r>
      </w:hyperlink>
      <w:r>
        <w:t xml:space="preserve"> | </w:t>
      </w:r>
      <w:hyperlink r:id="rId329">
        <w:r>
          <w:rPr>
            <w:color w:val="0563C1"/>
            <w:u w:val="single"/>
          </w:rPr>
          <w:t>Full-text access</w:t>
        </w:r>
      </w:hyperlink>
    </w:p>
    <w:p>
      <w:pPr>
        <w:pStyle w:val="Normal"/>
        <w:widowControl/>
        <w:spacing w:after="120"/>
      </w:pPr>
      <w:r>
        <w:t xml:space="preserve"/>
      </w:r>
      <w:r>
        <w:t xml:space="preserve">[V16-18]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330">
        <w:r>
          <w:rPr>
            <w:color w:val="0563C1"/>
            <w:u w:val="single"/>
          </w:rPr>
          <w:t>Source</w:t>
        </w:r>
      </w:hyperlink>
      <w:r>
        <w:t xml:space="preserve"> | </w:t>
      </w:r>
      <w:hyperlink r:id="rId331">
        <w:r>
          <w:rPr>
            <w:color w:val="0563C1"/>
            <w:u w:val="single"/>
          </w:rPr>
          <w:t>Full-text access</w:t>
        </w:r>
      </w:hyperlink>
    </w:p>
    <w:p>
      <w:pPr>
        <w:pStyle w:val="Normal"/>
        <w:widowControl/>
        <w:spacing w:after="120"/>
      </w:pPr>
      <w:r>
        <w:t xml:space="preserve"/>
      </w:r>
      <w:r>
        <w:t xml:space="preserve">[V16-19] Kobayashi S; Terashima T; Shiba S; et al. Multicenter retrospective analysis of systemic chemotherapy for unresectable combined hepatocellular and cholangiocarcinoma.. Cancer science. 2018; 109(8):2549-2557. </w:t>
      </w:r>
      <w:hyperlink r:id="rId332">
        <w:r>
          <w:rPr>
            <w:color w:val="0563C1"/>
            <w:u w:val="single"/>
          </w:rPr>
          <w:t>Source</w:t>
        </w:r>
      </w:hyperlink>
      <w:r>
        <w:t xml:space="preserve"> | </w:t>
      </w:r>
      <w:hyperlink r:id="rId333">
        <w:r>
          <w:rPr>
            <w:color w:val="0563C1"/>
            <w:u w:val="single"/>
          </w:rPr>
          <w:t>Full-text access</w:t>
        </w:r>
      </w:hyperlink>
    </w:p>
    <w:p>
      <w:pPr>
        <w:pStyle w:val="Normal"/>
        <w:widowControl/>
        <w:spacing w:after="120"/>
      </w:pPr>
      <w:r>
        <w:t xml:space="preserve"/>
      </w:r>
      <w:r>
        <w:t xml:space="preserve">[V16-20]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334">
        <w:r>
          <w:rPr>
            <w:color w:val="0563C1"/>
            <w:u w:val="single"/>
          </w:rPr>
          <w:t>Source</w:t>
        </w:r>
      </w:hyperlink>
      <w:r>
        <w:t xml:space="preserve"> | </w:t>
      </w:r>
      <w:hyperlink r:id="rId335">
        <w:r>
          <w:rPr>
            <w:color w:val="0563C1"/>
            <w:u w:val="single"/>
          </w:rPr>
          <w:t>Full-text access</w:t>
        </w:r>
      </w:hyperlink>
    </w:p>
    <w:p>
      <w:pPr>
        <w:pStyle w:val="Normal"/>
        <w:widowControl/>
        <w:spacing w:after="120"/>
      </w:pPr>
      <w:r>
        <w:t xml:space="preserve"/>
      </w:r>
      <w:r>
        <w:t xml:space="preserve">[V16-21] Shi, Guo-Ming; Huang, Xiao-Yong; Liang, Fei; et al. Neoadjuvant GOLP in Resectable High-Risk Intrahepatic Cholangiocarcinoma. The New England journal of medicine. 2026; 394(10):983-995. </w:t>
      </w:r>
      <w:hyperlink r:id="rId336">
        <w:r>
          <w:rPr>
            <w:color w:val="0563C1"/>
            <w:u w:val="single"/>
          </w:rPr>
          <w:t>Source</w:t>
        </w:r>
      </w:hyperlink>
      <w:r>
        <w:t xml:space="preserve"> | </w:t>
      </w:r>
      <w:hyperlink r:id="rId337">
        <w:r>
          <w:rPr>
            <w:color w:val="0563C1"/>
            <w:u w:val="single"/>
          </w:rPr>
          <w:t>Full-text access</w:t>
        </w:r>
      </w:hyperlink>
    </w:p>
    <w:p>
      <w:pPr>
        <w:pStyle w:val="Normal"/>
        <w:widowControl/>
        <w:spacing w:after="120"/>
      </w:pPr>
      <w:r>
        <w:t xml:space="preserve"/>
      </w:r>
      <w:r>
        <w:t xml:space="preserve">[V16-22] Shi, Guoming; Huang, Xiaoyong; Li, Xiaowu; et al. Conversion therapy of tislelizumab plus lenvatinib and GEMOX in unresectable locally advanced biliary tract cancer (ZSAB-TransGOLP): a multicentre, prospective, phase 2 study. The Lancet. Oncology. 2025; 26(10):1334-1345. </w:t>
      </w:r>
      <w:hyperlink r:id="rId338">
        <w:r>
          <w:rPr>
            <w:color w:val="0563C1"/>
            <w:u w:val="single"/>
          </w:rPr>
          <w:t>Source</w:t>
        </w:r>
      </w:hyperlink>
      <w:r>
        <w:t xml:space="preserve"> | </w:t>
      </w:r>
      <w:hyperlink r:id="rId339">
        <w:r>
          <w:rPr>
            <w:color w:val="0563C1"/>
            <w:u w:val="single"/>
          </w:rPr>
          <w:t>Full-text access</w:t>
        </w:r>
      </w:hyperlink>
    </w:p>
    <w:p>
      <w:pPr>
        <w:pStyle w:val="Normal"/>
        <w:widowControl/>
        <w:spacing w:after="120"/>
      </w:pPr>
      <w:r>
        <w:t xml:space="preserve"/>
      </w:r>
      <w:r>
        <w:t xml:space="preserve">[V16-23] Franssen, Stijn; Rousian, Merve; Filipe, Wills F; et al. Hepatic Arterial Infusion Pump Chemotherapy in Patients With Unresectable Intrahepatic Cholangiocarcinoma-PUMP-2 Trial. Journal of clinical oncology : official journal of the American Society of Clinical Oncology. 2026; 44(6):455-465. </w:t>
      </w:r>
      <w:hyperlink r:id="rId340">
        <w:r>
          <w:rPr>
            <w:color w:val="0563C1"/>
            <w:u w:val="single"/>
          </w:rPr>
          <w:t>Source</w:t>
        </w:r>
      </w:hyperlink>
      <w:r>
        <w:t xml:space="preserve"> | </w:t>
      </w:r>
      <w:hyperlink r:id="rId341">
        <w:r>
          <w:rPr>
            <w:color w:val="0563C1"/>
            <w:u w:val="single"/>
          </w:rPr>
          <w:t>Full-text access</w:t>
        </w:r>
      </w:hyperlink>
    </w:p>
    <w:p>
      <w:pPr>
        <w:pStyle w:val="Normal"/>
        <w:widowControl/>
        <w:spacing w:after="120"/>
      </w:pPr>
      <w:r>
        <w:t xml:space="preserve"/>
      </w:r>
      <w:r>
        <w:t xml:space="preserve">[V16-24] Rezaee-Zavareh, Mohammad Saeid; Yeo, Yee Hui; Wang, Tielong; et al. Impact of pre-transplant immune checkpoint inhibitor use on post-transplant outcomes in HCC: A systematic review and individual patient data meta-analysis. Journal of Hepatology. 2025; 82(1):107-119. </w:t>
      </w:r>
      <w:hyperlink r:id="rId342">
        <w:r>
          <w:rPr>
            <w:color w:val="0563C1"/>
            <w:u w:val="single"/>
          </w:rPr>
          <w:t>Source</w:t>
        </w:r>
      </w:hyperlink>
      <w:r>
        <w:t xml:space="preserve"> | </w:t>
      </w:r>
      <w:hyperlink r:id="rId343">
        <w:r>
          <w:rPr>
            <w:color w:val="0563C1"/>
            <w:u w:val="single"/>
          </w:rPr>
          <w:t>Full-text access</w:t>
        </w:r>
      </w:hyperlink>
    </w:p>
    <w:p>
      <w:pPr>
        <w:pStyle w:val="Normal"/>
        <w:widowControl/>
        <w:spacing w:after="120"/>
      </w:pPr>
      <w:r>
        <w:t xml:space="preserve"/>
      </w:r>
      <w:r>
        <w:t xml:space="preserve">[V16-25] Moeckli, Beat; Wassmer, Charles-Henri; El Hajji, Sofia; et al. Determining safe washout period for immune checkpoint inhibitors prior to liver transplantation: An international retrospective cohort study. Hepatology. 2025; 82(5):1122-1137. </w:t>
      </w:r>
      <w:hyperlink r:id="rId344">
        <w:r>
          <w:rPr>
            <w:color w:val="0563C1"/>
            <w:u w:val="single"/>
          </w:rPr>
          <w:t>Source</w:t>
        </w:r>
      </w:hyperlink>
      <w:r>
        <w:t xml:space="preserve"> | </w:t>
      </w:r>
      <w:hyperlink r:id="rId345">
        <w:r>
          <w:rPr>
            <w:color w:val="0563C1"/>
            <w:u w:val="single"/>
          </w:rPr>
          <w:t>Full-text access</w:t>
        </w:r>
      </w:hyperlink>
    </w:p>
    <w:p>
      <w:pPr>
        <w:pStyle w:val="Normal"/>
        <w:widowControl/>
        <w:spacing w:after="120"/>
      </w:pPr>
      <w:r>
        <w:t xml:space="preserve"/>
      </w:r>
      <w:r>
        <w:t xml:space="preserve">[V16-26] Abdelrahim, Maen; Esmail, Abdullah; Connor, Ashton A; et al. Utilization of immunotherapy as a neoadjuvant treatment in liver transplant recipients with hepatobiliary carcinoma. Frontiers in oncology. 2026; 16:1866870. </w:t>
      </w:r>
      <w:hyperlink r:id="rId346">
        <w:r>
          <w:rPr>
            <w:color w:val="0563C1"/>
            <w:u w:val="single"/>
          </w:rPr>
          <w:t>Source</w:t>
        </w:r>
      </w:hyperlink>
      <w:r>
        <w:t xml:space="preserve"> | </w:t>
      </w:r>
      <w:hyperlink r:id="rId347">
        <w:r>
          <w:rPr>
            <w:color w:val="0563C1"/>
            <w:u w:val="single"/>
          </w:rPr>
          <w:t>Full-text access</w:t>
        </w:r>
      </w:hyperlink>
    </w:p>
    <w:p>
      <w:pPr>
        <w:pStyle w:val="Normal"/>
        <w:widowControl/>
        <w:spacing w:after="120"/>
      </w:pPr>
      <w:r>
        <w:t xml:space="preserve"/>
      </w:r>
      <w:r>
        <w:t xml:space="preserve">[V16-27] Kelly, Morgan E.; Truby, Tianna M.; Lai, Jennifer C.; et al. Three Decades of Living Liver Donor Outcomes: A National Cohort Analysis of Patterns in Mortality and Recovery. Journal of Transplantation. 2026; 2026(1):2545887.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[V16-28] US Department of Health and Human Services. 45 CFR 46.111: Criteria for IRB approval of research. . 2018. </w:t>
      </w:r>
      <w:hyperlink r:id="rId350">
        <w:r>
          <w:rPr>
            <w:color w:val="0563C1"/>
            <w:u w:val="single"/>
          </w:rPr>
          <w:t>Source</w:t>
        </w:r>
      </w:hyperlink>
      <w:r>
        <w:t xml:space="preserve"> | Local PDF not available in this update</w:t>
      </w:r>
    </w:p>
    <w:p>
      <w:pPr>
        <w:pStyle w:val="Normal"/>
        <w:widowControl/>
        <w:spacing w:after="120"/>
      </w:pPr>
      <w:r>
        <w:t xml:space="preserve"/>
      </w:r>
      <w:r>
        <w:t xml:space="preserve">[V16-29] OPTN Ethics Committee. Ethical Principles in the Allocation of Human Organs. . 2015. </w:t>
      </w:r>
      <w:hyperlink r:id="rId351">
        <w:r>
          <w:rPr>
            <w:color w:val="0563C1"/>
            <w:u w:val="single"/>
          </w:rPr>
          <w:t>Source</w:t>
        </w:r>
      </w:hyperlink>
      <w:r>
        <w:t xml:space="preserve"> | Local PDF not available in this update</w:t>
      </w:r>
    </w:p>
    <w:p>
      <w:pPr>
        <w:pStyle w:val="Normal"/>
        <w:widowControl/>
        <w:spacing w:after="120"/>
      </w:pPr>
      <w:r>
        <w:t xml:space="preserve"/>
      </w:r>
      <w:r>
        <w:t xml:space="preserve">[V16-30] Llovet, Josep M; Mauro, Ezequiel; Rimassa, Lorenza; et al. Trial design and end points in hepatocellular carcinoma: an EASL-AASLD-ILCA consensus statement. Nature reviews. Clinical oncology. 2026; 23(8):619-647. </w:t>
      </w:r>
      <w:hyperlink r:id="rId352">
        <w:r>
          <w:rPr>
            <w:color w:val="0563C1"/>
            <w:u w:val="single"/>
          </w:rPr>
          <w:t>Source</w:t>
        </w:r>
      </w:hyperlink>
      <w:r>
        <w:t xml:space="preserve"> | </w:t>
      </w:r>
      <w:hyperlink r:id="rId353">
        <w:r>
          <w:rPr>
            <w:color w:val="0563C1"/>
            <w:u w:val="single"/>
          </w:rPr>
          <w:t>Full-text access</w:t>
        </w:r>
      </w:hyperlink>
    </w:p>
    <w:p>
      <w:pPr>
        <w:pStyle w:val="Normal"/>
        <w:widowControl/>
        <w:spacing w:after="120"/>
      </w:pPr>
      <w:r>
        <w:t xml:space="preserve"/>
      </w:r>
      <w:r>
        <w:t xml:space="preserve">[V16-31] Mazzaferro, Vincenzo; Citterio, Davide; Bhoori, Sherrie; et al. Liver transplantation in hepatocellular carcinoma after tumour downstaging (XXL): a randomised, controlled, phase 2b/3 trial. The Lancet Oncology. 2020; 21(7):947-956. </w:t>
      </w:r>
      <w:hyperlink r:id="rId354">
        <w:r>
          <w:rPr>
            <w:color w:val="0563C1"/>
            <w:u w:val="single"/>
          </w:rPr>
          <w:t>Source</w:t>
        </w:r>
      </w:hyperlink>
      <w:r>
        <w:t xml:space="preserve"> | </w:t>
      </w:r>
      <w:hyperlink r:id="rId355">
        <w:r>
          <w:rPr>
            <w:color w:val="0563C1"/>
            <w:u w:val="single"/>
          </w:rPr>
          <w:t>Full-text access</w:t>
        </w:r>
      </w:hyperlink>
    </w:p>
    <w:p>
      <w:pPr>
        <w:pStyle w:val="Normal"/>
        <w:widowControl/>
        <w:spacing w:after="120"/>
      </w:pPr>
      <w:r>
        <w:t xml:space="preserve"/>
      </w:r>
      <w:r>
        <w:t xml:space="preserve">[V16-32]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356">
        <w:r>
          <w:rPr>
            <w:color w:val="0563C1"/>
            <w:u w:val="single"/>
          </w:rPr>
          <w:t>Source</w:t>
        </w:r>
      </w:hyperlink>
      <w:r>
        <w:t xml:space="preserve"> | </w:t>
      </w:r>
      <w:hyperlink r:id="rId357">
        <w:r>
          <w:rPr>
            <w:color w:val="0563C1"/>
            <w:u w:val="single"/>
          </w:rPr>
          <w:t>Full-text access</w:t>
        </w:r>
      </w:hyperlink>
    </w:p>
    <w:p>
      <w:pPr>
        <w:pStyle w:val="Normal"/>
        <w:widowControl/>
        <w:spacing w:after="120"/>
      </w:pPr>
      <w:r>
        <w:t xml:space="preserve"/>
      </w:r>
      <w:r>
        <w:t xml:space="preserve">[V16-33] Allen, Elisa; Taylor, Rhiannon; Gimson, Alexander; et al. Transplant benefit-based offering of deceased donor livers in the United Kingdom. Journal of Hepatology. 2024; 81(3):471-478. </w:t>
      </w:r>
      <w:hyperlink r:id="rId358">
        <w:r>
          <w:rPr>
            <w:color w:val="0563C1"/>
            <w:u w:val="single"/>
          </w:rPr>
          <w:t>Source</w:t>
        </w:r>
      </w:hyperlink>
      <w:r>
        <w:t xml:space="preserve"> | </w:t>
      </w:r>
      <w:hyperlink r:id="rId359">
        <w:r>
          <w:rPr>
            <w:color w:val="0563C1"/>
            <w:u w:val="single"/>
          </w:rPr>
          <w:t>Full-text access</w:t>
        </w:r>
      </w:hyperlink>
    </w:p>
    <w:p>
      <w:pPr>
        <w:pStyle w:val="Normal"/>
        <w:widowControl/>
        <w:spacing w:after="120"/>
      </w:pPr>
      <w:r>
        <w:t xml:space="preserve"/>
      </w:r>
      <w:r>
        <w:t xml:space="preserve">[V16-34] Abecassis, M.M.; Fisher, R.A.; Olthoff, K.M.; et al. Complications of Living Donor Hepatic Lobectomy—A Comprehensive Report. American Journal of Transplantation. 2012; 12(5):1208-1217. </w:t>
      </w:r>
      <w:hyperlink r:id="rId360">
        <w:r>
          <w:rPr>
            <w:color w:val="0563C1"/>
            <w:u w:val="single"/>
          </w:rPr>
          <w:t>Source</w:t>
        </w:r>
      </w:hyperlink>
      <w:r>
        <w:t xml:space="preserve"> | </w:t>
      </w:r>
      <w:hyperlink r:id="rId361">
        <w:r>
          <w:rPr>
            <w:color w:val="0563C1"/>
            <w:u w:val="single"/>
          </w:rPr>
          <w:t>Full-text access</w:t>
        </w:r>
      </w:hyperlink>
    </w:p>
    <w:p>
      <w:pPr>
        <w:pStyle w:val="Normal"/>
        <w:widowControl/>
        <w:spacing w:after="120"/>
      </w:pPr>
      <w:r>
        <w:t xml:space="preserve"/>
      </w:r>
      <w:r>
        <w:t xml:space="preserve">[V16-35] DiMartini, A.; Dew, M.A.; Liu, Q.; et al. Social and Financial Outcomes of Living Liver Donation: A Prospective Investigation Within the Adult-to-Adult Living Donor Liver Transplantation Cohort Study 2 (A2ALL-2). American Journal of Transplantation. 2017; 17(4):1081-1096. </w:t>
      </w:r>
      <w:hyperlink r:id="rId362">
        <w:r>
          <w:rPr>
            <w:color w:val="0563C1"/>
            <w:u w:val="single"/>
          </w:rPr>
          <w:t>Source</w:t>
        </w:r>
      </w:hyperlink>
      <w:r>
        <w:t xml:space="preserve"> | </w:t>
      </w:r>
      <w:hyperlink r:id="rId363">
        <w:r>
          <w:rPr>
            <w:color w:val="0563C1"/>
            <w:u w:val="single"/>
          </w:rPr>
          <w:t>Full-text access</w:t>
        </w:r>
      </w:hyperlink>
    </w:p>
    <w:p>
      <w:pPr>
        <w:pStyle w:val="Normal"/>
        <w:widowControl/>
        <w:spacing w:after="120"/>
      </w:pPr>
      <w:r>
        <w:t xml:space="preserve"/>
      </w:r>
      <w:r>
        <w:t xml:space="preserve">[V16-36] Xiao, Jieling; Zeng, Rebecca Wenling; Lim, Wen Hui; et al. The incidence of adverse outcome in donors after living donor liver transplantation: A meta-analysis of 60,829 donors. Liver Transplantation. 2024; 30(5):493-504. </w:t>
      </w:r>
      <w:hyperlink r:id="rId364">
        <w:r>
          <w:rPr>
            <w:color w:val="0563C1"/>
            <w:u w:val="single"/>
          </w:rPr>
          <w:t>Source</w:t>
        </w:r>
      </w:hyperlink>
      <w:r>
        <w:t xml:space="preserve"> | </w:t>
      </w:r>
      <w:hyperlink r:id="rId365">
        <w:r>
          <w:rPr>
            <w:color w:val="0563C1"/>
            <w:u w:val="single"/>
          </w:rPr>
          <w:t>Full-text access</w:t>
        </w:r>
      </w:hyperlink>
    </w:p>
    <w:p>
      <w:pPr>
        <w:pStyle w:val="Normal"/>
        <w:widowControl/>
        <w:spacing w:after="120"/>
      </w:pPr>
      <w:r>
        <w:t xml:space="preserve"/>
      </w:r>
      <w:r>
        <w:t xml:space="preserve">[V16-37] Oh, Do-Youn; He, Aiwu Ruth; Qin, Shukui; et al. Durvalumab plus chemotherapy in advanced biliary tract cancer: 3-year overall survival update from the phase III TOPAZ-1 study. Journal of Hepatology. 2025. </w:t>
      </w:r>
      <w:hyperlink r:id="rId366">
        <w:r>
          <w:rPr>
            <w:color w:val="0563C1"/>
            <w:u w:val="single"/>
          </w:rPr>
          <w:t>Source</w:t>
        </w:r>
      </w:hyperlink>
      <w:r>
        <w:t xml:space="preserve"> | </w:t>
      </w:r>
      <w:hyperlink r:id="rId367">
        <w:r>
          <w:rPr>
            <w:color w:val="0563C1"/>
            <w:u w:val="single"/>
          </w:rPr>
          <w:t>Full-text access</w:t>
        </w:r>
      </w:hyperlink>
    </w:p>
    <w:p>
      <w:pPr>
        <w:pStyle w:val="Normal"/>
        <w:widowControl/>
        <w:spacing w:after="120"/>
      </w:pPr>
      <w:r>
        <w:t xml:space="preserve"/>
      </w:r>
      <w:r>
        <w:t xml:space="preserve">[V16-38] Semaan, Samar; Connor, Ashton A.; Saharia, Ashish; et al. Transplantation for Peri-Hilar and Intrahepatic Cholangiocarcinoma With mTOR Immunosuppression. Transplantation Proceedings. 2025; 57(2):255-263. </w:t>
      </w:r>
      <w:hyperlink r:id="rId368">
        <w:r>
          <w:rPr>
            <w:color w:val="0563C1"/>
            <w:u w:val="single"/>
          </w:rPr>
          <w:t>Source</w:t>
        </w:r>
      </w:hyperlink>
      <w:r>
        <w:t xml:space="preserve"> | </w:t>
      </w:r>
      <w:hyperlink r:id="rId369">
        <w:r>
          <w:rPr>
            <w:color w:val="0563C1"/>
            <w:u w:val="single"/>
          </w:rPr>
          <w:t>Full-text access</w:t>
        </w:r>
      </w:hyperlink>
    </w:p>
    <w:p>
      <w:pPr>
        <w:pStyle w:val="Normal"/>
        <w:widowControl/>
        <w:spacing w:after="120"/>
      </w:pPr>
      <w:r>
        <w:t xml:space="preserve"/>
      </w:r>
      <w:r>
        <w:t xml:space="preserve">[V16-39] Gül-Klein, Safak; Schmitz, Paulina; Schöning, Wenzel; et al. The Role of Immunosuppression for Recurrent Cholangiocellular Carcinoma after Liver Transplantation. Cancers. 2022; 14(12):2890. </w:t>
      </w:r>
      <w:hyperlink r:id="rId370">
        <w:r>
          <w:rPr>
            <w:color w:val="0563C1"/>
            <w:u w:val="single"/>
          </w:rPr>
          <w:t>Source</w:t>
        </w:r>
      </w:hyperlink>
      <w:r>
        <w:t xml:space="preserve"> | </w:t>
      </w:r>
      <w:hyperlink r:id="rId371">
        <w:r>
          <w:rPr>
            <w:color w:val="0563C1"/>
            <w:u w:val="single"/>
          </w:rPr>
          <w:t>Full-text access</w:t>
        </w:r>
      </w:hyperlink>
    </w:p>
    <w:p>
      <w:pPr>
        <w:pStyle w:val="Normal"/>
        <w:widowControl/>
        <w:spacing w:after="120"/>
      </w:pPr>
      <w:r>
        <w:t xml:space="preserve"/>
      </w:r>
      <w:r>
        <w:t xml:space="preserve">[V16-40] Ramanan, Poornima; Cummins, Nathan W.; Wilhelm, Mark P.; et al. Epidemiology, risk factors, and outcomes of infections in patients undergoing liver transplantation for hilar cholangiocarcinoma. Clinical Transplantation. 2017; 31(8). </w:t>
      </w:r>
      <w:hyperlink r:id="rId372">
        <w:r>
          <w:rPr>
            <w:color w:val="0563C1"/>
            <w:u w:val="single"/>
          </w:rPr>
          <w:t>Source</w:t>
        </w:r>
      </w:hyperlink>
      <w:r>
        <w:t xml:space="preserve"> | </w:t>
      </w:r>
      <w:hyperlink r:id="rId373">
        <w:r>
          <w:rPr>
            <w:color w:val="0563C1"/>
            <w:u w:val="single"/>
          </w:rPr>
          <w:t>Full-text access</w:t>
        </w:r>
      </w:hyperlink>
    </w:p>
    <w:p>
      <w:pPr>
        <w:pStyle w:val="Normal"/>
        <w:widowControl/>
        <w:spacing w:after="120"/>
      </w:pPr>
      <w:r>
        <w:t xml:space="preserve"/>
      </w:r>
      <w:r>
        <w:t xml:space="preserve">[V16-41] Novartis Pharmaceuticals Corporation. Zortress (everolimus) US prescribing information, updated 16 September 2026. DailyMed. 2026. </w:t>
      </w:r>
      <w:hyperlink r:id="rId374">
        <w:r>
          <w:rPr>
            <w:color w:val="0563C1"/>
            <w:u w:val="single"/>
          </w:rPr>
          <w:t>Source</w:t>
        </w:r>
      </w:hyperlink>
      <w:r>
        <w:t xml:space="preserve"> | </w:t>
      </w:r>
      <w:hyperlink r:id="rId375">
        <w:r>
          <w:rPr>
            <w:color w:val="0563C1"/>
            <w:u w:val="single"/>
          </w:rPr>
          <w:t>Full-text access</w:t>
        </w:r>
      </w:hyperlink>
    </w:p>
    <w:p>
      <w:pPr>
        <w:pStyle w:val="Normal"/>
        <w:widowControl/>
        <w:spacing w:after="120"/>
      </w:pPr>
      <w:r>
        <w:t xml:space="preserve"/>
      </w:r>
      <w:r>
        <w:t xml:space="preserve">[V16-42] De Martin, Eleonora; Antonini, Teresa Maria; Uguen, Thomas; et al. Immune checkpoint inhibitors after liver transplantation: The role of immunosuppressive management. American Journal of Transplantation. 2026; 26(8):1958-1971. </w:t>
      </w:r>
      <w:hyperlink r:id="rId376">
        <w:r>
          <w:rPr>
            <w:color w:val="0563C1"/>
            <w:u w:val="single"/>
          </w:rPr>
          <w:t>Source</w:t>
        </w:r>
      </w:hyperlink>
      <w:r>
        <w:t xml:space="preserve"> | </w:t>
      </w:r>
      <w:hyperlink r:id="rId377">
        <w:r>
          <w:rPr>
            <w:color w:val="0563C1"/>
            <w:u w:val="single"/>
          </w:rPr>
          <w:t>Full-text access</w:t>
        </w:r>
      </w:hyperlink>
    </w:p>
    <w:p>
      <w:pPr>
        <w:pStyle w:val="Normal"/>
        <w:widowControl/>
        <w:spacing w:after="120"/>
      </w:pPr>
      <w:r>
        <w:t xml:space="preserve"/>
      </w:r>
      <w:r>
        <w:t xml:space="preserve">[V16-43] Eldridge, Sandra M; Chan, Claire L; Campbell, Michael J; et al. CONSORT 2010 statement: extension to randomised pilot and feasibility trials. BMJ. 2016; :i5239. </w:t>
      </w:r>
      <w:hyperlink r:id="rId378">
        <w:r>
          <w:rPr>
            <w:color w:val="0563C1"/>
            <w:u w:val="single"/>
          </w:rPr>
          <w:t>Source</w:t>
        </w:r>
      </w:hyperlink>
      <w:r>
        <w:t xml:space="preserve"> | </w:t>
      </w:r>
      <w:hyperlink r:id="rId379">
        <w:r>
          <w:rPr>
            <w:color w:val="0563C1"/>
            <w:u w:val="single"/>
          </w:rPr>
          <w:t>Full-text access</w:t>
        </w:r>
      </w:hyperlink>
    </w:p>
    <w:p>
      <w:pPr>
        <w:pStyle w:val="Normal"/>
        <w:widowControl/>
        <w:spacing w:after="120"/>
      </w:pPr>
      <w:r>
        <w:t xml:space="preserve"/>
      </w:r>
      <w:r>
        <w:t xml:space="preserve">[V16-44] Campbell, Sally; Ahmed, Ola; Cullinan, Darren; et al. Liver Transplantation for Unresectable Biliary Tract Cancers: Largest Single-Center Analysis of Subtype-Specific Survival and Recurrence (2007-2025). Annals of surgical oncology. 2026; 33(9):7870-7880. </w:t>
      </w:r>
      <w:hyperlink r:id="rId380">
        <w:r>
          <w:rPr>
            <w:color w:val="0563C1"/>
            <w:u w:val="single"/>
          </w:rPr>
          <w:t>Source</w:t>
        </w:r>
      </w:hyperlink>
      <w:r>
        <w:t xml:space="preserve"> | Local PDF not available in this update</w:t>
      </w:r>
    </w:p>
    <w:p>
      <w:pPr>
        <w:pStyle w:val="Normal"/>
        <w:widowControl/>
        <w:spacing w:after="120"/>
      </w:pPr>
      <w:r>
        <w:t xml:space="preserve"/>
      </w:r>
      <w:r>
        <w:t xml:space="preserve">[V16-45] Hu, Xiao-Xing; Yan, Lu-Nan. Retrospective analysis of prognostic factors after liver transplantation for intrahepatic cholangiocarcinoma in China: a single-center experience. Hepato-gastroenterology. 2011; 58(109):1255-9. </w:t>
      </w:r>
      <w:hyperlink r:id="rId38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ysuwr9ltbnwjw9tobeym" Type="http://schemas.openxmlformats.org/officeDocument/2006/relationships/hyperlink" Target="https://doi.org/10.1002/hep.32771" TargetMode="External"/><Relationship Id="rIdxzs_fecac5bdqrquu3ofr" Type="http://schemas.openxmlformats.org/officeDocument/2006/relationships/hyperlink" Target="https://pubmed.ncbi.nlm.nih.gov/34859465" TargetMode="External"/><Relationship Id="rId_-3ftanlp-5bg7hmgown-" Type="http://schemas.openxmlformats.org/officeDocument/2006/relationships/hyperlink" Target="https://doi.org/10.1097/HEP.0000000000001644" TargetMode="External"/><Relationship Id="rIdsl8n_9vvjkktg-mnuretb" Type="http://schemas.openxmlformats.org/officeDocument/2006/relationships/hyperlink" Target="https://pubmed.ncbi.nlm.nih.gov/41991890" TargetMode="External"/><Relationship Id="rIdrvl2_80sykts3ijmfzi_p" Type="http://schemas.openxmlformats.org/officeDocument/2006/relationships/hyperlink" Target="https://pubmed.ncbi.nlm.nih.gov/42082871" TargetMode="External"/><Relationship Id="rIdkmhhcgev2x5xg9bvdkh-2" Type="http://schemas.openxmlformats.org/officeDocument/2006/relationships/hyperlink" Target="https://www.nejm.org/doi/full/10.1056/NEJMoa2513918" TargetMode="External"/><Relationship Id="rIdx36zbfx9xifciax9vvcs1" Type="http://schemas.openxmlformats.org/officeDocument/2006/relationships/hyperlink" Target="https://www.nccn.org/professionals/physician_gls/pdf/btc.pdf#page=16" TargetMode="External"/><Relationship Id="rIdrjgf3lwd5uphn41sgedfg" Type="http://schemas.openxmlformats.org/officeDocument/2006/relationships/hyperlink" Target="https://pubmed.ncbi.nlm.nih.gov/35127541" TargetMode="External"/><Relationship Id="rIdrxcueiggykru3hjpiyha8" Type="http://schemas.openxmlformats.org/officeDocument/2006/relationships/hyperlink" Target="https://pubmed.ncbi.nlm.nih.gov/40940601" TargetMode="External"/><Relationship Id="rIdeyivhnv-sv5owc_z4a9ml" Type="http://schemas.openxmlformats.org/officeDocument/2006/relationships/hyperlink" Target="https://pubmed.ncbi.nlm.nih.gov/35719974" TargetMode="External"/><Relationship Id="rIdf8lxtgcgntnwutm1ibsrt" Type="http://schemas.openxmlformats.org/officeDocument/2006/relationships/hyperlink" Target="https://pubmed.ncbi.nlm.nih.gov/42073607" TargetMode="External"/><Relationship Id="rIdmgf6qzjxxtaojzwlvx3dj" Type="http://schemas.openxmlformats.org/officeDocument/2006/relationships/hyperlink" Target="https://www.ncbi.nlm.nih.gov/pmc/articles/PMC10663390/" TargetMode="External"/><Relationship Id="rIdbph7hfofys6ludlcxweic" Type="http://schemas.openxmlformats.org/officeDocument/2006/relationships/hyperlink" Target="https://pubmed.ncbi.nlm.nih.gov/29548617" TargetMode="External"/><Relationship Id="rIdtyetxhbo-cfimpluabyw7" Type="http://schemas.openxmlformats.org/officeDocument/2006/relationships/hyperlink" Target="https://onlinelibrary.wiley.com/doi/10.1111/ctr.13023" TargetMode="External"/><Relationship Id="rIdunrehse07mi-knufokmxq" Type="http://schemas.openxmlformats.org/officeDocument/2006/relationships/hyperlink" Target="https://pubmed.ncbi.nlm.nih.gov/39939239" TargetMode="External"/><Relationship Id="rIdrvaia7siv0w7rwezkja_j" Type="http://schemas.openxmlformats.org/officeDocument/2006/relationships/hyperlink" Target="https://pubmed.ncbi.nlm.nih.gov/35740555" TargetMode="External"/><Relationship Id="rIdmtv1q0nkpiupzrvd9myrn" Type="http://schemas.openxmlformats.org/officeDocument/2006/relationships/hyperlink" Target="https://meetings.asco.org/abstracts-presentations/255564" TargetMode="External"/><Relationship Id="rIdk7-d60hsiu54m5y38xtas" Type="http://schemas.openxmlformats.org/officeDocument/2006/relationships/hyperlink" Target="https://onlinelibrary.wiley.com/doi/10.1111/ctr.70547" TargetMode="External"/><Relationship Id="rId24" Type="http://schemas.openxmlformats.org/officeDocument/2006/relationships/fontTable" Target="fontTable.xml"/><Relationship Id="rId25" Type="http://schemas.openxmlformats.org/officeDocument/2006/relationships/hyperlink" Target="https://doi.org/10.1002/hep.287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onlinelibrary.wiley.com/doi/full/10.1002/lt.25737"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pubmed.ncbi.nlm.nih.gov/33316425/"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111/ajt.16906"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3389/ti.2024.13641"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academic.oup.com/bjs/article/112/3/znaf054/8083032"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onlinelibrary.wiley.com/doi/10.1111/ctr.70547"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97/HEP.0000000000001644"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3389/ti.2024.13641"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97/LVT.000000000000058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97/HEP.0000000000001644"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www.hrsa.gov/sites/default/files/hrsa/optn/adult-meld-exception-transplant-oncology-review-guidance.pdf"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2468-1253(18)30045-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111/ajt.16906"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3389/ti.2024.13641"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academic.oup.com/bjs/article/112/3/znaf054/8083032"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pmc.ncbi.nlm.nih.gov/articles/PMC13254992/"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245/s10434-026-19652-8"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200/JCO-25-00923"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3389/fonc.2026.1866870"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56/NEJMoa2513918"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4-01383"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18)30045-1"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111/ajt.1690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j.ajt.2026.09.039"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16/S2468-1253(18)30045-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pmc.ncbi.nlm.nih.gov/articles/PMC13254992/"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245/s10434-026-19652-8"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200/JCO-25-0092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www.journal-of-hepatology.eu/article/S0168-8278(25)02201-9/fulltext"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55/joot/2545887"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pubmed.ncbi.nlm.nih.gov/39939239"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pubmed.ncbi.nlm.nih.gov/35740555"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onlinelibrary.wiley.com/doi/10.1111/ctr.13023"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16/j.ajt.2026.09.039"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245/s10434-026-19652-8"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www.hrsa.gov/sites/default/files/hrsa/optn/optn_policies.pdf"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www.hrsa.gov/sites/default/files/hrsa/optn/adult-meld-exception-transplant-oncology-review-guidance.pdf"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02/hep.28744"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111/ajt.16906"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16/S2468-1253(18)30045-1"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3389/ti.2024.13641"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16/j.ajt.2026.09.039"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245/s10434-026-19652-8"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1097/LVT.0000000000000589"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oi.org/10.1097/HEP.0000000000001644"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onlinelibrary.wiley.com/doi/full/10.1002/lt.25737"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33316425/"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academic.oup.com/bjs/article/112/3/znaf054/8083032"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pmc.ncbi.nlm.nih.gov/articles/PMC13254992/"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onlinelibrary.wiley.com/doi/10.1111/ctr.70547"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200/JCO-24-01383"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56/NEJMoa2513918"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16/S1470-2045(25)00376-6"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200/JCO-25-00923"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16/j.jhep.2024.06.042"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97/HEP.000000000000128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3389/fonc.2026.1866870"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155/joot/2545887"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www.ecfr.gov/current/title-45/subtitle-A/subchapter-A/part-46/subpart-A/section-46.111" TargetMode="External"/><Relationship Id="rId164" Type="http://schemas.openxmlformats.org/officeDocument/2006/relationships/hyperlink" Target="https://www.hrsa.gov/optn/professionals/resources/ethical-considerations/ethical-principles-in-the-allocation-of-human-organs" TargetMode="External"/><Relationship Id="rId165" Type="http://schemas.openxmlformats.org/officeDocument/2006/relationships/hyperlink" Target="https://doi.org/10.1038/s41571-026-01160-z"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16/S1470-2045(20)30224-2"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16/S0140-6736(24)01595-2"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4.03.020"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j.1600-6143.2011.03972.x"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111/ajt.14055"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97/LVT.0000000000000303"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www.journal-of-hepatology.eu/article/S0168-8278(25)02201-9/fulltext"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pubmed.ncbi.nlm.nih.gov/39939239"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pubmed.ncbi.nlm.nih.gov/35740555"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onlinelibrary.wiley.com/doi/10.1111/ctr.13023"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ailymed.nlm.nih.gov/dailymed/drugInfo.cfm?setid=e082a024-7850-400b-a5c2-2a140612562a"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16/j.ajt.2026.02.010"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136/bmj.i5239"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200/JCO-26-02462"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16/S2468-1253(24)00119-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111/cas.13656"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www.hrsa.gov/sites/default/files/hrsa/optn/optn_policies.pdf"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www.hrsa.gov/sites/default/files/hrsa/optn/adult-meld-exception-transplant-oncology-review-guidance.pdf"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02/hep.28744"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11/ajt.16906"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16/S2468-1253(18)30045-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3389/ti.2024.13641"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16/j.ajt.2026.09.039"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245/s10434-026-19652-8"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97/LVT.0000000000000589"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doi.org/10.1097/HEP.0000000000001644"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onlinelibrary.wiley.com/doi/full/10.1002/lt.25737"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pubmed.ncbi.nlm.nih.gov/33316425/"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academic.oup.com/bjs/article/112/3/znaf054/8083032"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pmc.ncbi.nlm.nih.gov/articles/PMC13254992/"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onlinelibrary.wiley.com/doi/10.1111/ctr.70547"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www.nccn.org/professionals/physician_gls/pdf/btc.pdf#page=16"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doi.org/10.1200/JCO-26-02462"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016/S2468-1253(24)00119-5"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oi.org/10.1111/cas.13656"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doi.org/10.1200/JCO-24-01383"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56/NEJMoa2513918"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1016/S1470-2045(25)00376-6"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doi.org/10.1200/JCO-25-00923"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016/j.jhep.2024.06.042"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097/HEP.0000000000001289"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3389/fonc.2026.1866870"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155/joot/2545887"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www.ecfr.gov/current/title-45/subtitle-A/subchapter-A/part-46/subpart-A/section-46.111" TargetMode="External"/><Relationship Id="rId255" Type="http://schemas.openxmlformats.org/officeDocument/2006/relationships/hyperlink" Target="https://www.hrsa.gov/optn/professionals/resources/ethical-considerations/ethical-principles-in-the-allocation-of-human-organs" TargetMode="External"/><Relationship Id="rId256" Type="http://schemas.openxmlformats.org/officeDocument/2006/relationships/hyperlink" Target="https://doi.org/10.1038/s41571-026-01160-z"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16/S1470-2045(20)30224-2"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16/S0140-6736(24)01595-2"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16/j.jhep.2024.03.020"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111/j.1600-6143.2011.03972.x"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111/ajt.14055"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97/LVT.0000000000000303"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www.journal-of-hepatology.eu/article/S0168-8278(25)02201-9/fulltext"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pubmed.ncbi.nlm.nih.gov/39939239"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pubmed.ncbi.nlm.nih.gov/35740555"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onlinelibrary.wiley.com/doi/10.1111/ctr.13023"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ailymed.nlm.nih.gov/dailymed/drugInfo.cfm?setid=e082a024-7850-400b-a5c2-2a140612562a"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doi.org/10.1016/j.ajt.2026.02.010"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136/bmj.i5239"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doi.org/10.1016/S2468-1253(18)30045-1"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111/ajt.16906"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doi.org/10.3389/ti.2024.13641"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016/j.ajt.2026.09.039"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doi.org/10.1245/s10434-026-19975-6" TargetMode="External"/><Relationship Id="rId293" Type="http://schemas.openxmlformats.org/officeDocument/2006/relationships/hyperlink" Target="https://doi.org/10.1097/LVT.0000000000000589"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5754/hge10704" TargetMode="External"/><Relationship Id="rId296" Type="http://schemas.openxmlformats.org/officeDocument/2006/relationships/hyperlink" Target="https://www.hrsa.gov/sites/default/files/hrsa/optn/optn_policies.pdf"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www.hrsa.gov/sites/default/files/hrsa/optn/adult-meld-exception-transplant-oncology-review-guidance.pdf"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doi.org/10.1002/hep.28744"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doi.org/10.1111/ajt.16906"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doi.org/10.1016/S2468-1253(18)30045-1"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doi.org/10.3389/ti.2024.13641"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doi.org/10.1016/j.ajt.2026.09.039"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245/s10434-026-19652-8"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doi.org/10.1097/LVT.0000000000000589"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doi.org/10.1097/HEP.0000000000001644"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onlinelibrary.wiley.com/doi/full/10.1002/lt.25737"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pubmed.ncbi.nlm.nih.gov/33316425/"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academic.oup.com/bjs/article/112/3/znaf054/8083032"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pmc.ncbi.nlm.nih.gov/articles/PMC13254992/"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onlinelibrary.wiley.com/doi/10.1111/ctr.70547"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www.nccn.org/professionals/physician_gls/pdf/btc.pdf#page=16"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doi.org/10.1200/JCO-26-02462"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16/S2468-1253(24)00119-5"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111/cas.13656"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200/JCO-24-01383"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056/NEJMoa2513918"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S1470-2045(25)00376-6"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200/JCO-25-00923"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doi.org/10.1016/j.jhep.2024.06.042"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97/HEP.000000000000128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3389/fonc.2026.1866870"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155/joot/2545887"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www.ecfr.gov/current/title-45/subtitle-A/subchapter-A/part-46/subpart-A/section-46.111" TargetMode="External"/><Relationship Id="rId351" Type="http://schemas.openxmlformats.org/officeDocument/2006/relationships/hyperlink" Target="https://www.hrsa.gov/optn/professionals/resources/ethical-considerations/ethical-principles-in-the-allocation-of-human-organs" TargetMode="External"/><Relationship Id="rId352" Type="http://schemas.openxmlformats.org/officeDocument/2006/relationships/hyperlink" Target="https://doi.org/10.1038/s41571-026-01160-z"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016/S1470-2045(20)30224-2"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016/S0140-6736(24)01595-2"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016/j.jhep.2024.03.020"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111/j.1600-6143.2011.03972.x"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111/ajt.14055"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doi.org/10.1097/LVT.0000000000000303"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www.journal-of-hepatology.eu/article/S0168-8278(25)02201-9/fulltext"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pubmed.ncbi.nlm.nih.gov/39939239"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pubmed.ncbi.nlm.nih.gov/35740555" TargetMode="External"/><Relationship Id="rId371" Type="http://schemas.openxmlformats.org/officeDocument/2006/relationships/hyperlink" Target="https://drliuhao.github.io/mh-liver-pathways/evidence-libraries/" TargetMode="External"/><Relationship Id="rId372" Type="http://schemas.openxmlformats.org/officeDocument/2006/relationships/hyperlink" Target="https://onlinelibrary.wiley.com/doi/10.1111/ctr.13023"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dailymed.nlm.nih.gov/dailymed/drugInfo.cfm?setid=e082a024-7850-400b-a5c2-2a140612562a"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016/j.ajt.2026.02.010"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136/bmj.i5239"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245/s10434-026-19975-6" TargetMode="External"/><Relationship Id="rId381" Type="http://schemas.openxmlformats.org/officeDocument/2006/relationships/hyperlink" Target="https://doi.org/10.5754/hge1070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2026-07-15T23:24:06.787Z</dcterms:created>
  <dcterms:modified xsi:type="dcterms:W3CDTF">2026-10-29T14:21:25Z</dcterms:modified>
  <dc:title>UTHealth Houston and Memorial Hermann High Risk Liver Transplant Protocol for Intrahepatic Cholangiocarcinoma V8</dc:title>
  <dc:subject>Investigational iCCA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