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line="252" w:lineRule="auto" w:after="120"/>
      </w:pPr>
      <w:r>
        <w:rPr>
          <w:b w:val="0"/>
          <w:i w:val="0"/>
          <w:sz w:val="44"/>
        </w:rPr>
        <w:t>Intrahepatic cholangiocarcinoma — High-risk transplant protocol: questions for consensus</w:t>
      </w:r>
    </w:p>
    <w:p>
      <w:pPr>
        <w:spacing w:after="80"/>
      </w:pPr>
      <w:r>
        <w:rPr>
          <w:b w:val="0"/>
          <w:i w:val="0"/>
          <w:color w:val="5A6069"/>
          <w:sz w:val="18"/>
        </w:rPr>
        <w:t>UTHealth Houston and Memorial Hermann · HPB oncology · 29 October 2026 · V17 standardized documents</w:t>
      </w:r>
    </w:p>
    <w:p>
      <w:pPr>
        <w:spacing w:after="80"/>
      </w:pPr>
      <w:r>
        <w:rPr>
          <w:b w:val="0"/>
          <w:i w:val="0"/>
        </w:rPr>
        <w:t>Every question in the high-risk transplant protocol that still needs a consensus answer. Each one shows what guidelines, trials and papers say, our proposed selection, and space for the group decision. All proposals are OPEN; nothing in this document is activated or approved.</w:t>
      </w:r>
    </w:p>
    <w:p>
      <w:pPr>
        <w:spacing w:after="80"/>
      </w:pPr>
      <w:r>
        <w:rPr>
          <w:b w:val="0"/>
          <w:i w:val="0"/>
        </w:rPr>
        <w:t>Web page: https://drliuhao.github.io/mh-liver-pathways/transplant/icca/#high-risk</w:t>
      </w:r>
    </w:p>
    <w:p>
      <w:pPr>
        <w:spacing w:after="160"/>
      </w:pPr>
      <w:r>
        <w:rPr>
          <w:b/>
          <w:i w:val="0"/>
        </w:rPr>
        <w:t xml:space="preserve">Companion files: </w:t>
      </w:r>
      <w:r>
        <w:rPr>
          <w:b w:val="0"/>
          <w:i w:val="0"/>
          <w:sz w:val="20"/>
        </w:rPr>
        <w:t xml:space="preserve">Full content: </w:t>
      </w:r>
      <w:r>
        <w:rPr>
          <w:b w:val="0"/>
          <w:i/>
        </w:rPr>
        <w:t>iCCA_5_High_Risk_Transplant_Protocol.docx</w:t>
      </w:r>
      <w:r>
        <w:rPr>
          <w:b w:val="0"/>
          <w:i w:val="0"/>
          <w:sz w:val="20"/>
        </w:rPr>
        <w:t xml:space="preserve"> · Decision discussion for all settings: </w:t>
      </w:r>
      <w:r>
        <w:rPr>
          <w:b w:val="0"/>
          <w:i/>
        </w:rPr>
        <w:t>iCCA_7_Decision_Discussion.docx</w:t>
      </w:r>
    </w:p>
    <w:p>
      <w:pPr>
        <w:pStyle w:val="Heading1"/>
        <w:keepNext/>
        <w:spacing w:before="280" w:after="80"/>
      </w:pPr>
      <w:r>
        <w:rPr>
          <w:b w:val="0"/>
          <w:i w:val="0"/>
        </w:rPr>
        <w:t>Summary</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1300"/>
        <w:gridCol w:w="3500"/>
        <w:gridCol w:w="3780"/>
        <w:gridCol w:w="1500"/>
      </w:tblGrid>
      <w:tr>
        <w:trPr>
          <w:tblHeader/>
        </w:trPr>
        <w:tc>
          <w:tcPr>
            <w:tcW w:type="dxa" w:w="2520"/>
            <w:tcW w:w="1300" w:type="dxa"/>
            <w:shd w:val="clear" w:color="auto" w:fill="17365D"/>
          </w:tcPr>
          <w:p>
            <w:r>
              <w:rPr>
                <w:b/>
                <w:i w:val="0"/>
                <w:color w:val="FFFFFF"/>
                <w:sz w:val="19"/>
              </w:rPr>
              <w:t>ID</w:t>
            </w:r>
          </w:p>
        </w:tc>
        <w:tc>
          <w:tcPr>
            <w:tcW w:type="dxa" w:w="2520"/>
            <w:tcW w:w="3500" w:type="dxa"/>
            <w:shd w:val="clear" w:color="auto" w:fill="17365D"/>
          </w:tcPr>
          <w:p>
            <w:r>
              <w:rPr>
                <w:b/>
                <w:i w:val="0"/>
                <w:color w:val="FFFFFF"/>
                <w:sz w:val="19"/>
              </w:rPr>
              <w:t>Question</w:t>
            </w:r>
          </w:p>
        </w:tc>
        <w:tc>
          <w:tcPr>
            <w:tcW w:type="dxa" w:w="2520"/>
            <w:tcW w:w="3780" w:type="dxa"/>
            <w:shd w:val="clear" w:color="auto" w:fill="17365D"/>
          </w:tcPr>
          <w:p>
            <w:r>
              <w:rPr>
                <w:b/>
                <w:i w:val="0"/>
                <w:color w:val="FFFFFF"/>
                <w:sz w:val="19"/>
              </w:rPr>
              <w:t>Proposed selection (summary)</w:t>
            </w:r>
          </w:p>
        </w:tc>
        <w:tc>
          <w:tcPr>
            <w:tcW w:type="dxa" w:w="2520"/>
            <w:tcW w:w="1500" w:type="dxa"/>
            <w:shd w:val="clear" w:color="auto" w:fill="17365D"/>
          </w:tcPr>
          <w:p>
            <w:r>
              <w:rPr>
                <w:b/>
                <w:i w:val="0"/>
                <w:color w:val="FFFFFF"/>
                <w:sz w:val="19"/>
              </w:rPr>
              <w:t>Status</w:t>
            </w:r>
          </w:p>
        </w:tc>
      </w:tr>
      <w:tr>
        <w:trPr>
          <w:cantSplit/>
        </w:trPr>
        <w:tc>
          <w:tcPr>
            <w:tcW w:type="dxa" w:w="2520"/>
            <w:tcW w:w="1300" w:type="dxa"/>
            <w:shd w:val="clear" w:color="auto" w:fill="F1F5F8"/>
          </w:tcPr>
          <w:p>
            <w:pPr>
              <w:spacing w:after="0"/>
            </w:pPr>
            <w:r>
              <w:rPr>
                <w:b/>
                <w:i w:val="0"/>
                <w:sz w:val="19"/>
              </w:rPr>
              <w:t>iCCA-B1</w:t>
            </w:r>
          </w:p>
        </w:tc>
        <w:tc>
          <w:tcPr>
            <w:tcW w:type="dxa" w:w="2520"/>
            <w:tcW w:w="3500" w:type="dxa"/>
            <w:shd w:val="clear" w:color="auto" w:fill="F1F5F8"/>
          </w:tcPr>
          <w:p>
            <w:pPr>
              <w:spacing w:after="0"/>
            </w:pPr>
            <w:r>
              <w:rPr>
                <w:b w:val="0"/>
                <w:i w:val="0"/>
                <w:sz w:val="19"/>
              </w:rPr>
              <w:t>Do we preserve separate small-cirrhotic and advanced-disease pathways?</w:t>
            </w:r>
          </w:p>
        </w:tc>
        <w:tc>
          <w:tcPr>
            <w:tcW w:type="dxa" w:w="2520"/>
            <w:tcW w:w="3780" w:type="dxa"/>
            <w:shd w:val="clear" w:color="auto" w:fill="F1F5F8"/>
          </w:tcPr>
          <w:p>
            <w:pPr>
              <w:spacing w:after="0"/>
            </w:pPr>
            <w:r>
              <w:rPr>
                <w:b w:val="0"/>
                <w:i w:val="0"/>
                <w:sz w:val="19"/>
              </w:rPr>
              <w:t>Keep the small-cirrhotic pathway separate; define the initial advanced study by pure, favorable-grade, localized morphology rather than an invented size cap.</w:t>
            </w:r>
          </w:p>
        </w:tc>
        <w:tc>
          <w:tcPr>
            <w:tcW w:type="dxa" w:w="2520"/>
            <w:tcW w:w="1500" w:type="dxa"/>
            <w:shd w:val="clear" w:color="auto" w:fill="F1F5F8"/>
          </w:tcPr>
          <w:p>
            <w:pPr>
              <w:spacing w:after="0"/>
            </w:pPr>
            <w:r>
              <w:rPr>
                <w:b w:val="0"/>
                <w:i w:val="0"/>
                <w:color w:val="5A6069"/>
                <w:sz w:val="18"/>
              </w:rPr>
              <w:t>OPEN proposal · not activated</w:t>
            </w:r>
          </w:p>
        </w:tc>
      </w:tr>
      <w:tr>
        <w:trPr>
          <w:cantSplit/>
        </w:trPr>
        <w:tc>
          <w:tcPr>
            <w:tcW w:type="dxa" w:w="2520"/>
            <w:tcW w:w="1300" w:type="dxa"/>
            <w:shd w:val="clear" w:color="auto" w:fill="FFFFFF"/>
          </w:tcPr>
          <w:p>
            <w:pPr>
              <w:spacing w:after="0"/>
            </w:pPr>
            <w:r>
              <w:rPr>
                <w:b/>
                <w:i w:val="0"/>
                <w:sz w:val="19"/>
              </w:rPr>
              <w:t>iCCA-B2</w:t>
            </w:r>
          </w:p>
        </w:tc>
        <w:tc>
          <w:tcPr>
            <w:tcW w:type="dxa" w:w="2520"/>
            <w:tcW w:w="3500" w:type="dxa"/>
            <w:shd w:val="clear" w:color="auto" w:fill="FFFFFF"/>
          </w:tcPr>
          <w:p>
            <w:pPr>
              <w:spacing w:after="0"/>
            </w:pPr>
            <w:r>
              <w:rPr>
                <w:b w:val="0"/>
                <w:i w:val="0"/>
                <w:sz w:val="19"/>
              </w:rPr>
              <w:t>What does sustained control have to prove before transplant activation?</w:t>
            </w:r>
          </w:p>
        </w:tc>
        <w:tc>
          <w:tcPr>
            <w:tcW w:type="dxa" w:w="2520"/>
            <w:tcW w:w="3780" w:type="dxa"/>
            <w:shd w:val="clear" w:color="auto" w:fill="FFFFFF"/>
          </w:tcPr>
          <w:p>
            <w:pPr>
              <w:spacing w:after="0"/>
            </w:pPr>
            <w:r>
              <w:rPr>
                <w:b w:val="0"/>
                <w:i w:val="0"/>
                <w:sz w:val="19"/>
              </w:rPr>
              <w:t>Require six months of continuous disease control, but distinguish liver-only progression with salvage from permanent exclusion.</w:t>
            </w:r>
          </w:p>
        </w:tc>
        <w:tc>
          <w:tcPr>
            <w:tcW w:type="dxa" w:w="2520"/>
            <w:tcW w:w="1500" w:type="dxa"/>
            <w:shd w:val="clear" w:color="auto" w:fill="FFFFFF"/>
          </w:tcPr>
          <w:p>
            <w:pPr>
              <w:spacing w:after="0"/>
            </w:pPr>
            <w:r>
              <w:rPr>
                <w:b w:val="0"/>
                <w:i w:val="0"/>
                <w:color w:val="5A6069"/>
                <w:sz w:val="18"/>
              </w:rPr>
              <w:t>OPEN proposal · not activated</w:t>
            </w:r>
          </w:p>
        </w:tc>
      </w:tr>
      <w:tr>
        <w:trPr>
          <w:cantSplit/>
        </w:trPr>
        <w:tc>
          <w:tcPr>
            <w:tcW w:type="dxa" w:w="2520"/>
            <w:tcW w:w="1300" w:type="dxa"/>
            <w:shd w:val="clear" w:color="auto" w:fill="F1F5F8"/>
          </w:tcPr>
          <w:p>
            <w:pPr>
              <w:spacing w:after="0"/>
            </w:pPr>
            <w:r>
              <w:rPr>
                <w:b/>
                <w:i w:val="0"/>
                <w:sz w:val="19"/>
              </w:rPr>
              <w:t>iCCA-B3</w:t>
            </w:r>
          </w:p>
        </w:tc>
        <w:tc>
          <w:tcPr>
            <w:tcW w:type="dxa" w:w="2520"/>
            <w:tcW w:w="3500" w:type="dxa"/>
            <w:shd w:val="clear" w:color="auto" w:fill="F1F5F8"/>
          </w:tcPr>
          <w:p>
            <w:pPr>
              <w:spacing w:after="0"/>
            </w:pPr>
            <w:r>
              <w:rPr>
                <w:b w:val="0"/>
                <w:i w:val="0"/>
                <w:sz w:val="19"/>
              </w:rPr>
              <w:t>Does access to LDLT change the evidentiary threshold?</w:t>
            </w:r>
          </w:p>
        </w:tc>
        <w:tc>
          <w:tcPr>
            <w:tcW w:type="dxa" w:w="2520"/>
            <w:tcW w:w="3780" w:type="dxa"/>
            <w:shd w:val="clear" w:color="auto" w:fill="F1F5F8"/>
          </w:tcPr>
          <w:p>
            <w:pPr>
              <w:spacing w:after="0"/>
            </w:pPr>
            <w:r>
              <w:rPr>
                <w:b w:val="0"/>
                <w:i w:val="0"/>
                <w:sz w:val="19"/>
              </w:rPr>
              <w:t>Develop a prospective LDLT feasibility study, but do not permit transplantation under this proposal yet.</w:t>
            </w:r>
          </w:p>
        </w:tc>
        <w:tc>
          <w:tcPr>
            <w:tcW w:type="dxa" w:w="2520"/>
            <w:tcW w:w="1500" w:type="dxa"/>
            <w:shd w:val="clear" w:color="auto" w:fill="F1F5F8"/>
          </w:tcPr>
          <w:p>
            <w:pPr>
              <w:spacing w:after="0"/>
            </w:pPr>
            <w:r>
              <w:rPr>
                <w:b w:val="0"/>
                <w:i w:val="0"/>
                <w:color w:val="5A6069"/>
                <w:sz w:val="18"/>
              </w:rPr>
              <w:t>Study development · no transplantation yet · not activated</w:t>
            </w:r>
          </w:p>
        </w:tc>
      </w:tr>
      <w:tr>
        <w:trPr>
          <w:cantSplit/>
        </w:trPr>
        <w:tc>
          <w:tcPr>
            <w:tcW w:type="dxa" w:w="2520"/>
            <w:tcW w:w="1300" w:type="dxa"/>
            <w:shd w:val="clear" w:color="auto" w:fill="FFFFFF"/>
          </w:tcPr>
          <w:p>
            <w:pPr>
              <w:spacing w:after="0"/>
            </w:pPr>
            <w:r>
              <w:rPr>
                <w:b/>
                <w:i w:val="0"/>
                <w:sz w:val="19"/>
              </w:rPr>
              <w:t>iCCA-B4</w:t>
            </w:r>
          </w:p>
        </w:tc>
        <w:tc>
          <w:tcPr>
            <w:tcW w:type="dxa" w:w="2520"/>
            <w:tcW w:w="3500" w:type="dxa"/>
            <w:shd w:val="clear" w:color="auto" w:fill="FFFFFF"/>
          </w:tcPr>
          <w:p>
            <w:pPr>
              <w:spacing w:after="0"/>
            </w:pPr>
            <w:r>
              <w:rPr>
                <w:b w:val="0"/>
                <w:i w:val="0"/>
                <w:sz w:val="19"/>
              </w:rPr>
              <w:t>Should a patient whose iCCA nodal or extrahepatic disease has responded or been resected ever be considered for transplantation?</w:t>
            </w:r>
          </w:p>
        </w:tc>
        <w:tc>
          <w:tcPr>
            <w:tcW w:type="dxa" w:w="2520"/>
            <w:tcW w:w="3780" w:type="dxa"/>
            <w:shd w:val="clear" w:color="auto" w:fill="FFFFFF"/>
          </w:tcPr>
          <w:p>
            <w:pPr>
              <w:spacing w:after="0"/>
            </w:pPr>
            <w:r>
              <w:rPr>
                <w:b w:val="0"/>
                <w:i w:val="0"/>
                <w:sz w:val="19"/>
              </w:rPr>
              <w:t>Keep closed. Proven malignant nodes or extrahepatic disease, current or previously treated, exclude the small-cirrhotic route and the advanced-iCCA study. Confirm node-negative status pathologically before listing.</w:t>
            </w:r>
          </w:p>
        </w:tc>
        <w:tc>
          <w:tcPr>
            <w:tcW w:type="dxa" w:w="2520"/>
            <w:tcW w:w="1500" w:type="dxa"/>
            <w:shd w:val="clear" w:color="auto" w:fill="FFFFFF"/>
          </w:tcPr>
          <w:p>
            <w:pPr>
              <w:spacing w:after="0"/>
            </w:pPr>
            <w:r>
              <w:rPr>
                <w:b w:val="0"/>
                <w:i w:val="0"/>
                <w:color w:val="5A6069"/>
                <w:sz w:val="18"/>
              </w:rPr>
              <w:t>Closed · not activated</w:t>
            </w:r>
          </w:p>
        </w:tc>
      </w:tr>
    </w:tbl>
    <w:p>
      <w:pPr>
        <w:spacing w:after="40"/>
      </w:pPr>
    </w:p>
    <w:p>
      <w:pPr>
        <w:pStyle w:val="Heading1"/>
        <w:keepNext/>
        <w:spacing w:before="280" w:after="80"/>
      </w:pPr>
      <w:r>
        <w:rPr>
          <w:b w:val="0"/>
          <w:i w:val="0"/>
        </w:rPr>
        <w:t>Questions</w:t>
      </w:r>
    </w:p>
    <w:p>
      <w:pPr>
        <w:pStyle w:val="Heading2"/>
        <w:keepNext/>
        <w:spacing w:before="200" w:after="80"/>
      </w:pPr>
      <w:r>
        <w:rPr>
          <w:b w:val="0"/>
          <w:i w:val="0"/>
        </w:rPr>
        <w:t>iCCA-B1 — Advanced disease: tumor distribution and grade</w:t>
      </w:r>
    </w:p>
    <w:p>
      <w:pPr>
        <w:spacing w:after="80"/>
      </w:pPr>
      <w:r>
        <w:rPr>
          <w:b w:val="0"/>
          <w:i w:val="0"/>
          <w:color w:val="5A6069"/>
          <w:sz w:val="18"/>
        </w:rPr>
        <w:t>OPEN proposal · not activated · High-risk review</w:t>
      </w:r>
    </w:p>
    <w:p>
      <w:pPr>
        <w:spacing w:after="80"/>
      </w:pPr>
      <w:r>
        <w:rPr>
          <w:b/>
          <w:i w:val="0"/>
        </w:rPr>
        <w:t xml:space="preserve">Question: </w:t>
      </w:r>
      <w:r>
        <w:rPr>
          <w:b w:val="0"/>
          <w:i w:val="0"/>
        </w:rPr>
        <w:t>Do we preserve separate small-cirrhotic and advanced-disease pathways?</w:t>
      </w:r>
    </w:p>
    <w:p>
      <w:pPr>
        <w:spacing w:after="80"/>
      </w:pPr>
      <w:r>
        <w:rPr>
          <w:b/>
          <w:i w:val="0"/>
        </w:rPr>
        <w:t xml:space="preserve">When it applies: </w:t>
      </w:r>
      <w:r>
        <w:rPr>
          <w:b w:val="0"/>
          <w:i w:val="0"/>
        </w:rPr>
        <w:t>Confirm the actual lesion distribution and tumor grade before considering the proposed advanced-disease study.</w:t>
      </w:r>
    </w:p>
    <w:p>
      <w:pPr>
        <w:spacing w:after="80"/>
      </w:pPr>
      <w:r>
        <w:rPr>
          <w:b/>
          <w:i w:val="0"/>
        </w:rPr>
        <w:t xml:space="preserve">Where it is decided: </w:t>
      </w:r>
      <w:hyperlink r:id="rId6">
        <w:r>
          <w:rPr>
            <w:color w:val="0563C1"/>
            <w:u w:val="single"/>
          </w:rPr>
          <w:t xml:space="preserve">Establish histology</w:t>
        </w:r>
      </w:hyperlink>
      <w:r>
        <w:rPr>
          <w:b w:val="0"/>
          <w:i w:val="0"/>
        </w:rPr>
        <w:t xml:space="preserve"> · </w:t>
      </w:r>
      <w:hyperlink r:id="rId9">
        <w:r>
          <w:rPr>
            <w:color w:val="0563C1"/>
            <w:u w:val="single"/>
          </w:rPr>
          <w:t xml:space="preserve">Check clinical selection criteria</w:t>
        </w:r>
      </w:hyperlink>
    </w:p>
    <w:p>
      <w:pPr>
        <w:spacing w:after="120"/>
      </w:pPr>
      <w:r>
        <w:rPr>
          <w:b/>
          <w:i w:val="0"/>
          <w:sz w:val="18"/>
        </w:rPr>
        <w:t xml:space="preserve">Web page: </w:t>
      </w:r>
      <w:hyperlink r:id="rId1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SYS-TARE 2024</w:t>
            </w:r>
          </w:p>
        </w:tc>
        <w:tc>
          <w:tcPr>
            <w:tcW w:type="dxa" w:w="3360"/>
            <w:tcW w:w="5480" w:type="dxa"/>
            <w:shd w:val="clear" w:color="auto" w:fill="F1F5F8"/>
          </w:tcPr>
          <w:p>
            <w:pPr>
              <w:spacing w:after="0"/>
            </w:pPr>
            <w:r>
              <w:rPr>
                <w:b w:val="0"/>
                <w:i w:val="0"/>
                <w:sz w:val="19"/>
              </w:rPr>
              <w:t>“a single measurable lesion with or without associated peritumoral satellites” A narrower studied morphology; it does not prove a safe upper diameter.</w:t>
            </w:r>
          </w:p>
        </w:tc>
        <w:tc>
          <w:tcPr>
            <w:tcW w:type="dxa" w:w="3360"/>
            <w:tcW w:w="2400" w:type="dxa"/>
            <w:shd w:val="clear" w:color="auto" w:fill="F1F5F8"/>
          </w:tcPr>
          <w:p>
            <w:pPr>
              <w:spacing w:after="0"/>
            </w:pPr>
            <w:r>
              <w:rPr>
                <w:b w:val="0"/>
                <w:i w:val="0"/>
                <w:color w:val="5A6069"/>
                <w:sz w:val="18"/>
              </w:rPr>
              <w:t>Published PDF pp2–3, Patients and Methods</w:t>
            </w:r>
          </w:p>
        </w:tc>
      </w:tr>
      <w:tr>
        <w:trPr>
          <w:cantSplit/>
        </w:trPr>
        <w:tc>
          <w:tcPr>
            <w:tcW w:type="dxa" w:w="3360"/>
            <w:tcW w:w="2200" w:type="dxa"/>
            <w:shd w:val="clear" w:color="auto" w:fill="FFFFFF"/>
          </w:tcPr>
          <w:p>
            <w:pPr>
              <w:spacing w:after="0"/>
            </w:pPr>
            <w:r>
              <w:rPr>
                <w:b/>
                <w:i w:val="0"/>
                <w:sz w:val="19"/>
              </w:rPr>
              <w:t>ILTS–ILCA consensus</w:t>
            </w:r>
          </w:p>
        </w:tc>
        <w:tc>
          <w:tcPr>
            <w:tcW w:type="dxa" w:w="3360"/>
            <w:tcW w:w="5480" w:type="dxa"/>
            <w:shd w:val="clear" w:color="auto" w:fill="FFFFFF"/>
          </w:tcPr>
          <w:p>
            <w:pPr>
              <w:spacing w:after="0"/>
            </w:pPr>
            <w:r>
              <w:rPr>
                <w:b w:val="0"/>
                <w:i w:val="0"/>
                <w:sz w:val="19"/>
              </w:rPr>
              <w:t>“no agreement was reached regarding LT in this population.” Refers to large/locally advanced or noncirrhotic iCCA; consensus did not endorse universal expansion.</w:t>
            </w:r>
          </w:p>
        </w:tc>
        <w:tc>
          <w:tcPr>
            <w:tcW w:type="dxa" w:w="3360"/>
            <w:tcW w:w="2400" w:type="dxa"/>
            <w:shd w:val="clear" w:color="auto" w:fill="FFFFFF"/>
          </w:tcPr>
          <w:p>
            <w:pPr>
              <w:spacing w:after="0"/>
            </w:pPr>
            <w:r>
              <w:rPr>
                <w:b w:val="0"/>
                <w:i w:val="0"/>
                <w:color w:val="5A6069"/>
                <w:sz w:val="18"/>
              </w:rPr>
              <w:t>Consensus manuscript PDF p14, iCCA discussion</w:t>
            </w:r>
          </w:p>
        </w:tc>
      </w:tr>
      <w:tr>
        <w:trPr>
          <w:cantSplit/>
        </w:trPr>
        <w:tc>
          <w:tcPr>
            <w:tcW w:type="dxa" w:w="3360"/>
            <w:tcW w:w="2200" w:type="dxa"/>
            <w:shd w:val="clear" w:color="auto" w:fill="F1F5F8"/>
          </w:tcPr>
          <w:p>
            <w:pPr>
              <w:spacing w:after="0"/>
            </w:pPr>
            <w:r>
              <w:rPr>
                <w:b/>
                <w:i w:val="0"/>
                <w:sz w:val="19"/>
              </w:rPr>
              <w:t>AASLD/AST candidate evaluation</w:t>
            </w:r>
          </w:p>
        </w:tc>
        <w:tc>
          <w:tcPr>
            <w:tcW w:type="dxa" w:w="3360"/>
            <w:tcW w:w="5480" w:type="dxa"/>
            <w:shd w:val="clear" w:color="auto" w:fill="F1F5F8"/>
          </w:tcPr>
          <w:p>
            <w:pPr>
              <w:spacing w:after="0"/>
            </w:pPr>
            <w:r>
              <w:rPr>
                <w:b w:val="0"/>
                <w:i w:val="0"/>
                <w:sz w:val="19"/>
              </w:rPr>
              <w:t>“a maximum diameter &lt; 3 cm” The clinical recommendation uses a strict inequality. Its rationale discusses solitary disease in cirrhosis; this is not the advanced-study population.</w:t>
            </w:r>
          </w:p>
        </w:tc>
        <w:tc>
          <w:tcPr>
            <w:tcW w:type="dxa" w:w="3360"/>
            <w:tcW w:w="2400" w:type="dxa"/>
            <w:shd w:val="clear" w:color="auto" w:fill="F1F5F8"/>
          </w:tcPr>
          <w:p>
            <w:pPr>
              <w:spacing w:after="0"/>
            </w:pPr>
            <w:r>
              <w:rPr>
                <w:b w:val="0"/>
                <w:i w:val="0"/>
                <w:color w:val="5A6069"/>
                <w:sz w:val="18"/>
              </w:rPr>
              <w:t>AASLD/AST candidate-evaluation manuscript PDF p8, statement 11</w:t>
            </w:r>
          </w:p>
        </w:tc>
      </w:tr>
      <w:tr>
        <w:trPr>
          <w:cantSplit/>
        </w:trPr>
        <w:tc>
          <w:tcPr>
            <w:tcW w:type="dxa" w:w="3360"/>
            <w:tcW w:w="2200" w:type="dxa"/>
            <w:shd w:val="clear" w:color="auto" w:fill="FFFFFF"/>
          </w:tcPr>
          <w:p>
            <w:pPr>
              <w:spacing w:after="0"/>
            </w:pPr>
            <w:r>
              <w:rPr>
                <w:b/>
                <w:i w:val="0"/>
                <w:sz w:val="19"/>
              </w:rPr>
              <w:t>NLRB oncology guidance</w:t>
            </w:r>
          </w:p>
        </w:tc>
        <w:tc>
          <w:tcPr>
            <w:tcW w:type="dxa" w:w="3360"/>
            <w:tcW w:w="5480" w:type="dxa"/>
            <w:shd w:val="clear" w:color="auto" w:fill="FFFFFF"/>
          </w:tcPr>
          <w:p>
            <w:pPr>
              <w:spacing w:after="0"/>
            </w:pPr>
            <w:r>
              <w:rPr>
                <w:b w:val="0"/>
                <w:i w:val="0"/>
                <w:sz w:val="19"/>
              </w:rPr>
              <w:t>“less than or equal to 3 cm” Allocation guidance includes equality. Exactly 3.0 cm requires clinical adjudication; preserve the exact allocation wording instead of silently harmonizing it.</w:t>
            </w:r>
          </w:p>
        </w:tc>
        <w:tc>
          <w:tcPr>
            <w:tcW w:type="dxa" w:w="3360"/>
            <w:tcW w:w="2400" w:type="dxa"/>
            <w:shd w:val="clear" w:color="auto" w:fill="FFFFFF"/>
          </w:tcPr>
          <w:p>
            <w:pPr>
              <w:spacing w:after="0"/>
            </w:pPr>
            <w:r>
              <w:rPr>
                <w:b w:val="0"/>
                <w:i w:val="0"/>
                <w:color w:val="5A6069"/>
                <w:sz w:val="18"/>
              </w:rPr>
              <w:t>December 2025 oncology guidance p8, iCCA initial/extension criteria</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Sapisochin 2016 · very early iCCA</w:t>
            </w:r>
          </w:p>
        </w:tc>
        <w:tc>
          <w:tcPr>
            <w:tcW w:type="dxa" w:w="3360"/>
            <w:tcW w:w="3900" w:type="dxa"/>
            <w:shd w:val="clear" w:color="auto" w:fill="F1F5F8"/>
          </w:tcPr>
          <w:p>
            <w:pPr>
              <w:spacing w:after="0"/>
            </w:pPr>
            <w:r>
              <w:rPr>
                <w:b w:val="0"/>
                <w:i w:val="0"/>
                <w:sz w:val="19"/>
              </w:rPr>
              <w:t>International retrospective explant-defined pure iCCA; 48 recipients, 15 very-early solitary ≤ 2 cm, 33 larger/multifocal. Cirrhosis and predominantly incidental/misclassified tumors, not a planned advanced-iCCA induction pathway.</w:t>
            </w:r>
          </w:p>
        </w:tc>
        <w:tc>
          <w:tcPr>
            <w:tcW w:type="dxa" w:w="3360"/>
            <w:tcW w:w="4180" w:type="dxa"/>
            <w:shd w:val="clear" w:color="auto" w:fill="F1F5F8"/>
          </w:tcPr>
          <w:p>
            <w:pPr>
              <w:spacing w:after="0"/>
            </w:pPr>
            <w:r>
              <w:rPr>
                <w:b w:val="0"/>
                <w:i w:val="0"/>
                <w:sz w:val="19"/>
              </w:rPr>
              <w:t>Five-year post-LT OS 65% very-early versus 45% advanced; 5-year recurrence 18% versus 61%.</w:t>
            </w:r>
          </w:p>
          <w:p>
            <w:pPr>
              <w:spacing w:after="0"/>
            </w:pPr>
            <w:r>
              <w:rPr>
                <w:b w:val="0"/>
                <w:i/>
                <w:sz w:val="19"/>
              </w:rPr>
              <w:t>Limits: Small retrospective pathological strata, not validation of ≤ 3 cm guidance or response-selected large disease. Preoperative sampling/recognition differs from known iCCA.</w:t>
            </w:r>
          </w:p>
          <w:p>
            <w:pPr>
              <w:spacing w:after="0"/>
            </w:pPr>
            <w:r>
              <w:rPr>
                <w:b w:val="0"/>
                <w:i w:val="0"/>
                <w:color w:val="5A6069"/>
                <w:sz w:val="18"/>
              </w:rPr>
              <w:t>Hepatology 2016; 64: 1178–1188; Methods and very-early/advanced survival analyses; full PDF.</w:t>
            </w:r>
          </w:p>
        </w:tc>
      </w:tr>
      <w:tr>
        <w:trPr>
          <w:cantSplit/>
        </w:trPr>
        <w:tc>
          <w:tcPr>
            <w:tcW w:type="dxa" w:w="3360"/>
            <w:tcW w:w="2000" w:type="dxa"/>
            <w:shd w:val="clear" w:color="auto" w:fill="FFFFFF"/>
          </w:tcPr>
          <w:p>
            <w:pPr>
              <w:spacing w:after="0"/>
            </w:pPr>
            <w:r>
              <w:rPr>
                <w:b/>
                <w:i w:val="0"/>
                <w:sz w:val="19"/>
              </w:rPr>
              <w:t>De Martin 2020</w:t>
            </w:r>
          </w:p>
        </w:tc>
        <w:tc>
          <w:tcPr>
            <w:tcW w:type="dxa" w:w="3360"/>
            <w:tcW w:w="3900" w:type="dxa"/>
            <w:shd w:val="clear" w:color="auto" w:fill="FFFFFF"/>
          </w:tcPr>
          <w:p>
            <w:pPr>
              <w:spacing w:after="0"/>
            </w:pPr>
            <w:r>
              <w:rPr>
                <w:b w:val="0"/>
                <w:i w:val="0"/>
                <w:sz w:val="19"/>
              </w:rPr>
              <w:t>Three-center retrospective cirrhosis cohort; 49 LT versus 26 resection, iCCA/mixed ≤ 5 cm. All LT diagnoses were incidental; 44/49 presumed HCC, 5 decompensated cirrhosis.</w:t>
            </w:r>
          </w:p>
        </w:tc>
        <w:tc>
          <w:tcPr>
            <w:tcW w:type="dxa" w:w="3360"/>
            <w:tcW w:w="4180" w:type="dxa"/>
            <w:shd w:val="clear" w:color="auto" w:fill="FFFFFF"/>
          </w:tcPr>
          <w:p>
            <w:pPr>
              <w:spacing w:after="0"/>
            </w:pPr>
            <w:r>
              <w:rPr>
                <w:b w:val="0"/>
                <w:i w:val="0"/>
                <w:sz w:val="19"/>
              </w:rPr>
              <w:t>From surgery, 5-year OS 67% LT versus 40% resection (p=.17), RFS 75% vs 36%(p=.004), recurrence 18% vs 46%. Differentiation independently predicted recurrence (HR 3.74).</w:t>
            </w:r>
          </w:p>
          <w:p>
            <w:pPr>
              <w:spacing w:after="0"/>
            </w:pPr>
            <w:r>
              <w:rPr>
                <w:b w:val="0"/>
                <w:i/>
                <w:sz w:val="19"/>
              </w:rPr>
              <w:t>Limits: Not proof to prospectively transplant known 5-cm pure/mixed disease; heterogeneous histology, small numbers, per-protocol selection.</w:t>
            </w:r>
          </w:p>
          <w:p>
            <w:pPr>
              <w:spacing w:after="0"/>
            </w:pPr>
            <w:r>
              <w:rPr>
                <w:b w:val="0"/>
                <w:i w:val="0"/>
                <w:color w:val="5A6069"/>
                <w:sz w:val="18"/>
              </w:rPr>
              <w:t>Liver Transpl 2020; 26: 785–798; Methods, OS/RFS and pathological-risk analyses.</w:t>
            </w:r>
          </w:p>
        </w:tc>
      </w:tr>
      <w:tr>
        <w:trPr>
          <w:cantSplit/>
        </w:trPr>
        <w:tc>
          <w:tcPr>
            <w:tcW w:type="dxa" w:w="3360"/>
            <w:tcW w:w="2000" w:type="dxa"/>
            <w:shd w:val="clear" w:color="auto" w:fill="F1F5F8"/>
          </w:tcPr>
          <w:p>
            <w:pPr>
              <w:spacing w:after="0"/>
            </w:pPr>
            <w:r>
              <w:rPr>
                <w:b/>
                <w:i w:val="0"/>
                <w:sz w:val="19"/>
              </w:rPr>
              <w:t>Dageforde 2021</w:t>
            </w:r>
          </w:p>
        </w:tc>
        <w:tc>
          <w:tcPr>
            <w:tcW w:type="dxa" w:w="3360"/>
            <w:tcW w:w="3900" w:type="dxa"/>
            <w:shd w:val="clear" w:color="auto" w:fill="F1F5F8"/>
          </w:tcPr>
          <w:p>
            <w:pPr>
              <w:spacing w:after="0"/>
            </w:pPr>
            <w:r>
              <w:rPr>
                <w:b w:val="0"/>
                <w:i w:val="0"/>
                <w:sz w:val="19"/>
              </w:rPr>
              <w:t>12-center retrospective; 208 mixed tumors, 99 LT and 109 resection; 67 LT within Milan, 14 beyond Milan/within UCSF, 18 beyond UCSF. Only 2/99 LT mixed diagnoses known preoperatively; most transplanted for presumed HCC.</w:t>
            </w:r>
          </w:p>
        </w:tc>
        <w:tc>
          <w:tcPr>
            <w:tcW w:type="dxa" w:w="3360"/>
            <w:tcW w:w="4180" w:type="dxa"/>
            <w:shd w:val="clear" w:color="auto" w:fill="F1F5F8"/>
          </w:tcPr>
          <w:p>
            <w:pPr>
              <w:spacing w:after="0"/>
            </w:pPr>
            <w:r>
              <w:rPr>
                <w:b w:val="0"/>
                <w:i w:val="0"/>
                <w:sz w:val="19"/>
              </w:rPr>
              <w:t>Within Milan 5-year post-LT OS 70.1%, recurrence 23.1%; HCC comparators 73.4%/11.5%. Beyond UCSF mixed 5-year OS 15.8%. Within Milan LT versus resection 5-year DFS 70.3% vs 33.6%.</w:t>
            </w:r>
          </w:p>
          <w:p>
            <w:pPr>
              <w:spacing w:after="0"/>
            </w:pPr>
            <w:r>
              <w:rPr>
                <w:b w:val="0"/>
                <w:i/>
                <w:sz w:val="19"/>
              </w:rPr>
              <w:t>Limits: Benefit is concentrated in small selected disease; does not validate advanced known mixed inclusion. Explant classification and preoperative misdiagnosis constrain applicability.</w:t>
            </w:r>
          </w:p>
          <w:p>
            <w:pPr>
              <w:spacing w:after="0"/>
            </w:pPr>
            <w:r>
              <w:rPr>
                <w:b w:val="0"/>
                <w:i w:val="0"/>
                <w:color w:val="5A6069"/>
                <w:sz w:val="18"/>
              </w:rPr>
              <w:t>J Am Coll Surg 2021; 232: 361–371; pp 363–367, Tables 1–3 and tumor-burden subgroup results; local PDF.</w:t>
            </w:r>
          </w:p>
        </w:tc>
      </w:tr>
      <w:tr>
        <w:trPr>
          <w:cantSplit/>
        </w:trPr>
        <w:tc>
          <w:tcPr>
            <w:tcW w:type="dxa" w:w="3360"/>
            <w:tcW w:w="2000" w:type="dxa"/>
            <w:shd w:val="clear" w:color="auto" w:fill="FFFFFF"/>
          </w:tcPr>
          <w:p>
            <w:pPr>
              <w:spacing w:after="0"/>
            </w:pPr>
            <w:r>
              <w:rPr>
                <w:b/>
                <w:i w:val="0"/>
                <w:sz w:val="19"/>
              </w:rPr>
              <w:t>McMillan 2022 · Houston update</w:t>
            </w:r>
          </w:p>
        </w:tc>
        <w:tc>
          <w:tcPr>
            <w:tcW w:type="dxa" w:w="3360"/>
            <w:tcW w:w="3900" w:type="dxa"/>
            <w:shd w:val="clear" w:color="auto" w:fill="FFFFFF"/>
          </w:tcPr>
          <w:p>
            <w:pPr>
              <w:spacing w:after="0"/>
            </w:pPr>
            <w:r>
              <w:rPr>
                <w:b w:val="0"/>
                <w:i w:val="0"/>
                <w:sz w:val="19"/>
              </w:rPr>
              <w:t>65 referred, 37 listed; five converted to resection, 32 LT-pathway analysis, 18 LT. No imposed size/number limits; 10/18 multifocal, median cumulative burden 10.4 cm; six poorly differentiated on explant.</w:t>
            </w:r>
          </w:p>
        </w:tc>
        <w:tc>
          <w:tcPr>
            <w:tcW w:type="dxa" w:w="3360"/>
            <w:tcW w:w="4180" w:type="dxa"/>
            <w:shd w:val="clear" w:color="auto" w:fill="FFFFFF"/>
          </w:tcPr>
          <w:p>
            <w:pPr>
              <w:spacing w:after="0"/>
            </w:pPr>
            <w:r>
              <w:rPr>
                <w:b w:val="0"/>
                <w:i w:val="0"/>
                <w:sz w:val="19"/>
              </w:rPr>
              <w:t>Five-year OS 49% all 32 and 57% recipient subgroup, each FROM LISTING; 7/18 recurrences.</w:t>
            </w:r>
          </w:p>
          <w:p>
            <w:pPr>
              <w:spacing w:after="0"/>
            </w:pPr>
            <w:r>
              <w:rPr>
                <w:b w:val="0"/>
                <w:i/>
                <w:sz w:val="19"/>
              </w:rPr>
              <w:t>Limits: Overlap with Lunsford; selection and immortal-time bias. Inclusion of G3/multifocal disease does not establish their safety, but contradicts claiming such patients were universally excluded by evidence.</w:t>
            </w:r>
          </w:p>
          <w:p>
            <w:pPr>
              <w:spacing w:after="0"/>
            </w:pPr>
            <w:r>
              <w:rPr>
                <w:b w:val="0"/>
                <w:i w:val="0"/>
                <w:color w:val="5A6069"/>
                <w:sz w:val="18"/>
              </w:rPr>
              <w:t>AJT 2022; 22: 823–832; Methods Statistics, Tables 1–2 and §3.5.</w:t>
            </w:r>
          </w:p>
        </w:tc>
      </w:tr>
      <w:tr>
        <w:trPr>
          <w:cantSplit/>
        </w:trPr>
        <w:tc>
          <w:tcPr>
            <w:tcW w:type="dxa" w:w="3360"/>
            <w:tcW w:w="2000" w:type="dxa"/>
            <w:shd w:val="clear" w:color="auto" w:fill="F1F5F8"/>
          </w:tcPr>
          <w:p>
            <w:pPr>
              <w:spacing w:after="0"/>
            </w:pPr>
            <w:r>
              <w:rPr>
                <w:b/>
                <w:i w:val="0"/>
                <w:sz w:val="19"/>
              </w:rPr>
              <w:t>SYS-TARE 2024</w:t>
            </w:r>
          </w:p>
        </w:tc>
        <w:tc>
          <w:tcPr>
            <w:tcW w:type="dxa" w:w="3360"/>
            <w:tcW w:w="3900" w:type="dxa"/>
            <w:shd w:val="clear" w:color="auto" w:fill="F1F5F8"/>
          </w:tcPr>
          <w:p>
            <w:pPr>
              <w:spacing w:after="0"/>
            </w:pPr>
            <w:r>
              <w:rPr>
                <w:b w:val="0"/>
                <w:i w:val="0"/>
                <w:sz w:val="19"/>
              </w:rPr>
              <w:t>Prospective institutional SYS-TARE pathway; 13 entered, 4 LT, 9 dropout. Single bulky measurable iCCA±peritumoral satellites; diffuse/multisegment multifocal disease excluded; intrahepatic vessel encasement permitted without tumor thrombus.</w:t>
            </w:r>
          </w:p>
        </w:tc>
        <w:tc>
          <w:tcPr>
            <w:tcW w:type="dxa" w:w="3360"/>
            <w:tcW w:w="4180" w:type="dxa"/>
            <w:shd w:val="clear" w:color="auto" w:fill="F1F5F8"/>
          </w:tcPr>
          <w:p>
            <w:pPr>
              <w:spacing w:after="0"/>
            </w:pPr>
            <w:r>
              <w:rPr>
                <w:b w:val="0"/>
                <w:i w:val="0"/>
                <w:sz w:val="19"/>
              </w:rPr>
              <w:t>Four recipients alive without recurrence at 73, 40, 12, 8 months; dropouts: three unrecovered intrahepatic progression, four with extrahepatic disease, two occult nodes.</w:t>
            </w:r>
          </w:p>
          <w:p>
            <w:pPr>
              <w:spacing w:after="0"/>
            </w:pPr>
            <w:r>
              <w:rPr>
                <w:b w:val="0"/>
                <w:i/>
                <w:sz w:val="19"/>
              </w:rPr>
              <w:t>Limits: Only 4 recipients; no validated maximum diameter or comparative proof of satellites being equivalent to a solitary tumor.</w:t>
            </w:r>
          </w:p>
          <w:p>
            <w:pPr>
              <w:spacing w:after="0"/>
            </w:pPr>
            <w:r>
              <w:rPr>
                <w:b w:val="0"/>
                <w:i w:val="0"/>
                <w:color w:val="5A6069"/>
                <w:sz w:val="18"/>
              </w:rPr>
              <w:t>Transpl Int 2024; 37: 13641; Eligibility, Figure 1 and Results; full PDF.</w:t>
            </w:r>
          </w:p>
        </w:tc>
      </w:tr>
      <w:tr>
        <w:trPr>
          <w:cantSplit/>
        </w:trPr>
        <w:tc>
          <w:tcPr>
            <w:tcW w:type="dxa" w:w="3360"/>
            <w:tcW w:w="2000" w:type="dxa"/>
            <w:shd w:val="clear" w:color="auto" w:fill="FFFFFF"/>
          </w:tcPr>
          <w:p>
            <w:pPr>
              <w:spacing w:after="0"/>
            </w:pPr>
            <w:r>
              <w:rPr>
                <w:b/>
                <w:i w:val="0"/>
                <w:sz w:val="19"/>
              </w:rPr>
              <w:t>Yaqub 2025</w:t>
            </w:r>
          </w:p>
        </w:tc>
        <w:tc>
          <w:tcPr>
            <w:tcW w:type="dxa" w:w="3360"/>
            <w:tcW w:w="3900" w:type="dxa"/>
            <w:shd w:val="clear" w:color="auto" w:fill="FFFFFF"/>
          </w:tcPr>
          <w:p>
            <w:pPr>
              <w:spacing w:after="0"/>
            </w:pPr>
            <w:r>
              <w:rPr>
                <w:b w:val="0"/>
                <w:i w:val="0"/>
                <w:sz w:val="19"/>
              </w:rPr>
              <w:t>Norwegian prospective early report; 7 referred, 6 enrolled, 5 LT. Response-selected liver-confined iCCA; median imaging lesion count 7, median diameter 11.5 cm; no size/number cap.</w:t>
            </w:r>
          </w:p>
        </w:tc>
        <w:tc>
          <w:tcPr>
            <w:tcW w:type="dxa" w:w="3360"/>
            <w:tcW w:w="4180" w:type="dxa"/>
            <w:shd w:val="clear" w:color="auto" w:fill="FFFFFF"/>
          </w:tcPr>
          <w:p>
            <w:pPr>
              <w:spacing w:after="0"/>
            </w:pPr>
            <w:r>
              <w:rPr>
                <w:b w:val="0"/>
                <w:i w:val="0"/>
                <w:sz w:val="19"/>
              </w:rPr>
              <w:t>All five alive at 10–55 months; 2 recurrences at 12/13 months, both patients with &gt;20 lesions. One HAT required re-LT; one occult 2-mm positive node.</w:t>
            </w:r>
          </w:p>
          <w:p>
            <w:pPr>
              <w:spacing w:after="0"/>
            </w:pPr>
            <w:r>
              <w:rPr>
                <w:b w:val="0"/>
                <w:i/>
                <w:sz w:val="19"/>
              </w:rPr>
              <w:t>Limits: Research letter, very small denominator; recurrence pattern argues caution with diffuse multifocal disease, not a validated lesion-count cutoff.</w:t>
            </w:r>
          </w:p>
          <w:p>
            <w:pPr>
              <w:spacing w:after="0"/>
            </w:pPr>
            <w:r>
              <w:rPr>
                <w:b w:val="0"/>
                <w:i w:val="0"/>
                <w:color w:val="5A6069"/>
                <w:sz w:val="18"/>
              </w:rPr>
              <w:t>BJS 2025; 112: znaf054; main text, Table 1 and Figure 1; complete indexed letter.</w:t>
            </w:r>
          </w:p>
        </w:tc>
      </w:tr>
      <w:tr>
        <w:trPr>
          <w:cantSplit/>
        </w:trPr>
        <w:tc>
          <w:tcPr>
            <w:tcW w:type="dxa" w:w="3360"/>
            <w:tcW w:w="2000" w:type="dxa"/>
            <w:shd w:val="clear" w:color="auto" w:fill="F1F5F8"/>
          </w:tcPr>
          <w:p>
            <w:pPr>
              <w:spacing w:after="0"/>
            </w:pPr>
            <w:r>
              <w:rPr>
                <w:b/>
                <w:i w:val="0"/>
                <w:sz w:val="19"/>
              </w:rPr>
              <w:t>Giguet 2026</w:t>
            </w:r>
          </w:p>
        </w:tc>
        <w:tc>
          <w:tcPr>
            <w:tcW w:type="dxa" w:w="3360"/>
            <w:tcW w:w="3900" w:type="dxa"/>
            <w:shd w:val="clear" w:color="auto" w:fill="F1F5F8"/>
          </w:tcPr>
          <w:p>
            <w:pPr>
              <w:spacing w:after="0"/>
            </w:pPr>
            <w:r>
              <w:rPr>
                <w:b w:val="0"/>
                <w:i w:val="0"/>
                <w:sz w:val="19"/>
              </w:rPr>
              <w:t>Rennes retrospective SIRT pathway; 147 treated, 44 younger controlled cases, 19 resections, eight listed including two external referrals, six LT. Large predominantly unifocal tumors; median baseline total 10 cm; diffuse multifocal, MVI and EHD excluded.</w:t>
            </w:r>
          </w:p>
        </w:tc>
        <w:tc>
          <w:tcPr>
            <w:tcW w:type="dxa" w:w="3360"/>
            <w:tcW w:w="4180" w:type="dxa"/>
            <w:shd w:val="clear" w:color="auto" w:fill="F1F5F8"/>
          </w:tcPr>
          <w:p>
            <w:pPr>
              <w:spacing w:after="0"/>
            </w:pPr>
            <w:r>
              <w:rPr>
                <w:b w:val="0"/>
                <w:i w:val="0"/>
                <w:sz w:val="19"/>
              </w:rPr>
              <w:t>Post-LT 5-year OS 100%, PFS 44.4%; 3/6 recurrences.</w:t>
            </w:r>
          </w:p>
          <w:p>
            <w:pPr>
              <w:spacing w:after="0"/>
            </w:pPr>
            <w:r>
              <w:rPr>
                <w:b w:val="0"/>
                <w:i/>
                <w:sz w:val="19"/>
              </w:rPr>
              <w:t>Limits: Only six recipients over 15 years; eight refers to listing, not completed LT. No size cap validated.</w:t>
            </w:r>
          </w:p>
          <w:p>
            <w:pPr>
              <w:spacing w:after="0"/>
            </w:pPr>
            <w:r>
              <w:rPr>
                <w:b w:val="0"/>
                <w:i w:val="0"/>
                <w:color w:val="5A6069"/>
                <w:sz w:val="18"/>
              </w:rPr>
              <w:t>JHEP Rep 2026; 8: 101830; Eligibility, cohort flow, Tables 1–3.</w:t>
            </w:r>
          </w:p>
        </w:tc>
      </w:tr>
    </w:tbl>
    <w:p>
      <w:pPr>
        <w:spacing w:after="40"/>
      </w:pPr>
    </w:p>
    <w:p>
      <w:pPr>
        <w:pStyle w:val="Heading3"/>
        <w:keepNext/>
        <w:spacing w:before="120" w:after="80"/>
      </w:pPr>
      <w:r>
        <w:rPr>
          <w:b w:val="0"/>
          <w:i w:val="0"/>
        </w:rPr>
        <w:t>Our proposed selection (OPEN)</w:t>
      </w:r>
    </w:p>
    <w:p>
      <w:pPr>
        <w:spacing w:after="80"/>
      </w:pPr>
      <w:r>
        <w:rPr>
          <w:b w:val="0"/>
          <w:i w:val="0"/>
        </w:rPr>
        <w:t>Keep the small-cirrhotic pathway separate; define the initial advanced study by pure, favorable-grade, localized morphology rather than an invented size cap.</w:t>
      </w:r>
    </w:p>
    <w:p>
      <w:pPr>
        <w:numPr>
          <w:ilvl w:val="0"/>
          <w:numId w:val="5"/>
        </w:numPr>
        <w:spacing w:after="40"/>
      </w:pPr>
      <w:r>
        <w:rPr>
          <w:b w:val="0"/>
          <w:i w:val="0"/>
        </w:rPr>
        <w:t>Proposed advanced entry phenotype: pure iCCA, G1–2, one mass-forming focus with or without adjacent peritumoral satellites; no separate multifocal deposits across distinct segments. No universal 8 cm/three-lesion rule is adopted.</w:t>
      </w:r>
    </w:p>
    <w:p>
      <w:pPr>
        <w:numPr>
          <w:ilvl w:val="0"/>
          <w:numId w:val="5"/>
        </w:numPr>
        <w:spacing w:after="40"/>
      </w:pPr>
      <w:r>
        <w:rPr>
          <w:b w:val="0"/>
          <w:i w:val="0"/>
        </w:rPr>
        <w:t>Exclude known G3/poor differentiation, mixed HCC-iCCA, macroscopic tumor thrombus, proven malignant nodes, peritoneal or other extrahepatic disease, current or previously treated (iCCA-B4), from the initial advanced pilot. Negative core sampling cannot guarantee the whole tumor grade; record this limitation.</w:t>
      </w:r>
    </w:p>
    <w:p>
      <w:pPr>
        <w:numPr>
          <w:ilvl w:val="0"/>
          <w:numId w:val="5"/>
        </w:numPr>
        <w:spacing w:after="40"/>
      </w:pPr>
      <w:r>
        <w:rPr>
          <w:b w:val="0"/>
          <w:i w:val="0"/>
        </w:rPr>
        <w:t>Intrahepatic vascular encasement without tumor thrombus may be considered if complete explant/reconstruction is technically feasible. Larger size needs individualized technical/biological review, not an automatic permission.</w:t>
      </w:r>
    </w:p>
    <w:p>
      <w:pPr>
        <w:numPr>
          <w:ilvl w:val="0"/>
          <w:numId w:val="5"/>
        </w:numPr>
        <w:spacing w:after="40"/>
      </w:pPr>
      <w:r>
        <w:rPr>
          <w:b w:val="0"/>
          <w:i w:val="0"/>
        </w:rPr>
        <w:t>Do not apply the advanced-study mixed-histology exclusion to the separate NLRB small-cirrhotic route. Preserve ≤3 cm guidance wording and flag the exactly-3.0 cm clinical discrepancy with &lt;3 cm candidate-evaluation prose.</w:t>
      </w:r>
    </w:p>
    <w:p>
      <w:pPr>
        <w:spacing w:after="80"/>
      </w:pPr>
      <w:r>
        <w:rPr>
          <w:b/>
          <w:i w:val="0"/>
        </w:rPr>
        <w:t xml:space="preserve">Why: </w:t>
      </w:r>
      <w:r>
        <w:rPr>
          <w:b w:val="0"/>
          <w:i w:val="0"/>
        </w:rPr>
        <w:t>Small incidental iCCA/mixed disease cannot simply be pooled with known advanced pure iCCA. Large unifocal tumors can have durable post-LT survival after selection, but recurrence remains common and the screened-to-LT yield is low. Multifocality and poor differentiation are adverse signals; their precise exclusion boundaries remain unvalidated. Known advanced mixed tumors have particularly weak prospective support.</w:t>
      </w:r>
    </w:p>
    <w:p>
      <w:pPr>
        <w:spacing w:after="80"/>
      </w:pPr>
      <w:r>
        <w:rPr>
          <w:b/>
          <w:i w:val="0"/>
        </w:rPr>
        <w:t xml:space="preserve">Against, or uncertain: </w:t>
      </w:r>
      <w:r>
        <w:rPr>
          <w:b w:val="0"/>
          <w:i w:val="0"/>
        </w:rPr>
        <w:t>Houston included multifocal/G3 explants and TESLA intentionally enrolled extensive burden; therefore G1–2/unifocal restrictions are local conservatism, not universal trial criteria. Conversely, small mixed-tumor success does not rescue beyond-UCSF outcomes or validate advanced mixed inclusion. Negative limited biopsy cannot eliminate heterogeneous high-grade/mixed components.</w:t>
      </w:r>
    </w:p>
    <w:p>
      <w:pPr>
        <w:spacing w:after="80"/>
      </w:pPr>
      <w:r>
        <w:rPr>
          <w:b/>
          <w:i w:val="0"/>
        </w:rPr>
        <w:t xml:space="preserve">Certainty: </w:t>
      </w:r>
      <w:r>
        <w:rPr>
          <w:b w:val="0"/>
          <w:i w:val="0"/>
        </w:rPr>
        <w:t>Low for small retrospective cohorts; very low for benefit and optimal thresholds in advanced disease. No randomized advanced-iCCA LT comparison or validated universal diameter/lesion-count limit.</w:t>
      </w:r>
    </w:p>
    <w:p>
      <w:pPr>
        <w:spacing w:after="80"/>
      </w:pPr>
      <w:r>
        <w:rPr>
          <w:b/>
          <w:i w:val="0"/>
        </w:rPr>
        <w:t xml:space="preserve">Tests and records: </w:t>
      </w:r>
      <w:r>
        <w:rPr>
          <w:b w:val="0"/>
          <w:i w:val="0"/>
        </w:rPr>
        <w:t>Expert core-pathology review including pure versus mixed and grade; MRI/CT segment map; chest/systemic staging; nodal resolution; vascular thrombus versus encasement; resection review.</w:t>
      </w:r>
    </w:p>
    <w:p>
      <w:pPr>
        <w:spacing w:after="80"/>
      </w:pPr>
      <w:r>
        <w:rPr>
          <w:b/>
          <w:i w:val="0"/>
        </w:rPr>
        <w:t xml:space="preserve">Allocation: </w:t>
      </w:r>
      <w:r>
        <w:rPr>
          <w:b w:val="0"/>
          <w:i w:val="0"/>
        </w:rPr>
        <w:t>Advanced noncirrhotic or larger disease does not inherit the small-cirrhotic favorable NLRB pathway. Organ-route and research decisions remain explicit.</w:t>
      </w:r>
    </w:p>
    <w:p>
      <w:pPr>
        <w:spacing w:after="40"/>
      </w:pPr>
      <w:r>
        <w:rPr>
          <w:b/>
          <w:i w:val="0"/>
        </w:rPr>
        <w:t xml:space="preserve">Basis for the proposed thresholds: </w:t>
      </w:r>
    </w:p>
    <w:p>
      <w:pPr>
        <w:numPr>
          <w:ilvl w:val="0"/>
          <w:numId w:val="5"/>
        </w:numPr>
        <w:spacing w:after="40"/>
      </w:pPr>
      <w:r>
        <w:rPr>
          <w:b w:val="0"/>
          <w:i w:val="0"/>
        </w:rPr>
        <w:t>GUIDANCE: current NLRB small-cirrhotic unresectable solitary iCCA/mixed ≤ 3 cm after 6 months stability is a separate reviewed-exception lane; AASLD candidate wording uses &lt; 3 cm. STUDY: SYS-TARE/Rennes use restricted burden; Houston/TESLA use broader burden. LOCAL: G1–2 and unifocal±adjacent satellites is a conservative first-study definition, not an evidence-proven optimum.</w:t>
      </w:r>
    </w:p>
    <w:p>
      <w:pPr>
        <w:pStyle w:val="Heading3"/>
        <w:keepNext/>
        <w:spacing w:before="120" w:after="80"/>
      </w:pPr>
      <w:r>
        <w:rPr>
          <w:b w:val="0"/>
          <w:i w:val="0"/>
        </w:rPr>
        <w:t>iCCA-B1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iCCA-B2 — Response, progression and the observation period</w:t>
      </w:r>
    </w:p>
    <w:p>
      <w:pPr>
        <w:spacing w:after="80"/>
      </w:pPr>
      <w:r>
        <w:rPr>
          <w:b w:val="0"/>
          <w:i w:val="0"/>
          <w:color w:val="5A6069"/>
          <w:sz w:val="18"/>
        </w:rPr>
        <w:t>OPEN proposal · not activated · High-risk review</w:t>
      </w:r>
    </w:p>
    <w:p>
      <w:pPr>
        <w:spacing w:after="80"/>
      </w:pPr>
      <w:r>
        <w:rPr>
          <w:b/>
          <w:i w:val="0"/>
        </w:rPr>
        <w:t xml:space="preserve">Question: </w:t>
      </w:r>
      <w:r>
        <w:rPr>
          <w:b w:val="0"/>
          <w:i w:val="0"/>
        </w:rPr>
        <w:t>What does sustained control have to prove before transplant activation?</w:t>
      </w:r>
    </w:p>
    <w:p>
      <w:pPr>
        <w:spacing w:after="80"/>
      </w:pPr>
      <w:r>
        <w:rPr>
          <w:b/>
          <w:i w:val="0"/>
        </w:rPr>
        <w:t xml:space="preserve">When it applies: </w:t>
      </w:r>
      <w:r>
        <w:rPr>
          <w:b w:val="0"/>
          <w:i w:val="0"/>
        </w:rPr>
        <w:t>Use the full treatment and progression history to decide whether further observation or another treatment is needed.</w:t>
      </w:r>
    </w:p>
    <w:p>
      <w:pPr>
        <w:spacing w:after="80"/>
      </w:pPr>
      <w:r>
        <w:rPr>
          <w:b/>
          <w:i w:val="0"/>
        </w:rPr>
        <w:t xml:space="preserve">Where it is decided: </w:t>
      </w:r>
      <w:hyperlink r:id="rId11">
        <w:r>
          <w:rPr>
            <w:color w:val="0563C1"/>
            <w:u w:val="single"/>
          </w:rPr>
          <w:t xml:space="preserve">Plan pretransplant treatment</w:t>
        </w:r>
      </w:hyperlink>
      <w:r>
        <w:rPr>
          <w:b w:val="0"/>
          <w:i w:val="0"/>
        </w:rPr>
        <w:t xml:space="preserve"> · </w:t>
      </w:r>
      <w:hyperlink r:id="rId12">
        <w:r>
          <w:rPr>
            <w:color w:val="0563C1"/>
            <w:u w:val="single"/>
          </w:rPr>
          <w:t xml:space="preserve">Demonstrate stability</w:t>
        </w:r>
      </w:hyperlink>
    </w:p>
    <w:p>
      <w:pPr>
        <w:spacing w:after="120"/>
      </w:pPr>
      <w:r>
        <w:rPr>
          <w:b/>
          <w:i w:val="0"/>
          <w:sz w:val="18"/>
        </w:rPr>
        <w:t xml:space="preserve">Web page: </w:t>
      </w:r>
      <w:hyperlink r:id="rId13">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Lunsford 2018 · Houston</w:t>
            </w:r>
          </w:p>
        </w:tc>
        <w:tc>
          <w:tcPr>
            <w:tcW w:type="dxa" w:w="3360"/>
            <w:tcW w:w="5480" w:type="dxa"/>
            <w:shd w:val="clear" w:color="auto" w:fill="F1F5F8"/>
          </w:tcPr>
          <w:p>
            <w:pPr>
              <w:spacing w:after="0"/>
            </w:pPr>
            <w:r>
              <w:rPr>
                <w:b w:val="0"/>
                <w:i w:val="0"/>
                <w:sz w:val="19"/>
              </w:rPr>
              <w:t>“disease must have been controlled for 6 months on that regimen.” Six months on an effective strategy has direct study precedent, including second-line treatment.</w:t>
            </w:r>
          </w:p>
        </w:tc>
        <w:tc>
          <w:tcPr>
            <w:tcW w:type="dxa" w:w="3360"/>
            <w:tcW w:w="2400" w:type="dxa"/>
            <w:shd w:val="clear" w:color="auto" w:fill="F1F5F8"/>
          </w:tcPr>
          <w:p>
            <w:pPr>
              <w:spacing w:after="0"/>
            </w:pPr>
            <w:r>
              <w:rPr>
                <w:b w:val="0"/>
                <w:i w:val="0"/>
                <w:color w:val="5A6069"/>
                <w:sz w:val="18"/>
              </w:rPr>
              <w:t>Published PDF p3, Methods—Study design and participants</w:t>
            </w:r>
          </w:p>
        </w:tc>
      </w:tr>
      <w:tr>
        <w:trPr>
          <w:cantSplit/>
        </w:trPr>
        <w:tc>
          <w:tcPr>
            <w:tcW w:type="dxa" w:w="3360"/>
            <w:tcW w:w="2200" w:type="dxa"/>
            <w:shd w:val="clear" w:color="auto" w:fill="FFFFFF"/>
          </w:tcPr>
          <w:p>
            <w:pPr>
              <w:spacing w:after="0"/>
            </w:pPr>
            <w:r>
              <w:rPr>
                <w:b/>
                <w:i w:val="0"/>
                <w:sz w:val="19"/>
              </w:rPr>
              <w:t>McMillan 2022 · Houston update</w:t>
            </w:r>
          </w:p>
        </w:tc>
        <w:tc>
          <w:tcPr>
            <w:tcW w:type="dxa" w:w="3360"/>
            <w:tcW w:w="5480" w:type="dxa"/>
            <w:shd w:val="clear" w:color="auto" w:fill="FFFFFF"/>
          </w:tcPr>
          <w:p>
            <w:pPr>
              <w:spacing w:after="0"/>
            </w:pPr>
            <w:r>
              <w:rPr>
                <w:b w:val="0"/>
                <w:i w:val="0"/>
                <w:sz w:val="19"/>
              </w:rPr>
              <w:t>“Patients who developed extrahepatic disease were delisted.” Liver-only progression was deferred and could be reconsidered; it was not treated identically to extrahepatic spread.</w:t>
            </w:r>
          </w:p>
        </w:tc>
        <w:tc>
          <w:tcPr>
            <w:tcW w:type="dxa" w:w="3360"/>
            <w:tcW w:w="2400" w:type="dxa"/>
            <w:shd w:val="clear" w:color="auto" w:fill="FFFFFF"/>
          </w:tcPr>
          <w:p>
            <w:pPr>
              <w:spacing w:after="0"/>
            </w:pPr>
            <w:r>
              <w:rPr>
                <w:b w:val="0"/>
                <w:i w:val="0"/>
                <w:color w:val="5A6069"/>
                <w:sz w:val="18"/>
              </w:rPr>
              <w:t>Full text, section 2.2</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Lunsford 2018 · Houston</w:t>
            </w:r>
          </w:p>
        </w:tc>
        <w:tc>
          <w:tcPr>
            <w:tcW w:type="dxa" w:w="3360"/>
            <w:tcW w:w="3900" w:type="dxa"/>
            <w:shd w:val="clear" w:color="auto" w:fill="F1F5F8"/>
          </w:tcPr>
          <w:p>
            <w:pPr>
              <w:spacing w:after="0"/>
            </w:pPr>
            <w:r>
              <w:rPr>
                <w:b w:val="0"/>
                <w:i w:val="0"/>
                <w:sz w:val="19"/>
              </w:rPr>
              <w:t>Prospective case series: 21 referrals, 12 accepted and six LT recipients. Unresectable, liver-confined pure iCCA without macrovascular invasion. Six months of response/stability required; second/third-line therapy allowed after six months of control on that regimen.</w:t>
            </w:r>
          </w:p>
        </w:tc>
        <w:tc>
          <w:tcPr>
            <w:tcW w:type="dxa" w:w="3360"/>
            <w:tcW w:w="4180" w:type="dxa"/>
            <w:shd w:val="clear" w:color="auto" w:fill="F1F5F8"/>
          </w:tcPr>
          <w:p>
            <w:pPr>
              <w:spacing w:after="0"/>
            </w:pPr>
            <w:r>
              <w:rPr>
                <w:b w:val="0"/>
                <w:i w:val="0"/>
                <w:sz w:val="19"/>
              </w:rPr>
              <w:t>Median diagnosis-to-LT interval 26 months. Post-LT 1-/3-/5-year OS 100%/83.3%/83.3%; five-year CI 27.3–97.5. Three of six recurred, median 7.6 months; RFS 50%.</w:t>
            </w:r>
          </w:p>
          <w:p>
            <w:pPr>
              <w:spacing w:after="0"/>
            </w:pPr>
            <w:r>
              <w:rPr>
                <w:b w:val="0"/>
                <w:i/>
                <w:sz w:val="19"/>
              </w:rPr>
              <w:t>Limits: Six highly selected recipients, wide intervals and substantial pre-LT survival. Does not establish six months as optimal or one salvage line as the maximum.</w:t>
            </w:r>
          </w:p>
          <w:p>
            <w:pPr>
              <w:spacing w:after="0"/>
            </w:pPr>
            <w:r>
              <w:rPr>
                <w:b w:val="0"/>
                <w:i w:val="0"/>
                <w:color w:val="5A6069"/>
                <w:sz w:val="18"/>
              </w:rPr>
              <w:t>Lancet Gastroenterol Hepatol 2018; 3: 337–348; Eligibility/Protocol, Table 1 and Figure 2; full local PDF.</w:t>
            </w:r>
          </w:p>
        </w:tc>
      </w:tr>
      <w:tr>
        <w:trPr>
          <w:cantSplit/>
        </w:trPr>
        <w:tc>
          <w:tcPr>
            <w:tcW w:type="dxa" w:w="3360"/>
            <w:tcW w:w="2000" w:type="dxa"/>
            <w:shd w:val="clear" w:color="auto" w:fill="FFFFFF"/>
          </w:tcPr>
          <w:p>
            <w:pPr>
              <w:spacing w:after="0"/>
            </w:pPr>
            <w:r>
              <w:rPr>
                <w:b/>
                <w:i w:val="0"/>
                <w:sz w:val="19"/>
              </w:rPr>
              <w:t>McMillan 2022 · Houston update</w:t>
            </w:r>
          </w:p>
        </w:tc>
        <w:tc>
          <w:tcPr>
            <w:tcW w:type="dxa" w:w="3360"/>
            <w:tcW w:w="3900" w:type="dxa"/>
            <w:shd w:val="clear" w:color="auto" w:fill="FFFFFF"/>
          </w:tcPr>
          <w:p>
            <w:pPr>
              <w:spacing w:after="0"/>
            </w:pPr>
            <w:r>
              <w:rPr>
                <w:b w:val="0"/>
                <w:i w:val="0"/>
                <w:sz w:val="19"/>
              </w:rPr>
              <w:t>Expanded Houston cohort, overlapping Lunsford. Six-month gemcitabine-based induction; liver progression deferred LT, with reconsideration after control; extrahepatic progression prompted delisting.</w:t>
            </w:r>
          </w:p>
        </w:tc>
        <w:tc>
          <w:tcPr>
            <w:tcW w:type="dxa" w:w="3360"/>
            <w:tcW w:w="4180" w:type="dxa"/>
            <w:shd w:val="clear" w:color="auto" w:fill="FFFFFF"/>
          </w:tcPr>
          <w:p>
            <w:pPr>
              <w:spacing w:after="0"/>
            </w:pPr>
            <w:r>
              <w:rPr>
                <w:b w:val="0"/>
                <w:i w:val="0"/>
                <w:sz w:val="19"/>
              </w:rPr>
              <w:t>Five listed patients converted to resection; seven others delisted and seven remained listed at cutoff.</w:t>
            </w:r>
          </w:p>
          <w:p>
            <w:pPr>
              <w:spacing w:after="0"/>
            </w:pPr>
            <w:r>
              <w:rPr>
                <w:b w:val="0"/>
                <w:i/>
                <w:sz w:val="19"/>
              </w:rPr>
              <w:t>Limits: No timing or salvage comparator; keep referral, listing and LT clocks distinct.</w:t>
            </w:r>
          </w:p>
          <w:p>
            <w:pPr>
              <w:spacing w:after="0"/>
            </w:pPr>
            <w:r>
              <w:rPr>
                <w:b w:val="0"/>
                <w:i w:val="0"/>
                <w:color w:val="5A6069"/>
                <w:sz w:val="18"/>
              </w:rPr>
              <w:t>AJT 2022; Methods eligibility and §§3.1–3.3.</w:t>
            </w:r>
          </w:p>
        </w:tc>
      </w:tr>
      <w:tr>
        <w:trPr>
          <w:cantSplit/>
        </w:trPr>
        <w:tc>
          <w:tcPr>
            <w:tcW w:type="dxa" w:w="3360"/>
            <w:tcW w:w="2000" w:type="dxa"/>
            <w:shd w:val="clear" w:color="auto" w:fill="F1F5F8"/>
          </w:tcPr>
          <w:p>
            <w:pPr>
              <w:spacing w:after="0"/>
            </w:pPr>
            <w:r>
              <w:rPr>
                <w:b/>
                <w:i w:val="0"/>
                <w:sz w:val="19"/>
              </w:rPr>
              <w:t>SYS-TARE 2024</w:t>
            </w:r>
          </w:p>
        </w:tc>
        <w:tc>
          <w:tcPr>
            <w:tcW w:type="dxa" w:w="3360"/>
            <w:tcW w:w="3900" w:type="dxa"/>
            <w:shd w:val="clear" w:color="auto" w:fill="F1F5F8"/>
          </w:tcPr>
          <w:p>
            <w:pPr>
              <w:spacing w:after="0"/>
            </w:pPr>
            <w:r>
              <w:rPr>
                <w:b w:val="0"/>
                <w:i w:val="0"/>
                <w:sz w:val="19"/>
              </w:rPr>
              <w:t>Thirteen entrants; four LT recipients. At least four months of response/stability after systemic treatment/Y 90 before staging; renewed control after salvage could qualify.</w:t>
            </w:r>
          </w:p>
        </w:tc>
        <w:tc>
          <w:tcPr>
            <w:tcW w:type="dxa" w:w="3360"/>
            <w:tcW w:w="4180" w:type="dxa"/>
            <w:shd w:val="clear" w:color="auto" w:fill="F1F5F8"/>
          </w:tcPr>
          <w:p>
            <w:pPr>
              <w:spacing w:after="0"/>
            </w:pPr>
            <w:r>
              <w:rPr>
                <w:b w:val="0"/>
                <w:i w:val="0"/>
                <w:sz w:val="19"/>
              </w:rPr>
              <w:t>All four recipients had RECIST stable disease and Choi response, with median density reduction 52.5%. One FGFR 2-targeted pemigatinib rescue reached LT. Two of six staged patients had positive nodes.</w:t>
            </w:r>
          </w:p>
          <w:p>
            <w:pPr>
              <w:spacing w:after="0"/>
            </w:pPr>
            <w:r>
              <w:rPr>
                <w:b w:val="0"/>
                <w:i/>
                <w:sz w:val="19"/>
              </w:rPr>
              <w:t>Limits: One rescue does not validate a general reset rule. PET-negative imaging cannot replace pathological staging.</w:t>
            </w:r>
          </w:p>
          <w:p>
            <w:pPr>
              <w:spacing w:after="0"/>
            </w:pPr>
            <w:r>
              <w:rPr>
                <w:b w:val="0"/>
                <w:i w:val="0"/>
                <w:color w:val="5A6069"/>
                <w:sz w:val="18"/>
              </w:rPr>
              <w:t>Transpl Int 2024; Protocol, restaging and individual-recipient tables; full PDF.</w:t>
            </w:r>
          </w:p>
        </w:tc>
      </w:tr>
      <w:tr>
        <w:trPr>
          <w:cantSplit/>
        </w:trPr>
        <w:tc>
          <w:tcPr>
            <w:tcW w:type="dxa" w:w="3360"/>
            <w:tcW w:w="2000" w:type="dxa"/>
            <w:shd w:val="clear" w:color="auto" w:fill="FFFFFF"/>
          </w:tcPr>
          <w:p>
            <w:pPr>
              <w:spacing w:after="0"/>
            </w:pPr>
            <w:r>
              <w:rPr>
                <w:b/>
                <w:i w:val="0"/>
                <w:sz w:val="19"/>
              </w:rPr>
              <w:t>Yaqub 2025</w:t>
            </w:r>
          </w:p>
        </w:tc>
        <w:tc>
          <w:tcPr>
            <w:tcW w:type="dxa" w:w="3360"/>
            <w:tcW w:w="3900" w:type="dxa"/>
            <w:shd w:val="clear" w:color="auto" w:fill="FFFFFF"/>
          </w:tcPr>
          <w:p>
            <w:pPr>
              <w:spacing w:after="0"/>
            </w:pPr>
            <w:r>
              <w:rPr>
                <w:b w:val="0"/>
                <w:i w:val="0"/>
                <w:sz w:val="19"/>
              </w:rPr>
              <w:t>Early prospective report; five LT recipients. The referral-flow figure specifies twelve months of treatment response; median diagnosis-to-LT interval 26 months.</w:t>
            </w:r>
          </w:p>
        </w:tc>
        <w:tc>
          <w:tcPr>
            <w:tcW w:type="dxa" w:w="3360"/>
            <w:tcW w:w="4180" w:type="dxa"/>
            <w:shd w:val="clear" w:color="auto" w:fill="FFFFFF"/>
          </w:tcPr>
          <w:p>
            <w:pPr>
              <w:spacing w:after="0"/>
            </w:pPr>
            <w:r>
              <w:rPr>
                <w:b w:val="0"/>
                <w:i w:val="0"/>
                <w:sz w:val="19"/>
              </w:rPr>
              <w:t>Two extensively multifocal patients recurred despite prolonged selection.</w:t>
            </w:r>
          </w:p>
          <w:p>
            <w:pPr>
              <w:spacing w:after="0"/>
            </w:pPr>
            <w:r>
              <w:rPr>
                <w:b w:val="0"/>
                <w:i/>
                <w:sz w:val="19"/>
              </w:rPr>
              <w:t>Limits: Supplementary eligibility needs checking; time alone does not neutralize burden.</w:t>
            </w:r>
          </w:p>
          <w:p>
            <w:pPr>
              <w:spacing w:after="0"/>
            </w:pPr>
            <w:r>
              <w:rPr>
                <w:b w:val="0"/>
                <w:i w:val="0"/>
                <w:color w:val="5A6069"/>
                <w:sz w:val="18"/>
              </w:rPr>
              <w:t>BJS 2025; Figure 1 flowchart and Table 1.</w:t>
            </w:r>
          </w:p>
        </w:tc>
      </w:tr>
      <w:tr>
        <w:trPr>
          <w:cantSplit/>
        </w:trPr>
        <w:tc>
          <w:tcPr>
            <w:tcW w:type="dxa" w:w="3360"/>
            <w:tcW w:w="2000" w:type="dxa"/>
            <w:shd w:val="clear" w:color="auto" w:fill="F1F5F8"/>
          </w:tcPr>
          <w:p>
            <w:pPr>
              <w:spacing w:after="0"/>
            </w:pPr>
            <w:r>
              <w:rPr>
                <w:b/>
                <w:i w:val="0"/>
                <w:sz w:val="19"/>
              </w:rPr>
              <w:t>Giguet 2026</w:t>
            </w:r>
          </w:p>
        </w:tc>
        <w:tc>
          <w:tcPr>
            <w:tcW w:type="dxa" w:w="3360"/>
            <w:tcW w:w="3900" w:type="dxa"/>
            <w:shd w:val="clear" w:color="auto" w:fill="F1F5F8"/>
          </w:tcPr>
          <w:p>
            <w:pPr>
              <w:spacing w:after="0"/>
            </w:pPr>
            <w:r>
              <w:rPr>
                <w:b w:val="0"/>
                <w:i w:val="0"/>
                <w:sz w:val="19"/>
              </w:rPr>
              <w:t>Six-recipient retrospective series. At least six months of response/stability, CT/MRI every 2–3 months; median diagnosis-to-listing 351 days.</w:t>
            </w:r>
          </w:p>
        </w:tc>
        <w:tc>
          <w:tcPr>
            <w:tcW w:type="dxa" w:w="3360"/>
            <w:tcW w:w="4180" w:type="dxa"/>
            <w:shd w:val="clear" w:color="auto" w:fill="F1F5F8"/>
          </w:tcPr>
          <w:p>
            <w:pPr>
              <w:spacing w:after="0"/>
            </w:pPr>
            <w:r>
              <w:rPr>
                <w:b w:val="0"/>
                <w:i w:val="0"/>
                <w:sz w:val="19"/>
              </w:rPr>
              <w:t>Nineteen controlled younger patients underwent secondary resection.</w:t>
            </w:r>
          </w:p>
          <w:p>
            <w:pPr>
              <w:spacing w:after="0"/>
            </w:pPr>
            <w:r>
              <w:rPr>
                <w:b w:val="0"/>
                <w:i/>
                <w:sz w:val="19"/>
              </w:rPr>
              <w:t>Limits: Observed longer selection does not prove a twelve-month requirement.</w:t>
            </w:r>
          </w:p>
          <w:p>
            <w:pPr>
              <w:spacing w:after="0"/>
            </w:pPr>
            <w:r>
              <w:rPr>
                <w:b w:val="0"/>
                <w:i w:val="0"/>
                <w:color w:val="5A6069"/>
                <w:sz w:val="18"/>
              </w:rPr>
              <w:t>JHEP Rep 2026; neoadjuvant/listing and Results sections.</w:t>
            </w:r>
          </w:p>
        </w:tc>
      </w:tr>
      <w:tr>
        <w:trPr>
          <w:cantSplit/>
        </w:trPr>
        <w:tc>
          <w:tcPr>
            <w:tcW w:type="dxa" w:w="3360"/>
            <w:tcW w:w="2000" w:type="dxa"/>
            <w:shd w:val="clear" w:color="auto" w:fill="FFFFFF"/>
          </w:tcPr>
          <w:p>
            <w:pPr>
              <w:spacing w:after="0"/>
            </w:pPr>
            <w:r>
              <w:rPr>
                <w:b/>
                <w:i w:val="0"/>
                <w:sz w:val="19"/>
              </w:rPr>
              <w:t>Schleimer 2026 · non-LT comparator</w:t>
            </w:r>
          </w:p>
        </w:tc>
        <w:tc>
          <w:tcPr>
            <w:tcW w:type="dxa" w:w="3360"/>
            <w:tcW w:w="3900" w:type="dxa"/>
            <w:shd w:val="clear" w:color="auto" w:fill="FFFFFF"/>
          </w:tcPr>
          <w:p>
            <w:pPr>
              <w:spacing w:after="0"/>
            </w:pPr>
            <w:r>
              <w:rPr>
                <w:b w:val="0"/>
                <w:i w:val="0"/>
                <w:sz w:val="19"/>
              </w:rPr>
              <w:t>Two-center retrospective: 1, 407 total iCCA, 327 advanced liver-confined; 180 progressed/died before six months, 47 converted to resection, 39 potentially LT-eligible. Response-selected non-LT patients; 22 of 39 received HAIP.</w:t>
            </w:r>
          </w:p>
        </w:tc>
        <w:tc>
          <w:tcPr>
            <w:tcW w:type="dxa" w:w="3360"/>
            <w:tcW w:w="4180" w:type="dxa"/>
            <w:shd w:val="clear" w:color="auto" w:fill="FFFFFF"/>
          </w:tcPr>
          <w:p>
            <w:pPr>
              <w:spacing w:after="0"/>
            </w:pPr>
            <w:r>
              <w:rPr>
                <w:b w:val="0"/>
                <w:i w:val="0"/>
                <w:sz w:val="19"/>
              </w:rPr>
              <w:t>Median survival 39 months from diagnosis; 3-/5-year survival 46%/26% from the six-month estimated-eligibility landmark.</w:t>
            </w:r>
          </w:p>
          <w:p>
            <w:pPr>
              <w:spacing w:after="0"/>
            </w:pPr>
            <w:r>
              <w:rPr>
                <w:b w:val="0"/>
                <w:i/>
                <w:sz w:val="19"/>
              </w:rPr>
              <w:t>Limits: Favorable biology selects survivors before any LT. Historical 2008–2018 cohort, not a randomized treatment comparison.</w:t>
            </w:r>
          </w:p>
          <w:p>
            <w:pPr>
              <w:spacing w:after="0"/>
            </w:pPr>
            <w:r>
              <w:rPr>
                <w:b w:val="0"/>
                <w:i w:val="0"/>
                <w:color w:val="5A6069"/>
                <w:sz w:val="18"/>
              </w:rPr>
              <w:t>Ann Surg Oncol 2026; survival methods, Results and Table 2; full PDF.</w:t>
            </w:r>
          </w:p>
        </w:tc>
      </w:tr>
      <w:tr>
        <w:trPr>
          <w:cantSplit/>
        </w:trPr>
        <w:tc>
          <w:tcPr>
            <w:tcW w:type="dxa" w:w="3360"/>
            <w:tcW w:w="2000" w:type="dxa"/>
            <w:shd w:val="clear" w:color="auto" w:fill="F1F5F8"/>
          </w:tcPr>
          <w:p>
            <w:pPr>
              <w:spacing w:after="0"/>
            </w:pPr>
            <w:r>
              <w:rPr>
                <w:b/>
                <w:i w:val="0"/>
                <w:sz w:val="19"/>
              </w:rPr>
              <w:t>PUMP-2</w:t>
            </w:r>
          </w:p>
        </w:tc>
        <w:tc>
          <w:tcPr>
            <w:tcW w:type="dxa" w:w="3360"/>
            <w:tcW w:w="3900" w:type="dxa"/>
            <w:shd w:val="clear" w:color="auto" w:fill="F1F5F8"/>
          </w:tcPr>
          <w:p>
            <w:pPr>
              <w:spacing w:after="0"/>
            </w:pPr>
            <w:r>
              <w:rPr>
                <w:b w:val="0"/>
                <w:i w:val="0"/>
                <w:sz w:val="19"/>
              </w:rPr>
              <w:t>Prospective phase II: 50 pump placements, 48 received FUDR, 37 concurrent GemCis. Regional/systemic treatment for selected unresectable iCCA, not an LT trial.</w:t>
            </w:r>
          </w:p>
        </w:tc>
        <w:tc>
          <w:tcPr>
            <w:tcW w:type="dxa" w:w="3360"/>
            <w:tcW w:w="4180" w:type="dxa"/>
            <w:shd w:val="clear" w:color="auto" w:fill="F1F5F8"/>
          </w:tcPr>
          <w:p>
            <w:pPr>
              <w:spacing w:after="0"/>
            </w:pPr>
            <w:r>
              <w:rPr>
                <w:b w:val="0"/>
                <w:i w:val="0"/>
                <w:sz w:val="19"/>
              </w:rPr>
              <w:t>Partial response 44%, disease control at six months 84%; five resected, one pathological complete response. Median survival 22.3 months, three-year 31.5%.</w:t>
            </w:r>
          </w:p>
          <w:p>
            <w:pPr>
              <w:spacing w:after="0"/>
            </w:pPr>
            <w:r>
              <w:rPr>
                <w:b w:val="0"/>
                <w:i/>
                <w:sz w:val="19"/>
              </w:rPr>
              <w:t>Limits: Does not validate a pre-LT clearance test or subsequent arterial safety. Reassess resection after response.</w:t>
            </w:r>
          </w:p>
          <w:p>
            <w:pPr>
              <w:spacing w:after="0"/>
            </w:pPr>
            <w:r>
              <w:rPr>
                <w:b w:val="0"/>
                <w:i w:val="0"/>
                <w:color w:val="5A6069"/>
                <w:sz w:val="18"/>
              </w:rPr>
              <w:t>JCO 2026; PUMP-2 Methods/Results; full PDF.</w:t>
            </w:r>
          </w:p>
        </w:tc>
      </w:tr>
    </w:tbl>
    <w:p>
      <w:pPr>
        <w:spacing w:after="40"/>
      </w:pPr>
    </w:p>
    <w:p>
      <w:pPr>
        <w:pStyle w:val="Heading3"/>
        <w:keepNext/>
        <w:spacing w:before="120" w:after="80"/>
      </w:pPr>
      <w:r>
        <w:rPr>
          <w:b w:val="0"/>
          <w:i w:val="0"/>
        </w:rPr>
        <w:t>Our proposed selection (OPEN)</w:t>
      </w:r>
    </w:p>
    <w:p>
      <w:pPr>
        <w:spacing w:after="80"/>
      </w:pPr>
      <w:r>
        <w:rPr>
          <w:b w:val="0"/>
          <w:i w:val="0"/>
        </w:rPr>
        <w:t>Require six months of continuous disease control, but distinguish liver-only progression with salvage from permanent exclusion.</w:t>
      </w:r>
    </w:p>
    <w:p>
      <w:pPr>
        <w:numPr>
          <w:ilvl w:val="0"/>
          <w:numId w:val="5"/>
        </w:numPr>
        <w:spacing w:after="40"/>
      </w:pPr>
      <w:r>
        <w:rPr>
          <w:b w:val="0"/>
          <w:i w:val="0"/>
        </w:rPr>
        <w:t>Proposed clock: ≥6 consecutive months of radiological response/stability from initiation of the effective strategy after the most recent confirmed progression, with baseline imaging, no extrahepatic disease and persistent unresectability. Image approximately every eight weeks and restage at completion.</w:t>
      </w:r>
    </w:p>
    <w:p>
      <w:pPr>
        <w:numPr>
          <w:ilvl w:val="0"/>
          <w:numId w:val="5"/>
        </w:numPr>
        <w:spacing w:after="40"/>
      </w:pPr>
      <w:r>
        <w:rPr>
          <w:b w:val="0"/>
          <w:i w:val="0"/>
        </w:rPr>
        <w:t>Dose reduction, toxicity-driven substitution or planned consolidation does not automatically reset the clock when control is continuous. Confirmed liver-only progression pauses eligibility; allow one separately reported salvage re-entry after a fresh six months of control.</w:t>
      </w:r>
    </w:p>
    <w:p>
      <w:pPr>
        <w:numPr>
          <w:ilvl w:val="0"/>
          <w:numId w:val="5"/>
        </w:numPr>
        <w:spacing w:after="40"/>
      </w:pPr>
      <w:r>
        <w:rPr>
          <w:b w:val="0"/>
          <w:i w:val="0"/>
        </w:rPr>
        <w:t>Further progression after that salvage strategy, proven malignant nodes or extrahepatic spread excludes the patient from the initial study. Reassess resection after each major response and immediately before LT; conversion to feasible curative resection redirects to resection.</w:t>
      </w:r>
    </w:p>
    <w:p>
      <w:pPr>
        <w:spacing w:after="80"/>
      </w:pPr>
      <w:r>
        <w:rPr>
          <w:b/>
          <w:i w:val="0"/>
        </w:rPr>
        <w:t xml:space="preserve">Why: </w:t>
      </w:r>
      <w:r>
        <w:rPr>
          <w:b w:val="0"/>
          <w:i w:val="0"/>
        </w:rPr>
        <w:t>A six-month control requirement is a defensible tested entry rule, not an established biological truth. SYS-TARE, TESLA and Rennes used different selection intervals. Stable measurable disease can qualify without RECIST partial response. New lesions or extrahepatic spread cannot be dismissed as stable biology. Regression can change the correct operation to resection.</w:t>
      </w:r>
    </w:p>
    <w:p>
      <w:pPr>
        <w:spacing w:after="80"/>
      </w:pPr>
      <w:r>
        <w:rPr>
          <w:b/>
          <w:i w:val="0"/>
        </w:rPr>
        <w:t xml:space="preserve">Against, or uncertain: </w:t>
      </w:r>
      <w:r>
        <w:rPr>
          <w:b w:val="0"/>
          <w:i w:val="0"/>
        </w:rPr>
        <w:t>Successful later-line cases refute a categorical ban on all salvage but do not validate unrestricted repeated resets. Patients controlled for six months already have better non-LT prognosis. Comparing their post-LT survival with unselected advanced-cancer median survival exaggerates benefit. Unresolved lung, bone or nodal findings require adjudication before activation.</w:t>
      </w:r>
    </w:p>
    <w:p>
      <w:pPr>
        <w:spacing w:after="80"/>
      </w:pPr>
      <w:r>
        <w:rPr>
          <w:b/>
          <w:i w:val="0"/>
        </w:rPr>
        <w:t xml:space="preserve">Certainty: </w:t>
      </w:r>
      <w:r>
        <w:rPr>
          <w:b w:val="0"/>
          <w:i w:val="0"/>
        </w:rPr>
        <w:t>Very low certainty for the optimal control clock, imaging metric or allowable salvage count; low certainty for sustained control as a useful selection approach.</w:t>
      </w:r>
    </w:p>
    <w:p>
      <w:pPr>
        <w:spacing w:after="80"/>
      </w:pPr>
      <w:r>
        <w:rPr>
          <w:b/>
          <w:i w:val="0"/>
        </w:rPr>
        <w:t xml:space="preserve">Tests and records: </w:t>
      </w:r>
      <w:r>
        <w:rPr>
          <w:b w:val="0"/>
          <w:i w:val="0"/>
        </w:rPr>
        <w:t>Dated regimen/response timeline; comparable liver imaging and systemic staging; RECIST and multidisciplinary adjudication; CA19-9 in obstruction context; repeated HPB review. Record latest confirmed progression, current effective-strategy start, first control, each imaging assessment and the proposed activation date; repeat R0/functional-FLR review after meaningful response.</w:t>
      </w:r>
    </w:p>
    <w:p>
      <w:pPr>
        <w:spacing w:after="80"/>
      </w:pPr>
      <w:r>
        <w:rPr>
          <w:b/>
          <w:i w:val="0"/>
        </w:rPr>
        <w:t xml:space="preserve">Allocation: </w:t>
      </w:r>
      <w:r>
        <w:rPr>
          <w:b w:val="0"/>
          <w:i w:val="0"/>
        </w:rPr>
        <w:t>This is the advanced-study clock; do not substitute it for the separate small-cirrhotic NLRB observation/exception requirements.</w:t>
      </w:r>
    </w:p>
    <w:p>
      <w:pPr>
        <w:spacing w:after="40"/>
      </w:pPr>
      <w:r>
        <w:rPr>
          <w:b/>
          <w:i w:val="0"/>
        </w:rPr>
        <w:t xml:space="preserve">Basis for the proposed thresholds: </w:t>
      </w:r>
    </w:p>
    <w:p>
      <w:pPr>
        <w:numPr>
          <w:ilvl w:val="0"/>
          <w:numId w:val="5"/>
        </w:numPr>
        <w:spacing w:after="40"/>
      </w:pPr>
      <w:r>
        <w:rPr>
          <w:b w:val="0"/>
          <w:i w:val="0"/>
        </w:rPr>
        <w:t>STUDY: six months in Houston/Rennes, four months in SYS-TARE and twelve months of treatment response in the TESLA flow diagram. LOCAL: approximately eight-week monitoring and one salvage re-entry. GUIDANCE: preserve the separate NLRB small-cirrhotic clock ('from diagnosis or last treatment'); do not silently replace it with the advanced research clock.</w:t>
      </w:r>
    </w:p>
    <w:p>
      <w:pPr>
        <w:pStyle w:val="Heading3"/>
        <w:keepNext/>
        <w:spacing w:before="120" w:after="80"/>
      </w:pPr>
      <w:r>
        <w:rPr>
          <w:b w:val="0"/>
          <w:i w:val="0"/>
        </w:rPr>
        <w:t>iCCA-B2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iCCA-B3 — Living-donor transplantation: study readiness</w:t>
      </w:r>
    </w:p>
    <w:p>
      <w:pPr>
        <w:spacing w:after="80"/>
      </w:pPr>
      <w:r>
        <w:rPr>
          <w:b w:val="0"/>
          <w:i w:val="0"/>
          <w:color w:val="5A6069"/>
          <w:sz w:val="18"/>
        </w:rPr>
        <w:t>Study development · no transplantation yet · not activated · High-risk review</w:t>
      </w:r>
    </w:p>
    <w:p>
      <w:pPr>
        <w:spacing w:after="80"/>
      </w:pPr>
      <w:r>
        <w:rPr>
          <w:b/>
          <w:i w:val="0"/>
        </w:rPr>
        <w:t xml:space="preserve">Question: </w:t>
      </w:r>
      <w:r>
        <w:rPr>
          <w:b w:val="0"/>
          <w:i w:val="0"/>
        </w:rPr>
        <w:t>Does access to LDLT change the evidentiary threshold?</w:t>
      </w:r>
    </w:p>
    <w:p>
      <w:pPr>
        <w:spacing w:after="80"/>
      </w:pPr>
      <w:r>
        <w:rPr>
          <w:b/>
          <w:i w:val="0"/>
        </w:rPr>
        <w:t xml:space="preserve">When it applies: </w:t>
      </w:r>
      <w:r>
        <w:rPr>
          <w:b w:val="0"/>
          <w:i w:val="0"/>
        </w:rPr>
        <w:t>A potential living donor does not by itself establish recipient eligibility or make a proposed study ready to open.</w:t>
      </w:r>
    </w:p>
    <w:p>
      <w:pPr>
        <w:spacing w:after="80"/>
      </w:pPr>
      <w:r>
        <w:rPr>
          <w:b/>
          <w:i w:val="0"/>
        </w:rPr>
        <w:t xml:space="preserve">Where it is decided: </w:t>
      </w:r>
      <w:hyperlink r:id="rId14">
        <w:r>
          <w:rPr>
            <w:color w:val="0563C1"/>
            <w:u w:val="single"/>
          </w:rPr>
          <w:t xml:space="preserve">Request an individual iCCA MELD exception</w:t>
        </w:r>
      </w:hyperlink>
    </w:p>
    <w:p>
      <w:pPr>
        <w:spacing w:after="120"/>
      </w:pPr>
      <w:r>
        <w:rPr>
          <w:b/>
          <w:i w:val="0"/>
          <w:sz w:val="18"/>
        </w:rPr>
        <w:t xml:space="preserve">Web page: </w:t>
      </w:r>
      <w:hyperlink r:id="rId15">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Sethi 2026 · iCCA LDLT</w:t>
            </w:r>
          </w:p>
        </w:tc>
        <w:tc>
          <w:tcPr>
            <w:tcW w:type="dxa" w:w="3360"/>
            <w:tcW w:w="5480" w:type="dxa"/>
            <w:shd w:val="clear" w:color="auto" w:fill="F1F5F8"/>
          </w:tcPr>
          <w:p>
            <w:pPr>
              <w:spacing w:after="0"/>
            </w:pPr>
            <w:r>
              <w:rPr>
                <w:b w:val="0"/>
                <w:i w:val="0"/>
                <w:sz w:val="19"/>
              </w:rPr>
              <w:t>“This retrospective, single-center study investigated outcomes for seven patients” The complete main paper was reviewed. Seven selected recipients, wide confidence intervals and donor reoperation/drainage support prospective study development, not routine LDLT access. Separate supplementary details and individual ICI intervals remain unverified.</w:t>
            </w:r>
          </w:p>
        </w:tc>
        <w:tc>
          <w:tcPr>
            <w:tcW w:type="dxa" w:w="3360"/>
            <w:tcW w:w="2400" w:type="dxa"/>
            <w:shd w:val="clear" w:color="auto" w:fill="F1F5F8"/>
          </w:tcPr>
          <w:p>
            <w:pPr>
              <w:spacing w:after="0"/>
            </w:pPr>
            <w:r>
              <w:rPr>
                <w:b w:val="0"/>
                <w:i w:val="0"/>
                <w:color w:val="5A6069"/>
                <w:sz w:val="18"/>
              </w:rPr>
              <w:t>Complete 11-page AJT 2026 main-paper proof; Methods, referral flow, Tables 1–2 and recipient/donor outcomes</w:t>
            </w:r>
          </w:p>
        </w:tc>
      </w:tr>
      <w:tr>
        <w:trPr>
          <w:cantSplit/>
        </w:trPr>
        <w:tc>
          <w:tcPr>
            <w:tcW w:type="dxa" w:w="3360"/>
            <w:tcW w:w="2200" w:type="dxa"/>
            <w:shd w:val="clear" w:color="auto" w:fill="FFFFFF"/>
          </w:tcPr>
          <w:p>
            <w:pPr>
              <w:spacing w:after="0"/>
            </w:pPr>
            <w:r>
              <w:rPr>
                <w:b/>
                <w:i w:val="0"/>
                <w:sz w:val="19"/>
              </w:rPr>
              <w:t>Schleimer 2026 · non-LT comparator</w:t>
            </w:r>
          </w:p>
        </w:tc>
        <w:tc>
          <w:tcPr>
            <w:tcW w:type="dxa" w:w="3360"/>
            <w:tcW w:w="5480" w:type="dxa"/>
            <w:shd w:val="clear" w:color="auto" w:fill="FFFFFF"/>
          </w:tcPr>
          <w:p>
            <w:pPr>
              <w:spacing w:after="0"/>
            </w:pPr>
            <w:r>
              <w:rPr>
                <w:b w:val="0"/>
                <w:i w:val="0"/>
                <w:sz w:val="19"/>
              </w:rPr>
              <w:t>“Their median survival from diagnosis was 39 months” Selected contemporary non-LT survival is a relevant comparator; this is not a randomized LT-benefit estimate.</w:t>
            </w:r>
          </w:p>
        </w:tc>
        <w:tc>
          <w:tcPr>
            <w:tcW w:type="dxa" w:w="3360"/>
            <w:tcW w:w="2400" w:type="dxa"/>
            <w:shd w:val="clear" w:color="auto" w:fill="FFFFFF"/>
          </w:tcPr>
          <w:p>
            <w:pPr>
              <w:spacing w:after="0"/>
            </w:pPr>
            <w:r>
              <w:rPr>
                <w:b w:val="0"/>
                <w:i w:val="0"/>
                <w:color w:val="5A6069"/>
                <w:sz w:val="18"/>
              </w:rPr>
              <w:t>Published PDF p1 / journal p6099, abstract Results</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Sethi 2026 · iCCA LDLT</w:t>
            </w:r>
          </w:p>
        </w:tc>
        <w:tc>
          <w:tcPr>
            <w:tcW w:type="dxa" w:w="3360"/>
            <w:tcW w:w="3900" w:type="dxa"/>
            <w:shd w:val="clear" w:color="auto" w:fill="F1F5F8"/>
          </w:tcPr>
          <w:p>
            <w:pPr>
              <w:spacing w:after="0"/>
            </w:pPr>
            <w:r>
              <w:rPr>
                <w:b w:val="0"/>
                <w:i w:val="0"/>
                <w:sz w:val="19"/>
              </w:rPr>
              <w:t>Retrospective single-center seven-recipient LDLT series. Six received systemic treatment, four locoregional treatment; median MELD 8 and wait 38 days.</w:t>
            </w:r>
          </w:p>
        </w:tc>
        <w:tc>
          <w:tcPr>
            <w:tcW w:type="dxa" w:w="3360"/>
            <w:tcW w:w="4180" w:type="dxa"/>
            <w:shd w:val="clear" w:color="auto" w:fill="F1F5F8"/>
          </w:tcPr>
          <w:p>
            <w:pPr>
              <w:spacing w:after="0"/>
            </w:pPr>
            <w:r>
              <w:rPr>
                <w:b w:val="0"/>
                <w:i w:val="0"/>
                <w:sz w:val="19"/>
              </w:rPr>
              <w:t>Median follow-up 5.1 years; two recurrences, one death. Five-year OS 85.7% (CI 33.4–97.9), RFS 71.4% (CI 25.8–92.0). Two gradeIII complications within six months; all donors alive.</w:t>
            </w:r>
          </w:p>
          <w:p>
            <w:pPr>
              <w:spacing w:after="0"/>
            </w:pPr>
            <w:r>
              <w:rPr>
                <w:b w:val="0"/>
                <w:i/>
                <w:sz w:val="19"/>
              </w:rPr>
              <w:t>Limits: Abstract independently checked; full selection, screened denominator and donor morbidity require PDF. Seven recipients cannot establish net benefit.</w:t>
            </w:r>
          </w:p>
          <w:p>
            <w:pPr>
              <w:spacing w:after="0"/>
            </w:pPr>
            <w:r>
              <w:rPr>
                <w:b w:val="0"/>
                <w:i w:val="0"/>
                <w:color w:val="5A6069"/>
                <w:sz w:val="18"/>
              </w:rPr>
              <w:t>AJT online 29 September 2026; primary abstract, PMID 42810588.</w:t>
            </w:r>
          </w:p>
        </w:tc>
      </w:tr>
      <w:tr>
        <w:trPr>
          <w:cantSplit/>
        </w:trPr>
        <w:tc>
          <w:tcPr>
            <w:tcW w:type="dxa" w:w="3360"/>
            <w:tcW w:w="2000" w:type="dxa"/>
            <w:shd w:val="clear" w:color="auto" w:fill="FFFFFF"/>
          </w:tcPr>
          <w:p>
            <w:pPr>
              <w:spacing w:after="0"/>
            </w:pPr>
            <w:r>
              <w:rPr>
                <w:b/>
                <w:i w:val="0"/>
                <w:sz w:val="19"/>
              </w:rPr>
              <w:t>Lunsford 2018 · Houston</w:t>
            </w:r>
          </w:p>
        </w:tc>
        <w:tc>
          <w:tcPr>
            <w:tcW w:type="dxa" w:w="3360"/>
            <w:tcW w:w="3900" w:type="dxa"/>
            <w:shd w:val="clear" w:color="auto" w:fill="FFFFFF"/>
          </w:tcPr>
          <w:p>
            <w:pPr>
              <w:spacing w:after="0"/>
            </w:pPr>
            <w:r>
              <w:rPr>
                <w:b w:val="0"/>
                <w:i w:val="0"/>
                <w:sz w:val="19"/>
              </w:rPr>
              <w:t>Twenty-one referrals, twelve accepted, six recipients. Six-month controlled, liver-confined unresectable iCCA.</w:t>
            </w:r>
          </w:p>
        </w:tc>
        <w:tc>
          <w:tcPr>
            <w:tcW w:type="dxa" w:w="3360"/>
            <w:tcW w:w="4180" w:type="dxa"/>
            <w:shd w:val="clear" w:color="auto" w:fill="FFFFFF"/>
          </w:tcPr>
          <w:p>
            <w:pPr>
              <w:spacing w:after="0"/>
            </w:pPr>
            <w:r>
              <w:rPr>
                <w:b w:val="0"/>
                <w:i w:val="0"/>
                <w:sz w:val="19"/>
              </w:rPr>
              <w:t>Five-year post-LT survival 83.3% with very wide CI; three of six recurred.</w:t>
            </w:r>
          </w:p>
          <w:p>
            <w:pPr>
              <w:spacing w:after="0"/>
            </w:pPr>
            <w:r>
              <w:rPr>
                <w:b w:val="0"/>
                <w:i/>
                <w:sz w:val="19"/>
              </w:rPr>
              <w:t>Limits: Feasibility, not LDLT-specific causal benefit; overlaps McMillan.</w:t>
            </w:r>
          </w:p>
          <w:p>
            <w:pPr>
              <w:spacing w:after="0"/>
            </w:pPr>
            <w:r>
              <w:rPr>
                <w:b w:val="0"/>
                <w:i w:val="0"/>
                <w:color w:val="5A6069"/>
                <w:sz w:val="18"/>
              </w:rPr>
              <w:t>Lancet Gastroenterol Hepatol 2018; Methods/Results; local PDF.</w:t>
            </w:r>
          </w:p>
        </w:tc>
      </w:tr>
      <w:tr>
        <w:trPr>
          <w:cantSplit/>
        </w:trPr>
        <w:tc>
          <w:tcPr>
            <w:tcW w:type="dxa" w:w="3360"/>
            <w:tcW w:w="2000" w:type="dxa"/>
            <w:shd w:val="clear" w:color="auto" w:fill="F1F5F8"/>
          </w:tcPr>
          <w:p>
            <w:pPr>
              <w:spacing w:after="0"/>
            </w:pPr>
            <w:r>
              <w:rPr>
                <w:b/>
                <w:i w:val="0"/>
                <w:sz w:val="19"/>
              </w:rPr>
              <w:t>Giguet 2026</w:t>
            </w:r>
          </w:p>
        </w:tc>
        <w:tc>
          <w:tcPr>
            <w:tcW w:type="dxa" w:w="3360"/>
            <w:tcW w:w="3900" w:type="dxa"/>
            <w:shd w:val="clear" w:color="auto" w:fill="F1F5F8"/>
          </w:tcPr>
          <w:p>
            <w:pPr>
              <w:spacing w:after="0"/>
            </w:pPr>
            <w:r>
              <w:rPr>
                <w:b w:val="0"/>
                <w:i w:val="0"/>
                <w:sz w:val="19"/>
              </w:rPr>
              <w:t>Six selected deceased-donor recipients. French declined-graft route, not LDLT.</w:t>
            </w:r>
          </w:p>
        </w:tc>
        <w:tc>
          <w:tcPr>
            <w:tcW w:type="dxa" w:w="3360"/>
            <w:tcW w:w="4180" w:type="dxa"/>
            <w:shd w:val="clear" w:color="auto" w:fill="F1F5F8"/>
          </w:tcPr>
          <w:p>
            <w:pPr>
              <w:spacing w:after="0"/>
            </w:pPr>
            <w:r>
              <w:rPr>
                <w:b w:val="0"/>
                <w:i w:val="0"/>
                <w:sz w:val="19"/>
              </w:rPr>
              <w:t>Arterial complications 3/6 and biliary 4/6; one late retransplant and one septic-cholangitis death at 6.4 years despite five-year OS 100%.</w:t>
            </w:r>
          </w:p>
          <w:p>
            <w:pPr>
              <w:spacing w:after="0"/>
            </w:pPr>
            <w:r>
              <w:rPr>
                <w:b w:val="0"/>
                <w:i/>
                <w:sz w:val="19"/>
              </w:rPr>
              <w:t>Limits: High survival is not low morbidity or cure; SIRT, surgery and graft-quality effects cannot be separated.</w:t>
            </w:r>
          </w:p>
          <w:p>
            <w:pPr>
              <w:spacing w:after="0"/>
            </w:pPr>
            <w:r>
              <w:rPr>
                <w:b w:val="0"/>
                <w:i w:val="0"/>
                <w:color w:val="5A6069"/>
                <w:sz w:val="18"/>
              </w:rPr>
              <w:t>JHEP Rep 2026; Table 3 and late-complication Results.</w:t>
            </w:r>
          </w:p>
        </w:tc>
      </w:tr>
      <w:tr>
        <w:trPr>
          <w:cantSplit/>
        </w:trPr>
        <w:tc>
          <w:tcPr>
            <w:tcW w:type="dxa" w:w="3360"/>
            <w:tcW w:w="2000" w:type="dxa"/>
            <w:shd w:val="clear" w:color="auto" w:fill="FFFFFF"/>
          </w:tcPr>
          <w:p>
            <w:pPr>
              <w:spacing w:after="0"/>
            </w:pPr>
            <w:r>
              <w:rPr>
                <w:b/>
                <w:i w:val="0"/>
                <w:sz w:val="19"/>
              </w:rPr>
              <w:t>Schleimer 2026 · non-LT comparator</w:t>
            </w:r>
          </w:p>
        </w:tc>
        <w:tc>
          <w:tcPr>
            <w:tcW w:type="dxa" w:w="3360"/>
            <w:tcW w:w="3900" w:type="dxa"/>
            <w:shd w:val="clear" w:color="auto" w:fill="FFFFFF"/>
          </w:tcPr>
          <w:p>
            <w:pPr>
              <w:spacing w:after="0"/>
            </w:pPr>
            <w:r>
              <w:rPr>
                <w:b w:val="0"/>
                <w:i w:val="0"/>
                <w:sz w:val="19"/>
              </w:rPr>
              <w:t>Thirty-nine selected non-LT patients from 327 advanced liver-confined cases; 22 received HAIP. Retrospective LT-eligibility assessment after six months of control.</w:t>
            </w:r>
          </w:p>
        </w:tc>
        <w:tc>
          <w:tcPr>
            <w:tcW w:type="dxa" w:w="3360"/>
            <w:tcW w:w="4180" w:type="dxa"/>
            <w:shd w:val="clear" w:color="auto" w:fill="FFFFFF"/>
          </w:tcPr>
          <w:p>
            <w:pPr>
              <w:spacing w:after="0"/>
            </w:pPr>
            <w:r>
              <w:rPr>
                <w:b w:val="0"/>
                <w:i w:val="0"/>
                <w:sz w:val="19"/>
              </w:rPr>
              <w:t>Median 39 months from diagnosis; five-year survival 26% from the six-month landmark.</w:t>
            </w:r>
          </w:p>
          <w:p>
            <w:pPr>
              <w:spacing w:after="0"/>
            </w:pPr>
            <w:r>
              <w:rPr>
                <w:b w:val="0"/>
                <w:i/>
                <w:sz w:val="19"/>
              </w:rPr>
              <w:t>Limits: More relevant than unselected metastatic BTC but historical and nonrandomized; cannot yield precise individual LT benefit.</w:t>
            </w:r>
          </w:p>
          <w:p>
            <w:pPr>
              <w:spacing w:after="0"/>
            </w:pPr>
            <w:r>
              <w:rPr>
                <w:b w:val="0"/>
                <w:i w:val="0"/>
                <w:color w:val="5A6069"/>
                <w:sz w:val="18"/>
              </w:rPr>
              <w:t>Ann Surg Oncol 2026; Methods/Results/Table 2; local PDF.</w:t>
            </w:r>
          </w:p>
        </w:tc>
      </w:tr>
      <w:tr>
        <w:trPr>
          <w:cantSplit/>
        </w:trPr>
        <w:tc>
          <w:tcPr>
            <w:tcW w:type="dxa" w:w="3360"/>
            <w:tcW w:w="2000" w:type="dxa"/>
            <w:shd w:val="clear" w:color="auto" w:fill="F1F5F8"/>
          </w:tcPr>
          <w:p>
            <w:pPr>
              <w:spacing w:after="0"/>
            </w:pPr>
            <w:r>
              <w:rPr>
                <w:b/>
                <w:i w:val="0"/>
                <w:sz w:val="19"/>
              </w:rPr>
              <w:t>PUMP-2</w:t>
            </w:r>
          </w:p>
        </w:tc>
        <w:tc>
          <w:tcPr>
            <w:tcW w:type="dxa" w:w="3360"/>
            <w:tcW w:w="3900" w:type="dxa"/>
            <w:shd w:val="clear" w:color="auto" w:fill="F1F5F8"/>
          </w:tcPr>
          <w:p>
            <w:pPr>
              <w:spacing w:after="0"/>
            </w:pPr>
            <w:r>
              <w:rPr>
                <w:b w:val="0"/>
                <w:i w:val="0"/>
                <w:sz w:val="19"/>
              </w:rPr>
              <w:t>Fifty pump placements; 48 received FUDR; single-arm phaseII. Non-LT unresectable iCCA.</w:t>
            </w:r>
          </w:p>
        </w:tc>
        <w:tc>
          <w:tcPr>
            <w:tcW w:type="dxa" w:w="3360"/>
            <w:tcW w:w="4180" w:type="dxa"/>
            <w:shd w:val="clear" w:color="auto" w:fill="F1F5F8"/>
          </w:tcPr>
          <w:p>
            <w:pPr>
              <w:spacing w:after="0"/>
            </w:pPr>
            <w:r>
              <w:rPr>
                <w:b w:val="0"/>
                <w:i w:val="0"/>
                <w:sz w:val="19"/>
              </w:rPr>
              <w:t>Median survival 22.3 months; three-year 31.5%; five conversion resections. Arterial dissection prevented treatment in one patient.</w:t>
            </w:r>
          </w:p>
          <w:p>
            <w:pPr>
              <w:spacing w:after="0"/>
            </w:pPr>
            <w:r>
              <w:rPr>
                <w:b w:val="0"/>
                <w:i/>
                <w:sz w:val="19"/>
              </w:rPr>
              <w:t>Limits: A current regional option, not a randomized LDLT comparator or proof of later graft-arterial safety.</w:t>
            </w:r>
          </w:p>
          <w:p>
            <w:pPr>
              <w:spacing w:after="0"/>
            </w:pPr>
            <w:r>
              <w:rPr>
                <w:b w:val="0"/>
                <w:i w:val="0"/>
                <w:color w:val="5A6069"/>
                <w:sz w:val="18"/>
              </w:rPr>
              <w:t>JCO 2026 PUMP-2; full-PDF Methods/Results and adverse events.</w:t>
            </w:r>
          </w:p>
        </w:tc>
      </w:tr>
      <w:tr>
        <w:trPr>
          <w:cantSplit/>
        </w:trPr>
        <w:tc>
          <w:tcPr>
            <w:tcW w:type="dxa" w:w="3360"/>
            <w:tcW w:w="2000" w:type="dxa"/>
            <w:shd w:val="clear" w:color="auto" w:fill="FFFFFF"/>
          </w:tcPr>
          <w:p>
            <w:pPr>
              <w:spacing w:after="0"/>
            </w:pPr>
            <w:r>
              <w:rPr>
                <w:b/>
                <w:i w:val="0"/>
                <w:sz w:val="19"/>
              </w:rPr>
              <w:t>Oh 2025</w:t>
            </w:r>
          </w:p>
        </w:tc>
        <w:tc>
          <w:tcPr>
            <w:tcW w:type="dxa" w:w="3360"/>
            <w:tcW w:w="3900" w:type="dxa"/>
            <w:shd w:val="clear" w:color="auto" w:fill="FFFFFF"/>
          </w:tcPr>
          <w:p>
            <w:pPr>
              <w:spacing w:after="0"/>
            </w:pPr>
            <w:r>
              <w:rPr>
                <w:b w:val="0"/>
                <w:i w:val="0"/>
                <w:sz w:val="19"/>
              </w:rPr>
              <w:t>Randomized phaseIII advanced BTC: 685 participants, 341 durvalumab/GemCis and 344 placebo/GemCis. Mixed biliary sites and locally advanced/metastatic disease, not a six-month LT-selected population.</w:t>
            </w:r>
          </w:p>
        </w:tc>
        <w:tc>
          <w:tcPr>
            <w:tcW w:type="dxa" w:w="3360"/>
            <w:tcW w:w="4180" w:type="dxa"/>
            <w:shd w:val="clear" w:color="auto" w:fill="FFFFFF"/>
          </w:tcPr>
          <w:p>
            <w:pPr>
              <w:spacing w:after="0"/>
            </w:pPr>
            <w:r>
              <w:rPr>
                <w:b w:val="0"/>
                <w:i w:val="0"/>
                <w:sz w:val="19"/>
              </w:rPr>
              <w:t>Median OS 12.9 versus 11.3 months; HR 0.74 (CI 0.63–0.87), 36-month OS 14.6% versus 6.9%, median follow-up 41.3 months.</w:t>
            </w:r>
          </w:p>
          <w:p>
            <w:pPr>
              <w:spacing w:after="0"/>
            </w:pPr>
            <w:r>
              <w:rPr>
                <w:b w:val="0"/>
                <w:i/>
                <w:sz w:val="19"/>
              </w:rPr>
              <w:t>Limits: High-level evidence for non-LT therapy, not pre-LT ICI safety or an exchangeable control for LT recipients.</w:t>
            </w:r>
          </w:p>
          <w:p>
            <w:pPr>
              <w:spacing w:after="0"/>
            </w:pPr>
            <w:r>
              <w:rPr>
                <w:b w:val="0"/>
                <w:i w:val="0"/>
                <w:color w:val="5A6069"/>
                <w:sz w:val="18"/>
              </w:rPr>
              <w:t>J Hepatol 2025; 83: 1092–1101; primary three-year update.</w:t>
            </w:r>
          </w:p>
        </w:tc>
      </w:tr>
      <w:tr>
        <w:trPr>
          <w:cantSplit/>
        </w:trPr>
        <w:tc>
          <w:tcPr>
            <w:tcW w:type="dxa" w:w="3360"/>
            <w:tcW w:w="2000" w:type="dxa"/>
            <w:shd w:val="clear" w:color="auto" w:fill="F1F5F8"/>
          </w:tcPr>
          <w:p>
            <w:pPr>
              <w:spacing w:after="0"/>
            </w:pPr>
            <w:r>
              <w:rPr>
                <w:b/>
                <w:i w:val="0"/>
                <w:sz w:val="19"/>
              </w:rPr>
              <w:t>Kelly 2026</w:t>
            </w:r>
          </w:p>
        </w:tc>
        <w:tc>
          <w:tcPr>
            <w:tcW w:type="dxa" w:w="3360"/>
            <w:tcW w:w="3900" w:type="dxa"/>
            <w:shd w:val="clear" w:color="auto" w:fill="F1F5F8"/>
          </w:tcPr>
          <w:p>
            <w:pPr>
              <w:spacing w:after="0"/>
            </w:pPr>
            <w:r>
              <w:rPr>
                <w:b w:val="0"/>
                <w:i w:val="0"/>
                <w:sz w:val="19"/>
              </w:rPr>
              <w:t>SRTR 1989–2023: 8, 981 eligible donors, 8, 619 mortality analysis and 8, 314 secondary follow-up. Donors aged 18–65 across all indications, not iCCA-specific.</w:t>
            </w:r>
          </w:p>
        </w:tc>
        <w:tc>
          <w:tcPr>
            <w:tcW w:type="dxa" w:w="3360"/>
            <w:tcW w:w="4180" w:type="dxa"/>
            <w:shd w:val="clear" w:color="auto" w:fill="F1F5F8"/>
          </w:tcPr>
          <w:p>
            <w:pPr>
              <w:spacing w:after="0"/>
            </w:pPr>
            <w:r>
              <w:rPr>
                <w:b w:val="0"/>
                <w:i w:val="0"/>
                <w:sz w:val="19"/>
              </w:rPr>
              <w:t>Eight 90-day deaths (0.1%), 18 within two years (0.2%). Contemporary 90-day mortality approximately 0.04%. Secondary-outcome completeness 60–67% at six months and 37–39% at two years.</w:t>
            </w:r>
          </w:p>
          <w:p>
            <w:pPr>
              <w:spacing w:after="0"/>
            </w:pPr>
            <w:r>
              <w:rPr>
                <w:b w:val="0"/>
                <w:i/>
                <w:sz w:val="19"/>
              </w:rPr>
              <w:t>Limits: All-cause deaths are not all donation-attributable. Missingness, historical eras and mixed graft types limit individual risk estimates; employment burden also matters.</w:t>
            </w:r>
          </w:p>
          <w:p>
            <w:pPr>
              <w:spacing w:after="0"/>
            </w:pPr>
            <w:r>
              <w:rPr>
                <w:b w:val="0"/>
                <w:i w:val="0"/>
                <w:color w:val="5A6069"/>
                <w:sz w:val="18"/>
              </w:rPr>
              <w:t>J Transplant 2026: 2545887; Missing Data and Results§§3.1–3.3; complete 8-page PDF.</w:t>
            </w:r>
          </w:p>
        </w:tc>
      </w:tr>
    </w:tbl>
    <w:p>
      <w:pPr>
        <w:spacing w:after="40"/>
      </w:pPr>
    </w:p>
    <w:p>
      <w:pPr>
        <w:pStyle w:val="Heading3"/>
        <w:keepNext/>
        <w:spacing w:before="120" w:after="80"/>
      </w:pPr>
      <w:r>
        <w:rPr>
          <w:b w:val="0"/>
          <w:i w:val="0"/>
        </w:rPr>
        <w:t>Our proposed selection (OPEN)</w:t>
      </w:r>
    </w:p>
    <w:p>
      <w:pPr>
        <w:spacing w:after="80"/>
      </w:pPr>
      <w:r>
        <w:rPr>
          <w:b w:val="0"/>
          <w:i w:val="0"/>
        </w:rPr>
        <w:t>Develop a prospective LDLT feasibility study, but do not permit transplantation under this proposal yet.</w:t>
      </w:r>
    </w:p>
    <w:p>
      <w:pPr>
        <w:numPr>
          <w:ilvl w:val="0"/>
          <w:numId w:val="5"/>
        </w:numPr>
        <w:spacing w:after="40"/>
      </w:pPr>
      <w:r>
        <w:rPr>
          <w:b w:val="0"/>
          <w:i w:val="0"/>
        </w:rPr>
        <w:t>Before this study can open: all six readiness domains complete—approved recipient rules; independent benefit/comparator review; separate donor/advocate clearance; explicit uncertainty/graft-use consent; funded donor follow-up; and an all-screened registry with independently approved safety monitoring.</w:t>
      </w:r>
    </w:p>
    <w:p>
      <w:pPr>
        <w:numPr>
          <w:ilvl w:val="0"/>
          <w:numId w:val="5"/>
        </w:numPr>
        <w:spacing w:after="40"/>
      </w:pPr>
      <w:r>
        <w:rPr>
          <w:b w:val="0"/>
          <w:i w:val="0"/>
        </w:rPr>
        <w:t>Donor availability never lowers iCCA-B1/B2 selection or control requirements. Retain ordinary donor safety criteria and independent withdrawal rights.</w:t>
      </w:r>
    </w:p>
    <w:p>
      <w:pPr>
        <w:numPr>
          <w:ilvl w:val="0"/>
          <w:numId w:val="5"/>
        </w:numPr>
        <w:spacing w:after="40"/>
      </w:pPr>
      <w:r>
        <w:rPr>
          <w:b w:val="0"/>
          <w:i w:val="0"/>
        </w:rPr>
        <w:t>Do not use predicted five-year survival ≥50%, or another unvalidated number, as proof of readiness. Until approvals are complete: screening/registry and study development only, no protocol-directed LT.</w:t>
      </w:r>
    </w:p>
    <w:p>
      <w:pPr>
        <w:spacing w:after="80"/>
      </w:pPr>
      <w:r>
        <w:rPr>
          <w:b/>
          <w:i w:val="0"/>
        </w:rPr>
        <w:t xml:space="preserve">Why: </w:t>
      </w:r>
      <w:r>
        <w:rPr>
          <w:b w:val="0"/>
          <w:i w:val="0"/>
        </w:rPr>
        <w:t>The seven-recipient LDLT experience supports developing a carefully governed study, not announcing a standard indication. A shorter wait may avoid dropout but can also remove the biological observation that selected successful cohorts. Donor availability does not erase recipient uncertainty or non-LT alternatives. Benefit and donor harm require separate analyses and independent consent.</w:t>
      </w:r>
    </w:p>
    <w:p>
      <w:pPr>
        <w:spacing w:after="80"/>
      </w:pPr>
      <w:r>
        <w:rPr>
          <w:b/>
          <w:i w:val="0"/>
        </w:rPr>
        <w:t xml:space="preserve">Against, or uncertain: </w:t>
      </w:r>
      <w:r>
        <w:rPr>
          <w:b w:val="0"/>
          <w:i w:val="0"/>
        </w:rPr>
        <w:t>No randomized advanced-iCCA LDLT-benefit trial or validated minimum five-year survival forecast establishes study readiness. Response-selected non-LT patients may live for years. National mortality is small but nonzero and does not capture all financial, psychological or functional burden. Seven living donors reported alive is not a safety guarantee.</w:t>
      </w:r>
    </w:p>
    <w:p>
      <w:pPr>
        <w:spacing w:after="80"/>
      </w:pPr>
      <w:r>
        <w:rPr>
          <w:b/>
          <w:i w:val="0"/>
        </w:rPr>
        <w:t xml:space="preserve">Certainty: </w:t>
      </w:r>
      <w:r>
        <w:rPr>
          <w:b w:val="0"/>
          <w:i w:val="0"/>
        </w:rPr>
        <w:t>Very low certainty for causal LDLT benefit and the disease-specific donor-risk tradeoff; moderate confidence in broad national donor-mortality estimates, with limited individual transferability.</w:t>
      </w:r>
    </w:p>
    <w:p>
      <w:pPr>
        <w:spacing w:after="80"/>
      </w:pPr>
      <w:r>
        <w:rPr>
          <w:b/>
          <w:i w:val="0"/>
        </w:rPr>
        <w:t xml:space="preserve">Tests and records: </w:t>
      </w:r>
      <w:r>
        <w:rPr>
          <w:b w:val="0"/>
          <w:i w:val="0"/>
        </w:rPr>
        <w:t>Written study, statistical/safety plan, non-LT alternatives including HAI/conversion, donor resources, consent forms and documented independent approvals.</w:t>
      </w:r>
    </w:p>
    <w:p>
      <w:pPr>
        <w:spacing w:after="80"/>
      </w:pPr>
      <w:r>
        <w:rPr>
          <w:b/>
          <w:i w:val="0"/>
        </w:rPr>
        <w:t xml:space="preserve">Allocation: </w:t>
      </w:r>
      <w:r>
        <w:rPr>
          <w:b w:val="0"/>
          <w:i w:val="0"/>
        </w:rPr>
        <w:t>LDLT avoids allocation of that deceased-donor graft but adds healthy-donor risk and potential retransplant demand; it does not itself prove net benefit.</w:t>
      </w:r>
    </w:p>
    <w:p>
      <w:pPr>
        <w:spacing w:after="40"/>
      </w:pPr>
      <w:r>
        <w:rPr>
          <w:b/>
          <w:i w:val="0"/>
        </w:rPr>
        <w:t xml:space="preserve">Basis for the proposed thresholds: </w:t>
      </w:r>
    </w:p>
    <w:p>
      <w:pPr>
        <w:numPr>
          <w:ilvl w:val="0"/>
          <w:numId w:val="5"/>
        </w:numPr>
        <w:spacing w:after="40"/>
      </w:pPr>
      <w:r>
        <w:rPr>
          <w:b w:val="0"/>
          <w:i w:val="0"/>
        </w:rPr>
        <w:t>POLICY: donor independence, informed consent and withdrawal protections remain mandatory. STUDY: seven-recipient LDLT feasibility with wide confidence intervals; no validated minimum survival forecast. LOCAL: assessment of the six readiness domains. Recipient boundaries and safety stopping rules require prospective institutional approval before the first pair.</w:t>
      </w:r>
    </w:p>
    <w:p>
      <w:pPr>
        <w:pStyle w:val="Heading3"/>
        <w:keepNext/>
        <w:spacing w:before="120" w:after="80"/>
      </w:pPr>
      <w:r>
        <w:rPr>
          <w:b w:val="0"/>
          <w:i w:val="0"/>
        </w:rPr>
        <w:t>iCCA-B3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iCCA-B4 — Previously treated nodal or extrahepatic disease</w:t>
      </w:r>
    </w:p>
    <w:p>
      <w:pPr>
        <w:spacing w:after="80"/>
      </w:pPr>
      <w:r>
        <w:rPr>
          <w:b w:val="0"/>
          <w:i w:val="0"/>
          <w:color w:val="5A6069"/>
          <w:sz w:val="18"/>
        </w:rPr>
        <w:t>Closed · not activated · High-risk review</w:t>
      </w:r>
    </w:p>
    <w:p>
      <w:pPr>
        <w:spacing w:after="80"/>
      </w:pPr>
      <w:r>
        <w:rPr>
          <w:b/>
          <w:i w:val="0"/>
        </w:rPr>
        <w:t xml:space="preserve">Question: </w:t>
      </w:r>
      <w:r>
        <w:rPr>
          <w:b w:val="0"/>
          <w:i w:val="0"/>
        </w:rPr>
        <w:t>Should a patient whose iCCA nodal or extrahepatic disease has responded or been resected ever be considered for transplantation?</w:t>
      </w:r>
    </w:p>
    <w:p>
      <w:pPr>
        <w:spacing w:after="80"/>
      </w:pPr>
      <w:r>
        <w:rPr>
          <w:b/>
          <w:i w:val="0"/>
        </w:rPr>
        <w:t xml:space="preserve">When it applies: </w:t>
      </w:r>
      <w:r>
        <w:rPr>
          <w:b w:val="0"/>
          <w:i w:val="0"/>
        </w:rPr>
        <w:t>Use when iCCA has involved regional lymph nodes or any site outside the liver, including disease that later responded to chemotherapy or was resected or irradiated.</w:t>
      </w:r>
    </w:p>
    <w:p>
      <w:pPr>
        <w:spacing w:after="80"/>
      </w:pPr>
      <w:r>
        <w:rPr>
          <w:b/>
          <w:i w:val="0"/>
        </w:rPr>
        <w:t xml:space="preserve">Where it is decided: </w:t>
      </w:r>
      <w:hyperlink r:id="rId9">
        <w:r>
          <w:rPr>
            <w:color w:val="0563C1"/>
            <w:u w:val="single"/>
          </w:rPr>
          <w:t xml:space="preserve">Check clinical selection criteria</w:t>
        </w:r>
      </w:hyperlink>
      <w:r>
        <w:rPr>
          <w:b w:val="0"/>
          <w:i w:val="0"/>
        </w:rPr>
        <w:t xml:space="preserve"> · </w:t>
      </w:r>
      <w:hyperlink r:id="rId12">
        <w:r>
          <w:rPr>
            <w:color w:val="0563C1"/>
            <w:u w:val="single"/>
          </w:rPr>
          <w:t xml:space="preserve">Demonstrate stability</w:t>
        </w:r>
      </w:hyperlink>
    </w:p>
    <w:p>
      <w:pPr>
        <w:spacing w:after="120"/>
      </w:pPr>
      <w:r>
        <w:rPr>
          <w:b/>
          <w:i w:val="0"/>
          <w:sz w:val="18"/>
        </w:rPr>
        <w:t xml:space="preserve">Web page: </w:t>
      </w:r>
      <w:hyperlink r:id="rId1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ILTS–ILCA consensus</w:t>
            </w:r>
          </w:p>
        </w:tc>
        <w:tc>
          <w:tcPr>
            <w:tcW w:type="dxa" w:w="3360"/>
            <w:tcW w:w="3900" w:type="dxa"/>
            <w:shd w:val="clear" w:color="auto" w:fill="F1F5F8"/>
          </w:tcPr>
          <w:p>
            <w:pPr>
              <w:spacing w:after="0"/>
            </w:pPr>
            <w:r>
              <w:rPr>
                <w:b w:val="0"/>
                <w:i w:val="0"/>
                <w:sz w:val="19"/>
              </w:rPr>
              <w:t>2024 ILTS–ILCA Delphi consensus with external review. Cirrhotic, unresectable iCCA ≤3 cm: transplantation may be considered after a period of stability and without extrahepatic metastasis. Non-cirrhotic: only within investigational protocols for unresectable, liver-confined disease after at least six months of stability.</w:t>
            </w:r>
          </w:p>
        </w:tc>
        <w:tc>
          <w:tcPr>
            <w:tcW w:type="dxa" w:w="3360"/>
            <w:tcW w:w="4180" w:type="dxa"/>
            <w:shd w:val="clear" w:color="auto" w:fill="F1F5F8"/>
          </w:tcPr>
          <w:p>
            <w:pPr>
              <w:spacing w:after="0"/>
            </w:pPr>
            <w:r>
              <w:rPr>
                <w:b w:val="0"/>
                <w:i w:val="0"/>
                <w:sz w:val="19"/>
              </w:rPr>
              <w:t>No statement addresses previously treated nodal or extrahepatic disease.</w:t>
            </w:r>
          </w:p>
          <w:p>
            <w:pPr>
              <w:spacing w:after="0"/>
            </w:pPr>
            <w:r>
              <w:rPr>
                <w:b w:val="0"/>
                <w:i/>
                <w:sz w:val="19"/>
              </w:rPr>
              <w:t>Limits: Expert consensus.</w:t>
            </w:r>
          </w:p>
          <w:p>
            <w:pPr>
              <w:spacing w:after="0"/>
            </w:pPr>
            <w:r>
              <w:rPr>
                <w:b w:val="0"/>
                <w:i w:val="0"/>
                <w:color w:val="5A6069"/>
                <w:sz w:val="18"/>
              </w:rPr>
              <w:t>Liver Transpl 2025 and Liver Cancer 2026 (PMC13271748); iCCA statements.</w:t>
            </w:r>
          </w:p>
        </w:tc>
      </w:tr>
      <w:tr>
        <w:trPr>
          <w:cantSplit/>
        </w:trPr>
        <w:tc>
          <w:tcPr>
            <w:tcW w:type="dxa" w:w="3360"/>
            <w:tcW w:w="2000" w:type="dxa"/>
            <w:shd w:val="clear" w:color="auto" w:fill="FFFFFF"/>
          </w:tcPr>
          <w:p>
            <w:pPr>
              <w:spacing w:after="0"/>
            </w:pPr>
            <w:r>
              <w:rPr>
                <w:b/>
                <w:i w:val="0"/>
                <w:sz w:val="19"/>
              </w:rPr>
              <w:t>McMillan 2022 · Houston update</w:t>
            </w:r>
          </w:p>
        </w:tc>
        <w:tc>
          <w:tcPr>
            <w:tcW w:type="dxa" w:w="3360"/>
            <w:tcW w:w="3900" w:type="dxa"/>
            <w:shd w:val="clear" w:color="auto" w:fill="FFFFFF"/>
          </w:tcPr>
          <w:p>
            <w:pPr>
              <w:spacing w:after="0"/>
            </w:pPr>
            <w:r>
              <w:rPr>
                <w:b w:val="0"/>
                <w:i w:val="0"/>
                <w:sz w:val="19"/>
              </w:rPr>
              <w:t>Houston prospective neoadjuvant program for locally advanced unresectable iCCA; 32 listed, 18 transplanted. Six-month gemcitabine-based induction with stability and no extrahepatic disease; extrahepatic progression prompted delisting.</w:t>
            </w:r>
          </w:p>
        </w:tc>
        <w:tc>
          <w:tcPr>
            <w:tcW w:type="dxa" w:w="3360"/>
            <w:tcW w:w="4180" w:type="dxa"/>
            <w:shd w:val="clear" w:color="auto" w:fill="FFFFFF"/>
          </w:tcPr>
          <w:p>
            <w:pPr>
              <w:spacing w:after="0"/>
            </w:pPr>
            <w:r>
              <w:rPr>
                <w:b w:val="0"/>
                <w:i w:val="0"/>
                <w:sz w:val="19"/>
              </w:rPr>
              <w:t>Five-year overall survival 57% from listing among recipients (49% for all 32 listed); one explant had carcinoma in 4 of 7 hilar nodes; two early recurrences arose from indeterminate pre-transplant lesions.</w:t>
            </w:r>
          </w:p>
          <w:p>
            <w:pPr>
              <w:spacing w:after="0"/>
            </w:pPr>
            <w:r>
              <w:rPr>
                <w:b w:val="0"/>
                <w:i/>
                <w:sz w:val="19"/>
              </w:rPr>
              <w:t>Limits: Single program; previous nodal or extrahepatic disease was not studied.</w:t>
            </w:r>
          </w:p>
          <w:p>
            <w:pPr>
              <w:spacing w:after="0"/>
            </w:pPr>
            <w:r>
              <w:rPr>
                <w:b w:val="0"/>
                <w:i w:val="0"/>
                <w:color w:val="5A6069"/>
                <w:sz w:val="18"/>
              </w:rPr>
              <w:t>Am J Transplant 2022; Sections 2.1–2.2 and 3.4–3.5 (full text).</w:t>
            </w:r>
          </w:p>
        </w:tc>
      </w:tr>
      <w:tr>
        <w:trPr>
          <w:cantSplit/>
        </w:trPr>
        <w:tc>
          <w:tcPr>
            <w:tcW w:type="dxa" w:w="3360"/>
            <w:tcW w:w="2000" w:type="dxa"/>
            <w:shd w:val="clear" w:color="auto" w:fill="F1F5F8"/>
          </w:tcPr>
          <w:p>
            <w:pPr>
              <w:spacing w:after="0"/>
            </w:pPr>
            <w:r>
              <w:rPr>
                <w:b/>
                <w:i w:val="0"/>
                <w:sz w:val="19"/>
              </w:rPr>
              <w:t>Maspero 2024 · Milan SYS-TARE</w:t>
            </w:r>
          </w:p>
        </w:tc>
        <w:tc>
          <w:tcPr>
            <w:tcW w:type="dxa" w:w="3360"/>
            <w:tcW w:w="3900" w:type="dxa"/>
            <w:shd w:val="clear" w:color="auto" w:fill="F1F5F8"/>
          </w:tcPr>
          <w:p>
            <w:pPr>
              <w:spacing w:after="0"/>
            </w:pPr>
            <w:r>
              <w:rPr>
                <w:b w:val="0"/>
                <w:i w:val="0"/>
                <w:sz w:val="19"/>
              </w:rPr>
              <w:t>Prospective intention-to-treat protocol (Milan): 13 patients with unresectable iCCA treated with chemotherapy and radioembolization. Inclusion: no lymphatic or extrahepatic spread. Exclusion: prior resected extrahepatic tumour spread. Surgical sampling of stations 8 and 12 before listing; extrahepatic progression or positive nodal sampling ended the protocol.</w:t>
            </w:r>
          </w:p>
        </w:tc>
        <w:tc>
          <w:tcPr>
            <w:tcW w:type="dxa" w:w="3360"/>
            <w:tcW w:w="4180" w:type="dxa"/>
            <w:shd w:val="clear" w:color="auto" w:fill="F1F5F8"/>
          </w:tcPr>
          <w:p>
            <w:pPr>
              <w:spacing w:after="0"/>
            </w:pPr>
            <w:r>
              <w:rPr>
                <w:b w:val="0"/>
                <w:i w:val="0"/>
                <w:sz w:val="19"/>
              </w:rPr>
              <w:t>Nine of 13 dropped out (3 progression, 4 extrahepatic disease, 2 positive nodes at pre-listing exploration); all four transplanted patients were alive and disease-free at 8–73 months.</w:t>
            </w:r>
          </w:p>
          <w:p>
            <w:pPr>
              <w:spacing w:after="0"/>
            </w:pPr>
            <w:r>
              <w:rPr>
                <w:b w:val="0"/>
                <w:i/>
                <w:sz w:val="19"/>
              </w:rPr>
              <w:t>Limits: Small single-centre series.</w:t>
            </w:r>
          </w:p>
          <w:p>
            <w:pPr>
              <w:spacing w:after="0"/>
            </w:pPr>
            <w:r>
              <w:rPr>
                <w:b w:val="0"/>
                <w:i w:val="0"/>
                <w:color w:val="5A6069"/>
                <w:sz w:val="18"/>
              </w:rPr>
              <w:t>Transpl Int 2024; Methods (criteria) and Results.</w:t>
            </w:r>
          </w:p>
        </w:tc>
      </w:tr>
      <w:tr>
        <w:trPr>
          <w:cantSplit/>
        </w:trPr>
        <w:tc>
          <w:tcPr>
            <w:tcW w:type="dxa" w:w="3360"/>
            <w:tcW w:w="2000" w:type="dxa"/>
            <w:shd w:val="clear" w:color="auto" w:fill="FFFFFF"/>
          </w:tcPr>
          <w:p>
            <w:pPr>
              <w:spacing w:after="0"/>
            </w:pPr>
            <w:r>
              <w:rPr>
                <w:b/>
                <w:i w:val="0"/>
                <w:sz w:val="19"/>
              </w:rPr>
              <w:t>Giguet 2026</w:t>
            </w:r>
          </w:p>
        </w:tc>
        <w:tc>
          <w:tcPr>
            <w:tcW w:type="dxa" w:w="3360"/>
            <w:tcW w:w="3900" w:type="dxa"/>
            <w:shd w:val="clear" w:color="auto" w:fill="FFFFFF"/>
          </w:tcPr>
          <w:p>
            <w:pPr>
              <w:spacing w:after="0"/>
            </w:pPr>
            <w:r>
              <w:rPr>
                <w:b w:val="0"/>
                <w:i w:val="0"/>
                <w:sz w:val="19"/>
              </w:rPr>
              <w:t>Retrospective Rennes series after neoadjuvant chemotherapy and SIRT; six transplanted. Laparoscopic sampling of station 8 (common hepatic artery) and station 12 (hepatoduodenal ligament) nodes before listing; diffuse multifocal disease, macrovascular invasion and extrahepatic disease excluded.</w:t>
            </w:r>
          </w:p>
        </w:tc>
        <w:tc>
          <w:tcPr>
            <w:tcW w:type="dxa" w:w="3360"/>
            <w:tcW w:w="4180" w:type="dxa"/>
            <w:shd w:val="clear" w:color="auto" w:fill="FFFFFF"/>
          </w:tcPr>
          <w:p>
            <w:pPr>
              <w:spacing w:after="0"/>
            </w:pPr>
            <w:r>
              <w:rPr>
                <w:b w:val="0"/>
                <w:i w:val="0"/>
                <w:sz w:val="19"/>
              </w:rPr>
              <w:t>Five-year overall survival 100% and progression-free survival 44.4% after transplantation; three of six recurred.</w:t>
            </w:r>
          </w:p>
          <w:p>
            <w:pPr>
              <w:spacing w:after="0"/>
            </w:pPr>
            <w:r>
              <w:rPr>
                <w:b w:val="0"/>
                <w:i/>
                <w:sz w:val="19"/>
              </w:rPr>
              <w:t>Limits: Six recipients; retrospective.</w:t>
            </w:r>
          </w:p>
          <w:p>
            <w:pPr>
              <w:spacing w:after="0"/>
            </w:pPr>
            <w:r>
              <w:rPr>
                <w:b w:val="0"/>
                <w:i w:val="0"/>
                <w:color w:val="5A6069"/>
                <w:sz w:val="18"/>
              </w:rPr>
              <w:t>JHEP Rep 2026; Methods.</w:t>
            </w:r>
          </w:p>
        </w:tc>
      </w:tr>
      <w:tr>
        <w:trPr>
          <w:cantSplit/>
        </w:trPr>
        <w:tc>
          <w:tcPr>
            <w:tcW w:type="dxa" w:w="3360"/>
            <w:tcW w:w="2000" w:type="dxa"/>
            <w:shd w:val="clear" w:color="auto" w:fill="F1F5F8"/>
          </w:tcPr>
          <w:p>
            <w:pPr>
              <w:spacing w:after="0"/>
            </w:pPr>
            <w:r>
              <w:rPr>
                <w:b/>
                <w:i w:val="0"/>
                <w:sz w:val="19"/>
              </w:rPr>
              <w:t>Malikowski 2020 · EUS nodal staging</w:t>
            </w:r>
          </w:p>
        </w:tc>
        <w:tc>
          <w:tcPr>
            <w:tcW w:type="dxa" w:w="3360"/>
            <w:tcW w:w="3900" w:type="dxa"/>
            <w:shd w:val="clear" w:color="auto" w:fill="F1F5F8"/>
          </w:tcPr>
          <w:p>
            <w:pPr>
              <w:spacing w:after="0"/>
            </w:pPr>
            <w:r>
              <w:rPr>
                <w:b w:val="0"/>
                <w:i w:val="0"/>
                <w:sz w:val="19"/>
              </w:rPr>
              <w:t>Single-centre EUS staging cohort: 157 cholangiocarcinoma patients (24 intrahepatic). Consecutive EUS staging; malignant regional nodes preclude resection or transplantation at this centre.</w:t>
            </w:r>
          </w:p>
        </w:tc>
        <w:tc>
          <w:tcPr>
            <w:tcW w:type="dxa" w:w="3360"/>
            <w:tcW w:w="4180" w:type="dxa"/>
            <w:shd w:val="clear" w:color="auto" w:fill="F1F5F8"/>
          </w:tcPr>
          <w:p>
            <w:pPr>
              <w:spacing w:after="0"/>
            </w:pPr>
            <w:r>
              <w:rPr>
                <w:b w:val="0"/>
                <w:i w:val="0"/>
                <w:sz w:val="19"/>
              </w:rPr>
              <w:t>EUS identified regional nodes more often than cross-sectional imaging (iCCA 83% versus 50%); malignant nodes in 4 of 24 with iCCA; a malignant node was associated with death (HR 4.1).</w:t>
            </w:r>
          </w:p>
          <w:p>
            <w:pPr>
              <w:spacing w:after="0"/>
            </w:pPr>
            <w:r>
              <w:rPr>
                <w:b w:val="0"/>
                <w:i/>
                <w:sz w:val="19"/>
              </w:rPr>
              <w:t>Limits: Single centre; mostly perihilar disease.</w:t>
            </w:r>
          </w:p>
          <w:p>
            <w:pPr>
              <w:spacing w:after="0"/>
            </w:pPr>
            <w:r>
              <w:rPr>
                <w:b w:val="0"/>
                <w:i w:val="0"/>
                <w:color w:val="5A6069"/>
                <w:sz w:val="18"/>
              </w:rPr>
              <w:t>Hepatology 2020; abstract.</w:t>
            </w:r>
          </w:p>
        </w:tc>
      </w:tr>
      <w:tr>
        <w:trPr>
          <w:cantSplit/>
        </w:trPr>
        <w:tc>
          <w:tcPr>
            <w:tcW w:type="dxa" w:w="3360"/>
            <w:tcW w:w="2000" w:type="dxa"/>
            <w:shd w:val="clear" w:color="auto" w:fill="FFFFFF"/>
          </w:tcPr>
          <w:p>
            <w:pPr>
              <w:spacing w:after="0"/>
            </w:pPr>
            <w:r>
              <w:rPr>
                <w:b/>
                <w:i w:val="0"/>
                <w:sz w:val="19"/>
              </w:rPr>
              <w:t>Wong 2019 · downstaging pilot</w:t>
            </w:r>
          </w:p>
        </w:tc>
        <w:tc>
          <w:tcPr>
            <w:tcW w:type="dxa" w:w="3360"/>
            <w:tcW w:w="3900" w:type="dxa"/>
            <w:shd w:val="clear" w:color="auto" w:fill="FFFFFF"/>
          </w:tcPr>
          <w:p>
            <w:pPr>
              <w:spacing w:after="0"/>
            </w:pPr>
            <w:r>
              <w:rPr>
                <w:b w:val="0"/>
                <w:i w:val="0"/>
                <w:sz w:val="19"/>
              </w:rPr>
              <w:t>Prospective pilot of neoadjuvant therapy before transplantation for locally advanced hilar and intrahepatic cholangiocarcinoma; 18 started treatment. Hilar ≤3.5 cm or intrahepatic ≤8 cm; regional lymphadenopathy allowed, distant metastasis excluded.</w:t>
            </w:r>
          </w:p>
        </w:tc>
        <w:tc>
          <w:tcPr>
            <w:tcW w:type="dxa" w:w="3360"/>
            <w:tcW w:w="4180" w:type="dxa"/>
            <w:shd w:val="clear" w:color="auto" w:fill="FFFFFF"/>
          </w:tcPr>
          <w:p>
            <w:pPr>
              <w:spacing w:after="0"/>
            </w:pPr>
            <w:r>
              <w:rPr>
                <w:b w:val="0"/>
                <w:i w:val="0"/>
                <w:sz w:val="19"/>
              </w:rPr>
              <w:t>Eleven of 18 dropped out; five transplanted, three recurrence-free at 14.5–29.2 months, one isolated portacaval nodal recurrence at 12 months; all dropouts died (median 14.4 months from diagnosis).</w:t>
            </w:r>
          </w:p>
          <w:p>
            <w:pPr>
              <w:spacing w:after="0"/>
            </w:pPr>
            <w:r>
              <w:rPr>
                <w:b w:val="0"/>
                <w:i/>
                <w:sz w:val="19"/>
              </w:rPr>
              <w:t>Limits: Mixed tumour types and tiny numbers; nodal pathology not reported in the abstract.</w:t>
            </w:r>
          </w:p>
          <w:p>
            <w:pPr>
              <w:spacing w:after="0"/>
            </w:pPr>
            <w:r>
              <w:rPr>
                <w:b w:val="0"/>
                <w:i w:val="0"/>
                <w:color w:val="5A6069"/>
                <w:sz w:val="18"/>
              </w:rPr>
              <w:t>J Surg Res 2019; abstract.</w:t>
            </w:r>
          </w:p>
        </w:tc>
      </w:tr>
      <w:tr>
        <w:trPr>
          <w:cantSplit/>
        </w:trPr>
        <w:tc>
          <w:tcPr>
            <w:tcW w:type="dxa" w:w="3360"/>
            <w:tcW w:w="2000" w:type="dxa"/>
            <w:shd w:val="clear" w:color="auto" w:fill="F1F5F8"/>
          </w:tcPr>
          <w:p>
            <w:pPr>
              <w:spacing w:after="0"/>
            </w:pPr>
            <w:r>
              <w:rPr>
                <w:b/>
                <w:i w:val="0"/>
                <w:sz w:val="19"/>
              </w:rPr>
              <w:t>NLRB oncology guidance</w:t>
            </w:r>
          </w:p>
        </w:tc>
        <w:tc>
          <w:tcPr>
            <w:tcW w:type="dxa" w:w="3360"/>
            <w:tcW w:w="3900" w:type="dxa"/>
            <w:shd w:val="clear" w:color="auto" w:fill="F1F5F8"/>
          </w:tcPr>
          <w:p>
            <w:pPr>
              <w:spacing w:after="0"/>
            </w:pPr>
            <w:r>
              <w:rPr>
                <w:b w:val="0"/>
                <w:i w:val="0"/>
                <w:sz w:val="19"/>
              </w:rPr>
              <w:t>Official OPTN/NLRB guidance: Adult MELD Exceptions for Transplant Oncology. Small-cirrhotic iCCA: six months of stability with no new lesions or extrahepatic disease before applying; no extrahepatic disease before extending the exception.</w:t>
            </w:r>
          </w:p>
        </w:tc>
        <w:tc>
          <w:tcPr>
            <w:tcW w:type="dxa" w:w="3360"/>
            <w:tcW w:w="4180" w:type="dxa"/>
            <w:shd w:val="clear" w:color="auto" w:fill="F1F5F8"/>
          </w:tcPr>
          <w:p>
            <w:pPr>
              <w:spacing w:after="0"/>
            </w:pPr>
            <w:r>
              <w:rPr>
                <w:b w:val="0"/>
                <w:i w:val="0"/>
                <w:sz w:val="19"/>
              </w:rPr>
              <w:t>Allocation guidance; no outcome data.</w:t>
            </w:r>
          </w:p>
          <w:p>
            <w:pPr>
              <w:spacing w:after="0"/>
            </w:pPr>
            <w:r>
              <w:rPr>
                <w:b w:val="0"/>
                <w:i/>
                <w:sz w:val="19"/>
              </w:rPr>
              <w:t>Limits: Applies to the small-cirrhotic route only.</w:t>
            </w:r>
          </w:p>
          <w:p>
            <w:pPr>
              <w:spacing w:after="0"/>
            </w:pPr>
            <w:r>
              <w:rPr>
                <w:b w:val="0"/>
                <w:i w:val="0"/>
                <w:color w:val="5A6069"/>
                <w:sz w:val="18"/>
              </w:rPr>
              <w:t>Official PDF, iCCA section.</w:t>
            </w:r>
          </w:p>
        </w:tc>
      </w:tr>
      <w:tr>
        <w:trPr>
          <w:cantSplit/>
        </w:trPr>
        <w:tc>
          <w:tcPr>
            <w:tcW w:type="dxa" w:w="3360"/>
            <w:tcW w:w="2000" w:type="dxa"/>
            <w:shd w:val="clear" w:color="auto" w:fill="FFFFFF"/>
          </w:tcPr>
          <w:p>
            <w:pPr>
              <w:spacing w:after="0"/>
            </w:pPr>
            <w:r>
              <w:rPr>
                <w:b/>
                <w:i w:val="0"/>
                <w:sz w:val="19"/>
              </w:rPr>
              <w:t>Lunsford 2018 · Houston</w:t>
            </w:r>
          </w:p>
        </w:tc>
        <w:tc>
          <w:tcPr>
            <w:tcW w:type="dxa" w:w="3360"/>
            <w:tcW w:w="3900" w:type="dxa"/>
            <w:shd w:val="clear" w:color="auto" w:fill="FFFFFF"/>
          </w:tcPr>
          <w:p>
            <w:pPr>
              <w:spacing w:after="0"/>
            </w:pPr>
            <w:r>
              <w:rPr>
                <w:b w:val="0"/>
                <w:i w:val="0"/>
                <w:sz w:val="19"/>
              </w:rPr>
              <w:t>Houston prospective protocol; 21 referred, 6 transplanted. Excluded extrahepatic metastases and lymph-node involvement; suspicious regional nodes biopsied by EUS before treatment.</w:t>
            </w:r>
          </w:p>
        </w:tc>
        <w:tc>
          <w:tcPr>
            <w:tcW w:type="dxa" w:w="3360"/>
            <w:tcW w:w="4180" w:type="dxa"/>
            <w:shd w:val="clear" w:color="auto" w:fill="FFFFFF"/>
          </w:tcPr>
          <w:p>
            <w:pPr>
              <w:spacing w:after="0"/>
            </w:pPr>
            <w:r>
              <w:rPr>
                <w:b w:val="0"/>
                <w:i w:val="0"/>
                <w:sz w:val="19"/>
              </w:rPr>
              <w:t>One recipient with unbiopsied, PET-negative periportal nodes that regressed (node-negative on explant) recurred in the peritoneum at 9.7 months, attributed by the authors to perihilar-fat invasion with a positive margin; in 2 of 6, “stable” extrahepatic lesions proved metastatic after transplantation.</w:t>
            </w:r>
          </w:p>
          <w:p>
            <w:pPr>
              <w:spacing w:after="0"/>
            </w:pPr>
            <w:r>
              <w:rPr>
                <w:b w:val="0"/>
                <w:i/>
                <w:sz w:val="19"/>
              </w:rPr>
              <w:t>Limits: Six recipients; interim report.</w:t>
            </w:r>
          </w:p>
          <w:p>
            <w:pPr>
              <w:spacing w:after="0"/>
            </w:pPr>
            <w:r>
              <w:rPr>
                <w:b w:val="0"/>
                <w:i w:val="0"/>
                <w:color w:val="5A6069"/>
                <w:sz w:val="18"/>
              </w:rPr>
              <w:t>Lancet Gastroenterol Hepatol 2018; Methods, Table 2 (full text).</w:t>
            </w:r>
          </w:p>
        </w:tc>
      </w:tr>
      <w:tr>
        <w:trPr>
          <w:cantSplit/>
        </w:trPr>
        <w:tc>
          <w:tcPr>
            <w:tcW w:type="dxa" w:w="3360"/>
            <w:tcW w:w="2000" w:type="dxa"/>
            <w:shd w:val="clear" w:color="auto" w:fill="F1F5F8"/>
          </w:tcPr>
          <w:p>
            <w:pPr>
              <w:spacing w:after="0"/>
            </w:pPr>
            <w:r>
              <w:rPr>
                <w:b/>
                <w:i w:val="0"/>
                <w:sz w:val="19"/>
              </w:rPr>
              <w:t>Sethi 2026 · iCCA LDLT</w:t>
            </w:r>
          </w:p>
        </w:tc>
        <w:tc>
          <w:tcPr>
            <w:tcW w:type="dxa" w:w="3360"/>
            <w:tcW w:w="3900" w:type="dxa"/>
            <w:shd w:val="clear" w:color="auto" w:fill="F1F5F8"/>
          </w:tcPr>
          <w:p>
            <w:pPr>
              <w:spacing w:after="0"/>
            </w:pPr>
            <w:r>
              <w:rPr>
                <w:b w:val="0"/>
                <w:i w:val="0"/>
                <w:sz w:val="19"/>
              </w:rPr>
              <w:t>UPMC living-donor series, 7 recipients. Unresectable, liver-confined iCCA; nodes biopsied at the combined donor–recipient laparotomy.</w:t>
            </w:r>
          </w:p>
        </w:tc>
        <w:tc>
          <w:tcPr>
            <w:tcW w:type="dxa" w:w="3360"/>
            <w:tcW w:w="4180" w:type="dxa"/>
            <w:shd w:val="clear" w:color="auto" w:fill="F1F5F8"/>
          </w:tcPr>
          <w:p>
            <w:pPr>
              <w:spacing w:after="0"/>
            </w:pPr>
            <w:r>
              <w:rPr>
                <w:b w:val="0"/>
                <w:i w:val="0"/>
                <w:sz w:val="19"/>
              </w:rPr>
              <w:t>2 of 6 explants with viable tumour were node-positive although the protocol included nodal biopsy at the same laparotomy; one died at about 7 months, the other was disease-free at 2.4 years; a sub-PET-threshold lung nodule became a metastasis.</w:t>
            </w:r>
          </w:p>
          <w:p>
            <w:pPr>
              <w:spacing w:after="0"/>
            </w:pPr>
            <w:r>
              <w:rPr>
                <w:b w:val="0"/>
                <w:i/>
                <w:sz w:val="19"/>
              </w:rPr>
              <w:t>Limits: Seven patients.</w:t>
            </w:r>
          </w:p>
          <w:p>
            <w:pPr>
              <w:spacing w:after="0"/>
            </w:pPr>
            <w:r>
              <w:rPr>
                <w:b w:val="0"/>
                <w:i w:val="0"/>
                <w:color w:val="5A6069"/>
                <w:sz w:val="18"/>
              </w:rPr>
              <w:t>Am J Transplant 2026; Results, Table 2 (full text).</w:t>
            </w:r>
          </w:p>
        </w:tc>
      </w:tr>
      <w:tr>
        <w:trPr>
          <w:cantSplit/>
        </w:trPr>
        <w:tc>
          <w:tcPr>
            <w:tcW w:type="dxa" w:w="3360"/>
            <w:tcW w:w="2000" w:type="dxa"/>
            <w:shd w:val="clear" w:color="auto" w:fill="FFFFFF"/>
          </w:tcPr>
          <w:p>
            <w:pPr>
              <w:spacing w:after="0"/>
            </w:pPr>
            <w:r>
              <w:rPr>
                <w:b/>
                <w:i w:val="0"/>
                <w:sz w:val="19"/>
              </w:rPr>
              <w:t>Campbell 2026 · biliary cancer LT, single centre</w:t>
            </w:r>
          </w:p>
        </w:tc>
        <w:tc>
          <w:tcPr>
            <w:tcW w:type="dxa" w:w="3360"/>
            <w:tcW w:w="3900" w:type="dxa"/>
            <w:shd w:val="clear" w:color="auto" w:fill="FFFFFF"/>
          </w:tcPr>
          <w:p>
            <w:pPr>
              <w:spacing w:after="0"/>
            </w:pPr>
            <w:r>
              <w:rPr>
                <w:b w:val="0"/>
                <w:i w:val="0"/>
                <w:sz w:val="19"/>
              </w:rPr>
              <w:t>Single-centre series, 98 transplants for biliary cancers. Explant nodal status.</w:t>
            </w:r>
          </w:p>
        </w:tc>
        <w:tc>
          <w:tcPr>
            <w:tcW w:type="dxa" w:w="3360"/>
            <w:tcW w:w="4180" w:type="dxa"/>
            <w:shd w:val="clear" w:color="auto" w:fill="FFFFFF"/>
          </w:tcPr>
          <w:p>
            <w:pPr>
              <w:spacing w:after="0"/>
            </w:pPr>
            <w:r>
              <w:rPr>
                <w:b w:val="0"/>
                <w:i w:val="0"/>
                <w:sz w:val="19"/>
              </w:rPr>
              <w:t>Node positivity predicted recurrence (HR 3.27, 1.32–8.10) but not overall survival (p=0.14); in the intentional pCCA/iCCA subset (n=53) the recurrence HR was 2.48 and not significant (p=0.17).</w:t>
            </w:r>
          </w:p>
          <w:p>
            <w:pPr>
              <w:spacing w:after="0"/>
            </w:pPr>
            <w:r>
              <w:rPr>
                <w:b w:val="0"/>
                <w:i/>
                <w:sz w:val="19"/>
              </w:rPr>
              <w:t>Limits: Mixed subtypes; nodes found on explant, not before transplantation.</w:t>
            </w:r>
          </w:p>
          <w:p>
            <w:pPr>
              <w:spacing w:after="0"/>
            </w:pPr>
            <w:r>
              <w:rPr>
                <w:b w:val="0"/>
                <w:i w:val="0"/>
                <w:color w:val="5A6069"/>
                <w:sz w:val="18"/>
              </w:rPr>
              <w:t>Ann Surg Oncol 2026 (full text).</w:t>
            </w:r>
          </w:p>
        </w:tc>
      </w:tr>
    </w:tbl>
    <w:p>
      <w:pPr>
        <w:spacing w:after="40"/>
      </w:pPr>
    </w:p>
    <w:p>
      <w:pPr>
        <w:pStyle w:val="Heading3"/>
        <w:keepNext/>
        <w:spacing w:before="120" w:after="80"/>
      </w:pPr>
      <w:r>
        <w:rPr>
          <w:b w:val="0"/>
          <w:i w:val="0"/>
        </w:rPr>
        <w:t>Our proposed selection (OPEN)</w:t>
      </w:r>
    </w:p>
    <w:p>
      <w:pPr>
        <w:spacing w:after="80"/>
      </w:pPr>
      <w:r>
        <w:rPr>
          <w:b w:val="0"/>
          <w:i w:val="0"/>
        </w:rPr>
        <w:t>Keep closed. Proven malignant nodes or extrahepatic disease, current or previously treated, exclude the small-cirrhotic route and the advanced-iCCA study. Confirm node-negative status pathologically before listing.</w:t>
      </w:r>
    </w:p>
    <w:p>
      <w:pPr>
        <w:numPr>
          <w:ilvl w:val="0"/>
          <w:numId w:val="5"/>
        </w:numPr>
        <w:spacing w:after="40"/>
      </w:pPr>
      <w:r>
        <w:rPr>
          <w:b w:val="0"/>
          <w:i w:val="0"/>
        </w:rPr>
        <w:t>Previously proven malignant regional nodes, even after radiological or pathological response, and any previous distant metastasis (peritoneum, lung, bone, distant nodes) are outside the initial iCCA routes. Resection of an extrahepatic site does not clear this history.</w:t>
      </w:r>
    </w:p>
    <w:p>
      <w:pPr>
        <w:numPr>
          <w:ilvl w:val="0"/>
          <w:numId w:val="5"/>
        </w:numPr>
        <w:spacing w:after="40"/>
      </w:pPr>
      <w:r>
        <w:rPr>
          <w:b w:val="0"/>
          <w:i w:val="0"/>
        </w:rPr>
        <w:t>Suspicious or indeterminate nodes are HOLD until resolved pathologically; an imaging response is not nodal clearance.</w:t>
      </w:r>
    </w:p>
    <w:p>
      <w:pPr>
        <w:numPr>
          <w:ilvl w:val="0"/>
          <w:numId w:val="5"/>
        </w:numPr>
        <w:spacing w:after="40"/>
      </w:pPr>
      <w:r>
        <w:rPr>
          <w:b w:val="0"/>
          <w:i w:val="0"/>
        </w:rPr>
        <w:t>Proposed for the advanced-iCCA study: before listing, sample any suspicious node (EUS-FNA or surgical) and sample the common hepatic artery (station 8) and hepatoduodenal ligament (station 12) nodes surgically; for living donation complete this before listing, not only at the combined donor–recipient laparotomy. A positive result ends the transplant route. Perform regional lymphadenectomy at transplantation.</w:t>
      </w:r>
    </w:p>
    <w:p>
      <w:pPr>
        <w:numPr>
          <w:ilvl w:val="0"/>
          <w:numId w:val="5"/>
        </w:numPr>
        <w:spacing w:after="40"/>
      </w:pPr>
      <w:r>
        <w:rPr>
          <w:b w:val="0"/>
          <w:i w:val="0"/>
        </w:rPr>
        <w:t>Indeterminate extrahepatic lesions (subcentimetre lung nodules, bone lesions) need biopsy or interval imaging before listing; “stable on chemotherapy” is not clearance.</w:t>
      </w:r>
    </w:p>
    <w:p>
      <w:pPr>
        <w:numPr>
          <w:ilvl w:val="0"/>
          <w:numId w:val="5"/>
        </w:numPr>
        <w:spacing w:after="40"/>
      </w:pPr>
      <w:r>
        <w:rPr>
          <w:b w:val="0"/>
          <w:i w:val="0"/>
        </w:rPr>
        <w:t>Previously node-positive disease that has cleared is a separate future research question; do not combine it with multifocal, G3 or living-donor expansions.</w:t>
      </w:r>
    </w:p>
    <w:p>
      <w:pPr>
        <w:spacing w:after="80"/>
      </w:pPr>
      <w:r>
        <w:rPr>
          <w:b/>
          <w:i w:val="0"/>
        </w:rPr>
        <w:t xml:space="preserve">Why: </w:t>
      </w:r>
      <w:r>
        <w:rPr>
          <w:b w:val="0"/>
          <w:i w:val="0"/>
        </w:rPr>
        <w:t>Published transplant programs for iCCA require liver-limited disease. ILTS–ILCA limits transplantation to cirrhotic tumours ≤3 cm without extrahepatic metastasis, or to unresectable, liver-confined disease within investigational protocols in non-cirrhotic livers; the Houston program delisted patients for extrahepatic progression. The Milan protocol explicitly excludes previously resected extrahepatic tumour spread. Programs that stage nodes surgically before listing remove node-positive patients: in Milan, 2 of 13 were node-positive at pre-listing exploration and 4 developed extrahepatic disease, while all four transplanted patients were disease-free at 8–73 months; Rennes sampled stations 8 and 12 laparoscopically before listing. Malignant regional nodes found by EUS were associated with death (HR 4.1) across cholangiocarcinoma subtypes. In the published series, early recurrences came from disease that staging missed or tolerated: the one Houston recipient with imaging-only periportal nodes (unbiopsied, PET-negative, regressed; node-negative on explant) recurred in the peritoneum at 9.7 months, which the authors attributed to perihilar-fat invasion with a positive margin; “stable” extrahepatic lesions on chemotherapy proved metastatic in 2 of 6 Houston recipients, one later explant had carcinoma in 4 of 7 hilar nodes, and in a living-donor series 2 of 6 explants with viable tumour were node-positive although the protocol included nodal biopsy at the combined laparotomy.</w:t>
      </w:r>
    </w:p>
    <w:p>
      <w:pPr>
        <w:spacing w:after="80"/>
      </w:pPr>
      <w:r>
        <w:rPr>
          <w:b/>
          <w:i w:val="0"/>
        </w:rPr>
        <w:t xml:space="preserve">Against, or uncertain: </w:t>
      </w:r>
      <w:r>
        <w:rPr>
          <w:b w:val="0"/>
          <w:i w:val="0"/>
        </w:rPr>
        <w:t>One prospective pilot admitted regional lymphadenopathy in locally advanced hilar and intrahepatic cholangiocarcinoma: 5 of 18 reached transplantation, three were recurrence-free at 14.5–29.2 months and one had an isolated portacaval nodal recurrence at 12 months. It combined tumour types and did not require nodes to be proven malignant, so it cannot establish a cleared-node pathway, but it shows that a small subset can reach transplantation.</w:t>
      </w:r>
    </w:p>
    <w:p>
      <w:pPr>
        <w:spacing w:after="80"/>
      </w:pPr>
      <w:r>
        <w:rPr>
          <w:b/>
          <w:i w:val="0"/>
        </w:rPr>
        <w:t xml:space="preserve">Certainty: </w:t>
      </w:r>
      <w:r>
        <w:rPr>
          <w:b w:val="0"/>
          <w:i w:val="0"/>
        </w:rPr>
        <w:t>Low that liver-confined disease after sustained response selects better recipients; very low for transplantation after previously malignant nodes; no evidence for previously treated distant disease.</w:t>
      </w:r>
    </w:p>
    <w:p>
      <w:pPr>
        <w:spacing w:after="80"/>
      </w:pPr>
      <w:r>
        <w:rPr>
          <w:b/>
          <w:i w:val="0"/>
        </w:rPr>
        <w:t xml:space="preserve">Tests and records: </w:t>
      </w:r>
      <w:r>
        <w:rPr>
          <w:b w:val="0"/>
          <w:i w:val="0"/>
        </w:rPr>
        <w:t>Original and current nodal imaging with a station map; nodal pathology (EUS-FNA, operative sampling) with dates; chest CT and PET or whole-body staging; CA19-9 series; pre-listing operative staging report.</w:t>
      </w:r>
    </w:p>
    <w:p>
      <w:pPr>
        <w:spacing w:after="80"/>
      </w:pPr>
      <w:r>
        <w:rPr>
          <w:b/>
          <w:i w:val="0"/>
        </w:rPr>
        <w:t xml:space="preserve">Allocation: </w:t>
      </w:r>
      <w:r>
        <w:rPr>
          <w:b w:val="0"/>
          <w:i w:val="0"/>
        </w:rPr>
        <w:t>NLRB small-cirrhotic iCCA guidance requires no extrahepatic disease before the initial request and before each extension. Advanced iCCA has no standardized exception; any route would be an approved study, often with a living donor, and previous nodal or extrahepatic disease is not proposed for either.</w:t>
      </w:r>
    </w:p>
    <w:p>
      <w:pPr>
        <w:spacing w:after="40"/>
      </w:pPr>
      <w:r>
        <w:rPr>
          <w:b/>
          <w:i w:val="0"/>
        </w:rPr>
        <w:t xml:space="preserve">Basis for the proposed thresholds: </w:t>
      </w:r>
    </w:p>
    <w:p>
      <w:pPr>
        <w:numPr>
          <w:ilvl w:val="0"/>
          <w:numId w:val="5"/>
        </w:numPr>
        <w:spacing w:after="40"/>
      </w:pPr>
      <w:r>
        <w:rPr>
          <w:b w:val="0"/>
          <w:i w:val="0"/>
        </w:rPr>
        <w:t>Surgical sampling of stations 8 and 12 before listing follows the Milan and Rennes protocols; it is a proposed local requirement for the advanced study, not national guidance. Excluding previously resected extrahepatic spread follows Milan; NLRB requires no extrahepatic disease at the initial request and extension.</w:t>
      </w:r>
    </w:p>
    <w:p>
      <w:pPr>
        <w:pStyle w:val="Heading3"/>
        <w:keepNext/>
        <w:spacing w:before="120" w:after="80"/>
      </w:pPr>
      <w:r>
        <w:rPr>
          <w:b w:val="0"/>
          <w:i w:val="0"/>
        </w:rPr>
        <w:t>iCCA-B4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1"/>
        <w:keepNext/>
        <w:spacing w:before="280" w:after="80"/>
      </w:pPr>
      <w:r>
        <w:rPr>
          <w:b w:val="0"/>
          <w:i w:val="0"/>
        </w:rPr>
        <w:t>Shared approval requirements (all transplant pathways)</w:t>
      </w:r>
    </w:p>
    <w:p>
      <w:pPr>
        <w:spacing w:after="80"/>
      </w:pPr>
      <w:r>
        <w:rPr>
          <w:b w:val="0"/>
          <w:i w:val="0"/>
        </w:rPr>
        <w:t>Recipient selection, allocation, donor protection and institutional study approval are separate decisions. These apply to every high-risk proposal.</w:t>
      </w:r>
    </w:p>
    <w:p>
      <w:pPr>
        <w:pStyle w:val="Heading2"/>
        <w:keepNext/>
        <w:spacing w:before="200" w:after="80"/>
      </w:pPr>
      <w:r>
        <w:rPr>
          <w:b w:val="0"/>
          <w:i w:val="0"/>
        </w:rPr>
        <w:t>ALLOC-B1 — Separate clinical, allocation, donor and study approval</w:t>
      </w:r>
    </w:p>
    <w:p>
      <w:pPr>
        <w:spacing w:after="80"/>
      </w:pPr>
      <w:r>
        <w:rPr>
          <w:b w:val="0"/>
          <w:i w:val="0"/>
          <w:color w:val="5A6069"/>
          <w:sz w:val="18"/>
        </w:rPr>
        <w:t>OPEN proposal · not activated · Shared approval requirement</w:t>
      </w:r>
    </w:p>
    <w:p>
      <w:pPr>
        <w:spacing w:after="80"/>
      </w:pPr>
      <w:r>
        <w:rPr>
          <w:b/>
          <w:i w:val="0"/>
        </w:rPr>
        <w:t xml:space="preserve">Question: </w:t>
      </w:r>
      <w:r>
        <w:rPr>
          <w:b w:val="0"/>
          <w:i w:val="0"/>
        </w:rPr>
        <w:t>What are we approving?</w:t>
      </w:r>
    </w:p>
    <w:p>
      <w:pPr>
        <w:spacing w:after="120"/>
      </w:pPr>
      <w:r>
        <w:rPr>
          <w:b/>
          <w:i w:val="0"/>
          <w:sz w:val="18"/>
        </w:rPr>
        <w:t xml:space="preserve">Web page: </w:t>
      </w:r>
      <w:hyperlink r:id="rId17">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NLRB oncology guidance</w:t>
            </w:r>
          </w:p>
        </w:tc>
        <w:tc>
          <w:tcPr>
            <w:tcW w:type="dxa" w:w="3360"/>
            <w:tcW w:w="5480" w:type="dxa"/>
            <w:shd w:val="clear" w:color="auto" w:fill="F1F5F8"/>
          </w:tcPr>
          <w:p>
            <w:pPr>
              <w:spacing w:after="0"/>
            </w:pPr>
            <w:r>
              <w:rPr>
                <w:b w:val="0"/>
                <w:i w:val="0"/>
                <w:sz w:val="19"/>
              </w:rPr>
              <w:t>“This resource is not OPTN Policy” Guidance informs case review and is not itself binding policy or a clinical standard.</w:t>
            </w:r>
          </w:p>
        </w:tc>
        <w:tc>
          <w:tcPr>
            <w:tcW w:type="dxa" w:w="3360"/>
            <w:tcW w:w="2400" w:type="dxa"/>
            <w:shd w:val="clear" w:color="auto" w:fill="F1F5F8"/>
          </w:tcPr>
          <w:p>
            <w:pPr>
              <w:spacing w:after="0"/>
            </w:pPr>
            <w:r>
              <w:rPr>
                <w:b w:val="0"/>
                <w:i w:val="0"/>
                <w:color w:val="5A6069"/>
                <w:sz w:val="18"/>
              </w:rPr>
              <w:t>December 2025 oncology guidance p2, disclaimer</w:t>
            </w:r>
          </w:p>
        </w:tc>
      </w:tr>
      <w:tr>
        <w:trPr>
          <w:cantSplit/>
        </w:trPr>
        <w:tc>
          <w:tcPr>
            <w:tcW w:type="dxa" w:w="3360"/>
            <w:tcW w:w="2200" w:type="dxa"/>
            <w:shd w:val="clear" w:color="auto" w:fill="FFFFFF"/>
          </w:tcPr>
          <w:p>
            <w:pPr>
              <w:spacing w:after="0"/>
            </w:pPr>
            <w:r>
              <w:rPr>
                <w:b/>
                <w:i w:val="0"/>
                <w:sz w:val="19"/>
              </w:rPr>
              <w:t>OPTN policy</w:t>
            </w:r>
          </w:p>
        </w:tc>
        <w:tc>
          <w:tcPr>
            <w:tcW w:type="dxa" w:w="3360"/>
            <w:tcW w:w="5480" w:type="dxa"/>
            <w:shd w:val="clear" w:color="auto" w:fill="FFFFFF"/>
          </w:tcPr>
          <w:p>
            <w:pPr>
              <w:spacing w:after="0"/>
            </w:pPr>
            <w:r>
              <w:rPr>
                <w:b w:val="0"/>
                <w:i w:val="0"/>
                <w:sz w:val="19"/>
              </w:rPr>
              <w:t>“Function independently from the transplant candidate’s team.” Donor advocacy is independent of recipient-team enthusiasm.</w:t>
            </w:r>
          </w:p>
        </w:tc>
        <w:tc>
          <w:tcPr>
            <w:tcW w:type="dxa" w:w="3360"/>
            <w:tcW w:w="2400" w:type="dxa"/>
            <w:shd w:val="clear" w:color="auto" w:fill="FFFFFF"/>
          </w:tcPr>
          <w:p>
            <w:pPr>
              <w:spacing w:after="0"/>
            </w:pPr>
            <w:r>
              <w:rPr>
                <w:b w:val="0"/>
                <w:i w:val="0"/>
                <w:color w:val="5A6069"/>
                <w:sz w:val="18"/>
              </w:rPr>
              <w:t>Policy 14.2.A, PDF p285, living donor advocate requirements</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OPTN policy</w:t>
            </w:r>
          </w:p>
        </w:tc>
        <w:tc>
          <w:tcPr>
            <w:tcW w:type="dxa" w:w="3360"/>
            <w:tcW w:w="3900" w:type="dxa"/>
            <w:shd w:val="clear" w:color="auto" w:fill="F1F5F8"/>
          </w:tcPr>
          <w:p>
            <w:pPr>
              <w:spacing w:after="0"/>
            </w:pPr>
            <w:r>
              <w:rPr>
                <w:b w:val="0"/>
                <w:i w:val="0"/>
                <w:sz w:val="19"/>
              </w:rPr>
              <w:t>Binding OPTN policy posting effective 1 October 2026, checked 24 October 2026. Clinical candidacy, exception scoring, living-donor protection and reporting have different policy sections.</w:t>
            </w:r>
          </w:p>
        </w:tc>
        <w:tc>
          <w:tcPr>
            <w:tcW w:type="dxa" w:w="3360"/>
            <w:tcW w:w="4180" w:type="dxa"/>
            <w:shd w:val="clear" w:color="auto" w:fill="F1F5F8"/>
          </w:tcPr>
          <w:p>
            <w:pPr>
              <w:spacing w:after="0"/>
            </w:pPr>
            <w:r>
              <w:rPr>
                <w:b w:val="0"/>
                <w:i w:val="0"/>
                <w:sz w:val="19"/>
              </w:rPr>
              <w:t>Policy 9 governs liver allocation; Policy 14 requires independent donor advocacy/consent; Policy 18 specifies reporting. None establishes a universal cancer-benefit cutoff.</w:t>
            </w:r>
          </w:p>
          <w:p>
            <w:pPr>
              <w:spacing w:after="0"/>
            </w:pPr>
            <w:r>
              <w:rPr>
                <w:b w:val="0"/>
                <w:i/>
                <w:sz w:val="19"/>
              </w:rPr>
              <w:t>Limits: A center’s additional safeguards are not national policy. Review the active text and applicability before individual decisions.</w:t>
            </w:r>
          </w:p>
          <w:p>
            <w:pPr>
              <w:spacing w:after="0"/>
            </w:pPr>
            <w:r>
              <w:rPr>
                <w:b w:val="0"/>
                <w:i w:val="0"/>
                <w:color w:val="5A6069"/>
                <w:sz w:val="18"/>
              </w:rPr>
              <w:t>Policies 9, 14.2–14.4 and 18; current official PDF.</w:t>
            </w:r>
          </w:p>
        </w:tc>
      </w:tr>
      <w:tr>
        <w:trPr>
          <w:cantSplit/>
        </w:trPr>
        <w:tc>
          <w:tcPr>
            <w:tcW w:type="dxa" w:w="3360"/>
            <w:tcW w:w="2000" w:type="dxa"/>
            <w:shd w:val="clear" w:color="auto" w:fill="FFFFFF"/>
          </w:tcPr>
          <w:p>
            <w:pPr>
              <w:spacing w:after="0"/>
            </w:pPr>
            <w:r>
              <w:rPr>
                <w:b/>
                <w:i w:val="0"/>
                <w:sz w:val="19"/>
              </w:rPr>
              <w:t>NLRB oncology guidance</w:t>
            </w:r>
          </w:p>
        </w:tc>
        <w:tc>
          <w:tcPr>
            <w:tcW w:type="dxa" w:w="3360"/>
            <w:tcW w:w="3900" w:type="dxa"/>
            <w:shd w:val="clear" w:color="auto" w:fill="FFFFFF"/>
          </w:tcPr>
          <w:p>
            <w:pPr>
              <w:spacing w:after="0"/>
            </w:pPr>
            <w:r>
              <w:rPr>
                <w:b w:val="0"/>
                <w:i w:val="0"/>
                <w:sz w:val="19"/>
              </w:rPr>
              <w:t>Current NLRB hepatic-adenoma guidance. Four alternative routes; route four contains conjunctive clinical requirements.</w:t>
            </w:r>
          </w:p>
        </w:tc>
        <w:tc>
          <w:tcPr>
            <w:tcW w:type="dxa" w:w="3360"/>
            <w:tcW w:w="4180" w:type="dxa"/>
            <w:shd w:val="clear" w:color="auto" w:fill="FFFFFF"/>
          </w:tcPr>
          <w:p>
            <w:pPr>
              <w:spacing w:after="0"/>
            </w:pPr>
            <w:r>
              <w:rPr>
                <w:b w:val="0"/>
                <w:i w:val="0"/>
                <w:sz w:val="19"/>
              </w:rPr>
              <w:t>GSD/Abernethy; OR unresectable β-catenin-mutated HCA; OR unresectable adenomatosis &gt;10 lesions; OR unresectable, nonoperative-unresponsive and progressive/complicated HCA.</w:t>
            </w:r>
          </w:p>
          <w:p>
            <w:pPr>
              <w:spacing w:after="0"/>
            </w:pPr>
            <w:r>
              <w:rPr>
                <w:b w:val="0"/>
                <w:i/>
                <w:sz w:val="19"/>
              </w:rPr>
              <w:t>Limits: These are review routes, not proof of benefit or a mandatory transplant recommendation. Current text does not require all four conditions simultaneously or cirrhosis for all routes.</w:t>
            </w:r>
          </w:p>
          <w:p>
            <w:pPr>
              <w:spacing w:after="0"/>
            </w:pPr>
            <w:r>
              <w:rPr>
                <w:b w:val="0"/>
                <w:i w:val="0"/>
                <w:color w:val="5A6069"/>
                <w:sz w:val="18"/>
              </w:rPr>
              <w:t>December 2025 oncology guidance, hepatic adenoma p11.</w:t>
            </w:r>
          </w:p>
        </w:tc>
      </w:tr>
      <w:tr>
        <w:trPr>
          <w:cantSplit/>
        </w:trPr>
        <w:tc>
          <w:tcPr>
            <w:tcW w:type="dxa" w:w="3360"/>
            <w:tcW w:w="2000" w:type="dxa"/>
            <w:shd w:val="clear" w:color="auto" w:fill="F1F5F8"/>
          </w:tcPr>
          <w:p>
            <w:pPr>
              <w:spacing w:after="0"/>
            </w:pPr>
            <w:r>
              <w:rPr>
                <w:b/>
                <w:i w:val="0"/>
                <w:sz w:val="19"/>
              </w:rPr>
              <w:t>HHS human-subject protections</w:t>
            </w:r>
          </w:p>
        </w:tc>
        <w:tc>
          <w:tcPr>
            <w:tcW w:type="dxa" w:w="3360"/>
            <w:tcW w:w="3900" w:type="dxa"/>
            <w:shd w:val="clear" w:color="auto" w:fill="F1F5F8"/>
          </w:tcPr>
          <w:p>
            <w:pPr>
              <w:spacing w:after="0"/>
            </w:pPr>
            <w:r>
              <w:rPr>
                <w:b w:val="0"/>
                <w:i w:val="0"/>
                <w:sz w:val="19"/>
              </w:rPr>
              <w:t>Federal human-subject protection regulation. Applicability determined by institutional research/regulatory review.</w:t>
            </w:r>
          </w:p>
        </w:tc>
        <w:tc>
          <w:tcPr>
            <w:tcW w:type="dxa" w:w="3360"/>
            <w:tcW w:w="4180" w:type="dxa"/>
            <w:shd w:val="clear" w:color="auto" w:fill="F1F5F8"/>
          </w:tcPr>
          <w:p>
            <w:pPr>
              <w:spacing w:after="0"/>
            </w:pPr>
            <w:r>
              <w:rPr>
                <w:b w:val="0"/>
                <w:i w:val="0"/>
                <w:sz w:val="19"/>
              </w:rPr>
              <w:t>46.111 requires risk minimization, reasonable risk–benefit, equitable selection, informed consent and appropriate monitoring. IRB approval is separate from OPTN allocation and clinical acceptance.</w:t>
            </w:r>
          </w:p>
          <w:p>
            <w:pPr>
              <w:spacing w:after="0"/>
            </w:pPr>
            <w:r>
              <w:rPr>
                <w:b w:val="0"/>
                <w:i/>
                <w:sz w:val="19"/>
              </w:rPr>
              <w:t>Limits: No prescribed ten-patient cap, five-patient interim or one-event statistical boundary; those require protocol-specific design and independent approval.</w:t>
            </w:r>
          </w:p>
          <w:p>
            <w:pPr>
              <w:spacing w:after="0"/>
            </w:pPr>
            <w:r>
              <w:rPr>
                <w:b w:val="0"/>
                <w:i w:val="0"/>
                <w:color w:val="5A6069"/>
                <w:sz w:val="18"/>
              </w:rPr>
              <w:t>45 CFR 46.111(a)(1–7), current official eCFR text checked 24 October 2026.</w:t>
            </w:r>
          </w:p>
        </w:tc>
      </w:tr>
      <w:tr>
        <w:trPr>
          <w:cantSplit/>
        </w:trPr>
        <w:tc>
          <w:tcPr>
            <w:tcW w:type="dxa" w:w="3360"/>
            <w:tcW w:w="2000" w:type="dxa"/>
            <w:shd w:val="clear" w:color="auto" w:fill="FFFFFF"/>
          </w:tcPr>
          <w:p>
            <w:pPr>
              <w:spacing w:after="0"/>
            </w:pPr>
            <w:r>
              <w:rPr>
                <w:b/>
                <w:i w:val="0"/>
                <w:sz w:val="19"/>
              </w:rPr>
              <w:t>OPTN ethics principles</w:t>
            </w:r>
          </w:p>
        </w:tc>
        <w:tc>
          <w:tcPr>
            <w:tcW w:type="dxa" w:w="3360"/>
            <w:tcW w:w="3900" w:type="dxa"/>
            <w:shd w:val="clear" w:color="auto" w:fill="FFFFFF"/>
          </w:tcPr>
          <w:p>
            <w:pPr>
              <w:spacing w:after="0"/>
            </w:pPr>
            <w:r>
              <w:rPr>
                <w:b w:val="0"/>
                <w:i w:val="0"/>
                <w:sz w:val="19"/>
              </w:rPr>
              <w:t>OPTN Ethics Committee white paper, not a trial or binding allocation algorithm. Scarce-organ allocation must balance utility, justice and respect for persons.</w:t>
            </w:r>
          </w:p>
        </w:tc>
        <w:tc>
          <w:tcPr>
            <w:tcW w:type="dxa" w:w="3360"/>
            <w:tcW w:w="4180" w:type="dxa"/>
            <w:shd w:val="clear" w:color="auto" w:fill="FFFFFF"/>
          </w:tcPr>
          <w:p>
            <w:pPr>
              <w:spacing w:after="0"/>
            </w:pPr>
            <w:r>
              <w:rPr>
                <w:b w:val="0"/>
                <w:i w:val="0"/>
                <w:sz w:val="19"/>
              </w:rPr>
              <w:t>High predicted recipient survival alone is insufficient: opportunity cost, equity and access also matter. Donor autonomy does not remove clinical obligations.</w:t>
            </w:r>
          </w:p>
          <w:p>
            <w:pPr>
              <w:spacing w:after="0"/>
            </w:pPr>
            <w:r>
              <w:rPr>
                <w:b w:val="0"/>
                <w:i/>
                <w:sz w:val="19"/>
              </w:rPr>
              <w:t>Limits: Provides an ethical framework, not numeric weights, a universal survival threshold or permission to depart from allocation rules.</w:t>
            </w:r>
          </w:p>
          <w:p>
            <w:pPr>
              <w:spacing w:after="0"/>
            </w:pPr>
            <w:r>
              <w:rPr>
                <w:b w:val="0"/>
                <w:i w:val="0"/>
                <w:color w:val="5A6069"/>
                <w:sz w:val="18"/>
              </w:rPr>
              <w:t>Introduction; utility/justice/respect-for-persons sections.</w:t>
            </w:r>
          </w:p>
        </w:tc>
      </w:tr>
    </w:tbl>
    <w:p>
      <w:pPr>
        <w:spacing w:after="40"/>
      </w:pPr>
    </w:p>
    <w:p>
      <w:pPr>
        <w:pStyle w:val="Heading3"/>
        <w:keepNext/>
        <w:spacing w:before="120" w:after="80"/>
      </w:pPr>
      <w:r>
        <w:rPr>
          <w:b w:val="0"/>
          <w:i w:val="0"/>
        </w:rPr>
        <w:t>Our proposed selection (OPEN)</w:t>
      </w:r>
    </w:p>
    <w:p>
      <w:pPr>
        <w:spacing w:after="80"/>
      </w:pPr>
      <w:r>
        <w:rPr>
          <w:b w:val="0"/>
          <w:i w:val="0"/>
        </w:rPr>
        <w:t>Require 100% completion of the applicable clinical, allocation, donor and research determinations before activation.</w:t>
      </w:r>
    </w:p>
    <w:p>
      <w:pPr>
        <w:numPr>
          <w:ilvl w:val="0"/>
          <w:numId w:val="5"/>
        </w:numPr>
        <w:spacing w:after="40"/>
      </w:pPr>
      <w:r>
        <w:rPr>
          <w:b w:val="0"/>
          <w:i w:val="0"/>
        </w:rPr>
        <w:t>Complete six separate dated determinations: clinical suitability; standardized-exception eligibility; nonstandard NLRB review status; calculated-MELD access; LDLT donor clearance; and research authorization. Mark nonapplicable domains explicitly with a reason—do not manufacture six approvals for every patient.</w:t>
      </w:r>
    </w:p>
    <w:p>
      <w:pPr>
        <w:numPr>
          <w:ilvl w:val="0"/>
          <w:numId w:val="5"/>
        </w:numPr>
        <w:spacing w:after="40"/>
      </w:pPr>
      <w:r>
        <w:rPr>
          <w:b w:val="0"/>
          <w:i w:val="0"/>
        </w:rPr>
        <w:t>Any required missing, pending or adverse determination is a HOLD. An exception application is not approval, a donor is not recipient benefit, and clinical approval is not study activation.</w:t>
      </w:r>
    </w:p>
    <w:p>
      <w:pPr>
        <w:numPr>
          <w:ilvl w:val="0"/>
          <w:numId w:val="5"/>
        </w:numPr>
        <w:spacing w:after="40"/>
      </w:pPr>
      <w:r>
        <w:rPr>
          <w:b w:val="0"/>
          <w:i w:val="0"/>
        </w:rPr>
        <w:t>Recheck the current policy/guidance version before each request; record actual decision and priority rather than predicted entitlement.</w:t>
      </w:r>
    </w:p>
    <w:p>
      <w:pPr>
        <w:spacing w:after="80"/>
      </w:pPr>
      <w:r>
        <w:rPr>
          <w:b/>
          <w:i w:val="0"/>
        </w:rPr>
        <w:t xml:space="preserve">Why: </w:t>
      </w:r>
      <w:r>
        <w:rPr>
          <w:b w:val="0"/>
          <w:i w:val="0"/>
        </w:rPr>
        <w:t>The separation is a governance requirement, not an empirical survival cutoff. A clinically appropriate patient can lack exception eligibility, and an approved exception does not prove clinical benefit. LDLT requires an independent donor determination; a registry entry is not permission to perform experimental transplantation.</w:t>
      </w:r>
    </w:p>
    <w:p>
      <w:pPr>
        <w:spacing w:after="80"/>
      </w:pPr>
      <w:r>
        <w:rPr>
          <w:b/>
          <w:i w:val="0"/>
        </w:rPr>
        <w:t xml:space="preserve">Against, or uncertain: </w:t>
      </w:r>
      <w:r>
        <w:rPr>
          <w:b w:val="0"/>
          <w:i w:val="0"/>
        </w:rPr>
        <w:t>Not every case needs six separate affirmative approvals: several routes are alternatives or not applicable. An indiscriminate six-approval rule could obstruct appropriate standard care.</w:t>
      </w:r>
    </w:p>
    <w:p>
      <w:pPr>
        <w:spacing w:after="80"/>
      </w:pPr>
      <w:r>
        <w:rPr>
          <w:b/>
          <w:i w:val="0"/>
        </w:rPr>
        <w:t xml:space="preserve">Certainty: </w:t>
      </w:r>
      <w:r>
        <w:rPr>
          <w:b w:val="0"/>
          <w:i w:val="0"/>
        </w:rPr>
        <w:t>High confidence in the separation of applicable authorities; no trial establishes that six boxes improve survival. Local workflow must map to current institutional obligations.</w:t>
      </w:r>
    </w:p>
    <w:p>
      <w:pPr>
        <w:spacing w:after="80"/>
      </w:pPr>
      <w:r>
        <w:rPr>
          <w:b/>
          <w:i w:val="0"/>
        </w:rPr>
        <w:t xml:space="preserve">Tests and records: </w:t>
      </w:r>
      <w:r>
        <w:rPr>
          <w:b w:val="0"/>
          <w:i w:val="0"/>
        </w:rPr>
        <w:t>Signed suitability record; exact allocation route and policy version; exception outcome; donor-team status; study and institutional activation record.</w:t>
      </w:r>
    </w:p>
    <w:p>
      <w:pPr>
        <w:spacing w:after="80"/>
      </w:pPr>
      <w:r>
        <w:rPr>
          <w:b/>
          <w:i w:val="0"/>
        </w:rPr>
        <w:t xml:space="preserve">Allocation: </w:t>
      </w:r>
      <w:r>
        <w:rPr>
          <w:b w:val="0"/>
          <w:i w:val="0"/>
        </w:rPr>
        <w:t>Policy 9.4 permits discretionary requests where appropriate; absence of favorable diagnosis-specific guidance is not absence of a review mechanism, and a request does not promise approval.</w:t>
      </w:r>
    </w:p>
    <w:p>
      <w:pPr>
        <w:spacing w:after="40"/>
      </w:pPr>
      <w:r>
        <w:rPr>
          <w:b/>
          <w:i w:val="0"/>
        </w:rPr>
        <w:t xml:space="preserve">Basis for the proposed thresholds: </w:t>
      </w:r>
    </w:p>
    <w:p>
      <w:pPr>
        <w:numPr>
          <w:ilvl w:val="0"/>
          <w:numId w:val="5"/>
        </w:numPr>
        <w:spacing w:after="40"/>
      </w:pPr>
      <w:r>
        <w:rPr>
          <w:b w:val="0"/>
          <w:i w:val="0"/>
        </w:rPr>
        <w:t>Six domains: local checklist architecture, not six mandatory national approvals.</w:t>
      </w:r>
    </w:p>
    <w:p>
      <w:pPr>
        <w:numPr>
          <w:ilvl w:val="0"/>
          <w:numId w:val="5"/>
        </w:numPr>
        <w:spacing w:after="40"/>
      </w:pPr>
      <w:r>
        <w:rPr>
          <w:b w:val="0"/>
          <w:i w:val="0"/>
        </w:rPr>
        <w:t>100% applicable completion: governance safeguard, not an outcome-derived percentage.</w:t>
      </w:r>
    </w:p>
    <w:p>
      <w:pPr>
        <w:numPr>
          <w:ilvl w:val="0"/>
          <w:numId w:val="5"/>
        </w:numPr>
        <w:spacing w:after="40"/>
      </w:pPr>
      <w:r>
        <w:rPr>
          <w:b w:val="0"/>
          <w:i w:val="0"/>
        </w:rPr>
        <w:t>Hold pending required authorization: operational implementation of separate clinical, donor and research responsibilities.</w:t>
      </w:r>
    </w:p>
    <w:p>
      <w:pPr>
        <w:pStyle w:val="Heading3"/>
        <w:keepNext/>
        <w:spacing w:before="120" w:after="80"/>
      </w:pPr>
      <w:r>
        <w:rPr>
          <w:b w:val="0"/>
          <w:i w:val="0"/>
        </w:rPr>
        <w:t>ALLOC-B1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ALLOC-B2 — Assess expected recipient benefit and organ use</w:t>
      </w:r>
    </w:p>
    <w:p>
      <w:pPr>
        <w:spacing w:after="80"/>
      </w:pPr>
      <w:r>
        <w:rPr>
          <w:b w:val="0"/>
          <w:i w:val="0"/>
          <w:color w:val="5A6069"/>
          <w:sz w:val="18"/>
        </w:rPr>
        <w:t>OPEN proposal · not activated · Shared approval requirement</w:t>
      </w:r>
    </w:p>
    <w:p>
      <w:pPr>
        <w:spacing w:after="80"/>
      </w:pPr>
      <w:r>
        <w:rPr>
          <w:b/>
          <w:i w:val="0"/>
        </w:rPr>
        <w:t xml:space="preserve">Question: </w:t>
      </w:r>
      <w:r>
        <w:rPr>
          <w:b w:val="0"/>
          <w:i w:val="0"/>
        </w:rPr>
        <w:t>What is the relevant organ opportunity cost?</w:t>
      </w:r>
    </w:p>
    <w:p>
      <w:pPr>
        <w:spacing w:after="120"/>
      </w:pPr>
      <w:r>
        <w:rPr>
          <w:b/>
          <w:i w:val="0"/>
          <w:sz w:val="18"/>
        </w:rPr>
        <w:t xml:space="preserve">Web page: </w:t>
      </w:r>
      <w:hyperlink r:id="rId18">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TransMet 2024</w:t>
            </w:r>
          </w:p>
        </w:tc>
        <w:tc>
          <w:tcPr>
            <w:tcW w:type="dxa" w:w="3360"/>
            <w:tcW w:w="5480" w:type="dxa"/>
            <w:shd w:val="clear" w:color="auto" w:fill="F1F5F8"/>
          </w:tcPr>
          <w:p>
            <w:pPr>
              <w:spacing w:after="0"/>
            </w:pPr>
            <w:r>
              <w:rPr>
                <w:b w:val="0"/>
                <w:i w:val="0"/>
                <w:sz w:val="19"/>
              </w:rPr>
              <w:t>“intention-to-treat population” The randomized pathway-level comparison is more informative than recipient survival alone; its selection and access conditions still matter.</w:t>
            </w:r>
          </w:p>
        </w:tc>
        <w:tc>
          <w:tcPr>
            <w:tcW w:type="dxa" w:w="3360"/>
            <w:tcW w:w="2400" w:type="dxa"/>
            <w:shd w:val="clear" w:color="auto" w:fill="F1F5F8"/>
          </w:tcPr>
          <w:p>
            <w:pPr>
              <w:spacing w:after="0"/>
            </w:pPr>
            <w:r>
              <w:rPr>
                <w:b w:val="0"/>
                <w:i w:val="0"/>
                <w:color w:val="5A6069"/>
                <w:sz w:val="18"/>
              </w:rPr>
              <w:t>Published TransMet report, primary analysis description</w:t>
            </w:r>
          </w:p>
        </w:tc>
      </w:tr>
      <w:tr>
        <w:trPr>
          <w:cantSplit/>
        </w:trPr>
        <w:tc>
          <w:tcPr>
            <w:tcW w:type="dxa" w:w="3360"/>
            <w:tcW w:w="2200" w:type="dxa"/>
            <w:shd w:val="clear" w:color="auto" w:fill="FFFFFF"/>
          </w:tcPr>
          <w:p>
            <w:pPr>
              <w:spacing w:after="0"/>
            </w:pPr>
            <w:r>
              <w:rPr>
                <w:b/>
                <w:i w:val="0"/>
                <w:sz w:val="19"/>
              </w:rPr>
              <w:t>Kelly 2026</w:t>
            </w:r>
          </w:p>
        </w:tc>
        <w:tc>
          <w:tcPr>
            <w:tcW w:type="dxa" w:w="3360"/>
            <w:tcW w:w="5480" w:type="dxa"/>
            <w:shd w:val="clear" w:color="auto" w:fill="FFFFFF"/>
          </w:tcPr>
          <w:p>
            <w:pPr>
              <w:spacing w:after="0"/>
            </w:pPr>
            <w:r>
              <w:rPr>
                <w:b w:val="0"/>
                <w:i w:val="0"/>
                <w:sz w:val="19"/>
              </w:rPr>
              <w:t>“risks to donors remain incompletely characterized” LDLT transfers some risk to a healthy donor; it does not eliminate the need to establish recipient benefit.</w:t>
            </w:r>
          </w:p>
        </w:tc>
        <w:tc>
          <w:tcPr>
            <w:tcW w:type="dxa" w:w="3360"/>
            <w:tcW w:w="2400" w:type="dxa"/>
            <w:shd w:val="clear" w:color="auto" w:fill="FFFFFF"/>
          </w:tcPr>
          <w:p>
            <w:pPr>
              <w:spacing w:after="0"/>
            </w:pPr>
            <w:r>
              <w:rPr>
                <w:b w:val="0"/>
                <w:i w:val="0"/>
                <w:color w:val="5A6069"/>
                <w:sz w:val="18"/>
              </w:rPr>
              <w:t>2026 published report, abstract background</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OPTN ethics principles</w:t>
            </w:r>
          </w:p>
        </w:tc>
        <w:tc>
          <w:tcPr>
            <w:tcW w:type="dxa" w:w="3360"/>
            <w:tcW w:w="3900" w:type="dxa"/>
            <w:shd w:val="clear" w:color="auto" w:fill="F1F5F8"/>
          </w:tcPr>
          <w:p>
            <w:pPr>
              <w:spacing w:after="0"/>
            </w:pPr>
            <w:r>
              <w:rPr>
                <w:b w:val="0"/>
                <w:i w:val="0"/>
                <w:sz w:val="19"/>
              </w:rPr>
              <w:t>OPTN Ethics Committee white paper, not a trial or binding allocation algorithm. Scarce-organ allocation must balance utility, justice and respect for persons.</w:t>
            </w:r>
          </w:p>
        </w:tc>
        <w:tc>
          <w:tcPr>
            <w:tcW w:type="dxa" w:w="3360"/>
            <w:tcW w:w="4180" w:type="dxa"/>
            <w:shd w:val="clear" w:color="auto" w:fill="F1F5F8"/>
          </w:tcPr>
          <w:p>
            <w:pPr>
              <w:spacing w:after="0"/>
            </w:pPr>
            <w:r>
              <w:rPr>
                <w:b w:val="0"/>
                <w:i w:val="0"/>
                <w:sz w:val="19"/>
              </w:rPr>
              <w:t>High predicted recipient survival alone is insufficient: opportunity cost, equity and access also matter. Donor autonomy does not remove clinical obligations.</w:t>
            </w:r>
          </w:p>
          <w:p>
            <w:pPr>
              <w:spacing w:after="0"/>
            </w:pPr>
            <w:r>
              <w:rPr>
                <w:b w:val="0"/>
                <w:i/>
                <w:sz w:val="19"/>
              </w:rPr>
              <w:t>Limits: Provides an ethical framework, not numeric weights, a universal survival threshold or permission to depart from allocation rules.</w:t>
            </w:r>
          </w:p>
          <w:p>
            <w:pPr>
              <w:spacing w:after="0"/>
            </w:pPr>
            <w:r>
              <w:rPr>
                <w:b w:val="0"/>
                <w:i w:val="0"/>
                <w:color w:val="5A6069"/>
                <w:sz w:val="18"/>
              </w:rPr>
              <w:t>Introduction; utility/justice/respect-for-persons sections.</w:t>
            </w:r>
          </w:p>
        </w:tc>
      </w:tr>
      <w:tr>
        <w:trPr>
          <w:cantSplit/>
        </w:trPr>
        <w:tc>
          <w:tcPr>
            <w:tcW w:type="dxa" w:w="3360"/>
            <w:tcW w:w="2000" w:type="dxa"/>
            <w:shd w:val="clear" w:color="auto" w:fill="FFFFFF"/>
          </w:tcPr>
          <w:p>
            <w:pPr>
              <w:spacing w:after="0"/>
            </w:pPr>
            <w:r>
              <w:rPr>
                <w:b/>
                <w:i w:val="0"/>
                <w:sz w:val="19"/>
              </w:rPr>
              <w:t>OPTN policy</w:t>
            </w:r>
          </w:p>
        </w:tc>
        <w:tc>
          <w:tcPr>
            <w:tcW w:type="dxa" w:w="3360"/>
            <w:tcW w:w="3900" w:type="dxa"/>
            <w:shd w:val="clear" w:color="auto" w:fill="FFFFFF"/>
          </w:tcPr>
          <w:p>
            <w:pPr>
              <w:spacing w:after="0"/>
            </w:pPr>
            <w:r>
              <w:rPr>
                <w:b w:val="0"/>
                <w:i w:val="0"/>
                <w:sz w:val="19"/>
              </w:rPr>
              <w:t>Binding OPTN policy posting effective 1 October 2026, checked 24 October 2026. Clinical candidacy, exception scoring, living-donor protection and reporting have different policy sections.</w:t>
            </w:r>
          </w:p>
        </w:tc>
        <w:tc>
          <w:tcPr>
            <w:tcW w:type="dxa" w:w="3360"/>
            <w:tcW w:w="4180" w:type="dxa"/>
            <w:shd w:val="clear" w:color="auto" w:fill="FFFFFF"/>
          </w:tcPr>
          <w:p>
            <w:pPr>
              <w:spacing w:after="0"/>
            </w:pPr>
            <w:r>
              <w:rPr>
                <w:b w:val="0"/>
                <w:i w:val="0"/>
                <w:sz w:val="19"/>
              </w:rPr>
              <w:t>Policy 9 governs liver allocation; Policy 14 requires independent donor advocacy/consent; Policy 18 specifies reporting. None establishes a universal cancer-benefit cutoff.</w:t>
            </w:r>
          </w:p>
          <w:p>
            <w:pPr>
              <w:spacing w:after="0"/>
            </w:pPr>
            <w:r>
              <w:rPr>
                <w:b w:val="0"/>
                <w:i/>
                <w:sz w:val="19"/>
              </w:rPr>
              <w:t>Limits: A center’s additional safeguards are not national policy. Review the active text and applicability before individual decisions.</w:t>
            </w:r>
          </w:p>
          <w:p>
            <w:pPr>
              <w:spacing w:after="0"/>
            </w:pPr>
            <w:r>
              <w:rPr>
                <w:b w:val="0"/>
                <w:i w:val="0"/>
                <w:color w:val="5A6069"/>
                <w:sz w:val="18"/>
              </w:rPr>
              <w:t>Policies 9, 14.2–14.4 and 18; current official PDF.</w:t>
            </w:r>
          </w:p>
        </w:tc>
      </w:tr>
      <w:tr>
        <w:trPr>
          <w:cantSplit/>
        </w:trPr>
        <w:tc>
          <w:tcPr>
            <w:tcW w:type="dxa" w:w="3360"/>
            <w:tcW w:w="2000" w:type="dxa"/>
            <w:shd w:val="clear" w:color="auto" w:fill="F1F5F8"/>
          </w:tcPr>
          <w:p>
            <w:pPr>
              <w:spacing w:after="0"/>
            </w:pPr>
            <w:r>
              <w:rPr>
                <w:b/>
                <w:i w:val="0"/>
                <w:sz w:val="19"/>
              </w:rPr>
              <w:t>EASL–AASLD–ILCA 2026</w:t>
            </w:r>
          </w:p>
        </w:tc>
        <w:tc>
          <w:tcPr>
            <w:tcW w:type="dxa" w:w="3360"/>
            <w:tcW w:w="3900" w:type="dxa"/>
            <w:shd w:val="clear" w:color="auto" w:fill="F1F5F8"/>
          </w:tcPr>
          <w:p>
            <w:pPr>
              <w:spacing w:after="0"/>
            </w:pPr>
            <w:r>
              <w:rPr>
                <w:b w:val="0"/>
                <w:i w:val="0"/>
                <w:sz w:val="19"/>
              </w:rPr>
              <w:t>EASL–AASLD–ILCA 2026 trial-design consensus, LT section. Separates standard/UNOS-DS, expanded intermediate HCC and advanced segmental vascular-invasion research populations.</w:t>
            </w:r>
          </w:p>
        </w:tc>
        <w:tc>
          <w:tcPr>
            <w:tcW w:type="dxa" w:w="3360"/>
            <w:tcW w:w="4180" w:type="dxa"/>
            <w:shd w:val="clear" w:color="auto" w:fill="F1F5F8"/>
          </w:tcPr>
          <w:p>
            <w:pPr>
              <w:spacing w:after="0"/>
            </w:pPr>
            <w:r>
              <w:rPr>
                <w:b w:val="0"/>
                <w:i w:val="0"/>
                <w:sz w:val="19"/>
              </w:rPr>
              <w:t>Calls for entry-level dropout/feasibility, ITT EFS/OS and graft/immune harms; discusses ≥60% five-year ITT OS benchmark in HCC.</w:t>
            </w:r>
          </w:p>
          <w:p>
            <w:pPr>
              <w:spacing w:after="0"/>
            </w:pPr>
            <w:r>
              <w:rPr>
                <w:b w:val="0"/>
                <w:i/>
                <w:sz w:val="19"/>
              </w:rPr>
              <w:t>Limits: Expert benchmark, not a validated cross-tumor allocation cutoff or a ten-patient stopping rule; mature five-year endpoints cannot be established after one year.</w:t>
            </w:r>
          </w:p>
          <w:p>
            <w:pPr>
              <w:spacing w:after="0"/>
            </w:pPr>
            <w:r>
              <w:rPr>
                <w:b w:val="0"/>
                <w:i w:val="0"/>
                <w:color w:val="5A6069"/>
                <w:sz w:val="18"/>
              </w:rPr>
              <w:t>Accepted manuscript pp19–22, LT trial design.</w:t>
            </w:r>
          </w:p>
        </w:tc>
      </w:tr>
      <w:tr>
        <w:trPr>
          <w:cantSplit/>
        </w:trPr>
        <w:tc>
          <w:tcPr>
            <w:tcW w:type="dxa" w:w="3360"/>
            <w:tcW w:w="2000" w:type="dxa"/>
            <w:shd w:val="clear" w:color="auto" w:fill="FFFFFF"/>
          </w:tcPr>
          <w:p>
            <w:pPr>
              <w:spacing w:after="0"/>
            </w:pPr>
            <w:r>
              <w:rPr>
                <w:b/>
                <w:i w:val="0"/>
                <w:sz w:val="19"/>
              </w:rPr>
              <w:t>Kelly 2026</w:t>
            </w:r>
          </w:p>
        </w:tc>
        <w:tc>
          <w:tcPr>
            <w:tcW w:type="dxa" w:w="3360"/>
            <w:tcW w:w="3900" w:type="dxa"/>
            <w:shd w:val="clear" w:color="auto" w:fill="FFFFFF"/>
          </w:tcPr>
          <w:p>
            <w:pPr>
              <w:spacing w:after="0"/>
            </w:pPr>
            <w:r>
              <w:rPr>
                <w:b w:val="0"/>
                <w:i w:val="0"/>
                <w:sz w:val="19"/>
              </w:rPr>
              <w:t>National SRTR donor cohort 1989–2023: 8,619 with mortality ascertainment; 8,314 with any recovery record. Adults 18–65; 362 eligible donors excluded for missing mortality status.</w:t>
            </w:r>
          </w:p>
        </w:tc>
        <w:tc>
          <w:tcPr>
            <w:tcW w:type="dxa" w:w="3360"/>
            <w:tcW w:w="4180" w:type="dxa"/>
            <w:shd w:val="clear" w:color="auto" w:fill="FFFFFF"/>
          </w:tcPr>
          <w:p>
            <w:pPr>
              <w:spacing w:after="0"/>
            </w:pPr>
            <w:r>
              <w:rPr>
                <w:b w:val="0"/>
                <w:i w:val="0"/>
                <w:sz w:val="19"/>
              </w:rPr>
              <w:t>Eight deaths by 90 days and 18 by two years; contemporary-era perioperative mortality approximately 0.04%. Only 37–39% had two-year recovery data.</w:t>
            </w:r>
          </w:p>
          <w:p>
            <w:pPr>
              <w:spacing w:after="0"/>
            </w:pPr>
            <w:r>
              <w:rPr>
                <w:b w:val="0"/>
                <w:i/>
                <w:sz w:val="19"/>
              </w:rPr>
              <w:t>Limits: All-cause deaths, mostly unavailable cause; not oncology-specific. Low mortality cannot substitute for complete morbidity, psychological and financial follow-up.</w:t>
            </w:r>
          </w:p>
          <w:p>
            <w:pPr>
              <w:spacing w:after="0"/>
            </w:pPr>
            <w:r>
              <w:rPr>
                <w:b w:val="0"/>
                <w:i w:val="0"/>
                <w:color w:val="5A6069"/>
                <w:sz w:val="18"/>
              </w:rPr>
              <w:t>Methods; Results 3.1–3.4; limitations pp6–7.</w:t>
            </w:r>
          </w:p>
        </w:tc>
      </w:tr>
      <w:tr>
        <w:trPr>
          <w:cantSplit/>
        </w:trPr>
        <w:tc>
          <w:tcPr>
            <w:tcW w:type="dxa" w:w="3360"/>
            <w:tcW w:w="2000" w:type="dxa"/>
            <w:shd w:val="clear" w:color="auto" w:fill="F1F5F8"/>
          </w:tcPr>
          <w:p>
            <w:pPr>
              <w:spacing w:after="0"/>
            </w:pPr>
            <w:r>
              <w:rPr>
                <w:b/>
                <w:i w:val="0"/>
                <w:sz w:val="19"/>
              </w:rPr>
              <w:t>XXL 2020</w:t>
            </w:r>
          </w:p>
        </w:tc>
        <w:tc>
          <w:tcPr>
            <w:tcW w:type="dxa" w:w="3360"/>
            <w:tcW w:w="3900" w:type="dxa"/>
            <w:shd w:val="clear" w:color="auto" w:fill="F1F5F8"/>
          </w:tcPr>
          <w:p>
            <w:pPr>
              <w:spacing w:after="0"/>
            </w:pPr>
            <w:r>
              <w:rPr>
                <w:b w:val="0"/>
                <w:i w:val="0"/>
                <w:sz w:val="19"/>
              </w:rPr>
              <w:t>Multicenter randomized phase 2b/3 trial: 74 entered downstaging; 29 dropped out before randomization; 45 responders were randomized, 23 to LT and 22 to nontransplant treatment. Child-Pugh A–B7, ECOG 0–1, predicted five-year post-LT survival ≥50%, and ≥3 months sustained response. AFP rules depended on baseline value and response, not an unconditional AFP &lt;400 entry rule.</w:t>
            </w:r>
          </w:p>
        </w:tc>
        <w:tc>
          <w:tcPr>
            <w:tcW w:type="dxa" w:w="3360"/>
            <w:tcW w:w="4180" w:type="dxa"/>
            <w:shd w:val="clear" w:color="auto" w:fill="F1F5F8"/>
          </w:tcPr>
          <w:p>
            <w:pPr>
              <w:spacing w:after="0"/>
            </w:pPr>
            <w:r>
              <w:rPr>
                <w:b w:val="0"/>
                <w:i w:val="0"/>
                <w:sz w:val="19"/>
              </w:rPr>
              <w:t>From randomization, five-year overall survival was 77.5% with LT versus 31.2% without LT; tumor-event-free survival 76.8% versus 18.3%; median follow-up 71 months.</w:t>
            </w:r>
          </w:p>
          <w:p>
            <w:pPr>
              <w:spacing w:after="0"/>
            </w:pPr>
            <w:r>
              <w:rPr>
                <w:b w:val="0"/>
                <w:i/>
                <w:sz w:val="19"/>
              </w:rPr>
              <w:t>Limits: Strongest causal evidence for LT among selected responders, not for all 74 entrants or unlimited initial burden. Small, prematurely stopped trial. Appendix allowed uncertain bland-versus-neoplastic segmental/type-I portal thrombosis under additional response conditions; the actual PVTT denominator/outcomes are not reported. It must not be relabeled a proven-PVTT trial.</w:t>
            </w:r>
          </w:p>
          <w:p>
            <w:pPr>
              <w:spacing w:after="0"/>
            </w:pPr>
            <w:r>
              <w:rPr>
                <w:b w:val="0"/>
                <w:i w:val="0"/>
                <w:color w:val="5A6069"/>
                <w:sz w:val="18"/>
              </w:rPr>
              <w:t>Complete accepted manuscript and protocol appendix; final published abstract for survival estimates. Avoid mixing accepted-manuscript and final-publication hazard ratios.</w:t>
            </w:r>
          </w:p>
        </w:tc>
      </w:tr>
      <w:tr>
        <w:trPr>
          <w:cantSplit/>
        </w:trPr>
        <w:tc>
          <w:tcPr>
            <w:tcW w:type="dxa" w:w="3360"/>
            <w:tcW w:w="2000" w:type="dxa"/>
            <w:shd w:val="clear" w:color="auto" w:fill="FFFFFF"/>
          </w:tcPr>
          <w:p>
            <w:pPr>
              <w:spacing w:after="0"/>
            </w:pPr>
            <w:r>
              <w:rPr>
                <w:b/>
                <w:i w:val="0"/>
                <w:sz w:val="19"/>
              </w:rPr>
              <w:t>TransMet 2024</w:t>
            </w:r>
          </w:p>
        </w:tc>
        <w:tc>
          <w:tcPr>
            <w:tcW w:type="dxa" w:w="3360"/>
            <w:tcW w:w="3900" w:type="dxa"/>
            <w:shd w:val="clear" w:color="auto" w:fill="FFFFFF"/>
          </w:tcPr>
          <w:p>
            <w:pPr>
              <w:spacing w:after="0"/>
            </w:pPr>
            <w:r>
              <w:rPr>
                <w:b w:val="0"/>
                <w:i w:val="0"/>
                <w:sz w:val="19"/>
              </w:rPr>
              <w:t>Multicentre open-label randomized trial, 20 European centres, 157 screened and 94 randomized (47 LT-plus-chemotherapy, 47 chemotherapy); 63 screened excluded, including 13 with equivocal unresectability and 36 with progression. Age 18–65; ECOG 0–1; R0 colorectal primary; BRAF nonmutated; no prior or current extrahepatic disease/local recurrence; chemotherapy response or stable disease for at least 3 months, at most three lines. CEA &lt;80 ng/mL OR at least 50% reduction from peak was permitted. Independent committee of at least two surgeons, two oncologists and one radiologist reviewed original and current lesion maps. These are trial criteria, not identical to current NLRB guidance.</w:t>
            </w:r>
          </w:p>
        </w:tc>
        <w:tc>
          <w:tcPr>
            <w:tcW w:type="dxa" w:w="3360"/>
            <w:tcW w:w="4180" w:type="dxa"/>
            <w:shd w:val="clear" w:color="auto" w:fill="FFFFFF"/>
          </w:tcPr>
          <w:p>
            <w:pPr>
              <w:spacing w:after="0"/>
            </w:pPr>
            <w:r>
              <w:rPr>
                <w:b w:val="0"/>
                <w:i w:val="0"/>
                <w:sz w:val="19"/>
              </w:rPr>
              <w:t>Primary time origin was randomization. Median follow-up 59.3 months. Five-year ITT OS was 56.6% versus 12.6% (HR 0.37, 95% CI 0.21–0.65); per-protocol OS 73.3% versus 9.3%. Of 47 assigned LT, 38 received LT and 36 were per-protocol; nine had progression-related exclusion/dropout. The control arm included seven subsequent resections and two LT crossovers. Safety population comprised 40 grafted patients. Among 36 per-protocol LT recipients, 26 recurred; 19/26 received chemotherapy and 12/26 local curative-intent treatment. Median per-protocol PFS was 17.4 versus 6.4 months, and secondary PFS after salvage was 35.4 months in the LT arm. Three of 36 per-protocol recipients required retransplantation (primary nonfunction, donor gallbladder cancer, caval obstruction/large-for-size); one postoperative death was reported. Serious adverse events occurred in 32/40 safety LT recipients. Median wait to LT was 50.5 days, which limits transfer to longer-wait systems.</w:t>
            </w:r>
          </w:p>
          <w:p>
            <w:pPr>
              <w:spacing w:after="0"/>
            </w:pPr>
            <w:r>
              <w:rPr>
                <w:b w:val="0"/>
                <w:i/>
                <w:sz w:val="19"/>
              </w:rPr>
              <w:t>Limits: Strong evidence for the selected trial population, not for BRAF-mutant, ECOG 2, active extrahepatic, truly NED, resectable or broadly expanded disease. PP survival conditions on reaching treatment and must not replace ITT. The Results recurrence denominator is 26/36; Figure 3 caption says 28 recurrences, consistent with a broader all-grafted report, so do not mix these denominators. QoL collection had only 55/74 per-protocol baseline questionnaires and is descriptive, not proof of a large QoL gain. Priority allocation and rapid access were part of the treatment strategy.</w:t>
            </w:r>
          </w:p>
          <w:p>
            <w:pPr>
              <w:spacing w:after="0"/>
            </w:pPr>
            <w:r>
              <w:rPr>
                <w:b w:val="0"/>
                <w:i w:val="0"/>
                <w:color w:val="5A6069"/>
                <w:sz w:val="18"/>
              </w:rPr>
              <w:t>Lancet 2024;404:1107–1118. PDF pp.2–4 eligibility/committee; pp.5–6 trial flow/Table 1; pp.8–9 recurrence, safety, retransplantation, Figure 3; p.10 QoL/limitations.</w:t>
            </w:r>
          </w:p>
        </w:tc>
      </w:tr>
      <w:tr>
        <w:trPr>
          <w:cantSplit/>
        </w:trPr>
        <w:tc>
          <w:tcPr>
            <w:tcW w:type="dxa" w:w="3360"/>
            <w:tcW w:w="2000" w:type="dxa"/>
            <w:shd w:val="clear" w:color="auto" w:fill="F1F5F8"/>
          </w:tcPr>
          <w:p>
            <w:pPr>
              <w:spacing w:after="0"/>
            </w:pPr>
            <w:r>
              <w:rPr>
                <w:b/>
                <w:i w:val="0"/>
                <w:sz w:val="19"/>
              </w:rPr>
              <w:t>Allen 2024</w:t>
            </w:r>
          </w:p>
        </w:tc>
        <w:tc>
          <w:tcPr>
            <w:tcW w:type="dxa" w:w="3360"/>
            <w:tcW w:w="3900" w:type="dxa"/>
            <w:shd w:val="clear" w:color="auto" w:fill="F1F5F8"/>
          </w:tcPr>
          <w:p>
            <w:pPr>
              <w:spacing w:after="0"/>
            </w:pPr>
            <w:r>
              <w:rPr>
                <w:b w:val="0"/>
                <w:i w:val="0"/>
                <w:sz w:val="19"/>
              </w:rPr>
              <w:t>UK national liver-offering policy evaluation: separate simulation dataset of 1,287 registrations/629 donors plus early real-world NLOS implementation, 2018–2020. Transplant-benefit scoring governed national deceased-donor offers; not a high-risk-HCC validation sample.</w:t>
            </w:r>
          </w:p>
        </w:tc>
        <w:tc>
          <w:tcPr>
            <w:tcW w:type="dxa" w:w="3360"/>
            <w:tcW w:w="4180" w:type="dxa"/>
            <w:shd w:val="clear" w:color="auto" w:fill="F1F5F8"/>
          </w:tcPr>
          <w:p>
            <w:pPr>
              <w:spacing w:after="0"/>
            </w:pPr>
            <w:r>
              <w:rPr>
                <w:b w:val="0"/>
                <w:i w:val="0"/>
                <w:sz w:val="19"/>
              </w:rPr>
              <w:t>Simulation compared observed 2013 deaths/removals 93 (7%) and 4,581 patient-years with modeled TBS outcomes 48 (4%) and 5,262 patient-years. During the first two implementation years, 68% of DBD livers were allocated by TBS; observed waitlist mortality decreased (P&lt;.0001), postlisting survival improved (P=.005), with no adverse post-LT survival signal.</w:t>
            </w:r>
          </w:p>
          <w:p>
            <w:pPr>
              <w:spacing w:after="0"/>
            </w:pPr>
            <w:r>
              <w:rPr>
                <w:b w:val="0"/>
                <w:i/>
                <w:sz w:val="19"/>
              </w:rPr>
              <w:t>Limits: Simulated gains are not observed outcomes. Before/after implementation is nonrandomized and can reflect secular changes. Nonetheless it is meaningful evidence that a governed benefit-based system can be deployed, unlike a claim that all such models are unusable.</w:t>
            </w:r>
          </w:p>
          <w:p>
            <w:pPr>
              <w:spacing w:after="0"/>
            </w:pPr>
            <w:r>
              <w:rPr>
                <w:b w:val="0"/>
                <w:i w:val="0"/>
                <w:color w:val="5A6069"/>
                <w:sz w:val="18"/>
              </w:rPr>
              <w:t>Primary abstract and full publisher Methods/Results, Table 3, DOI 10.1016/j.jhep.2024.03.020; PDF pending.</w:t>
            </w:r>
          </w:p>
        </w:tc>
      </w:tr>
    </w:tbl>
    <w:p>
      <w:pPr>
        <w:spacing w:after="40"/>
      </w:pPr>
    </w:p>
    <w:p>
      <w:pPr>
        <w:pStyle w:val="Heading3"/>
        <w:keepNext/>
        <w:spacing w:before="120" w:after="80"/>
      </w:pPr>
      <w:r>
        <w:rPr>
          <w:b w:val="0"/>
          <w:i w:val="0"/>
        </w:rPr>
        <w:t>Our proposed selection (OPEN)</w:t>
      </w:r>
    </w:p>
    <w:p>
      <w:pPr>
        <w:spacing w:after="80"/>
      </w:pPr>
      <w:r>
        <w:rPr>
          <w:b w:val="0"/>
          <w:i w:val="0"/>
        </w:rPr>
        <w:t>Require two independent recipient-benefit reviews and an explicit organ-use case; do not adopt a universal five-year survival cutoff.</w:t>
      </w:r>
    </w:p>
    <w:p>
      <w:pPr>
        <w:numPr>
          <w:ilvl w:val="0"/>
          <w:numId w:val="5"/>
        </w:numPr>
        <w:spacing w:after="40"/>
      </w:pPr>
      <w:r>
        <w:rPr>
          <w:b w:val="0"/>
          <w:i w:val="0"/>
        </w:rPr>
        <w:t>Proposed requirements: two reviewers not both responsible for recruitment must document expected incremental benefit over the actual contemporary alternative, with unresolved disagreement referred to the full committee.</w:t>
      </w:r>
    </w:p>
    <w:p>
      <w:pPr>
        <w:numPr>
          <w:ilvl w:val="0"/>
          <w:numId w:val="5"/>
        </w:numPr>
        <w:spacing w:after="40"/>
      </w:pPr>
      <w:r>
        <w:rPr>
          <w:b w:val="0"/>
          <w:i w:val="0"/>
        </w:rPr>
        <w:t>For DDLT, show local expected access/dropout and sensitivity scenarios at 6, 12 and 18 months, total graft use including retransplantation, and plausible alternative recipients. These are planning scenarios, not imposed waiting periods.</w:t>
      </w:r>
    </w:p>
    <w:p>
      <w:pPr>
        <w:numPr>
          <w:ilvl w:val="0"/>
          <w:numId w:val="5"/>
        </w:numPr>
        <w:spacing w:after="40"/>
      </w:pPr>
      <w:r>
        <w:rPr>
          <w:b w:val="0"/>
          <w:i w:val="0"/>
        </w:rPr>
        <w:t>For LDLT, separately show healthy-donor risk and potential downstream deceased-donor graft use. Do not call DCD, extended-criteria grafts or machine perfusion “zero opportunity cost.” No priority changes follow from an AI-selected survival threshold.</w:t>
      </w:r>
    </w:p>
    <w:p>
      <w:pPr>
        <w:spacing w:after="80"/>
      </w:pPr>
      <w:r>
        <w:rPr>
          <w:b/>
          <w:i w:val="0"/>
        </w:rPr>
        <w:t xml:space="preserve">Why: </w:t>
      </w:r>
      <w:r>
        <w:rPr>
          <w:b w:val="0"/>
          <w:i w:val="0"/>
        </w:rPr>
        <w:t>Use pathway-level benefit from an agreed entry date, not recipient-only survival. Compare with contemporary tumor-specific care and actual local access. LDLT avoids one direct deceased-donor allocation but creates healthy-donor risk and may generate rescue graft use. Graft quality/perfusion changes do not make opportunity cost zero.</w:t>
      </w:r>
    </w:p>
    <w:p>
      <w:pPr>
        <w:spacing w:after="80"/>
      </w:pPr>
      <w:r>
        <w:rPr>
          <w:b/>
          <w:i w:val="0"/>
        </w:rPr>
        <w:t xml:space="preserve">Against, or uncertain: </w:t>
      </w:r>
      <w:r>
        <w:rPr>
          <w:b w:val="0"/>
          <w:i w:val="0"/>
        </w:rPr>
        <w:t>An ambitious prognosis threshold can exclude patients with substantial incremental benefit, while an indolent tumor can have excellent post-LT survival and little incremental benefit. Local wait times and unequal access can reverse a study’s apparent advantage.</w:t>
      </w:r>
    </w:p>
    <w:p>
      <w:pPr>
        <w:spacing w:after="80"/>
      </w:pPr>
      <w:r>
        <w:rPr>
          <w:b/>
          <w:i w:val="0"/>
        </w:rPr>
        <w:t xml:space="preserve">Certainty: </w:t>
      </w:r>
      <w:r>
        <w:rPr>
          <w:b w:val="0"/>
          <w:i w:val="0"/>
        </w:rPr>
        <w:t>Benefit evidence differs by disease: randomized selected CRLM/HCC pathways cannot be generalized to all expanded indications. Ethical principles are authoritative frameworks, not empirically optimized allocation weights.</w:t>
      </w:r>
    </w:p>
    <w:p>
      <w:pPr>
        <w:spacing w:after="80"/>
      </w:pPr>
      <w:r>
        <w:rPr>
          <w:b/>
          <w:i w:val="0"/>
        </w:rPr>
        <w:t xml:space="preserve">Tests and records: </w:t>
      </w:r>
      <w:r>
        <w:rPr>
          <w:b w:val="0"/>
          <w:i w:val="0"/>
        </w:rPr>
        <w:t>Same-eligibility/time-zero comparator; expected access; dropout; donor/graft type; uncertainty intervals; graft loss/retransplant estimate; written independent reviews.</w:t>
      </w:r>
    </w:p>
    <w:p>
      <w:pPr>
        <w:spacing w:after="80"/>
      </w:pPr>
      <w:r>
        <w:rPr>
          <w:b/>
          <w:i w:val="0"/>
        </w:rPr>
        <w:t xml:space="preserve">Allocation: </w:t>
      </w:r>
      <w:r>
        <w:rPr>
          <w:b w:val="0"/>
          <w:i w:val="0"/>
        </w:rPr>
        <w:t>Only the applicable allocation process determines priority. Favorable post-LT prognosis, evidence grade and urgency are not interchangeable measures.</w:t>
      </w:r>
    </w:p>
    <w:p>
      <w:pPr>
        <w:spacing w:after="40"/>
      </w:pPr>
      <w:r>
        <w:rPr>
          <w:b/>
          <w:i w:val="0"/>
        </w:rPr>
        <w:t xml:space="preserve">Basis for the proposed thresholds: </w:t>
      </w:r>
    </w:p>
    <w:p>
      <w:pPr>
        <w:numPr>
          <w:ilvl w:val="0"/>
          <w:numId w:val="5"/>
        </w:numPr>
        <w:spacing w:after="40"/>
      </w:pPr>
      <w:r>
        <w:rPr>
          <w:b w:val="0"/>
          <w:i w:val="0"/>
        </w:rPr>
        <w:t>Two reviewers: local independence safeguard, not validated optimum.</w:t>
      </w:r>
    </w:p>
    <w:p>
      <w:pPr>
        <w:numPr>
          <w:ilvl w:val="0"/>
          <w:numId w:val="5"/>
        </w:numPr>
        <w:spacing w:after="40"/>
      </w:pPr>
      <w:r>
        <w:rPr>
          <w:b w:val="0"/>
          <w:i w:val="0"/>
        </w:rPr>
        <w:t>6/12/18 months: sensitivity scenarios for access/dropout, not mandatory waits.</w:t>
      </w:r>
    </w:p>
    <w:p>
      <w:pPr>
        <w:numPr>
          <w:ilvl w:val="0"/>
          <w:numId w:val="5"/>
        </w:numPr>
        <w:spacing w:after="40"/>
      </w:pPr>
      <w:r>
        <w:rPr>
          <w:b w:val="0"/>
          <w:i w:val="0"/>
        </w:rPr>
        <w:t>HCC ≥60% five-year ITT OS: one expert trial-design benchmark; not a cross-cancer allocation policy.</w:t>
      </w:r>
    </w:p>
    <w:p>
      <w:pPr>
        <w:numPr>
          <w:ilvl w:val="0"/>
          <w:numId w:val="5"/>
        </w:numPr>
        <w:spacing w:after="40"/>
      </w:pPr>
      <w:r>
        <w:rPr>
          <w:b w:val="0"/>
          <w:i w:val="0"/>
        </w:rPr>
        <w:t>All grafts: count initial and rescue/retransplant grafts; donor morbidity remains a separate outcome.</w:t>
      </w:r>
    </w:p>
    <w:p>
      <w:pPr>
        <w:pStyle w:val="Heading3"/>
        <w:keepNext/>
        <w:spacing w:before="120" w:after="80"/>
      </w:pPr>
      <w:r>
        <w:rPr>
          <w:b w:val="0"/>
          <w:i w:val="0"/>
        </w:rPr>
        <w:t>ALLOC-B2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ALLOC-B3 — Protect the living donor</w:t>
      </w:r>
    </w:p>
    <w:p>
      <w:pPr>
        <w:spacing w:after="80"/>
      </w:pPr>
      <w:r>
        <w:rPr>
          <w:b w:val="0"/>
          <w:i w:val="0"/>
          <w:color w:val="5A6069"/>
          <w:sz w:val="18"/>
        </w:rPr>
        <w:t>OPEN proposal · not activated · Shared approval requirement</w:t>
      </w:r>
    </w:p>
    <w:p>
      <w:pPr>
        <w:spacing w:after="80"/>
      </w:pPr>
      <w:r>
        <w:rPr>
          <w:b/>
          <w:i w:val="0"/>
        </w:rPr>
        <w:t xml:space="preserve">Question: </w:t>
      </w:r>
      <w:r>
        <w:rPr>
          <w:b w:val="0"/>
          <w:i w:val="0"/>
        </w:rPr>
        <w:t>What must donor consent and follow-up include?</w:t>
      </w:r>
    </w:p>
    <w:p>
      <w:pPr>
        <w:spacing w:after="120"/>
      </w:pPr>
      <w:r>
        <w:rPr>
          <w:b/>
          <w:i w:val="0"/>
          <w:sz w:val="18"/>
        </w:rPr>
        <w:t xml:space="preserve">Web page: </w:t>
      </w:r>
      <w:hyperlink r:id="rId19">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policy</w:t>
            </w:r>
          </w:p>
        </w:tc>
        <w:tc>
          <w:tcPr>
            <w:tcW w:type="dxa" w:w="3360"/>
            <w:tcW w:w="5480" w:type="dxa"/>
            <w:shd w:val="clear" w:color="auto" w:fill="F1F5F8"/>
          </w:tcPr>
          <w:p>
            <w:pPr>
              <w:spacing w:after="0"/>
            </w:pPr>
            <w:r>
              <w:rPr>
                <w:b w:val="0"/>
                <w:i w:val="0"/>
                <w:sz w:val="19"/>
              </w:rPr>
              <w:t>“Has been informed that he or she may decline to donate at any time” Withdrawal must remain meaningful and independent of recipient pressure.</w:t>
            </w:r>
          </w:p>
        </w:tc>
        <w:tc>
          <w:tcPr>
            <w:tcW w:type="dxa" w:w="3360"/>
            <w:tcW w:w="2400" w:type="dxa"/>
            <w:shd w:val="clear" w:color="auto" w:fill="F1F5F8"/>
          </w:tcPr>
          <w:p>
            <w:pPr>
              <w:spacing w:after="0"/>
            </w:pPr>
            <w:r>
              <w:rPr>
                <w:b w:val="0"/>
                <w:i w:val="0"/>
                <w:color w:val="5A6069"/>
                <w:sz w:val="18"/>
              </w:rPr>
              <w:t>Policy 14.3, PDF p286, living donor informed consent</w:t>
            </w:r>
          </w:p>
        </w:tc>
      </w:tr>
      <w:tr>
        <w:trPr>
          <w:cantSplit/>
        </w:trPr>
        <w:tc>
          <w:tcPr>
            <w:tcW w:type="dxa" w:w="3360"/>
            <w:tcW w:w="2200" w:type="dxa"/>
            <w:shd w:val="clear" w:color="auto" w:fill="FFFFFF"/>
          </w:tcPr>
          <w:p>
            <w:pPr>
              <w:spacing w:after="0"/>
            </w:pPr>
            <w:r>
              <w:rPr>
                <w:b/>
                <w:i w:val="0"/>
                <w:sz w:val="19"/>
              </w:rPr>
              <w:t>Kelly 2026</w:t>
            </w:r>
          </w:p>
        </w:tc>
        <w:tc>
          <w:tcPr>
            <w:tcW w:type="dxa" w:w="3360"/>
            <w:tcW w:w="5480" w:type="dxa"/>
            <w:shd w:val="clear" w:color="auto" w:fill="FFFFFF"/>
          </w:tcPr>
          <w:p>
            <w:pPr>
              <w:spacing w:after="0"/>
            </w:pPr>
            <w:r>
              <w:rPr>
                <w:b w:val="0"/>
                <w:i w:val="0"/>
                <w:sz w:val="19"/>
              </w:rPr>
              <w:t>“Availability of secondary-outcome data declined over follow-up” Incomplete recovery follow-up limits reassurance from low mortality alone.</w:t>
            </w:r>
          </w:p>
        </w:tc>
        <w:tc>
          <w:tcPr>
            <w:tcW w:type="dxa" w:w="3360"/>
            <w:tcW w:w="2400" w:type="dxa"/>
            <w:shd w:val="clear" w:color="auto" w:fill="FFFFFF"/>
          </w:tcPr>
          <w:p>
            <w:pPr>
              <w:spacing w:after="0"/>
            </w:pPr>
            <w:r>
              <w:rPr>
                <w:b w:val="0"/>
                <w:i w:val="0"/>
                <w:color w:val="5A6069"/>
                <w:sz w:val="18"/>
              </w:rPr>
              <w:t>2026 full report, section 3.1</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Kelly 2026</w:t>
            </w:r>
          </w:p>
        </w:tc>
        <w:tc>
          <w:tcPr>
            <w:tcW w:type="dxa" w:w="3360"/>
            <w:tcW w:w="3900" w:type="dxa"/>
            <w:shd w:val="clear" w:color="auto" w:fill="F1F5F8"/>
          </w:tcPr>
          <w:p>
            <w:pPr>
              <w:spacing w:after="0"/>
            </w:pPr>
            <w:r>
              <w:rPr>
                <w:b w:val="0"/>
                <w:i w:val="0"/>
                <w:sz w:val="19"/>
              </w:rPr>
              <w:t>National SRTR donor cohort 1989–2023: 8,619 with mortality ascertainment; 8,314 with any recovery record. Adults 18–65; 362 eligible donors excluded for missing mortality status.</w:t>
            </w:r>
          </w:p>
        </w:tc>
        <w:tc>
          <w:tcPr>
            <w:tcW w:type="dxa" w:w="3360"/>
            <w:tcW w:w="4180" w:type="dxa"/>
            <w:shd w:val="clear" w:color="auto" w:fill="F1F5F8"/>
          </w:tcPr>
          <w:p>
            <w:pPr>
              <w:spacing w:after="0"/>
            </w:pPr>
            <w:r>
              <w:rPr>
                <w:b w:val="0"/>
                <w:i w:val="0"/>
                <w:sz w:val="19"/>
              </w:rPr>
              <w:t>Eight deaths by 90 days and 18 by two years; contemporary-era perioperative mortality approximately 0.04%. Only 37–39% had two-year recovery data.</w:t>
            </w:r>
          </w:p>
          <w:p>
            <w:pPr>
              <w:spacing w:after="0"/>
            </w:pPr>
            <w:r>
              <w:rPr>
                <w:b w:val="0"/>
                <w:i/>
                <w:sz w:val="19"/>
              </w:rPr>
              <w:t>Limits: All-cause deaths, mostly unavailable cause; not oncology-specific. Low mortality cannot substitute for complete morbidity, psychological and financial follow-up.</w:t>
            </w:r>
          </w:p>
          <w:p>
            <w:pPr>
              <w:spacing w:after="0"/>
            </w:pPr>
            <w:r>
              <w:rPr>
                <w:b w:val="0"/>
                <w:i w:val="0"/>
                <w:color w:val="5A6069"/>
                <w:sz w:val="18"/>
              </w:rPr>
              <w:t>Methods; Results 3.1–3.4; limitations pp6–7.</w:t>
            </w:r>
          </w:p>
        </w:tc>
      </w:tr>
      <w:tr>
        <w:trPr>
          <w:cantSplit/>
        </w:trPr>
        <w:tc>
          <w:tcPr>
            <w:tcW w:type="dxa" w:w="3360"/>
            <w:tcW w:w="2000" w:type="dxa"/>
            <w:shd w:val="clear" w:color="auto" w:fill="FFFFFF"/>
          </w:tcPr>
          <w:p>
            <w:pPr>
              <w:spacing w:after="0"/>
            </w:pPr>
            <w:r>
              <w:rPr>
                <w:b/>
                <w:i w:val="0"/>
                <w:sz w:val="19"/>
              </w:rPr>
              <w:t>Abecassis 2012</w:t>
            </w:r>
          </w:p>
        </w:tc>
        <w:tc>
          <w:tcPr>
            <w:tcW w:type="dxa" w:w="3360"/>
            <w:tcW w:w="3900" w:type="dxa"/>
            <w:shd w:val="clear" w:color="auto" w:fill="FFFFFF"/>
          </w:tcPr>
          <w:p>
            <w:pPr>
              <w:spacing w:after="0"/>
            </w:pPr>
            <w:r>
              <w:rPr>
                <w:b w:val="0"/>
                <w:i w:val="0"/>
                <w:sz w:val="19"/>
              </w:rPr>
              <w:t>A2ALL cohort: 760 donor operations begun; 740 completed, mostly right lobes. Multicenter selected donors, older era; standardized complication ascertainment.</w:t>
            </w:r>
          </w:p>
        </w:tc>
        <w:tc>
          <w:tcPr>
            <w:tcW w:type="dxa" w:w="3360"/>
            <w:tcW w:w="4180" w:type="dxa"/>
            <w:shd w:val="clear" w:color="auto" w:fill="FFFFFF"/>
          </w:tcPr>
          <w:p>
            <w:pPr>
              <w:spacing w:after="0"/>
            </w:pPr>
            <w:r>
              <w:rPr>
                <w:b w:val="0"/>
                <w:i w:val="0"/>
                <w:sz w:val="19"/>
              </w:rPr>
              <w:t>296/740 (40%) had ≥1 complication; 20/760 operations aborted. Five grade-3 residual-disability events and three grade-4 deaths were reported; two deaths were late, not perioperative.</w:t>
            </w:r>
          </w:p>
          <w:p>
            <w:pPr>
              <w:spacing w:after="0"/>
            </w:pPr>
            <w:r>
              <w:rPr>
                <w:b w:val="0"/>
                <w:i/>
                <w:sz w:val="19"/>
              </w:rPr>
              <w:t>Limits: Different grading/eras from modern cohorts; A2ALL partly overlaps US registry data. Late hernia/psychological events support follow-up beyond surgical recovery.</w:t>
            </w:r>
          </w:p>
          <w:p>
            <w:pPr>
              <w:spacing w:after="0"/>
            </w:pPr>
            <w:r>
              <w:rPr>
                <w:b w:val="0"/>
                <w:i w:val="0"/>
                <w:color w:val="5A6069"/>
                <w:sz w:val="18"/>
              </w:rPr>
              <w:t>Methods and Results; complications tables, Am J Transplant 12:1208–1217.</w:t>
            </w:r>
          </w:p>
        </w:tc>
      </w:tr>
      <w:tr>
        <w:trPr>
          <w:cantSplit/>
        </w:trPr>
        <w:tc>
          <w:tcPr>
            <w:tcW w:type="dxa" w:w="3360"/>
            <w:tcW w:w="2000" w:type="dxa"/>
            <w:shd w:val="clear" w:color="auto" w:fill="F1F5F8"/>
          </w:tcPr>
          <w:p>
            <w:pPr>
              <w:spacing w:after="0"/>
            </w:pPr>
            <w:r>
              <w:rPr>
                <w:b/>
                <w:i w:val="0"/>
                <w:sz w:val="19"/>
              </w:rPr>
              <w:t>DiMartini 2017</w:t>
            </w:r>
          </w:p>
        </w:tc>
        <w:tc>
          <w:tcPr>
            <w:tcW w:type="dxa" w:w="3360"/>
            <w:tcW w:w="3900" w:type="dxa"/>
            <w:shd w:val="clear" w:color="auto" w:fill="F1F5F8"/>
          </w:tcPr>
          <w:p>
            <w:pPr>
              <w:spacing w:after="0"/>
            </w:pPr>
            <w:r>
              <w:rPr>
                <w:b w:val="0"/>
                <w:i w:val="0"/>
                <w:sz w:val="19"/>
              </w:rPr>
              <w:t>Prospective A2ALL-2 interviews: 271/297 eligible donors, before and through 24 months after donation. Costs and social recovery reported by participants, not randomized financial support.</w:t>
            </w:r>
          </w:p>
        </w:tc>
        <w:tc>
          <w:tcPr>
            <w:tcW w:type="dxa" w:w="3360"/>
            <w:tcW w:w="4180" w:type="dxa"/>
            <w:shd w:val="clear" w:color="auto" w:fill="F1F5F8"/>
          </w:tcPr>
          <w:p>
            <w:pPr>
              <w:spacing w:after="0"/>
            </w:pPr>
            <w:r>
              <w:rPr>
                <w:b w:val="0"/>
                <w:i w:val="0"/>
                <w:sz w:val="19"/>
              </w:rPr>
              <w:t>Across follow-up, 75% reported nonmedical out-of-pocket expenses and 45% lost wages. Clinical recovery alone therefore misses an important burden of donation.</w:t>
            </w:r>
          </w:p>
          <w:p>
            <w:pPr>
              <w:spacing w:after="0"/>
            </w:pPr>
            <w:r>
              <w:rPr>
                <w:b w:val="0"/>
                <w:i/>
                <w:sz w:val="19"/>
              </w:rPr>
              <w:t>Limits: Response/recall and selected-center limitations. Does not validate a particular five-year schedule or predict an individual donor’s financial outcome.</w:t>
            </w:r>
          </w:p>
          <w:p>
            <w:pPr>
              <w:spacing w:after="0"/>
            </w:pPr>
            <w:r>
              <w:rPr>
                <w:b w:val="0"/>
                <w:i w:val="0"/>
                <w:color w:val="5A6069"/>
                <w:sz w:val="18"/>
              </w:rPr>
              <w:t>Financial Outcomes section and expense tables; Am J Transplant 17:1081–1096.</w:t>
            </w:r>
          </w:p>
        </w:tc>
      </w:tr>
      <w:tr>
        <w:trPr>
          <w:cantSplit/>
        </w:trPr>
        <w:tc>
          <w:tcPr>
            <w:tcW w:type="dxa" w:w="3360"/>
            <w:tcW w:w="2000" w:type="dxa"/>
            <w:shd w:val="clear" w:color="auto" w:fill="FFFFFF"/>
          </w:tcPr>
          <w:p>
            <w:pPr>
              <w:spacing w:after="0"/>
            </w:pPr>
            <w:r>
              <w:rPr>
                <w:b/>
                <w:i w:val="0"/>
                <w:sz w:val="19"/>
              </w:rPr>
              <w:t>Xiao 2024</w:t>
            </w:r>
          </w:p>
        </w:tc>
        <w:tc>
          <w:tcPr>
            <w:tcW w:type="dxa" w:w="3360"/>
            <w:tcW w:w="3900" w:type="dxa"/>
            <w:shd w:val="clear" w:color="auto" w:fill="FFFFFF"/>
          </w:tcPr>
          <w:p>
            <w:pPr>
              <w:spacing w:after="0"/>
            </w:pPr>
            <w:r>
              <w:rPr>
                <w:b w:val="0"/>
                <w:i w:val="0"/>
                <w:sz w:val="19"/>
              </w:rPr>
              <w:t>Published meta-analysis of 60,829 donors; primary abstract reports 87 articles. Heterogeneous centers, eras and complication definitions; full overlap audit pending.</w:t>
            </w:r>
          </w:p>
        </w:tc>
        <w:tc>
          <w:tcPr>
            <w:tcW w:type="dxa" w:w="3360"/>
            <w:tcW w:w="4180" w:type="dxa"/>
            <w:shd w:val="clear" w:color="auto" w:fill="FFFFFF"/>
          </w:tcPr>
          <w:p>
            <w:pPr>
              <w:spacing w:after="0"/>
            </w:pPr>
            <w:r>
              <w:rPr>
                <w:b w:val="0"/>
                <w:i w:val="0"/>
                <w:sz w:val="19"/>
              </w:rPr>
              <w:t>Pooled any complication 24.7% (95% CI 21.6–28.1), major 5.5% (4.5–6.7); mortality 0.06% among 49,027 with mortality data.</w:t>
            </w:r>
          </w:p>
          <w:p>
            <w:pPr>
              <w:spacing w:after="0"/>
            </w:pPr>
            <w:r>
              <w:rPr>
                <w:b w:val="0"/>
                <w:i/>
                <w:sz w:val="19"/>
              </w:rPr>
              <w:t>Limits: Primary-abstract extraction; not an independent extra 60,829 patients beyond registries. Do not combine with Kelly/A2ALL or promise these rates locally.</w:t>
            </w:r>
          </w:p>
          <w:p>
            <w:pPr>
              <w:spacing w:after="0"/>
            </w:pPr>
            <w:r>
              <w:rPr>
                <w:b w:val="0"/>
                <w:i w:val="0"/>
                <w:color w:val="5A6069"/>
                <w:sz w:val="18"/>
              </w:rPr>
              <w:t>Published journal abstract; complete PDF requested.</w:t>
            </w:r>
          </w:p>
        </w:tc>
      </w:tr>
      <w:tr>
        <w:trPr>
          <w:cantSplit/>
        </w:trPr>
        <w:tc>
          <w:tcPr>
            <w:tcW w:type="dxa" w:w="3360"/>
            <w:tcW w:w="2000" w:type="dxa"/>
            <w:shd w:val="clear" w:color="auto" w:fill="F1F5F8"/>
          </w:tcPr>
          <w:p>
            <w:pPr>
              <w:spacing w:after="0"/>
            </w:pPr>
            <w:r>
              <w:rPr>
                <w:b/>
                <w:i w:val="0"/>
                <w:sz w:val="19"/>
              </w:rPr>
              <w:t>OPTN policy</w:t>
            </w:r>
          </w:p>
        </w:tc>
        <w:tc>
          <w:tcPr>
            <w:tcW w:type="dxa" w:w="3360"/>
            <w:tcW w:w="3900" w:type="dxa"/>
            <w:shd w:val="clear" w:color="auto" w:fill="F1F5F8"/>
          </w:tcPr>
          <w:p>
            <w:pPr>
              <w:spacing w:after="0"/>
            </w:pPr>
            <w:r>
              <w:rPr>
                <w:b w:val="0"/>
                <w:i w:val="0"/>
                <w:sz w:val="19"/>
              </w:rPr>
              <w:t>Binding OPTN policy posting effective 1 October 2026, checked 24 October 2026. Clinical candidacy, exception scoring, living-donor protection and reporting have different policy sections.</w:t>
            </w:r>
          </w:p>
        </w:tc>
        <w:tc>
          <w:tcPr>
            <w:tcW w:type="dxa" w:w="3360"/>
            <w:tcW w:w="4180" w:type="dxa"/>
            <w:shd w:val="clear" w:color="auto" w:fill="F1F5F8"/>
          </w:tcPr>
          <w:p>
            <w:pPr>
              <w:spacing w:after="0"/>
            </w:pPr>
            <w:r>
              <w:rPr>
                <w:b w:val="0"/>
                <w:i w:val="0"/>
                <w:sz w:val="19"/>
              </w:rPr>
              <w:t>Policy 9 governs liver allocation; Policy 14 requires independent donor advocacy/consent; Policy 18 specifies reporting. None establishes a universal cancer-benefit cutoff.</w:t>
            </w:r>
          </w:p>
          <w:p>
            <w:pPr>
              <w:spacing w:after="0"/>
            </w:pPr>
            <w:r>
              <w:rPr>
                <w:b w:val="0"/>
                <w:i/>
                <w:sz w:val="19"/>
              </w:rPr>
              <w:t>Limits: A center’s additional safeguards are not national policy. Review the active text and applicability before individual decisions.</w:t>
            </w:r>
          </w:p>
          <w:p>
            <w:pPr>
              <w:spacing w:after="0"/>
            </w:pPr>
            <w:r>
              <w:rPr>
                <w:b w:val="0"/>
                <w:i w:val="0"/>
                <w:color w:val="5A6069"/>
                <w:sz w:val="18"/>
              </w:rPr>
              <w:t>Policies 9, 14.2–14.4 and 18; current official PDF.</w:t>
            </w:r>
          </w:p>
        </w:tc>
      </w:tr>
    </w:tbl>
    <w:p>
      <w:pPr>
        <w:spacing w:after="40"/>
      </w:pPr>
    </w:p>
    <w:p>
      <w:pPr>
        <w:pStyle w:val="Heading3"/>
        <w:keepNext/>
        <w:spacing w:before="120" w:after="80"/>
      </w:pPr>
      <w:r>
        <w:rPr>
          <w:b w:val="0"/>
          <w:i w:val="0"/>
        </w:rPr>
        <w:t>Our proposed selection (OPEN)</w:t>
      </w:r>
    </w:p>
    <w:p>
      <w:pPr>
        <w:spacing w:after="80"/>
      </w:pPr>
      <w:r>
        <w:rPr>
          <w:b w:val="0"/>
          <w:i w:val="0"/>
        </w:rPr>
        <w:t>Do not relax donor criteria; fund independent follow-up and pause after a serious sentinel donor event.</w:t>
      </w:r>
    </w:p>
    <w:p>
      <w:pPr>
        <w:numPr>
          <w:ilvl w:val="0"/>
          <w:numId w:val="5"/>
        </w:numPr>
        <w:spacing w:after="40"/>
      </w:pPr>
      <w:r>
        <w:rPr>
          <w:b w:val="0"/>
          <w:i w:val="0"/>
        </w:rPr>
        <w:t>Proposed readiness requirements: independent donor evaluation/advocacy, documented freedom to withdraw, recipient-benefit uncertainty consent, and funded medical, psychological, recovery and financial follow-up before investigational LDLT.</w:t>
      </w:r>
    </w:p>
    <w:p>
      <w:pPr>
        <w:numPr>
          <w:ilvl w:val="0"/>
          <w:numId w:val="5"/>
        </w:numPr>
        <w:spacing w:after="40"/>
      </w:pPr>
      <w:r>
        <w:rPr>
          <w:b w:val="0"/>
          <w:i w:val="0"/>
        </w:rPr>
        <w:t>Proposed local follow-up: baseline, six weeks, six months, one year, two years, then annually through five years. Meet current OPTN reporting duties separately; this five-year support plan is not claimed to be a national reporting requirement.</w:t>
      </w:r>
    </w:p>
    <w:p>
      <w:pPr>
        <w:numPr>
          <w:ilvl w:val="0"/>
          <w:numId w:val="5"/>
        </w:numPr>
        <w:spacing w:after="40"/>
      </w:pPr>
      <w:r>
        <w:rPr>
          <w:b w:val="0"/>
          <w:i w:val="0"/>
        </w:rPr>
        <w:t>One donor death, life-threatening complication, permanent major disability or liver failure requiring transplantation triggers an immediate pause of the relevant investigational LDLT activity and independent review. Other serious donor harm also warrants review; reopening needs independent authorization.</w:t>
      </w:r>
    </w:p>
    <w:p>
      <w:pPr>
        <w:spacing w:after="80"/>
      </w:pPr>
      <w:r>
        <w:rPr>
          <w:b/>
          <w:i w:val="0"/>
        </w:rPr>
        <w:t xml:space="preserve">Why: </w:t>
      </w:r>
      <w:r>
        <w:rPr>
          <w:b w:val="0"/>
          <w:i w:val="0"/>
        </w:rPr>
        <w:t>Donor mortality is low but not zero; complication, recovery and financial burdens are more frequent. Registry missingness and selected healthy donors limit reassurance. Consent must include uncertain recipient benefit, recurrence and possible early graft loss, without pressure to proceed or relax donor criteria.</w:t>
      </w:r>
    </w:p>
    <w:p>
      <w:pPr>
        <w:spacing w:after="80"/>
      </w:pPr>
      <w:r>
        <w:rPr>
          <w:b/>
          <w:i w:val="0"/>
        </w:rPr>
        <w:t xml:space="preserve">Against, or uncertain: </w:t>
      </w:r>
      <w:r>
        <w:rPr>
          <w:b w:val="0"/>
          <w:i w:val="0"/>
        </w:rPr>
        <w:t>Older A2ALL complication rates and modern SRTR mortality are different outcomes from overlapping eras/cohorts; do not pool them. Five-year support is a reasonable local response to late morbidity, not a proven optimal schedule. Social vulnerability should trigger assistance, not categorical exclusion.</w:t>
      </w:r>
    </w:p>
    <w:p>
      <w:pPr>
        <w:spacing w:after="80"/>
      </w:pPr>
      <w:r>
        <w:rPr>
          <w:b/>
          <w:i w:val="0"/>
        </w:rPr>
        <w:t xml:space="preserve">Certainty: </w:t>
      </w:r>
      <w:r>
        <w:rPr>
          <w:b w:val="0"/>
          <w:i w:val="0"/>
        </w:rPr>
        <w:t>Moderate certainty for the existence of material donor burden; lower certainty for individual risk and long-term recovery because of incomplete follow-up. No oncology-specific randomized donor-safety comparison.</w:t>
      </w:r>
    </w:p>
    <w:p>
      <w:pPr>
        <w:spacing w:after="80"/>
      </w:pPr>
      <w:r>
        <w:rPr>
          <w:b/>
          <w:i w:val="0"/>
        </w:rPr>
        <w:t xml:space="preserve">Tests and records: </w:t>
      </w:r>
      <w:r>
        <w:rPr>
          <w:b w:val="0"/>
          <w:i w:val="0"/>
        </w:rPr>
        <w:t>Graft/resection-specific and center-specific risk; donor recovery/employment baseline; independent consent and advocate records; funded follow-up/support; sentinel-event response owner.</w:t>
      </w:r>
    </w:p>
    <w:p>
      <w:pPr>
        <w:spacing w:after="80"/>
      </w:pPr>
      <w:r>
        <w:rPr>
          <w:b/>
          <w:i w:val="0"/>
        </w:rPr>
        <w:t xml:space="preserve">Allocation: </w:t>
      </w:r>
      <w:r>
        <w:rPr>
          <w:b w:val="0"/>
          <w:i w:val="0"/>
        </w:rPr>
        <w:t>LDLT clearance is separate from recipient selection; the potential need for retransplantation must be included in organ-use discussions.</w:t>
      </w:r>
    </w:p>
    <w:p>
      <w:pPr>
        <w:spacing w:after="40"/>
      </w:pPr>
      <w:r>
        <w:rPr>
          <w:b/>
          <w:i w:val="0"/>
        </w:rPr>
        <w:t xml:space="preserve">Basis for the proposed thresholds: </w:t>
      </w:r>
    </w:p>
    <w:p>
      <w:pPr>
        <w:numPr>
          <w:ilvl w:val="0"/>
          <w:numId w:val="5"/>
        </w:numPr>
        <w:spacing w:after="40"/>
      </w:pPr>
      <w:r>
        <w:rPr>
          <w:b w:val="0"/>
          <w:i w:val="0"/>
        </w:rPr>
        <w:t>Baseline/6 weeks/6 months/1/2 years then annually to five: proposed support schedule; current mandatory reporting remains separately checked.</w:t>
      </w:r>
    </w:p>
    <w:p>
      <w:pPr>
        <w:numPr>
          <w:ilvl w:val="0"/>
          <w:numId w:val="5"/>
        </w:numPr>
        <w:spacing w:after="40"/>
      </w:pPr>
      <w:r>
        <w:rPr>
          <w:b w:val="0"/>
          <w:i w:val="0"/>
        </w:rPr>
        <w:t>One sentinel event: conservative review/pause trigger, not a statistically estimated harm boundary.</w:t>
      </w:r>
    </w:p>
    <w:p>
      <w:pPr>
        <w:numPr>
          <w:ilvl w:val="0"/>
          <w:numId w:val="5"/>
        </w:numPr>
        <w:spacing w:after="40"/>
      </w:pPr>
      <w:r>
        <w:rPr>
          <w:b w:val="0"/>
          <w:i w:val="0"/>
        </w:rPr>
        <w:t>No relaxed donor criteria: protection against shifting uncertain recipient benefit onto a healthy person.</w:t>
      </w:r>
    </w:p>
    <w:p>
      <w:pPr>
        <w:pStyle w:val="Heading3"/>
        <w:keepNext/>
        <w:spacing w:before="120" w:after="80"/>
      </w:pPr>
      <w:r>
        <w:rPr>
          <w:b w:val="0"/>
          <w:i w:val="0"/>
        </w:rPr>
        <w:t>ALLOC-B3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ALLOC-B4 — Monitor all patients considered for the study</w:t>
      </w:r>
    </w:p>
    <w:p>
      <w:pPr>
        <w:spacing w:after="80"/>
      </w:pPr>
      <w:r>
        <w:rPr>
          <w:b w:val="0"/>
          <w:i w:val="0"/>
          <w:color w:val="5A6069"/>
          <w:sz w:val="18"/>
        </w:rPr>
        <w:t>OPEN proposal · not activated · Shared approval requirement</w:t>
      </w:r>
    </w:p>
    <w:p>
      <w:pPr>
        <w:spacing w:after="80"/>
      </w:pPr>
      <w:r>
        <w:rPr>
          <w:b/>
          <w:i w:val="0"/>
        </w:rPr>
        <w:t xml:space="preserve">Question: </w:t>
      </w:r>
      <w:r>
        <w:rPr>
          <w:b w:val="0"/>
          <w:i w:val="0"/>
        </w:rPr>
        <w:t>What data are required before expansion?</w:t>
      </w:r>
    </w:p>
    <w:p>
      <w:pPr>
        <w:spacing w:after="120"/>
      </w:pPr>
      <w:r>
        <w:rPr>
          <w:b/>
          <w:i w:val="0"/>
          <w:sz w:val="18"/>
        </w:rPr>
        <w:t xml:space="preserve">Web page: </w:t>
      </w:r>
      <w:hyperlink r:id="rId2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EASL–AASLD–ILCA 2026</w:t>
            </w:r>
          </w:p>
        </w:tc>
        <w:tc>
          <w:tcPr>
            <w:tcW w:type="dxa" w:w="3360"/>
            <w:tcW w:w="5480" w:type="dxa"/>
            <w:shd w:val="clear" w:color="auto" w:fill="F1F5F8"/>
          </w:tcPr>
          <w:p>
            <w:pPr>
              <w:spacing w:after="0"/>
            </w:pPr>
            <w:r>
              <w:rPr>
                <w:b w:val="0"/>
                <w:i w:val="0"/>
                <w:sz w:val="19"/>
              </w:rPr>
              <w:t>“5-year OS of at least 60%” The HCC trial-design source discusses a ≥60% five-year intention-to-treat benchmark. It is not a validated universal cross-cancer allocation rule and does not establish the proposed 5/10-patient monitoring counts.</w:t>
            </w:r>
          </w:p>
        </w:tc>
        <w:tc>
          <w:tcPr>
            <w:tcW w:type="dxa" w:w="3360"/>
            <w:tcW w:w="2400" w:type="dxa"/>
            <w:shd w:val="clear" w:color="auto" w:fill="F1F5F8"/>
          </w:tcPr>
          <w:p>
            <w:pPr>
              <w:spacing w:after="0"/>
            </w:pPr>
            <w:r>
              <w:rPr>
                <w:b w:val="0"/>
                <w:i w:val="0"/>
                <w:color w:val="5A6069"/>
                <w:sz w:val="18"/>
              </w:rPr>
              <w:t>EASL–AASLD–ILCA 2026 manuscript p20; ITT discussion pp21–22</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EASL–AASLD–ILCA 2026</w:t>
            </w:r>
          </w:p>
        </w:tc>
        <w:tc>
          <w:tcPr>
            <w:tcW w:type="dxa" w:w="3360"/>
            <w:tcW w:w="3900" w:type="dxa"/>
            <w:shd w:val="clear" w:color="auto" w:fill="F1F5F8"/>
          </w:tcPr>
          <w:p>
            <w:pPr>
              <w:spacing w:after="0"/>
            </w:pPr>
            <w:r>
              <w:rPr>
                <w:b w:val="0"/>
                <w:i w:val="0"/>
                <w:sz w:val="19"/>
              </w:rPr>
              <w:t>EASL–AASLD–ILCA 2026 trial-design consensus, LT section. Separates standard/UNOS-DS, expanded intermediate HCC and advanced segmental vascular-invasion research populations.</w:t>
            </w:r>
          </w:p>
        </w:tc>
        <w:tc>
          <w:tcPr>
            <w:tcW w:type="dxa" w:w="3360"/>
            <w:tcW w:w="4180" w:type="dxa"/>
            <w:shd w:val="clear" w:color="auto" w:fill="F1F5F8"/>
          </w:tcPr>
          <w:p>
            <w:pPr>
              <w:spacing w:after="0"/>
            </w:pPr>
            <w:r>
              <w:rPr>
                <w:b w:val="0"/>
                <w:i w:val="0"/>
                <w:sz w:val="19"/>
              </w:rPr>
              <w:t>Calls for entry-level dropout/feasibility, ITT EFS/OS and graft/immune harms; discusses ≥60% five-year ITT OS benchmark in HCC.</w:t>
            </w:r>
          </w:p>
          <w:p>
            <w:pPr>
              <w:spacing w:after="0"/>
            </w:pPr>
            <w:r>
              <w:rPr>
                <w:b w:val="0"/>
                <w:i/>
                <w:sz w:val="19"/>
              </w:rPr>
              <w:t>Limits: Expert benchmark, not a validated cross-tumor allocation cutoff or a ten-patient stopping rule; mature five-year endpoints cannot be established after one year.</w:t>
            </w:r>
          </w:p>
          <w:p>
            <w:pPr>
              <w:spacing w:after="0"/>
            </w:pPr>
            <w:r>
              <w:rPr>
                <w:b w:val="0"/>
                <w:i w:val="0"/>
                <w:color w:val="5A6069"/>
                <w:sz w:val="18"/>
              </w:rPr>
              <w:t>Accepted manuscript pp19–22, LT trial design.</w:t>
            </w:r>
          </w:p>
        </w:tc>
      </w:tr>
      <w:tr>
        <w:trPr>
          <w:cantSplit/>
        </w:trPr>
        <w:tc>
          <w:tcPr>
            <w:tcW w:type="dxa" w:w="3360"/>
            <w:tcW w:w="2000" w:type="dxa"/>
            <w:shd w:val="clear" w:color="auto" w:fill="FFFFFF"/>
          </w:tcPr>
          <w:p>
            <w:pPr>
              <w:spacing w:after="0"/>
            </w:pPr>
            <w:r>
              <w:rPr>
                <w:b/>
                <w:i w:val="0"/>
                <w:sz w:val="19"/>
              </w:rPr>
              <w:t>Eldridge 2016</w:t>
            </w:r>
          </w:p>
        </w:tc>
        <w:tc>
          <w:tcPr>
            <w:tcW w:type="dxa" w:w="3360"/>
            <w:tcW w:w="3900" w:type="dxa"/>
            <w:shd w:val="clear" w:color="auto" w:fill="FFFFFF"/>
          </w:tcPr>
          <w:p>
            <w:pPr>
              <w:spacing w:after="0"/>
            </w:pPr>
            <w:r>
              <w:rPr>
                <w:b w:val="0"/>
                <w:i w:val="0"/>
                <w:sz w:val="19"/>
              </w:rPr>
              <w:t>CONSORT extension for randomized pilot/feasibility studies. Explores whether/how a definitive study can proceed, distinct from proving efficacy.</w:t>
            </w:r>
          </w:p>
        </w:tc>
        <w:tc>
          <w:tcPr>
            <w:tcW w:type="dxa" w:w="3360"/>
            <w:tcW w:w="4180" w:type="dxa"/>
            <w:shd w:val="clear" w:color="auto" w:fill="FFFFFF"/>
          </w:tcPr>
          <w:p>
            <w:pPr>
              <w:spacing w:after="0"/>
            </w:pPr>
            <w:r>
              <w:rPr>
                <w:b w:val="0"/>
                <w:i w:val="0"/>
                <w:sz w:val="19"/>
              </w:rPr>
              <w:t>Predefine feasibility objectives and progression criteria; justify sample size and report harms. These principles inform a staged pilot but do not validate our numbers.</w:t>
            </w:r>
          </w:p>
          <w:p>
            <w:pPr>
              <w:spacing w:after="0"/>
            </w:pPr>
            <w:r>
              <w:rPr>
                <w:b w:val="0"/>
                <w:i/>
                <w:sz w:val="19"/>
              </w:rPr>
              <w:t>Limits: Scope is randomized pilots; applying principles to single-arm transplant feasibility studies is explicitly an extrapolation.</w:t>
            </w:r>
          </w:p>
          <w:p>
            <w:pPr>
              <w:spacing w:after="0"/>
            </w:pPr>
            <w:r>
              <w:rPr>
                <w:b w:val="0"/>
                <w:i w:val="0"/>
                <w:color w:val="5A6069"/>
                <w:sz w:val="18"/>
              </w:rPr>
              <w:t>Scope statement and checklist items on objectives, sample size and progression criteria.</w:t>
            </w:r>
          </w:p>
        </w:tc>
      </w:tr>
      <w:tr>
        <w:trPr>
          <w:cantSplit/>
        </w:trPr>
        <w:tc>
          <w:tcPr>
            <w:tcW w:type="dxa" w:w="3360"/>
            <w:tcW w:w="2000" w:type="dxa"/>
            <w:shd w:val="clear" w:color="auto" w:fill="F1F5F8"/>
          </w:tcPr>
          <w:p>
            <w:pPr>
              <w:spacing w:after="0"/>
            </w:pPr>
            <w:r>
              <w:rPr>
                <w:b/>
                <w:i w:val="0"/>
                <w:sz w:val="19"/>
              </w:rPr>
              <w:t>HHS human-subject protections</w:t>
            </w:r>
          </w:p>
        </w:tc>
        <w:tc>
          <w:tcPr>
            <w:tcW w:type="dxa" w:w="3360"/>
            <w:tcW w:w="3900" w:type="dxa"/>
            <w:shd w:val="clear" w:color="auto" w:fill="F1F5F8"/>
          </w:tcPr>
          <w:p>
            <w:pPr>
              <w:spacing w:after="0"/>
            </w:pPr>
            <w:r>
              <w:rPr>
                <w:b w:val="0"/>
                <w:i w:val="0"/>
                <w:sz w:val="19"/>
              </w:rPr>
              <w:t>Federal human-subject protection regulation. Applicability determined by institutional research/regulatory review.</w:t>
            </w:r>
          </w:p>
        </w:tc>
        <w:tc>
          <w:tcPr>
            <w:tcW w:type="dxa" w:w="3360"/>
            <w:tcW w:w="4180" w:type="dxa"/>
            <w:shd w:val="clear" w:color="auto" w:fill="F1F5F8"/>
          </w:tcPr>
          <w:p>
            <w:pPr>
              <w:spacing w:after="0"/>
            </w:pPr>
            <w:r>
              <w:rPr>
                <w:b w:val="0"/>
                <w:i w:val="0"/>
                <w:sz w:val="19"/>
              </w:rPr>
              <w:t>46.111 requires risk minimization, reasonable risk–benefit, equitable selection, informed consent and appropriate monitoring. IRB approval is separate from OPTN allocation and clinical acceptance.</w:t>
            </w:r>
          </w:p>
          <w:p>
            <w:pPr>
              <w:spacing w:after="0"/>
            </w:pPr>
            <w:r>
              <w:rPr>
                <w:b w:val="0"/>
                <w:i/>
                <w:sz w:val="19"/>
              </w:rPr>
              <w:t>Limits: No prescribed ten-patient cap, five-patient interim or one-event statistical boundary; those require protocol-specific design and independent approval.</w:t>
            </w:r>
          </w:p>
          <w:p>
            <w:pPr>
              <w:spacing w:after="0"/>
            </w:pPr>
            <w:r>
              <w:rPr>
                <w:b w:val="0"/>
                <w:i w:val="0"/>
                <w:color w:val="5A6069"/>
                <w:sz w:val="18"/>
              </w:rPr>
              <w:t>45 CFR 46.111(a)(1–7), current official eCFR text checked 24 October 2026.</w:t>
            </w:r>
          </w:p>
        </w:tc>
      </w:tr>
      <w:tr>
        <w:trPr>
          <w:cantSplit/>
        </w:trPr>
        <w:tc>
          <w:tcPr>
            <w:tcW w:type="dxa" w:w="3360"/>
            <w:tcW w:w="2000" w:type="dxa"/>
            <w:shd w:val="clear" w:color="auto" w:fill="FFFFFF"/>
          </w:tcPr>
          <w:p>
            <w:pPr>
              <w:spacing w:after="0"/>
            </w:pPr>
            <w:r>
              <w:rPr>
                <w:b/>
                <w:i w:val="0"/>
                <w:sz w:val="19"/>
              </w:rPr>
              <w:t>Kelly 2026</w:t>
            </w:r>
          </w:p>
        </w:tc>
        <w:tc>
          <w:tcPr>
            <w:tcW w:type="dxa" w:w="3360"/>
            <w:tcW w:w="3900" w:type="dxa"/>
            <w:shd w:val="clear" w:color="auto" w:fill="FFFFFF"/>
          </w:tcPr>
          <w:p>
            <w:pPr>
              <w:spacing w:after="0"/>
            </w:pPr>
            <w:r>
              <w:rPr>
                <w:b w:val="0"/>
                <w:i w:val="0"/>
                <w:sz w:val="19"/>
              </w:rPr>
              <w:t>National SRTR donor cohort 1989–2023: 8,619 with mortality ascertainment; 8,314 with any recovery record. Adults 18–65; 362 eligible donors excluded for missing mortality status.</w:t>
            </w:r>
          </w:p>
        </w:tc>
        <w:tc>
          <w:tcPr>
            <w:tcW w:type="dxa" w:w="3360"/>
            <w:tcW w:w="4180" w:type="dxa"/>
            <w:shd w:val="clear" w:color="auto" w:fill="FFFFFF"/>
          </w:tcPr>
          <w:p>
            <w:pPr>
              <w:spacing w:after="0"/>
            </w:pPr>
            <w:r>
              <w:rPr>
                <w:b w:val="0"/>
                <w:i w:val="0"/>
                <w:sz w:val="19"/>
              </w:rPr>
              <w:t>Eight deaths by 90 days and 18 by two years; contemporary-era perioperative mortality approximately 0.04%. Only 37–39% had two-year recovery data.</w:t>
            </w:r>
          </w:p>
          <w:p>
            <w:pPr>
              <w:spacing w:after="0"/>
            </w:pPr>
            <w:r>
              <w:rPr>
                <w:b w:val="0"/>
                <w:i/>
                <w:sz w:val="19"/>
              </w:rPr>
              <w:t>Limits: All-cause deaths, mostly unavailable cause; not oncology-specific. Low mortality cannot substitute for complete morbidity, psychological and financial follow-up.</w:t>
            </w:r>
          </w:p>
          <w:p>
            <w:pPr>
              <w:spacing w:after="0"/>
            </w:pPr>
            <w:r>
              <w:rPr>
                <w:b w:val="0"/>
                <w:i w:val="0"/>
                <w:color w:val="5A6069"/>
                <w:sz w:val="18"/>
              </w:rPr>
              <w:t>Methods; Results 3.1–3.4; limitations pp6–7.</w:t>
            </w:r>
          </w:p>
        </w:tc>
      </w:tr>
      <w:tr>
        <w:trPr>
          <w:cantSplit/>
        </w:trPr>
        <w:tc>
          <w:tcPr>
            <w:tcW w:type="dxa" w:w="3360"/>
            <w:tcW w:w="2000" w:type="dxa"/>
            <w:shd w:val="clear" w:color="auto" w:fill="F1F5F8"/>
          </w:tcPr>
          <w:p>
            <w:pPr>
              <w:spacing w:after="0"/>
            </w:pPr>
            <w:r>
              <w:rPr>
                <w:b/>
                <w:i w:val="0"/>
                <w:sz w:val="19"/>
              </w:rPr>
              <w:t>SYS-TARE 2024</w:t>
            </w:r>
          </w:p>
        </w:tc>
        <w:tc>
          <w:tcPr>
            <w:tcW w:type="dxa" w:w="3360"/>
            <w:tcW w:w="3900" w:type="dxa"/>
            <w:shd w:val="clear" w:color="auto" w:fill="F1F5F8"/>
          </w:tcPr>
          <w:p>
            <w:pPr>
              <w:spacing w:after="0"/>
            </w:pPr>
            <w:r>
              <w:rPr>
                <w:b w:val="0"/>
                <w:i w:val="0"/>
                <w:sz w:val="19"/>
              </w:rPr>
              <w:t>Prospective institutional SYS-TARE pathway; 13 entered, 4 LT, 9 dropout. Single bulky measurable iCCA±peritumoral satellites; diffuse/multisegment multifocal disease excluded; intrahepatic vessel encasement permitted without tumor thrombus.</w:t>
            </w:r>
          </w:p>
        </w:tc>
        <w:tc>
          <w:tcPr>
            <w:tcW w:type="dxa" w:w="3360"/>
            <w:tcW w:w="4180" w:type="dxa"/>
            <w:shd w:val="clear" w:color="auto" w:fill="F1F5F8"/>
          </w:tcPr>
          <w:p>
            <w:pPr>
              <w:spacing w:after="0"/>
            </w:pPr>
            <w:r>
              <w:rPr>
                <w:b w:val="0"/>
                <w:i w:val="0"/>
                <w:sz w:val="19"/>
              </w:rPr>
              <w:t>Four recipients alive without recurrence at 73, 40, 12, 8 months; dropouts: three unrecovered intrahepatic progression, four with extrahepatic disease, two occult nodes.</w:t>
            </w:r>
          </w:p>
          <w:p>
            <w:pPr>
              <w:spacing w:after="0"/>
            </w:pPr>
            <w:r>
              <w:rPr>
                <w:b w:val="0"/>
                <w:i/>
                <w:sz w:val="19"/>
              </w:rPr>
              <w:t>Limits: Only 4 recipients; no validated maximum diameter or comparative proof of satellites being equivalent to a solitary tumor.</w:t>
            </w:r>
          </w:p>
          <w:p>
            <w:pPr>
              <w:spacing w:after="0"/>
            </w:pPr>
            <w:r>
              <w:rPr>
                <w:b w:val="0"/>
                <w:i w:val="0"/>
                <w:color w:val="5A6069"/>
                <w:sz w:val="18"/>
              </w:rPr>
              <w:t>Transpl Int 2024; 37: 13641; Eligibility, Figure 1 and Results; full PDF.</w:t>
            </w:r>
          </w:p>
        </w:tc>
      </w:tr>
      <w:tr>
        <w:trPr>
          <w:cantSplit/>
        </w:trPr>
        <w:tc>
          <w:tcPr>
            <w:tcW w:type="dxa" w:w="3360"/>
            <w:tcW w:w="2000" w:type="dxa"/>
            <w:shd w:val="clear" w:color="auto" w:fill="FFFFFF"/>
          </w:tcPr>
          <w:p>
            <w:pPr>
              <w:spacing w:after="0"/>
            </w:pPr>
            <w:r>
              <w:rPr>
                <w:b/>
                <w:i w:val="0"/>
                <w:sz w:val="19"/>
              </w:rPr>
              <w:t>Yaqub 2025</w:t>
            </w:r>
          </w:p>
        </w:tc>
        <w:tc>
          <w:tcPr>
            <w:tcW w:type="dxa" w:w="3360"/>
            <w:tcW w:w="3900" w:type="dxa"/>
            <w:shd w:val="clear" w:color="auto" w:fill="FFFFFF"/>
          </w:tcPr>
          <w:p>
            <w:pPr>
              <w:spacing w:after="0"/>
            </w:pPr>
            <w:r>
              <w:rPr>
                <w:b w:val="0"/>
                <w:i w:val="0"/>
                <w:sz w:val="19"/>
              </w:rPr>
              <w:t>Norwegian prospective early report; 7 referred, 6 enrolled, 5 LT. Response-selected liver-confined iCCA; median imaging lesion count 7, median diameter 11.5 cm; no size/number cap.</w:t>
            </w:r>
          </w:p>
        </w:tc>
        <w:tc>
          <w:tcPr>
            <w:tcW w:type="dxa" w:w="3360"/>
            <w:tcW w:w="4180" w:type="dxa"/>
            <w:shd w:val="clear" w:color="auto" w:fill="FFFFFF"/>
          </w:tcPr>
          <w:p>
            <w:pPr>
              <w:spacing w:after="0"/>
            </w:pPr>
            <w:r>
              <w:rPr>
                <w:b w:val="0"/>
                <w:i w:val="0"/>
                <w:sz w:val="19"/>
              </w:rPr>
              <w:t>All five alive at 10–55 months; 2 recurrences at 12/13 months, both patients with &gt;20 lesions. One HAT required re-LT; one occult 2-mm positive node.</w:t>
            </w:r>
          </w:p>
          <w:p>
            <w:pPr>
              <w:spacing w:after="0"/>
            </w:pPr>
            <w:r>
              <w:rPr>
                <w:b w:val="0"/>
                <w:i/>
                <w:sz w:val="19"/>
              </w:rPr>
              <w:t>Limits: Research letter, very small denominator; recurrence pattern argues caution with diffuse multifocal disease, not a validated lesion-count cutoff.</w:t>
            </w:r>
          </w:p>
          <w:p>
            <w:pPr>
              <w:spacing w:after="0"/>
            </w:pPr>
            <w:r>
              <w:rPr>
                <w:b w:val="0"/>
                <w:i w:val="0"/>
                <w:color w:val="5A6069"/>
                <w:sz w:val="18"/>
              </w:rPr>
              <w:t>BJS 2025; 112: znaf054; main text, Table 1 and Figure 1; complete indexed letter.</w:t>
            </w:r>
          </w:p>
        </w:tc>
      </w:tr>
    </w:tbl>
    <w:p>
      <w:pPr>
        <w:spacing w:after="40"/>
      </w:pPr>
    </w:p>
    <w:p>
      <w:pPr>
        <w:pStyle w:val="Heading3"/>
        <w:keepNext/>
        <w:spacing w:before="120" w:after="80"/>
      </w:pPr>
      <w:r>
        <w:rPr>
          <w:b w:val="0"/>
          <w:i w:val="0"/>
        </w:rPr>
        <w:t>Our proposed selection (OPEN)</w:t>
      </w:r>
    </w:p>
    <w:p>
      <w:pPr>
        <w:spacing w:after="80"/>
      </w:pPr>
      <w:r>
        <w:rPr>
          <w:b w:val="0"/>
          <w:i w:val="0"/>
        </w:rPr>
        <w:t>Use a small staged pilot with all-screened accounting and explicit safety pauses; no automatic expansion on favorable recipient survival.</w:t>
      </w:r>
    </w:p>
    <w:p>
      <w:pPr>
        <w:numPr>
          <w:ilvl w:val="0"/>
          <w:numId w:val="5"/>
        </w:numPr>
        <w:spacing w:after="40"/>
      </w:pPr>
      <w:r>
        <w:rPr>
          <w:b w:val="0"/>
          <w:i w:val="0"/>
        </w:rPr>
        <w:t>Proposed initial cap: ten transplants per separately approved biological stratum. Review after the first five have 90-day follow-up; no expansion decision until all first ten have at least 12-month follow-up. Reconcile vital status, graft events and known serious harms for every participant; require ≥90% completeness for other prespecified key outcomes.</w:t>
      </w:r>
    </w:p>
    <w:p>
      <w:pPr>
        <w:numPr>
          <w:ilvl w:val="0"/>
          <w:numId w:val="5"/>
        </w:numPr>
        <w:spacing w:after="40"/>
      </w:pPr>
      <w:r>
        <w:rPr>
          <w:b w:val="0"/>
          <w:i w:val="0"/>
        </w:rPr>
        <w:t>In an initial experimental cohort, one all-cause recipient death, graft loss or retransplantation within 90 days triggers a pause of further experimental enrollment/transplantation pending independent review. A later possibly treatment-related death/graft loss or a donor sentinel event also triggers review/pause. Rescue care is never withheld; reopening requires independent authorization.</w:t>
      </w:r>
    </w:p>
    <w:p>
      <w:pPr>
        <w:numPr>
          <w:ilvl w:val="0"/>
          <w:numId w:val="5"/>
        </w:numPr>
        <w:spacing w:after="40"/>
      </w:pPr>
      <w:r>
        <w:rPr>
          <w:b w:val="0"/>
          <w:i w:val="0"/>
        </w:rPr>
        <w:t>These are proposed conservative review triggers, not statistically validated efficacy/futility boundaries. Before opening, biostatistics and the independent board must ratify or replace them with indication-specific rules, denominators, pause authority and reopening criteria.</w:t>
      </w:r>
    </w:p>
    <w:p>
      <w:pPr>
        <w:numPr>
          <w:ilvl w:val="0"/>
          <w:numId w:val="5"/>
        </w:numPr>
        <w:spacing w:after="40"/>
      </w:pPr>
      <w:r>
        <w:rPr>
          <w:b w:val="0"/>
          <w:i w:val="0"/>
        </w:rPr>
        <w:t>Capture every screened candidate, including nonrecipients, conversion to resection, dropout, deaths and access barriers; report survival from entry and from LT, recurrence, graft use, donor recovery and quality of life. Ten survivors alone do not establish benefit or authorize expansion.</w:t>
      </w:r>
    </w:p>
    <w:p>
      <w:pPr>
        <w:spacing w:after="80"/>
      </w:pPr>
      <w:r>
        <w:rPr>
          <w:b/>
          <w:i w:val="0"/>
        </w:rPr>
        <w:t xml:space="preserve">Why: </w:t>
      </w:r>
      <w:r>
        <w:rPr>
          <w:b w:val="0"/>
          <w:i w:val="0"/>
        </w:rPr>
        <w:t>A small pilot can test feasibility, staging fidelity, data capture and acute safety, not prove durable survival benefit. Define time zero, all-screened enrollment, waitlist failures, post-LT survival/recurrence, competing death, all grafts, donor harms and patient-reported outcomes before opening. An independent board needs actual pause/reopening authority.</w:t>
      </w:r>
    </w:p>
    <w:p>
      <w:pPr>
        <w:spacing w:after="80"/>
      </w:pPr>
      <w:r>
        <w:rPr>
          <w:b/>
          <w:i w:val="0"/>
        </w:rPr>
        <w:t xml:space="preserve">Against, or uncertain: </w:t>
      </w:r>
      <w:r>
        <w:rPr>
          <w:b w:val="0"/>
          <w:i w:val="0"/>
        </w:rPr>
        <w:t>Zero observed events among ten fully followed independent patients still has a one-sided exact 95% binomial upper bound of 25.9% (1−0.05^(1/10)). Thus ten survivors cannot establish a &lt;5% event risk. Ninety percent data completeness permits one missing patient; safety events and vital status require active ascertainment, not tolerance of unaccounted loss.</w:t>
      </w:r>
    </w:p>
    <w:p>
      <w:pPr>
        <w:spacing w:after="80"/>
      </w:pPr>
      <w:r>
        <w:rPr>
          <w:b/>
          <w:i w:val="0"/>
        </w:rPr>
        <w:t xml:space="preserve">Certainty: </w:t>
      </w:r>
      <w:r>
        <w:rPr>
          <w:b w:val="0"/>
          <w:i w:val="0"/>
        </w:rPr>
        <w:t>Strong methodological rationale for predefinition and ITT accounting; no empirical validation of our exact cap/interim/completeness thresholds. Late recurrence demands multi-year follow-up.</w:t>
      </w:r>
    </w:p>
    <w:p>
      <w:pPr>
        <w:spacing w:after="80"/>
      </w:pPr>
      <w:r>
        <w:rPr>
          <w:b/>
          <w:i w:val="0"/>
        </w:rPr>
        <w:t xml:space="preserve">Tests and records: </w:t>
      </w:r>
      <w:r>
        <w:rPr>
          <w:b w:val="0"/>
          <w:i w:val="0"/>
        </w:rPr>
        <w:t>Locked eligibility strata; prospective entry/time-zero dataset; modern comparator; adverse-event definitions; follow-up-completeness report; independently signed statistical and safety plan.</w:t>
      </w:r>
    </w:p>
    <w:p>
      <w:pPr>
        <w:spacing w:after="80"/>
      </w:pPr>
      <w:r>
        <w:rPr>
          <w:b/>
          <w:i w:val="0"/>
        </w:rPr>
        <w:t xml:space="preserve">Allocation: </w:t>
      </w:r>
      <w:r>
        <w:rPr>
          <w:b w:val="0"/>
          <w:i w:val="0"/>
        </w:rPr>
        <w:t>Study monitoring never changes exception criteria or guarantees future access. Audit access by referral, geography, resources and donor availability without turning protected characteristics into exclusion rules.</w:t>
      </w:r>
    </w:p>
    <w:p>
      <w:pPr>
        <w:spacing w:after="40"/>
      </w:pPr>
      <w:r>
        <w:rPr>
          <w:b/>
          <w:i w:val="0"/>
        </w:rPr>
        <w:t xml:space="preserve">Basis for the proposed thresholds: </w:t>
      </w:r>
    </w:p>
    <w:p>
      <w:pPr>
        <w:numPr>
          <w:ilvl w:val="0"/>
          <w:numId w:val="5"/>
        </w:numPr>
        <w:spacing w:after="40"/>
      </w:pPr>
      <w:r>
        <w:rPr>
          <w:b w:val="0"/>
          <w:i w:val="0"/>
        </w:rPr>
        <w:t>Ten per stratum and interim after five at 90 days: local feasibility cap and safety review cadence.</w:t>
      </w:r>
    </w:p>
    <w:p>
      <w:pPr>
        <w:numPr>
          <w:ilvl w:val="0"/>
          <w:numId w:val="5"/>
        </w:numPr>
        <w:spacing w:after="40"/>
      </w:pPr>
      <w:r>
        <w:rPr>
          <w:b w:val="0"/>
          <w:i w:val="0"/>
        </w:rPr>
        <w:t>Twelve-month minimum: earliest expansion discussion, not proof of long-term cancer benefit.</w:t>
      </w:r>
    </w:p>
    <w:p>
      <w:pPr>
        <w:numPr>
          <w:ilvl w:val="0"/>
          <w:numId w:val="5"/>
        </w:numPr>
        <w:spacing w:after="40"/>
      </w:pPr>
      <w:r>
        <w:rPr>
          <w:b w:val="0"/>
          <w:i w:val="0"/>
        </w:rPr>
        <w:t>≥90%: proposed non-vital key-measure completeness threshold; not permission to ignore deaths/graft events or unknown status.</w:t>
      </w:r>
    </w:p>
    <w:p>
      <w:pPr>
        <w:numPr>
          <w:ilvl w:val="0"/>
          <w:numId w:val="5"/>
        </w:numPr>
        <w:spacing w:after="40"/>
      </w:pPr>
      <w:r>
        <w:rPr>
          <w:b w:val="0"/>
          <w:i w:val="0"/>
        </w:rPr>
        <w:t>One early death/graft loss/re-LT: review/pause trigger, not automatic futility or withholding rescue.</w:t>
      </w:r>
    </w:p>
    <w:p>
      <w:pPr>
        <w:pStyle w:val="Heading3"/>
        <w:keepNext/>
        <w:spacing w:before="120" w:after="80"/>
      </w:pPr>
      <w:r>
        <w:rPr>
          <w:b w:val="0"/>
          <w:i w:val="0"/>
        </w:rPr>
        <w:t>ALLOC-B4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1"/>
        <w:keepNext/>
        <w:spacing w:before="280" w:after="80"/>
      </w:pPr>
      <w:r>
        <w:rPr>
          <w:b w:val="0"/>
          <w:i w:val="0"/>
        </w:rPr>
        <w:t>Sources</w:t>
      </w:r>
    </w:p>
    <w:p>
      <w:pPr>
        <w:spacing w:after="60"/>
      </w:pPr>
      <w:r>
        <w:rPr>
          <w:b/>
          <w:i w:val="0"/>
          <w:sz w:val="19"/>
        </w:rPr>
        <w:t>AASLD/AST candidate evaluation</w:t>
      </w:r>
      <w:r>
        <w:rPr>
          <w:b w:val="0"/>
          <w:i w:val="0"/>
          <w:sz w:val="19"/>
        </w:rPr>
        <w:t xml:space="preserve"> — AASLD AST Practice Guideline on adult liver transplantation: Candidate evaluation</w:t>
      </w:r>
      <w:r>
        <w:rPr>
          <w:b w:val="0"/>
          <w:i w:val="0"/>
          <w:sz w:val="19"/>
        </w:rPr>
        <w:t xml:space="preserve">  </w:t>
      </w:r>
      <w:hyperlink r:id="rId21">
        <w:r>
          <w:rPr>
            <w:color w:val="0563C1"/>
            <w:u w:val="single"/>
            <w:sz w:val="19"/>
          </w:rPr>
          <w:t xml:space="preserve">PubMed</w:t>
        </w:r>
      </w:hyperlink>
      <w:r>
        <w:rPr>
          <w:b w:val="0"/>
          <w:i w:val="0"/>
          <w:sz w:val="19"/>
        </w:rPr>
        <w:t xml:space="preserve"> · </w:t>
      </w:r>
      <w:hyperlink r:id="rId22">
        <w:r>
          <w:rPr>
            <w:color w:val="0563C1"/>
            <w:u w:val="single"/>
            <w:sz w:val="19"/>
          </w:rPr>
          <w:t xml:space="preserve">Journal</w:t>
        </w:r>
      </w:hyperlink>
      <w:r>
        <w:rPr>
          <w:b w:val="0"/>
          <w:i w:val="0"/>
          <w:sz w:val="19"/>
        </w:rPr>
        <w:t xml:space="preserve"> · </w:t>
      </w:r>
      <w:hyperlink r:id="rId23">
        <w:r>
          <w:rPr>
            <w:color w:val="0563C1"/>
            <w:u w:val="single"/>
            <w:sz w:val="19"/>
          </w:rPr>
          <w:t xml:space="preserve">Free full text</w:t>
        </w:r>
      </w:hyperlink>
      <w:r>
        <w:rPr>
          <w:b w:val="0"/>
          <w:i w:val="0"/>
          <w:sz w:val="19"/>
        </w:rPr>
        <w:t xml:space="preserve"> · </w:t>
      </w:r>
      <w:hyperlink r:id="rId24">
        <w:r>
          <w:rPr>
            <w:color w:val="0563C1"/>
            <w:u w:val="single"/>
            <w:sz w:val="19"/>
          </w:rPr>
          <w:t xml:space="preserve">Source</w:t>
        </w:r>
      </w:hyperlink>
      <w:r>
        <w:rPr>
          <w:b w:val="0"/>
          <w:i w:val="0"/>
          <w:sz w:val="19"/>
        </w:rPr>
        <w:t xml:space="preserve"> · </w:t>
      </w:r>
      <w:hyperlink r:id="rId25">
        <w:r>
          <w:rPr>
            <w:color w:val="0563C1"/>
            <w:u w:val="single"/>
            <w:sz w:val="19"/>
          </w:rPr>
          <w:t xml:space="preserve">TMC library</w:t>
        </w:r>
      </w:hyperlink>
    </w:p>
    <w:p>
      <w:pPr>
        <w:spacing w:after="60"/>
      </w:pPr>
      <w:r>
        <w:rPr>
          <w:b/>
          <w:i w:val="0"/>
          <w:sz w:val="19"/>
        </w:rPr>
        <w:t>Abecassis 2012</w:t>
      </w:r>
      <w:r>
        <w:rPr>
          <w:b w:val="0"/>
          <w:i w:val="0"/>
          <w:sz w:val="19"/>
        </w:rPr>
        <w:t xml:space="preserve"> — Complications of Living Donor Hepatic Lobectomy—A Comprehensive Report</w:t>
      </w:r>
      <w:r>
        <w:rPr>
          <w:b w:val="0"/>
          <w:i w:val="0"/>
          <w:sz w:val="19"/>
        </w:rPr>
        <w:t xml:space="preserve">  </w:t>
      </w:r>
      <w:hyperlink r:id="rId26">
        <w:r>
          <w:rPr>
            <w:color w:val="0563C1"/>
            <w:u w:val="single"/>
            <w:sz w:val="19"/>
          </w:rPr>
          <w:t xml:space="preserve">PubMed</w:t>
        </w:r>
      </w:hyperlink>
      <w:r>
        <w:rPr>
          <w:b w:val="0"/>
          <w:i w:val="0"/>
          <w:sz w:val="19"/>
        </w:rPr>
        <w:t xml:space="preserve"> · </w:t>
      </w:r>
      <w:hyperlink r:id="rId27">
        <w:r>
          <w:rPr>
            <w:color w:val="0563C1"/>
            <w:u w:val="single"/>
            <w:sz w:val="19"/>
          </w:rPr>
          <w:t xml:space="preserve">Journal</w:t>
        </w:r>
      </w:hyperlink>
      <w:r>
        <w:rPr>
          <w:b w:val="0"/>
          <w:i w:val="0"/>
          <w:sz w:val="19"/>
        </w:rPr>
        <w:t xml:space="preserve"> · </w:t>
      </w:r>
      <w:hyperlink r:id="rId28">
        <w:r>
          <w:rPr>
            <w:color w:val="0563C1"/>
            <w:u w:val="single"/>
            <w:sz w:val="19"/>
          </w:rPr>
          <w:t xml:space="preserve">Free full text</w:t>
        </w:r>
      </w:hyperlink>
      <w:r>
        <w:rPr>
          <w:b w:val="0"/>
          <w:i w:val="0"/>
          <w:sz w:val="19"/>
        </w:rPr>
        <w:t xml:space="preserve"> · </w:t>
      </w:r>
      <w:hyperlink r:id="rId29">
        <w:r>
          <w:rPr>
            <w:color w:val="0563C1"/>
            <w:u w:val="single"/>
            <w:sz w:val="19"/>
          </w:rPr>
          <w:t xml:space="preserve">Source</w:t>
        </w:r>
      </w:hyperlink>
      <w:r>
        <w:rPr>
          <w:b w:val="0"/>
          <w:i w:val="0"/>
          <w:sz w:val="19"/>
        </w:rPr>
        <w:t xml:space="preserve"> · </w:t>
      </w:r>
      <w:hyperlink r:id="rId30">
        <w:r>
          <w:rPr>
            <w:color w:val="0563C1"/>
            <w:u w:val="single"/>
            <w:sz w:val="19"/>
          </w:rPr>
          <w:t xml:space="preserve">TMC library</w:t>
        </w:r>
      </w:hyperlink>
    </w:p>
    <w:p>
      <w:pPr>
        <w:spacing w:after="60"/>
      </w:pPr>
      <w:r>
        <w:rPr>
          <w:b/>
          <w:i w:val="0"/>
          <w:sz w:val="19"/>
        </w:rPr>
        <w:t>Allen 2024</w:t>
      </w:r>
      <w:r>
        <w:rPr>
          <w:b w:val="0"/>
          <w:i w:val="0"/>
          <w:sz w:val="19"/>
        </w:rPr>
        <w:t xml:space="preserve"> — Transplant benefit-based offering of deceased donor livers in the United Kingdom</w:t>
      </w:r>
      <w:r>
        <w:rPr>
          <w:b w:val="0"/>
          <w:i w:val="0"/>
          <w:sz w:val="19"/>
        </w:rPr>
        <w:t xml:space="preserve">  </w:t>
      </w:r>
      <w:hyperlink r:id="rId31">
        <w:r>
          <w:rPr>
            <w:color w:val="0563C1"/>
            <w:u w:val="single"/>
            <w:sz w:val="19"/>
          </w:rPr>
          <w:t xml:space="preserve">PubMed</w:t>
        </w:r>
      </w:hyperlink>
      <w:r>
        <w:rPr>
          <w:b w:val="0"/>
          <w:i w:val="0"/>
          <w:sz w:val="19"/>
        </w:rPr>
        <w:t xml:space="preserve"> · </w:t>
      </w:r>
      <w:hyperlink r:id="rId32">
        <w:r>
          <w:rPr>
            <w:color w:val="0563C1"/>
            <w:u w:val="single"/>
            <w:sz w:val="19"/>
          </w:rPr>
          <w:t xml:space="preserve">Journal</w:t>
        </w:r>
      </w:hyperlink>
      <w:r>
        <w:rPr>
          <w:b w:val="0"/>
          <w:i w:val="0"/>
          <w:sz w:val="19"/>
        </w:rPr>
        <w:t xml:space="preserve"> · </w:t>
      </w:r>
      <w:hyperlink r:id="rId33">
        <w:r>
          <w:rPr>
            <w:color w:val="0563C1"/>
            <w:u w:val="single"/>
            <w:sz w:val="19"/>
          </w:rPr>
          <w:t xml:space="preserve">TMC library</w:t>
        </w:r>
      </w:hyperlink>
    </w:p>
    <w:p>
      <w:pPr>
        <w:spacing w:after="60"/>
      </w:pPr>
      <w:r>
        <w:rPr>
          <w:b/>
          <w:i w:val="0"/>
          <w:sz w:val="19"/>
        </w:rPr>
        <w:t>Campbell 2026 · biliary cancer LT, single centre</w:t>
      </w:r>
      <w:r>
        <w:rPr>
          <w:b w:val="0"/>
          <w:i w:val="0"/>
          <w:sz w:val="19"/>
        </w:rPr>
        <w:t xml:space="preserve"> — Liver Transplantation for Unresectable Biliary Tract Cancers: Largest Single-Center Analysis of Subtype-Specific Survival and Recurrence (2007-2025)</w:t>
      </w:r>
      <w:r>
        <w:rPr>
          <w:b w:val="0"/>
          <w:i w:val="0"/>
          <w:sz w:val="19"/>
        </w:rPr>
        <w:t xml:space="preserve">  </w:t>
      </w:r>
      <w:hyperlink r:id="rId34">
        <w:r>
          <w:rPr>
            <w:color w:val="0563C1"/>
            <w:u w:val="single"/>
            <w:sz w:val="19"/>
          </w:rPr>
          <w:t xml:space="preserve">PubMed</w:t>
        </w:r>
      </w:hyperlink>
      <w:r>
        <w:rPr>
          <w:b w:val="0"/>
          <w:i w:val="0"/>
          <w:sz w:val="19"/>
        </w:rPr>
        <w:t xml:space="preserve"> · </w:t>
      </w:r>
      <w:hyperlink r:id="rId35">
        <w:r>
          <w:rPr>
            <w:color w:val="0563C1"/>
            <w:u w:val="single"/>
            <w:sz w:val="19"/>
          </w:rPr>
          <w:t xml:space="preserve">Journal</w:t>
        </w:r>
      </w:hyperlink>
      <w:r>
        <w:rPr>
          <w:b w:val="0"/>
          <w:i w:val="0"/>
          <w:sz w:val="19"/>
        </w:rPr>
        <w:t xml:space="preserve"> · </w:t>
      </w:r>
      <w:hyperlink r:id="rId36">
        <w:r>
          <w:rPr>
            <w:color w:val="0563C1"/>
            <w:u w:val="single"/>
            <w:sz w:val="19"/>
          </w:rPr>
          <w:t xml:space="preserve">TMC library</w:t>
        </w:r>
      </w:hyperlink>
    </w:p>
    <w:p>
      <w:pPr>
        <w:spacing w:after="60"/>
      </w:pPr>
      <w:r>
        <w:rPr>
          <w:b/>
          <w:i w:val="0"/>
          <w:sz w:val="19"/>
        </w:rPr>
        <w:t>Dageforde 2021</w:t>
      </w:r>
      <w:r>
        <w:rPr>
          <w:b w:val="0"/>
          <w:i w:val="0"/>
          <w:sz w:val="19"/>
        </w:rPr>
        <w:t xml:space="preserve"> — Multi-Center Analysis of Liver Transplantation for Combined Hepatocellular Carcinoma-Cholangiocarcinoma Liver Tumors</w:t>
      </w:r>
      <w:r>
        <w:rPr>
          <w:b w:val="0"/>
          <w:i w:val="0"/>
          <w:sz w:val="19"/>
        </w:rPr>
        <w:t xml:space="preserve">  </w:t>
      </w:r>
      <w:hyperlink r:id="rId37">
        <w:r>
          <w:rPr>
            <w:color w:val="0563C1"/>
            <w:u w:val="single"/>
            <w:sz w:val="19"/>
          </w:rPr>
          <w:t xml:space="preserve">PubMed</w:t>
        </w:r>
      </w:hyperlink>
      <w:r>
        <w:rPr>
          <w:b w:val="0"/>
          <w:i w:val="0"/>
          <w:sz w:val="19"/>
        </w:rPr>
        <w:t xml:space="preserve"> · </w:t>
      </w:r>
      <w:hyperlink r:id="rId38">
        <w:r>
          <w:rPr>
            <w:color w:val="0563C1"/>
            <w:u w:val="single"/>
            <w:sz w:val="19"/>
          </w:rPr>
          <w:t xml:space="preserve">Journal</w:t>
        </w:r>
      </w:hyperlink>
      <w:r>
        <w:rPr>
          <w:b w:val="0"/>
          <w:i w:val="0"/>
          <w:sz w:val="19"/>
        </w:rPr>
        <w:t xml:space="preserve"> · </w:t>
      </w:r>
      <w:hyperlink r:id="rId39">
        <w:r>
          <w:rPr>
            <w:color w:val="0563C1"/>
            <w:u w:val="single"/>
            <w:sz w:val="19"/>
          </w:rPr>
          <w:t xml:space="preserve">Source</w:t>
        </w:r>
      </w:hyperlink>
      <w:r>
        <w:rPr>
          <w:b w:val="0"/>
          <w:i w:val="0"/>
          <w:sz w:val="19"/>
        </w:rPr>
        <w:t xml:space="preserve"> · </w:t>
      </w:r>
      <w:hyperlink r:id="rId40">
        <w:r>
          <w:rPr>
            <w:color w:val="0563C1"/>
            <w:u w:val="single"/>
            <w:sz w:val="19"/>
          </w:rPr>
          <w:t xml:space="preserve">TMC library</w:t>
        </w:r>
      </w:hyperlink>
    </w:p>
    <w:p>
      <w:pPr>
        <w:spacing w:after="60"/>
      </w:pPr>
      <w:r>
        <w:rPr>
          <w:b/>
          <w:i w:val="0"/>
          <w:sz w:val="19"/>
        </w:rPr>
        <w:t>De Martin 2020</w:t>
      </w:r>
      <w:r>
        <w:rPr>
          <w:b w:val="0"/>
          <w:i w:val="0"/>
          <w:sz w:val="19"/>
        </w:rPr>
        <w:t xml:space="preserve"> — Analysis of Liver Resection Versus Liver Transplantation on Outcome of Small Intrahepatic Cholangiocarcinoma and Combined Hepatocellular-Cholangiocarcinoma in the Setting of Cirrhosis</w:t>
      </w:r>
      <w:r>
        <w:rPr>
          <w:b w:val="0"/>
          <w:i w:val="0"/>
          <w:sz w:val="19"/>
        </w:rPr>
        <w:t xml:space="preserve">  </w:t>
      </w:r>
      <w:hyperlink r:id="rId41">
        <w:r>
          <w:rPr>
            <w:color w:val="0563C1"/>
            <w:u w:val="single"/>
            <w:sz w:val="19"/>
          </w:rPr>
          <w:t xml:space="preserve">PubMed</w:t>
        </w:r>
      </w:hyperlink>
      <w:r>
        <w:rPr>
          <w:b w:val="0"/>
          <w:i w:val="0"/>
          <w:sz w:val="19"/>
        </w:rPr>
        <w:t xml:space="preserve"> · </w:t>
      </w:r>
      <w:hyperlink r:id="rId42">
        <w:r>
          <w:rPr>
            <w:color w:val="0563C1"/>
            <w:u w:val="single"/>
            <w:sz w:val="19"/>
          </w:rPr>
          <w:t xml:space="preserve">Journal</w:t>
        </w:r>
      </w:hyperlink>
      <w:r>
        <w:rPr>
          <w:b w:val="0"/>
          <w:i w:val="0"/>
          <w:sz w:val="19"/>
        </w:rPr>
        <w:t xml:space="preserve"> · </w:t>
      </w:r>
      <w:hyperlink r:id="rId43">
        <w:r>
          <w:rPr>
            <w:color w:val="0563C1"/>
            <w:u w:val="single"/>
            <w:sz w:val="19"/>
          </w:rPr>
          <w:t xml:space="preserve">Source</w:t>
        </w:r>
      </w:hyperlink>
      <w:r>
        <w:rPr>
          <w:b w:val="0"/>
          <w:i w:val="0"/>
          <w:sz w:val="19"/>
        </w:rPr>
        <w:t xml:space="preserve"> · </w:t>
      </w:r>
      <w:hyperlink r:id="rId44">
        <w:r>
          <w:rPr>
            <w:color w:val="0563C1"/>
            <w:u w:val="single"/>
            <w:sz w:val="19"/>
          </w:rPr>
          <w:t xml:space="preserve">TMC library</w:t>
        </w:r>
      </w:hyperlink>
    </w:p>
    <w:p>
      <w:pPr>
        <w:spacing w:after="60"/>
      </w:pPr>
      <w:r>
        <w:rPr>
          <w:b/>
          <w:i w:val="0"/>
          <w:sz w:val="19"/>
        </w:rPr>
        <w:t>DiMartini 2017</w:t>
      </w:r>
      <w:r>
        <w:rPr>
          <w:b w:val="0"/>
          <w:i w:val="0"/>
          <w:sz w:val="19"/>
        </w:rPr>
        <w:t xml:space="preserve"> — Social and Financial Outcomes of Living Liver Donation: A Prospective Investigation Within the Adult-to-Adult Living Donor Liver Transplantation Cohort Study 2 (A2ALL-2)</w:t>
      </w:r>
      <w:r>
        <w:rPr>
          <w:b w:val="0"/>
          <w:i w:val="0"/>
          <w:sz w:val="19"/>
        </w:rPr>
        <w:t xml:space="preserve">  </w:t>
      </w:r>
      <w:hyperlink r:id="rId45">
        <w:r>
          <w:rPr>
            <w:color w:val="0563C1"/>
            <w:u w:val="single"/>
            <w:sz w:val="19"/>
          </w:rPr>
          <w:t xml:space="preserve">PubMed</w:t>
        </w:r>
      </w:hyperlink>
      <w:r>
        <w:rPr>
          <w:b w:val="0"/>
          <w:i w:val="0"/>
          <w:sz w:val="19"/>
        </w:rPr>
        <w:t xml:space="preserve"> · </w:t>
      </w:r>
      <w:hyperlink r:id="rId46">
        <w:r>
          <w:rPr>
            <w:color w:val="0563C1"/>
            <w:u w:val="single"/>
            <w:sz w:val="19"/>
          </w:rPr>
          <w:t xml:space="preserve">Journal</w:t>
        </w:r>
      </w:hyperlink>
      <w:r>
        <w:rPr>
          <w:b w:val="0"/>
          <w:i w:val="0"/>
          <w:sz w:val="19"/>
        </w:rPr>
        <w:t xml:space="preserve"> · </w:t>
      </w:r>
      <w:hyperlink r:id="rId47">
        <w:r>
          <w:rPr>
            <w:color w:val="0563C1"/>
            <w:u w:val="single"/>
            <w:sz w:val="19"/>
          </w:rPr>
          <w:t xml:space="preserve">Free full text</w:t>
        </w:r>
      </w:hyperlink>
      <w:r>
        <w:rPr>
          <w:b w:val="0"/>
          <w:i w:val="0"/>
          <w:sz w:val="19"/>
        </w:rPr>
        <w:t xml:space="preserve"> · </w:t>
      </w:r>
      <w:hyperlink r:id="rId48">
        <w:r>
          <w:rPr>
            <w:color w:val="0563C1"/>
            <w:u w:val="single"/>
            <w:sz w:val="19"/>
          </w:rPr>
          <w:t xml:space="preserve">Source</w:t>
        </w:r>
      </w:hyperlink>
      <w:r>
        <w:rPr>
          <w:b w:val="0"/>
          <w:i w:val="0"/>
          <w:sz w:val="19"/>
        </w:rPr>
        <w:t xml:space="preserve"> · </w:t>
      </w:r>
      <w:hyperlink r:id="rId49">
        <w:r>
          <w:rPr>
            <w:color w:val="0563C1"/>
            <w:u w:val="single"/>
            <w:sz w:val="19"/>
          </w:rPr>
          <w:t xml:space="preserve">TMC library</w:t>
        </w:r>
      </w:hyperlink>
    </w:p>
    <w:p>
      <w:pPr>
        <w:spacing w:after="60"/>
      </w:pPr>
      <w:r>
        <w:rPr>
          <w:b/>
          <w:i w:val="0"/>
          <w:sz w:val="19"/>
        </w:rPr>
        <w:t>EASL–AASLD–ILCA 2026</w:t>
      </w:r>
      <w:r>
        <w:rPr>
          <w:b w:val="0"/>
          <w:i w:val="0"/>
          <w:sz w:val="19"/>
        </w:rPr>
        <w:t xml:space="preserve"> — Trial design and end points in hepatocellular carcinoma: an EASL-AASLD-ILCA consensus statement</w:t>
      </w:r>
      <w:r>
        <w:rPr>
          <w:b w:val="0"/>
          <w:i w:val="0"/>
          <w:sz w:val="19"/>
        </w:rPr>
        <w:t xml:space="preserve">  </w:t>
      </w:r>
      <w:hyperlink r:id="rId50">
        <w:r>
          <w:rPr>
            <w:color w:val="0563C1"/>
            <w:u w:val="single"/>
            <w:sz w:val="19"/>
          </w:rPr>
          <w:t xml:space="preserve">PubMed</w:t>
        </w:r>
      </w:hyperlink>
      <w:r>
        <w:rPr>
          <w:b w:val="0"/>
          <w:i w:val="0"/>
          <w:sz w:val="19"/>
        </w:rPr>
        <w:t xml:space="preserve"> · </w:t>
      </w:r>
      <w:hyperlink r:id="rId51">
        <w:r>
          <w:rPr>
            <w:color w:val="0563C1"/>
            <w:u w:val="single"/>
            <w:sz w:val="19"/>
          </w:rPr>
          <w:t xml:space="preserve">Journal</w:t>
        </w:r>
      </w:hyperlink>
      <w:r>
        <w:rPr>
          <w:b w:val="0"/>
          <w:i w:val="0"/>
          <w:sz w:val="19"/>
        </w:rPr>
        <w:t xml:space="preserve"> · </w:t>
      </w:r>
      <w:hyperlink r:id="rId52">
        <w:r>
          <w:rPr>
            <w:color w:val="0563C1"/>
            <w:u w:val="single"/>
            <w:sz w:val="19"/>
          </w:rPr>
          <w:t xml:space="preserve">Free full text</w:t>
        </w:r>
      </w:hyperlink>
      <w:r>
        <w:rPr>
          <w:b w:val="0"/>
          <w:i w:val="0"/>
          <w:sz w:val="19"/>
        </w:rPr>
        <w:t xml:space="preserve"> · </w:t>
      </w:r>
      <w:hyperlink r:id="rId53">
        <w:r>
          <w:rPr>
            <w:color w:val="0563C1"/>
            <w:u w:val="single"/>
            <w:sz w:val="19"/>
          </w:rPr>
          <w:t xml:space="preserve">Source</w:t>
        </w:r>
      </w:hyperlink>
      <w:r>
        <w:rPr>
          <w:b w:val="0"/>
          <w:i w:val="0"/>
          <w:sz w:val="19"/>
        </w:rPr>
        <w:t xml:space="preserve"> · </w:t>
      </w:r>
      <w:hyperlink r:id="rId54">
        <w:r>
          <w:rPr>
            <w:color w:val="0563C1"/>
            <w:u w:val="single"/>
            <w:sz w:val="19"/>
          </w:rPr>
          <w:t xml:space="preserve">TMC library</w:t>
        </w:r>
      </w:hyperlink>
    </w:p>
    <w:p>
      <w:pPr>
        <w:spacing w:after="60"/>
      </w:pPr>
      <w:r>
        <w:rPr>
          <w:b/>
          <w:i w:val="0"/>
          <w:sz w:val="19"/>
        </w:rPr>
        <w:t>Eldridge 2016</w:t>
      </w:r>
      <w:r>
        <w:rPr>
          <w:b w:val="0"/>
          <w:i w:val="0"/>
          <w:sz w:val="19"/>
        </w:rPr>
        <w:t xml:space="preserve"> — CONSORT 2010 statement: extension to randomised pilot and feasibility trials</w:t>
      </w:r>
      <w:r>
        <w:rPr>
          <w:b w:val="0"/>
          <w:i w:val="0"/>
          <w:sz w:val="19"/>
        </w:rPr>
        <w:t xml:space="preserve">  </w:t>
      </w:r>
      <w:hyperlink r:id="rId55">
        <w:r>
          <w:rPr>
            <w:color w:val="0563C1"/>
            <w:u w:val="single"/>
            <w:sz w:val="19"/>
          </w:rPr>
          <w:t xml:space="preserve">PubMed</w:t>
        </w:r>
      </w:hyperlink>
      <w:r>
        <w:rPr>
          <w:b w:val="0"/>
          <w:i w:val="0"/>
          <w:sz w:val="19"/>
        </w:rPr>
        <w:t xml:space="preserve"> · </w:t>
      </w:r>
      <w:hyperlink r:id="rId56">
        <w:r>
          <w:rPr>
            <w:color w:val="0563C1"/>
            <w:u w:val="single"/>
            <w:sz w:val="19"/>
          </w:rPr>
          <w:t xml:space="preserve">Journal</w:t>
        </w:r>
      </w:hyperlink>
      <w:r>
        <w:rPr>
          <w:b w:val="0"/>
          <w:i w:val="0"/>
          <w:sz w:val="19"/>
        </w:rPr>
        <w:t xml:space="preserve"> · </w:t>
      </w:r>
      <w:hyperlink r:id="rId57">
        <w:r>
          <w:rPr>
            <w:color w:val="0563C1"/>
            <w:u w:val="single"/>
            <w:sz w:val="19"/>
          </w:rPr>
          <w:t xml:space="preserve">Source</w:t>
        </w:r>
      </w:hyperlink>
      <w:r>
        <w:rPr>
          <w:b w:val="0"/>
          <w:i w:val="0"/>
          <w:sz w:val="19"/>
        </w:rPr>
        <w:t xml:space="preserve"> · </w:t>
      </w:r>
      <w:hyperlink r:id="rId58">
        <w:r>
          <w:rPr>
            <w:color w:val="0563C1"/>
            <w:u w:val="single"/>
            <w:sz w:val="19"/>
          </w:rPr>
          <w:t xml:space="preserve">TMC library</w:t>
        </w:r>
      </w:hyperlink>
    </w:p>
    <w:p>
      <w:pPr>
        <w:spacing w:after="60"/>
      </w:pPr>
      <w:r>
        <w:rPr>
          <w:b/>
          <w:i w:val="0"/>
          <w:sz w:val="19"/>
        </w:rPr>
        <w:t>Giguet 2026</w:t>
      </w:r>
      <w:r>
        <w:rPr>
          <w:b w:val="0"/>
          <w:i w:val="0"/>
          <w:sz w:val="19"/>
        </w:rPr>
        <w:t xml:space="preserve"> — Liver transplantation in unresectable intrahepatic cholangiocarcinoma following neoadjuvant chemotherapy and SIRT</w:t>
      </w:r>
      <w:r>
        <w:rPr>
          <w:b w:val="0"/>
          <w:i w:val="0"/>
          <w:sz w:val="19"/>
        </w:rPr>
        <w:t xml:space="preserve">  </w:t>
      </w:r>
      <w:hyperlink r:id="rId59">
        <w:r>
          <w:rPr>
            <w:color w:val="0563C1"/>
            <w:u w:val="single"/>
            <w:sz w:val="19"/>
          </w:rPr>
          <w:t xml:space="preserve">PubMed</w:t>
        </w:r>
      </w:hyperlink>
      <w:r>
        <w:rPr>
          <w:b w:val="0"/>
          <w:i w:val="0"/>
          <w:sz w:val="19"/>
        </w:rPr>
        <w:t xml:space="preserve"> · </w:t>
      </w:r>
      <w:hyperlink r:id="rId60">
        <w:r>
          <w:rPr>
            <w:color w:val="0563C1"/>
            <w:u w:val="single"/>
            <w:sz w:val="19"/>
          </w:rPr>
          <w:t xml:space="preserve">Journal</w:t>
        </w:r>
      </w:hyperlink>
      <w:r>
        <w:rPr>
          <w:b w:val="0"/>
          <w:i w:val="0"/>
          <w:sz w:val="19"/>
        </w:rPr>
        <w:t xml:space="preserve"> · </w:t>
      </w:r>
      <w:hyperlink r:id="rId61">
        <w:r>
          <w:rPr>
            <w:color w:val="0563C1"/>
            <w:u w:val="single"/>
            <w:sz w:val="19"/>
          </w:rPr>
          <w:t xml:space="preserve">Source</w:t>
        </w:r>
      </w:hyperlink>
      <w:r>
        <w:rPr>
          <w:b w:val="0"/>
          <w:i w:val="0"/>
          <w:sz w:val="19"/>
        </w:rPr>
        <w:t xml:space="preserve"> · </w:t>
      </w:r>
      <w:hyperlink r:id="rId62">
        <w:r>
          <w:rPr>
            <w:color w:val="0563C1"/>
            <w:u w:val="single"/>
            <w:sz w:val="19"/>
          </w:rPr>
          <w:t xml:space="preserve">TMC library</w:t>
        </w:r>
      </w:hyperlink>
    </w:p>
    <w:p>
      <w:pPr>
        <w:spacing w:after="60"/>
      </w:pPr>
      <w:r>
        <w:rPr>
          <w:b/>
          <w:i w:val="0"/>
          <w:sz w:val="19"/>
        </w:rPr>
        <w:t>HHS human-subject protections</w:t>
      </w:r>
      <w:r>
        <w:rPr>
          <w:b w:val="0"/>
          <w:i w:val="0"/>
          <w:sz w:val="19"/>
        </w:rPr>
        <w:t xml:space="preserve"> — 45 CFR 46.111: Criteria for IRB approval of research</w:t>
      </w:r>
      <w:r>
        <w:rPr>
          <w:b w:val="0"/>
          <w:i w:val="0"/>
          <w:sz w:val="19"/>
        </w:rPr>
        <w:t xml:space="preserve">  </w:t>
      </w:r>
      <w:hyperlink r:id="rId63">
        <w:r>
          <w:rPr>
            <w:color w:val="0563C1"/>
            <w:u w:val="single"/>
            <w:sz w:val="19"/>
          </w:rPr>
          <w:t xml:space="preserve">Source</w:t>
        </w:r>
      </w:hyperlink>
    </w:p>
    <w:p>
      <w:pPr>
        <w:spacing w:after="60"/>
      </w:pPr>
      <w:r>
        <w:rPr>
          <w:b/>
          <w:i w:val="0"/>
          <w:sz w:val="19"/>
        </w:rPr>
        <w:t>ILTS–ILCA consensus</w:t>
      </w:r>
      <w:r>
        <w:rPr>
          <w:b w:val="0"/>
          <w:i w:val="0"/>
          <w:sz w:val="19"/>
        </w:rPr>
        <w:t xml:space="preserve"> — The 2024 ILTS-ILCA consensus recommendations for liver transplantation for HCC and intrahepatic cholangiocarcinoma</w:t>
      </w:r>
      <w:r>
        <w:rPr>
          <w:b w:val="0"/>
          <w:i w:val="0"/>
          <w:sz w:val="19"/>
        </w:rPr>
        <w:t xml:space="preserve">  </w:t>
      </w:r>
      <w:hyperlink r:id="rId64">
        <w:r>
          <w:rPr>
            <w:color w:val="0563C1"/>
            <w:u w:val="single"/>
            <w:sz w:val="19"/>
          </w:rPr>
          <w:t xml:space="preserve">PubMed</w:t>
        </w:r>
      </w:hyperlink>
      <w:r>
        <w:rPr>
          <w:b w:val="0"/>
          <w:i w:val="0"/>
          <w:sz w:val="19"/>
        </w:rPr>
        <w:t xml:space="preserve"> · </w:t>
      </w:r>
      <w:hyperlink r:id="rId65">
        <w:r>
          <w:rPr>
            <w:color w:val="0563C1"/>
            <w:u w:val="single"/>
            <w:sz w:val="19"/>
          </w:rPr>
          <w:t xml:space="preserve">Journal</w:t>
        </w:r>
      </w:hyperlink>
      <w:r>
        <w:rPr>
          <w:b w:val="0"/>
          <w:i w:val="0"/>
          <w:sz w:val="19"/>
        </w:rPr>
        <w:t xml:space="preserve"> · </w:t>
      </w:r>
      <w:hyperlink r:id="rId66">
        <w:r>
          <w:rPr>
            <w:color w:val="0563C1"/>
            <w:u w:val="single"/>
            <w:sz w:val="19"/>
          </w:rPr>
          <w:t xml:space="preserve">TMC library</w:t>
        </w:r>
      </w:hyperlink>
    </w:p>
    <w:p>
      <w:pPr>
        <w:spacing w:after="60"/>
      </w:pPr>
      <w:r>
        <w:rPr>
          <w:b/>
          <w:i w:val="0"/>
          <w:sz w:val="19"/>
        </w:rPr>
        <w:t>Kelly 2026</w:t>
      </w:r>
      <w:r>
        <w:rPr>
          <w:b w:val="0"/>
          <w:i w:val="0"/>
          <w:sz w:val="19"/>
        </w:rPr>
        <w:t xml:space="preserve"> — Three Decades of Living Liver Donor Outcomes: A National Cohort Analysis of Patterns in Mortality and Recovery</w:t>
      </w:r>
      <w:r>
        <w:rPr>
          <w:b w:val="0"/>
          <w:i w:val="0"/>
          <w:sz w:val="19"/>
        </w:rPr>
        <w:t xml:space="preserve">  </w:t>
      </w:r>
      <w:hyperlink r:id="rId67">
        <w:r>
          <w:rPr>
            <w:color w:val="0563C1"/>
            <w:u w:val="single"/>
            <w:sz w:val="19"/>
          </w:rPr>
          <w:t xml:space="preserve">PubMed</w:t>
        </w:r>
      </w:hyperlink>
      <w:r>
        <w:rPr>
          <w:b w:val="0"/>
          <w:i w:val="0"/>
          <w:sz w:val="19"/>
        </w:rPr>
        <w:t xml:space="preserve"> · </w:t>
      </w:r>
      <w:hyperlink r:id="rId68">
        <w:r>
          <w:rPr>
            <w:color w:val="0563C1"/>
            <w:u w:val="single"/>
            <w:sz w:val="19"/>
          </w:rPr>
          <w:t xml:space="preserve">Journal</w:t>
        </w:r>
      </w:hyperlink>
      <w:r>
        <w:rPr>
          <w:b w:val="0"/>
          <w:i w:val="0"/>
          <w:sz w:val="19"/>
        </w:rPr>
        <w:t xml:space="preserve"> · </w:t>
      </w:r>
      <w:hyperlink r:id="rId69">
        <w:r>
          <w:rPr>
            <w:color w:val="0563C1"/>
            <w:u w:val="single"/>
            <w:sz w:val="19"/>
          </w:rPr>
          <w:t xml:space="preserve">TMC library</w:t>
        </w:r>
      </w:hyperlink>
    </w:p>
    <w:p>
      <w:pPr>
        <w:spacing w:after="60"/>
      </w:pPr>
      <w:r>
        <w:rPr>
          <w:b/>
          <w:i w:val="0"/>
          <w:sz w:val="19"/>
        </w:rPr>
        <w:t>Lunsford 2018 · Houston</w:t>
      </w:r>
      <w:r>
        <w:rPr>
          <w:b w:val="0"/>
          <w:i w:val="0"/>
          <w:sz w:val="19"/>
        </w:rPr>
        <w:t xml:space="preserve"> — Liver transplantation for locally advanced intrahepatic cholangiocarcinoma treated with neoadjuvant therapy: a prospective case-series</w:t>
      </w:r>
      <w:r>
        <w:rPr>
          <w:b w:val="0"/>
          <w:i w:val="0"/>
          <w:sz w:val="19"/>
        </w:rPr>
        <w:t xml:space="preserve">  </w:t>
      </w:r>
      <w:hyperlink r:id="rId70">
        <w:r>
          <w:rPr>
            <w:color w:val="0563C1"/>
            <w:u w:val="single"/>
            <w:sz w:val="19"/>
          </w:rPr>
          <w:t xml:space="preserve">PubMed</w:t>
        </w:r>
      </w:hyperlink>
      <w:r>
        <w:rPr>
          <w:b w:val="0"/>
          <w:i w:val="0"/>
          <w:sz w:val="19"/>
        </w:rPr>
        <w:t xml:space="preserve"> · </w:t>
      </w:r>
      <w:hyperlink r:id="rId71">
        <w:r>
          <w:rPr>
            <w:color w:val="0563C1"/>
            <w:u w:val="single"/>
            <w:sz w:val="19"/>
          </w:rPr>
          <w:t xml:space="preserve">Journal</w:t>
        </w:r>
      </w:hyperlink>
      <w:r>
        <w:rPr>
          <w:b w:val="0"/>
          <w:i w:val="0"/>
          <w:sz w:val="19"/>
        </w:rPr>
        <w:t xml:space="preserve"> · </w:t>
      </w:r>
      <w:hyperlink r:id="rId72">
        <w:r>
          <w:rPr>
            <w:color w:val="0563C1"/>
            <w:u w:val="single"/>
            <w:sz w:val="19"/>
          </w:rPr>
          <w:t xml:space="preserve">TMC library</w:t>
        </w:r>
      </w:hyperlink>
    </w:p>
    <w:p>
      <w:pPr>
        <w:spacing w:after="60"/>
      </w:pPr>
      <w:r>
        <w:rPr>
          <w:b/>
          <w:i w:val="0"/>
          <w:sz w:val="19"/>
        </w:rPr>
        <w:t>Malikowski 2020 · EUS nodal staging</w:t>
      </w:r>
      <w:r>
        <w:rPr>
          <w:b w:val="0"/>
          <w:i w:val="0"/>
          <w:sz w:val="19"/>
        </w:rPr>
        <w:t xml:space="preserve"> — Endoscopic ultrasound/fine needle aspiration is effective for lymph node staging in patients with cholangiocarcinoma</w:t>
      </w:r>
      <w:r>
        <w:rPr>
          <w:b w:val="0"/>
          <w:i w:val="0"/>
          <w:sz w:val="19"/>
        </w:rPr>
        <w:t xml:space="preserve">  </w:t>
      </w:r>
      <w:hyperlink r:id="rId73">
        <w:r>
          <w:rPr>
            <w:color w:val="0563C1"/>
            <w:u w:val="single"/>
            <w:sz w:val="19"/>
          </w:rPr>
          <w:t xml:space="preserve">PubMed</w:t>
        </w:r>
      </w:hyperlink>
      <w:r>
        <w:rPr>
          <w:b w:val="0"/>
          <w:i w:val="0"/>
          <w:sz w:val="19"/>
        </w:rPr>
        <w:t xml:space="preserve"> · </w:t>
      </w:r>
      <w:hyperlink r:id="rId74">
        <w:r>
          <w:rPr>
            <w:color w:val="0563C1"/>
            <w:u w:val="single"/>
            <w:sz w:val="19"/>
          </w:rPr>
          <w:t xml:space="preserve">Journal</w:t>
        </w:r>
      </w:hyperlink>
      <w:r>
        <w:rPr>
          <w:b w:val="0"/>
          <w:i w:val="0"/>
          <w:sz w:val="19"/>
        </w:rPr>
        <w:t xml:space="preserve"> · </w:t>
      </w:r>
      <w:hyperlink r:id="rId75">
        <w:r>
          <w:rPr>
            <w:color w:val="0563C1"/>
            <w:u w:val="single"/>
            <w:sz w:val="19"/>
          </w:rPr>
          <w:t xml:space="preserve">TMC library</w:t>
        </w:r>
      </w:hyperlink>
    </w:p>
    <w:p>
      <w:pPr>
        <w:spacing w:after="60"/>
      </w:pPr>
      <w:r>
        <w:rPr>
          <w:b/>
          <w:i w:val="0"/>
          <w:sz w:val="19"/>
        </w:rPr>
        <w:t>Maspero 2024 · Milan SYS-TARE</w:t>
      </w:r>
      <w:r>
        <w:rPr>
          <w:b w:val="0"/>
          <w:i w:val="0"/>
          <w:sz w:val="19"/>
        </w:rPr>
        <w:t xml:space="preserve"> — Liver transplantation for intrahepatic cholangiocarcinoma after chemotherapy and radioembolization: an intention-to-treat study</w:t>
      </w:r>
      <w:r>
        <w:rPr>
          <w:b w:val="0"/>
          <w:i w:val="0"/>
          <w:sz w:val="19"/>
        </w:rPr>
        <w:t xml:space="preserve">  </w:t>
      </w:r>
      <w:hyperlink r:id="rId76">
        <w:r>
          <w:rPr>
            <w:color w:val="0563C1"/>
            <w:u w:val="single"/>
            <w:sz w:val="19"/>
          </w:rPr>
          <w:t xml:space="preserve">PubMed</w:t>
        </w:r>
      </w:hyperlink>
      <w:r>
        <w:rPr>
          <w:b w:val="0"/>
          <w:i w:val="0"/>
          <w:sz w:val="19"/>
        </w:rPr>
        <w:t xml:space="preserve"> · </w:t>
      </w:r>
      <w:hyperlink r:id="rId77">
        <w:r>
          <w:rPr>
            <w:color w:val="0563C1"/>
            <w:u w:val="single"/>
            <w:sz w:val="19"/>
          </w:rPr>
          <w:t xml:space="preserve">Journal</w:t>
        </w:r>
      </w:hyperlink>
      <w:r>
        <w:rPr>
          <w:b w:val="0"/>
          <w:i w:val="0"/>
          <w:sz w:val="19"/>
        </w:rPr>
        <w:t xml:space="preserve"> · </w:t>
      </w:r>
      <w:hyperlink r:id="rId78">
        <w:r>
          <w:rPr>
            <w:color w:val="0563C1"/>
            <w:u w:val="single"/>
            <w:sz w:val="19"/>
          </w:rPr>
          <w:t xml:space="preserve">Source</w:t>
        </w:r>
      </w:hyperlink>
      <w:r>
        <w:rPr>
          <w:b w:val="0"/>
          <w:i w:val="0"/>
          <w:sz w:val="19"/>
        </w:rPr>
        <w:t xml:space="preserve"> · </w:t>
      </w:r>
      <w:hyperlink r:id="rId79">
        <w:r>
          <w:rPr>
            <w:color w:val="0563C1"/>
            <w:u w:val="single"/>
            <w:sz w:val="19"/>
          </w:rPr>
          <w:t xml:space="preserve">TMC library</w:t>
        </w:r>
      </w:hyperlink>
    </w:p>
    <w:p>
      <w:pPr>
        <w:spacing w:after="60"/>
      </w:pPr>
      <w:r>
        <w:rPr>
          <w:b/>
          <w:i w:val="0"/>
          <w:sz w:val="19"/>
        </w:rPr>
        <w:t>McMillan 2022 · Houston update</w:t>
      </w:r>
      <w:r>
        <w:rPr>
          <w:b w:val="0"/>
          <w:i w:val="0"/>
          <w:sz w:val="19"/>
        </w:rPr>
        <w:t xml:space="preserve"> — Survival following liver transplantation for locally advanced, unresectable intrahepatic cholangiocarcinoma</w:t>
      </w:r>
      <w:r>
        <w:rPr>
          <w:b w:val="0"/>
          <w:i w:val="0"/>
          <w:sz w:val="19"/>
        </w:rPr>
        <w:t xml:space="preserve">  </w:t>
      </w:r>
      <w:hyperlink r:id="rId80">
        <w:r>
          <w:rPr>
            <w:color w:val="0563C1"/>
            <w:u w:val="single"/>
            <w:sz w:val="19"/>
          </w:rPr>
          <w:t xml:space="preserve">PubMed</w:t>
        </w:r>
      </w:hyperlink>
      <w:r>
        <w:rPr>
          <w:b w:val="0"/>
          <w:i w:val="0"/>
          <w:sz w:val="19"/>
        </w:rPr>
        <w:t xml:space="preserve"> · </w:t>
      </w:r>
      <w:hyperlink r:id="rId81">
        <w:r>
          <w:rPr>
            <w:color w:val="0563C1"/>
            <w:u w:val="single"/>
            <w:sz w:val="19"/>
          </w:rPr>
          <w:t xml:space="preserve">Journal</w:t>
        </w:r>
      </w:hyperlink>
      <w:r>
        <w:rPr>
          <w:b w:val="0"/>
          <w:i w:val="0"/>
          <w:sz w:val="19"/>
        </w:rPr>
        <w:t xml:space="preserve"> · </w:t>
      </w:r>
      <w:hyperlink r:id="rId82">
        <w:r>
          <w:rPr>
            <w:color w:val="0563C1"/>
            <w:u w:val="single"/>
            <w:sz w:val="19"/>
          </w:rPr>
          <w:t xml:space="preserve">TMC library</w:t>
        </w:r>
      </w:hyperlink>
    </w:p>
    <w:p>
      <w:pPr>
        <w:spacing w:after="60"/>
      </w:pPr>
      <w:r>
        <w:rPr>
          <w:b/>
          <w:i w:val="0"/>
          <w:sz w:val="19"/>
        </w:rPr>
        <w:t>NLRB oncology guidance</w:t>
      </w:r>
      <w:r>
        <w:rPr>
          <w:b w:val="0"/>
          <w:i w:val="0"/>
          <w:sz w:val="19"/>
        </w:rPr>
        <w:t xml:space="preserve"> — Adult MELD Exceptions for Transplant Oncology</w:t>
      </w:r>
      <w:r>
        <w:rPr>
          <w:b w:val="0"/>
          <w:i w:val="0"/>
          <w:sz w:val="19"/>
        </w:rPr>
        <w:t xml:space="preserve">  </w:t>
      </w:r>
      <w:hyperlink r:id="rId83">
        <w:r>
          <w:rPr>
            <w:color w:val="0563C1"/>
            <w:u w:val="single"/>
            <w:sz w:val="19"/>
          </w:rPr>
          <w:t xml:space="preserve">Source</w:t>
        </w:r>
      </w:hyperlink>
    </w:p>
    <w:p>
      <w:pPr>
        <w:spacing w:after="60"/>
      </w:pPr>
      <w:r>
        <w:rPr>
          <w:b/>
          <w:i w:val="0"/>
          <w:sz w:val="19"/>
        </w:rPr>
        <w:t>Oh 2025</w:t>
      </w:r>
      <w:r>
        <w:rPr>
          <w:b w:val="0"/>
          <w:i w:val="0"/>
          <w:sz w:val="19"/>
        </w:rPr>
        <w:t xml:space="preserve"> — Durvalumab plus chemotherapy in advanced biliary tract cancer: 3-year overall survival update from the phase III TOPAZ-1 study</w:t>
      </w:r>
      <w:r>
        <w:rPr>
          <w:b w:val="0"/>
          <w:i w:val="0"/>
          <w:sz w:val="19"/>
        </w:rPr>
        <w:t xml:space="preserve">  </w:t>
      </w:r>
      <w:hyperlink r:id="rId84">
        <w:r>
          <w:rPr>
            <w:color w:val="0563C1"/>
            <w:u w:val="single"/>
            <w:sz w:val="19"/>
          </w:rPr>
          <w:t xml:space="preserve">PubMed</w:t>
        </w:r>
      </w:hyperlink>
      <w:r>
        <w:rPr>
          <w:b w:val="0"/>
          <w:i w:val="0"/>
          <w:sz w:val="19"/>
        </w:rPr>
        <w:t xml:space="preserve"> · </w:t>
      </w:r>
      <w:hyperlink r:id="rId85">
        <w:r>
          <w:rPr>
            <w:color w:val="0563C1"/>
            <w:u w:val="single"/>
            <w:sz w:val="19"/>
          </w:rPr>
          <w:t xml:space="preserve">Journal</w:t>
        </w:r>
      </w:hyperlink>
      <w:r>
        <w:rPr>
          <w:b w:val="0"/>
          <w:i w:val="0"/>
          <w:sz w:val="19"/>
        </w:rPr>
        <w:t xml:space="preserve"> · </w:t>
      </w:r>
      <w:hyperlink r:id="rId86">
        <w:r>
          <w:rPr>
            <w:color w:val="0563C1"/>
            <w:u w:val="single"/>
            <w:sz w:val="19"/>
          </w:rPr>
          <w:t xml:space="preserve">Source</w:t>
        </w:r>
      </w:hyperlink>
      <w:r>
        <w:rPr>
          <w:b w:val="0"/>
          <w:i w:val="0"/>
          <w:sz w:val="19"/>
        </w:rPr>
        <w:t xml:space="preserve"> · </w:t>
      </w:r>
      <w:hyperlink r:id="rId87">
        <w:r>
          <w:rPr>
            <w:color w:val="0563C1"/>
            <w:u w:val="single"/>
            <w:sz w:val="19"/>
          </w:rPr>
          <w:t xml:space="preserve">TMC library</w:t>
        </w:r>
      </w:hyperlink>
    </w:p>
    <w:p>
      <w:pPr>
        <w:spacing w:after="60"/>
      </w:pPr>
      <w:r>
        <w:rPr>
          <w:b/>
          <w:i w:val="0"/>
          <w:sz w:val="19"/>
        </w:rPr>
        <w:t>OPTN ethics principles</w:t>
      </w:r>
      <w:r>
        <w:rPr>
          <w:b w:val="0"/>
          <w:i w:val="0"/>
          <w:sz w:val="19"/>
        </w:rPr>
        <w:t xml:space="preserve"> — Ethical Principles in the Allocation of Human Organs</w:t>
      </w:r>
      <w:r>
        <w:rPr>
          <w:b w:val="0"/>
          <w:i w:val="0"/>
          <w:sz w:val="19"/>
        </w:rPr>
        <w:t xml:space="preserve">  </w:t>
      </w:r>
      <w:hyperlink r:id="rId88">
        <w:r>
          <w:rPr>
            <w:color w:val="0563C1"/>
            <w:u w:val="single"/>
            <w:sz w:val="19"/>
          </w:rPr>
          <w:t xml:space="preserve">Source</w:t>
        </w:r>
      </w:hyperlink>
    </w:p>
    <w:p>
      <w:pPr>
        <w:spacing w:after="60"/>
      </w:pPr>
      <w:r>
        <w:rPr>
          <w:b/>
          <w:i w:val="0"/>
          <w:sz w:val="19"/>
        </w:rPr>
        <w:t>OPTN policy</w:t>
      </w:r>
      <w:r>
        <w:rPr>
          <w:b w:val="0"/>
          <w:i w:val="0"/>
          <w:sz w:val="19"/>
        </w:rPr>
        <w:t xml:space="preserve"> — OPTN Policies: liver allocation and living donation</w:t>
      </w:r>
      <w:r>
        <w:rPr>
          <w:b w:val="0"/>
          <w:i w:val="0"/>
          <w:sz w:val="19"/>
        </w:rPr>
        <w:t xml:space="preserve">  </w:t>
      </w:r>
      <w:hyperlink r:id="rId89">
        <w:r>
          <w:rPr>
            <w:color w:val="0563C1"/>
            <w:u w:val="single"/>
            <w:sz w:val="19"/>
          </w:rPr>
          <w:t xml:space="preserve">Source</w:t>
        </w:r>
      </w:hyperlink>
    </w:p>
    <w:p>
      <w:pPr>
        <w:spacing w:after="60"/>
      </w:pPr>
      <w:r>
        <w:rPr>
          <w:b/>
          <w:i w:val="0"/>
          <w:sz w:val="19"/>
        </w:rPr>
        <w:t>PUMP-2</w:t>
      </w:r>
      <w:r>
        <w:rPr>
          <w:b w:val="0"/>
          <w:i w:val="0"/>
          <w:sz w:val="19"/>
        </w:rPr>
        <w:t xml:space="preserve"> — Hepatic Arterial Infusion Pump Chemotherapy in Patients With Unresectable Intrahepatic Cholangiocarcinoma-PUMP-2 Trial</w:t>
      </w:r>
      <w:r>
        <w:rPr>
          <w:b w:val="0"/>
          <w:i w:val="0"/>
          <w:sz w:val="19"/>
        </w:rPr>
        <w:t xml:space="preserve">  </w:t>
      </w:r>
      <w:hyperlink r:id="rId90">
        <w:r>
          <w:rPr>
            <w:color w:val="0563C1"/>
            <w:u w:val="single"/>
            <w:sz w:val="19"/>
          </w:rPr>
          <w:t xml:space="preserve">PubMed</w:t>
        </w:r>
      </w:hyperlink>
      <w:r>
        <w:rPr>
          <w:b w:val="0"/>
          <w:i w:val="0"/>
          <w:sz w:val="19"/>
        </w:rPr>
        <w:t xml:space="preserve"> · </w:t>
      </w:r>
      <w:hyperlink r:id="rId91">
        <w:r>
          <w:rPr>
            <w:color w:val="0563C1"/>
            <w:u w:val="single"/>
            <w:sz w:val="19"/>
          </w:rPr>
          <w:t xml:space="preserve">Journal</w:t>
        </w:r>
      </w:hyperlink>
      <w:r>
        <w:rPr>
          <w:b w:val="0"/>
          <w:i w:val="0"/>
          <w:sz w:val="19"/>
        </w:rPr>
        <w:t xml:space="preserve"> · </w:t>
      </w:r>
      <w:hyperlink r:id="rId92">
        <w:r>
          <w:rPr>
            <w:color w:val="0563C1"/>
            <w:u w:val="single"/>
            <w:sz w:val="19"/>
          </w:rPr>
          <w:t xml:space="preserve">TMC library</w:t>
        </w:r>
      </w:hyperlink>
    </w:p>
    <w:p>
      <w:pPr>
        <w:spacing w:after="60"/>
      </w:pPr>
      <w:r>
        <w:rPr>
          <w:b/>
          <w:i w:val="0"/>
          <w:sz w:val="19"/>
        </w:rPr>
        <w:t>Sapisochin 2016 · very early iCCA</w:t>
      </w:r>
      <w:r>
        <w:rPr>
          <w:b w:val="0"/>
          <w:i w:val="0"/>
          <w:sz w:val="19"/>
        </w:rPr>
        <w:t xml:space="preserve"> — Liver transplantation for "very early" intrahepatic cholangiocarcinoma: International retrospective study supporting a prospective assessment</w:t>
      </w:r>
      <w:r>
        <w:rPr>
          <w:b w:val="0"/>
          <w:i w:val="0"/>
          <w:sz w:val="19"/>
        </w:rPr>
        <w:t xml:space="preserve">  </w:t>
      </w:r>
      <w:hyperlink r:id="rId93">
        <w:r>
          <w:rPr>
            <w:color w:val="0563C1"/>
            <w:u w:val="single"/>
            <w:sz w:val="19"/>
          </w:rPr>
          <w:t xml:space="preserve">PubMed</w:t>
        </w:r>
      </w:hyperlink>
      <w:r>
        <w:rPr>
          <w:b w:val="0"/>
          <w:i w:val="0"/>
          <w:sz w:val="19"/>
        </w:rPr>
        <w:t xml:space="preserve"> · </w:t>
      </w:r>
      <w:hyperlink r:id="rId94">
        <w:r>
          <w:rPr>
            <w:color w:val="0563C1"/>
            <w:u w:val="single"/>
            <w:sz w:val="19"/>
          </w:rPr>
          <w:t xml:space="preserve">Journal</w:t>
        </w:r>
      </w:hyperlink>
      <w:r>
        <w:rPr>
          <w:b w:val="0"/>
          <w:i w:val="0"/>
          <w:sz w:val="19"/>
        </w:rPr>
        <w:t xml:space="preserve"> · </w:t>
      </w:r>
      <w:hyperlink r:id="rId95">
        <w:r>
          <w:rPr>
            <w:color w:val="0563C1"/>
            <w:u w:val="single"/>
            <w:sz w:val="19"/>
          </w:rPr>
          <w:t xml:space="preserve">TMC library</w:t>
        </w:r>
      </w:hyperlink>
    </w:p>
    <w:p>
      <w:pPr>
        <w:spacing w:after="60"/>
      </w:pPr>
      <w:r>
        <w:rPr>
          <w:b/>
          <w:i w:val="0"/>
          <w:sz w:val="19"/>
        </w:rPr>
        <w:t>Schleimer 2026 · non-LT comparator</w:t>
      </w:r>
      <w:r>
        <w:rPr>
          <w:b w:val="0"/>
          <w:i w:val="0"/>
          <w:sz w:val="19"/>
        </w:rPr>
        <w:t xml:space="preserve"> — Eligibility for Liver Transplantation in Patients with Intrahepatic Cholangiocarcinoma</w:t>
      </w:r>
      <w:r>
        <w:rPr>
          <w:b w:val="0"/>
          <w:i w:val="0"/>
          <w:sz w:val="19"/>
        </w:rPr>
        <w:t xml:space="preserve">  </w:t>
      </w:r>
      <w:hyperlink r:id="rId96">
        <w:r>
          <w:rPr>
            <w:color w:val="0563C1"/>
            <w:u w:val="single"/>
            <w:sz w:val="19"/>
          </w:rPr>
          <w:t xml:space="preserve">PubMed</w:t>
        </w:r>
      </w:hyperlink>
      <w:r>
        <w:rPr>
          <w:b w:val="0"/>
          <w:i w:val="0"/>
          <w:sz w:val="19"/>
        </w:rPr>
        <w:t xml:space="preserve"> · </w:t>
      </w:r>
      <w:hyperlink r:id="rId97">
        <w:r>
          <w:rPr>
            <w:color w:val="0563C1"/>
            <w:u w:val="single"/>
            <w:sz w:val="19"/>
          </w:rPr>
          <w:t xml:space="preserve">Journal</w:t>
        </w:r>
      </w:hyperlink>
      <w:r>
        <w:rPr>
          <w:b w:val="0"/>
          <w:i w:val="0"/>
          <w:sz w:val="19"/>
        </w:rPr>
        <w:t xml:space="preserve"> · </w:t>
      </w:r>
      <w:hyperlink r:id="rId98">
        <w:r>
          <w:rPr>
            <w:color w:val="0563C1"/>
            <w:u w:val="single"/>
            <w:sz w:val="19"/>
          </w:rPr>
          <w:t xml:space="preserve">TMC library</w:t>
        </w:r>
      </w:hyperlink>
    </w:p>
    <w:p>
      <w:pPr>
        <w:spacing w:after="60"/>
      </w:pPr>
      <w:r>
        <w:rPr>
          <w:b/>
          <w:i w:val="0"/>
          <w:sz w:val="19"/>
        </w:rPr>
        <w:t>Sethi 2026 · iCCA LDLT</w:t>
      </w:r>
      <w:r>
        <w:rPr>
          <w:b w:val="0"/>
          <w:i w:val="0"/>
          <w:sz w:val="19"/>
        </w:rPr>
        <w:t xml:space="preserve"> — Outcomes after living donor liver transplant for intrahepatic cholangiocarcinoma</w:t>
      </w:r>
      <w:r>
        <w:rPr>
          <w:b w:val="0"/>
          <w:i w:val="0"/>
          <w:sz w:val="19"/>
        </w:rPr>
        <w:t xml:space="preserve">  </w:t>
      </w:r>
      <w:hyperlink r:id="rId99">
        <w:r>
          <w:rPr>
            <w:color w:val="0563C1"/>
            <w:u w:val="single"/>
            <w:sz w:val="19"/>
          </w:rPr>
          <w:t xml:space="preserve">PubMed</w:t>
        </w:r>
      </w:hyperlink>
      <w:r>
        <w:rPr>
          <w:b w:val="0"/>
          <w:i w:val="0"/>
          <w:sz w:val="19"/>
        </w:rPr>
        <w:t xml:space="preserve"> · </w:t>
      </w:r>
      <w:hyperlink r:id="rId100">
        <w:r>
          <w:rPr>
            <w:color w:val="0563C1"/>
            <w:u w:val="single"/>
            <w:sz w:val="19"/>
          </w:rPr>
          <w:t xml:space="preserve">Journal</w:t>
        </w:r>
      </w:hyperlink>
      <w:r>
        <w:rPr>
          <w:b w:val="0"/>
          <w:i w:val="0"/>
          <w:sz w:val="19"/>
        </w:rPr>
        <w:t xml:space="preserve"> · </w:t>
      </w:r>
      <w:hyperlink r:id="rId101">
        <w:r>
          <w:rPr>
            <w:color w:val="0563C1"/>
            <w:u w:val="single"/>
            <w:sz w:val="19"/>
          </w:rPr>
          <w:t xml:space="preserve">TMC library</w:t>
        </w:r>
      </w:hyperlink>
    </w:p>
    <w:p>
      <w:pPr>
        <w:spacing w:after="60"/>
      </w:pPr>
      <w:r>
        <w:rPr>
          <w:b/>
          <w:i w:val="0"/>
          <w:sz w:val="19"/>
        </w:rPr>
        <w:t>SYS-TARE 2024</w:t>
      </w:r>
      <w:r>
        <w:rPr>
          <w:b w:val="0"/>
          <w:i w:val="0"/>
          <w:sz w:val="19"/>
        </w:rPr>
        <w:t xml:space="preserve"> — Liver Transplantation for Intrahepatic Cholangiocarcinoma After Chemotherapy and Radioembolization: An Intention-To-Treat Study</w:t>
      </w:r>
      <w:r>
        <w:rPr>
          <w:b w:val="0"/>
          <w:i w:val="0"/>
          <w:sz w:val="19"/>
        </w:rPr>
        <w:t xml:space="preserve">  </w:t>
      </w:r>
      <w:hyperlink r:id="rId76">
        <w:r>
          <w:rPr>
            <w:color w:val="0563C1"/>
            <w:u w:val="single"/>
            <w:sz w:val="19"/>
          </w:rPr>
          <w:t xml:space="preserve">PubMed</w:t>
        </w:r>
      </w:hyperlink>
      <w:r>
        <w:rPr>
          <w:b w:val="0"/>
          <w:i w:val="0"/>
          <w:sz w:val="19"/>
        </w:rPr>
        <w:t xml:space="preserve"> · </w:t>
      </w:r>
      <w:hyperlink r:id="rId77">
        <w:r>
          <w:rPr>
            <w:color w:val="0563C1"/>
            <w:u w:val="single"/>
            <w:sz w:val="19"/>
          </w:rPr>
          <w:t xml:space="preserve">Journal</w:t>
        </w:r>
      </w:hyperlink>
      <w:r>
        <w:rPr>
          <w:b w:val="0"/>
          <w:i w:val="0"/>
          <w:sz w:val="19"/>
        </w:rPr>
        <w:t xml:space="preserve"> · </w:t>
      </w:r>
      <w:hyperlink r:id="rId102">
        <w:r>
          <w:rPr>
            <w:color w:val="0563C1"/>
            <w:u w:val="single"/>
            <w:sz w:val="19"/>
          </w:rPr>
          <w:t xml:space="preserve">Free full text</w:t>
        </w:r>
      </w:hyperlink>
      <w:r>
        <w:rPr>
          <w:b w:val="0"/>
          <w:i w:val="0"/>
          <w:sz w:val="19"/>
        </w:rPr>
        <w:t xml:space="preserve"> · </w:t>
      </w:r>
      <w:hyperlink r:id="rId78">
        <w:r>
          <w:rPr>
            <w:color w:val="0563C1"/>
            <w:u w:val="single"/>
            <w:sz w:val="19"/>
          </w:rPr>
          <w:t xml:space="preserve">Source</w:t>
        </w:r>
      </w:hyperlink>
      <w:r>
        <w:rPr>
          <w:b w:val="0"/>
          <w:i w:val="0"/>
          <w:sz w:val="19"/>
        </w:rPr>
        <w:t xml:space="preserve"> · </w:t>
      </w:r>
      <w:hyperlink r:id="rId79">
        <w:r>
          <w:rPr>
            <w:color w:val="0563C1"/>
            <w:u w:val="single"/>
            <w:sz w:val="19"/>
          </w:rPr>
          <w:t xml:space="preserve">TMC library</w:t>
        </w:r>
      </w:hyperlink>
    </w:p>
    <w:p>
      <w:pPr>
        <w:spacing w:after="60"/>
      </w:pPr>
      <w:r>
        <w:rPr>
          <w:b/>
          <w:i w:val="0"/>
          <w:sz w:val="19"/>
        </w:rPr>
        <w:t>TransMet 2024</w:t>
      </w:r>
      <w:r>
        <w:rPr>
          <w:b w:val="0"/>
          <w:i w:val="0"/>
          <w:sz w:val="19"/>
        </w:rPr>
        <w:t xml:space="preserve"> — Liver transplantation plus chemotherapy versus chemotherapy alone in patients with permanently unresectable colorectal liver metastases (TransMet): results from a multicentre, open-label, prospective, randomised controlled trial</w:t>
      </w:r>
      <w:r>
        <w:rPr>
          <w:b w:val="0"/>
          <w:i w:val="0"/>
          <w:sz w:val="19"/>
        </w:rPr>
        <w:t xml:space="preserve">  </w:t>
      </w:r>
      <w:hyperlink r:id="rId103">
        <w:r>
          <w:rPr>
            <w:color w:val="0563C1"/>
            <w:u w:val="single"/>
            <w:sz w:val="19"/>
          </w:rPr>
          <w:t xml:space="preserve">PubMed</w:t>
        </w:r>
      </w:hyperlink>
      <w:r>
        <w:rPr>
          <w:b w:val="0"/>
          <w:i w:val="0"/>
          <w:sz w:val="19"/>
        </w:rPr>
        <w:t xml:space="preserve"> · </w:t>
      </w:r>
      <w:hyperlink r:id="rId104">
        <w:r>
          <w:rPr>
            <w:color w:val="0563C1"/>
            <w:u w:val="single"/>
            <w:sz w:val="19"/>
          </w:rPr>
          <w:t xml:space="preserve">Journal</w:t>
        </w:r>
      </w:hyperlink>
      <w:r>
        <w:rPr>
          <w:b w:val="0"/>
          <w:i w:val="0"/>
          <w:sz w:val="19"/>
        </w:rPr>
        <w:t xml:space="preserve"> · </w:t>
      </w:r>
      <w:hyperlink r:id="rId105">
        <w:r>
          <w:rPr>
            <w:color w:val="0563C1"/>
            <w:u w:val="single"/>
            <w:sz w:val="19"/>
          </w:rPr>
          <w:t xml:space="preserve">TMC library</w:t>
        </w:r>
      </w:hyperlink>
    </w:p>
    <w:p>
      <w:pPr>
        <w:spacing w:after="60"/>
      </w:pPr>
      <w:r>
        <w:rPr>
          <w:b/>
          <w:i w:val="0"/>
          <w:sz w:val="19"/>
        </w:rPr>
        <w:t>Wong 2019 · downstaging pilot</w:t>
      </w:r>
      <w:r>
        <w:rPr>
          <w:b w:val="0"/>
          <w:i w:val="0"/>
          <w:sz w:val="19"/>
        </w:rPr>
        <w:t xml:space="preserve"> — Downstaging locally advanced cholangiocarcinoma pre-liver transplantation: a prospective pilot study</w:t>
      </w:r>
      <w:r>
        <w:rPr>
          <w:b w:val="0"/>
          <w:i w:val="0"/>
          <w:sz w:val="19"/>
        </w:rPr>
        <w:t xml:space="preserve">  </w:t>
      </w:r>
      <w:hyperlink r:id="rId106">
        <w:r>
          <w:rPr>
            <w:color w:val="0563C1"/>
            <w:u w:val="single"/>
            <w:sz w:val="19"/>
          </w:rPr>
          <w:t xml:space="preserve">PubMed</w:t>
        </w:r>
      </w:hyperlink>
      <w:r>
        <w:rPr>
          <w:b w:val="0"/>
          <w:i w:val="0"/>
          <w:sz w:val="19"/>
        </w:rPr>
        <w:t xml:space="preserve"> · </w:t>
      </w:r>
      <w:hyperlink r:id="rId107">
        <w:r>
          <w:rPr>
            <w:color w:val="0563C1"/>
            <w:u w:val="single"/>
            <w:sz w:val="19"/>
          </w:rPr>
          <w:t xml:space="preserve">Journal</w:t>
        </w:r>
      </w:hyperlink>
      <w:r>
        <w:rPr>
          <w:b w:val="0"/>
          <w:i w:val="0"/>
          <w:sz w:val="19"/>
        </w:rPr>
        <w:t xml:space="preserve"> · </w:t>
      </w:r>
      <w:hyperlink r:id="rId108">
        <w:r>
          <w:rPr>
            <w:color w:val="0563C1"/>
            <w:u w:val="single"/>
            <w:sz w:val="19"/>
          </w:rPr>
          <w:t xml:space="preserve">TMC library</w:t>
        </w:r>
      </w:hyperlink>
    </w:p>
    <w:p>
      <w:pPr>
        <w:spacing w:after="60"/>
      </w:pPr>
      <w:r>
        <w:rPr>
          <w:b/>
          <w:i w:val="0"/>
          <w:sz w:val="19"/>
        </w:rPr>
        <w:t>Xiao 2024</w:t>
      </w:r>
      <w:r>
        <w:rPr>
          <w:b w:val="0"/>
          <w:i w:val="0"/>
          <w:sz w:val="19"/>
        </w:rPr>
        <w:t xml:space="preserve"> — The incidence of adverse outcome in donors after living donor liver transplantation: A meta-analysis of 60,829 donors</w:t>
      </w:r>
      <w:r>
        <w:rPr>
          <w:b w:val="0"/>
          <w:i w:val="0"/>
          <w:sz w:val="19"/>
        </w:rPr>
        <w:t xml:space="preserve">  </w:t>
      </w:r>
      <w:hyperlink r:id="rId109">
        <w:r>
          <w:rPr>
            <w:color w:val="0563C1"/>
            <w:u w:val="single"/>
            <w:sz w:val="19"/>
          </w:rPr>
          <w:t xml:space="preserve">PubMed</w:t>
        </w:r>
      </w:hyperlink>
      <w:r>
        <w:rPr>
          <w:b w:val="0"/>
          <w:i w:val="0"/>
          <w:sz w:val="19"/>
        </w:rPr>
        <w:t xml:space="preserve"> · </w:t>
      </w:r>
      <w:hyperlink r:id="rId110">
        <w:r>
          <w:rPr>
            <w:color w:val="0563C1"/>
            <w:u w:val="single"/>
            <w:sz w:val="19"/>
          </w:rPr>
          <w:t xml:space="preserve">Journal</w:t>
        </w:r>
      </w:hyperlink>
      <w:r>
        <w:rPr>
          <w:b w:val="0"/>
          <w:i w:val="0"/>
          <w:sz w:val="19"/>
        </w:rPr>
        <w:t xml:space="preserve"> · </w:t>
      </w:r>
      <w:hyperlink r:id="rId111">
        <w:r>
          <w:rPr>
            <w:color w:val="0563C1"/>
            <w:u w:val="single"/>
            <w:sz w:val="19"/>
          </w:rPr>
          <w:t xml:space="preserve">TMC library</w:t>
        </w:r>
      </w:hyperlink>
    </w:p>
    <w:p>
      <w:pPr>
        <w:spacing w:after="60"/>
      </w:pPr>
      <w:r>
        <w:rPr>
          <w:b/>
          <w:i w:val="0"/>
          <w:sz w:val="19"/>
        </w:rPr>
        <w:t>XXL 2020</w:t>
      </w:r>
      <w:r>
        <w:rPr>
          <w:b w:val="0"/>
          <w:i w:val="0"/>
          <w:sz w:val="19"/>
        </w:rPr>
        <w:t xml:space="preserve"> — Liver transplantation in hepatocellular carcinoma after tumour downstaging (XXL): a randomised, controlled, phase 2b/3 trial</w:t>
      </w:r>
      <w:r>
        <w:rPr>
          <w:b w:val="0"/>
          <w:i w:val="0"/>
          <w:sz w:val="19"/>
        </w:rPr>
        <w:t xml:space="preserve">  </w:t>
      </w:r>
      <w:hyperlink r:id="rId112">
        <w:r>
          <w:rPr>
            <w:color w:val="0563C1"/>
            <w:u w:val="single"/>
            <w:sz w:val="19"/>
          </w:rPr>
          <w:t xml:space="preserve">PubMed</w:t>
        </w:r>
      </w:hyperlink>
      <w:r>
        <w:rPr>
          <w:b w:val="0"/>
          <w:i w:val="0"/>
          <w:sz w:val="19"/>
        </w:rPr>
        <w:t xml:space="preserve"> · </w:t>
      </w:r>
      <w:hyperlink r:id="rId113">
        <w:r>
          <w:rPr>
            <w:color w:val="0563C1"/>
            <w:u w:val="single"/>
            <w:sz w:val="19"/>
          </w:rPr>
          <w:t xml:space="preserve">Journal</w:t>
        </w:r>
      </w:hyperlink>
      <w:r>
        <w:rPr>
          <w:b w:val="0"/>
          <w:i w:val="0"/>
          <w:sz w:val="19"/>
        </w:rPr>
        <w:t xml:space="preserve"> · </w:t>
      </w:r>
      <w:hyperlink r:id="rId114">
        <w:r>
          <w:rPr>
            <w:color w:val="0563C1"/>
            <w:u w:val="single"/>
            <w:sz w:val="19"/>
          </w:rPr>
          <w:t xml:space="preserve">TMC library</w:t>
        </w:r>
      </w:hyperlink>
    </w:p>
    <w:p>
      <w:pPr>
        <w:spacing w:after="60"/>
      </w:pPr>
      <w:r>
        <w:rPr>
          <w:b/>
          <w:i w:val="0"/>
          <w:sz w:val="19"/>
        </w:rPr>
        <w:t>Yaqub 2025</w:t>
      </w:r>
      <w:r>
        <w:rPr>
          <w:b w:val="0"/>
          <w:i w:val="0"/>
          <w:sz w:val="19"/>
        </w:rPr>
        <w:t xml:space="preserve"> — Liver transplantation for locally advanced non-resectable intrahepatic cholangiocarcinoma treated with neoadjuvant therapy: early results from the TESLA trial</w:t>
      </w:r>
      <w:r>
        <w:rPr>
          <w:b w:val="0"/>
          <w:i w:val="0"/>
          <w:sz w:val="19"/>
        </w:rPr>
        <w:t xml:space="preserve">  </w:t>
      </w:r>
      <w:hyperlink r:id="rId115">
        <w:r>
          <w:rPr>
            <w:color w:val="0563C1"/>
            <w:u w:val="single"/>
            <w:sz w:val="19"/>
          </w:rPr>
          <w:t xml:space="preserve">PubMed</w:t>
        </w:r>
      </w:hyperlink>
      <w:r>
        <w:rPr>
          <w:b w:val="0"/>
          <w:i w:val="0"/>
          <w:sz w:val="19"/>
        </w:rPr>
        <w:t xml:space="preserve"> · </w:t>
      </w:r>
      <w:hyperlink r:id="rId116">
        <w:r>
          <w:rPr>
            <w:color w:val="0563C1"/>
            <w:u w:val="single"/>
            <w:sz w:val="19"/>
          </w:rPr>
          <w:t xml:space="preserve">Journal</w:t>
        </w:r>
      </w:hyperlink>
      <w:r>
        <w:rPr>
          <w:b w:val="0"/>
          <w:i w:val="0"/>
          <w:sz w:val="19"/>
        </w:rPr>
        <w:t xml:space="preserve"> · </w:t>
      </w:r>
      <w:hyperlink r:id="rId117">
        <w:r>
          <w:rPr>
            <w:color w:val="0563C1"/>
            <w:u w:val="single"/>
            <w:sz w:val="19"/>
          </w:rPr>
          <w:t xml:space="preserve">Free full text</w:t>
        </w:r>
      </w:hyperlink>
      <w:r>
        <w:rPr>
          <w:b w:val="0"/>
          <w:i w:val="0"/>
          <w:sz w:val="19"/>
        </w:rPr>
        <w:t xml:space="preserve"> · </w:t>
      </w:r>
      <w:hyperlink r:id="rId118">
        <w:r>
          <w:rPr>
            <w:color w:val="0563C1"/>
            <w:u w:val="single"/>
            <w:sz w:val="19"/>
          </w:rPr>
          <w:t xml:space="preserve">Source</w:t>
        </w:r>
      </w:hyperlink>
      <w:r>
        <w:rPr>
          <w:b w:val="0"/>
          <w:i w:val="0"/>
          <w:sz w:val="19"/>
        </w:rPr>
        <w:t xml:space="preserve"> · </w:t>
      </w:r>
      <w:hyperlink r:id="rId119">
        <w:r>
          <w:rPr>
            <w:color w:val="0563C1"/>
            <w:u w:val="single"/>
            <w:sz w:val="19"/>
          </w:rPr>
          <w:t xml:space="preserve">TMC library</w:t>
        </w:r>
      </w:hyperlink>
    </w:p>
    <w:sectPr>
      <w:footerReference w:type="default" r:id="rId7"/>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A6069"/>
        <w:sz w:val="15"/>
        <w:szCs w:val="15"/>
      </w:rPr>
      <w:t xml:space="preserve">HPB oncology working reference  |  </w:t>
    </w:r>
    <w:r>
      <w:rPr>
        <w:sz w:val="15"/>
        <w:szCs w:val="15"/>
      </w:rPr>
      <w:t xml:space="preserve"/>
    </w:r>
    <w:r>
      <w:rPr>
        <w:color w:val="5A606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abstractNum w:abstractNumId="4">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3">
    <w:abstractNumId w:val="4"/>
  </w:num>
  <w:abstractNum w:abstractNumId="5">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4">
    <w:abstractNumId w:val="5"/>
  </w:num>
  <w:abstractNum w:abstractNumId="6">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5">
    <w:abstractNumId w:val="6"/>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181F"/>
        <w:sz w:val="20"/>
        <w:szCs w:val="20"/>
      </w:rPr>
    </w:rPrDefault>
    <w:pPrDefault>
      <w:pPr>
        <w:spacing w:line="276"/>
      </w:pPr>
    </w:pPrDefault>
  </w:docDefaults>
  <w:style w:type="paragraph" w:styleId="Title">
    <w:name w:val="Title"/>
    <w:basedOn w:val="Normal"/>
    <w:next w:val="Normal"/>
    <w:qFormat/>
    <w:rPr>
      <w:sz w:val="56"/>
      <w:szCs w:val="56"/>
      <w:color w:val="000000"/>
      <w:u w:val="none"/>
    </w:rPr>
  </w:style>
  <w:style w:type="paragraph" w:styleId="Heading1">
    <w:name w:val="Heading 1"/>
    <w:basedOn w:val="Normal"/>
    <w:next w:val="Normal"/>
    <w:qFormat/>
    <w:rPr>
      <w:rFonts w:ascii="Cambria" w:cs="Cambria" w:eastAsia="Cambria" w:hAnsi="Cambria"/>
      <w:b/>
      <w:bCs/>
      <w:color w:val="17365D"/>
      <w:sz w:val="32"/>
      <w:szCs w:val="32"/>
    </w:rPr>
  </w:style>
  <w:style w:type="paragraph" w:styleId="Heading2">
    <w:name w:val="Heading 2"/>
    <w:basedOn w:val="Normal"/>
    <w:next w:val="Normal"/>
    <w:qFormat/>
    <w:rPr>
      <w:rFonts w:ascii="Cambria" w:cs="Cambria" w:eastAsia="Cambria" w:hAnsi="Cambria"/>
      <w:b/>
      <w:bCs/>
      <w:color w:val="17365D"/>
      <w:sz w:val="26"/>
      <w:szCs w:val="26"/>
    </w:rPr>
  </w:style>
  <w:style w:type="paragraph" w:styleId="Heading3">
    <w:name w:val="Heading 3"/>
    <w:basedOn w:val="Normal"/>
    <w:next w:val="Normal"/>
    <w:qFormat/>
    <w:rPr>
      <w:rFonts w:ascii="Cambria" w:cs="Cambria" w:eastAsia="Cambria" w:hAnsi="Cambria"/>
      <w:b/>
      <w:bCs/>
      <w:color w:val="17365D"/>
      <w:sz w:val="22"/>
      <w:szCs w:val="22"/>
    </w:rPr>
  </w:style>
  <w:style w:type="paragraph" w:styleId="Heading4">
    <w:name w:val="Heading 4"/>
    <w:basedOn w:val="Normal"/>
    <w:next w:val="Normal"/>
    <w:qFormat/>
    <w:rPr>
      <w:rFonts w:ascii="Calibri" w:cs="Calibri" w:eastAsia="Calibri" w:hAnsi="Calibri"/>
      <w:b/>
      <w:bCs/>
      <w:color w:val="176A87"/>
      <w:sz w:val="20"/>
      <w:szCs w:val="20"/>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oter" Target="footer1.xml"/><Relationship Id="rId8" Type="http://schemas.openxmlformats.org/officeDocument/2006/relationships/fontTable" Target="fontTable.xml"/><Relationship Id="rId6" Type="http://schemas.openxmlformats.org/officeDocument/2006/relationships/hyperlink" Target="https://drliuhao.github.io/mh-liver-pathways/transplant/icca/#diagnosis" TargetMode="External"/><Relationship Id="rId9" Type="http://schemas.openxmlformats.org/officeDocument/2006/relationships/hyperlink" Target="https://drliuhao.github.io/mh-liver-pathways/transplant/icca/#phenotype" TargetMode="External"/><Relationship Id="rId10" Type="http://schemas.openxmlformats.org/officeDocument/2006/relationships/hyperlink" Target="https://drliuhao.github.io/mh-liver-pathways/transplant/icca/#high-risk-icca-b1" TargetMode="External"/><Relationship Id="rId11" Type="http://schemas.openxmlformats.org/officeDocument/2006/relationships/hyperlink" Target="https://drliuhao.github.io/mh-liver-pathways/transplant/icca/#therapy" TargetMode="External"/><Relationship Id="rId12" Type="http://schemas.openxmlformats.org/officeDocument/2006/relationships/hyperlink" Target="https://drliuhao.github.io/mh-liver-pathways/transplant/icca/#stability" TargetMode="External"/><Relationship Id="rId13" Type="http://schemas.openxmlformats.org/officeDocument/2006/relationships/hyperlink" Target="https://drliuhao.github.io/mh-liver-pathways/transplant/icca/#high-risk-icca-b2" TargetMode="External"/><Relationship Id="rId14" Type="http://schemas.openxmlformats.org/officeDocument/2006/relationships/hyperlink" Target="https://drliuhao.github.io/mh-liver-pathways/transplant/icca/#review" TargetMode="External"/><Relationship Id="rId15" Type="http://schemas.openxmlformats.org/officeDocument/2006/relationships/hyperlink" Target="https://drliuhao.github.io/mh-liver-pathways/transplant/icca/#high-risk-icca-b3" TargetMode="External"/><Relationship Id="rId16" Type="http://schemas.openxmlformats.org/officeDocument/2006/relationships/hyperlink" Target="https://drliuhao.github.io/mh-liver-pathways/transplant/icca/#high-risk-icca-b4" TargetMode="External"/><Relationship Id="rId17" Type="http://schemas.openxmlformats.org/officeDocument/2006/relationships/hyperlink" Target="https://drliuhao.github.io/mh-liver-pathways/transplant/icca/#high-risk-alloc-b1" TargetMode="External"/><Relationship Id="rId18" Type="http://schemas.openxmlformats.org/officeDocument/2006/relationships/hyperlink" Target="https://drliuhao.github.io/mh-liver-pathways/transplant/icca/#high-risk-alloc-b2" TargetMode="External"/><Relationship Id="rId19" Type="http://schemas.openxmlformats.org/officeDocument/2006/relationships/hyperlink" Target="https://drliuhao.github.io/mh-liver-pathways/transplant/icca/#high-risk-alloc-b3" TargetMode="External"/><Relationship Id="rId20" Type="http://schemas.openxmlformats.org/officeDocument/2006/relationships/hyperlink" Target="https://drliuhao.github.io/mh-liver-pathways/transplant/icca/#high-risk-alloc-b4" TargetMode="External"/><Relationship Id="rId21" Type="http://schemas.openxmlformats.org/officeDocument/2006/relationships/hyperlink" Target="https://pubmed.ncbi.nlm.nih.gov/41405234/" TargetMode="External"/><Relationship Id="rId22" Type="http://schemas.openxmlformats.org/officeDocument/2006/relationships/hyperlink" Target="https://doi.org/10.1097/HEP.0000000000001644" TargetMode="External"/><Relationship Id="rId23" Type="http://schemas.openxmlformats.org/officeDocument/2006/relationships/hyperlink" Target="https://pmc.ncbi.nlm.nih.gov/articles/PMC13070310/pdf/nihms-2158808.pdf" TargetMode="External"/><Relationship Id="rId24" Type="http://schemas.openxmlformats.org/officeDocument/2006/relationships/hyperlink" Target="https://pmc.ncbi.nlm.nih.gov/articles/PMC13070310/" TargetMode="External"/><Relationship Id="rId25" Type="http://schemas.openxmlformats.org/officeDocument/2006/relationships/hyperlink" Target="https://thslc-houston.primo.exlibrisgroup.com/discovery/search?vid=01TEXASHEALTH_HOUSTON%3ATMC_INST&amp;query=any,contains,10.1097%2FHEP.0000000000001644&amp;lang=en" TargetMode="External"/><Relationship Id="rId26" Type="http://schemas.openxmlformats.org/officeDocument/2006/relationships/hyperlink" Target="https://pubmed.ncbi.nlm.nih.gov/22335782/" TargetMode="External"/><Relationship Id="rId27" Type="http://schemas.openxmlformats.org/officeDocument/2006/relationships/hyperlink" Target="https://doi.org/10.1111/j.1600-6143.2011.03972.x" TargetMode="External"/><Relationship Id="rId28" Type="http://schemas.openxmlformats.org/officeDocument/2006/relationships/hyperlink" Target="https://pmc.ncbi.nlm.nih.gov/articles/PMC3732171/pdf/nihms-491154.pdf" TargetMode="External"/><Relationship Id="rId29" Type="http://schemas.openxmlformats.org/officeDocument/2006/relationships/hyperlink" Target="https://pmc.ncbi.nlm.nih.gov/articles/PMC3732171/" TargetMode="External"/><Relationship Id="rId30" Type="http://schemas.openxmlformats.org/officeDocument/2006/relationships/hyperlink" Target="https://thslc-houston.primo.exlibrisgroup.com/discovery/search?vid=01TEXASHEALTH_HOUSTON%3ATMC_INST&amp;query=any,contains,10.1111%2Fj.1600-6143.2011.03972.x&amp;lang=en" TargetMode="External"/><Relationship Id="rId31" Type="http://schemas.openxmlformats.org/officeDocument/2006/relationships/hyperlink" Target="https://pubmed.ncbi.nlm.nih.gov/38521169/" TargetMode="External"/><Relationship Id="rId32" Type="http://schemas.openxmlformats.org/officeDocument/2006/relationships/hyperlink" Target="https://doi.org/10.1016/j.jhep.2024.03.020" TargetMode="External"/><Relationship Id="rId33" Type="http://schemas.openxmlformats.org/officeDocument/2006/relationships/hyperlink" Target="https://thslc-houston.primo.exlibrisgroup.com/discovery/search?vid=01TEXASHEALTH_HOUSTON%3ATMC_INST&amp;query=any,contains,10.1016%2Fj.jhep.2024.03.020&amp;lang=en" TargetMode="External"/><Relationship Id="rId34" Type="http://schemas.openxmlformats.org/officeDocument/2006/relationships/hyperlink" Target="https://pubmed.ncbi.nlm.nih.gov/42323458/" TargetMode="External"/><Relationship Id="rId35" Type="http://schemas.openxmlformats.org/officeDocument/2006/relationships/hyperlink" Target="https://doi.org/10.1245/s10434-026-19975-6" TargetMode="External"/><Relationship Id="rId36" Type="http://schemas.openxmlformats.org/officeDocument/2006/relationships/hyperlink" Target="https://thslc-houston.primo.exlibrisgroup.com/discovery/search?vid=01TEXASHEALTH_HOUSTON%3ATMC_INST&amp;query=any,contains,10.1245%2Fs10434-026-19975-6&amp;lang=en" TargetMode="External"/><Relationship Id="rId37" Type="http://schemas.openxmlformats.org/officeDocument/2006/relationships/hyperlink" Target="https://pubmed.ncbi.nlm.nih.gov/33316425/" TargetMode="External"/><Relationship Id="rId38" Type="http://schemas.openxmlformats.org/officeDocument/2006/relationships/hyperlink" Target="https://doi.org/10.1016/j.jamcollsurg.2020.11.017" TargetMode="External"/><Relationship Id="rId39" Type="http://schemas.openxmlformats.org/officeDocument/2006/relationships/hyperlink" Target="https://pmc.ncbi.nlm.nih.gov/articles/PMC8450541/" TargetMode="External"/><Relationship Id="rId40" Type="http://schemas.openxmlformats.org/officeDocument/2006/relationships/hyperlink" Target="https://thslc-houston.primo.exlibrisgroup.com/discovery/search?vid=01TEXASHEALTH_HOUSTON%3ATMC_INST&amp;query=any,contains,10.1016%2Fj.jamcollsurg.2020.11.017&amp;lang=en" TargetMode="External"/><Relationship Id="rId41" Type="http://schemas.openxmlformats.org/officeDocument/2006/relationships/hyperlink" Target="https://pubmed.ncbi.nlm.nih.gov/32090444/" TargetMode="External"/><Relationship Id="rId42" Type="http://schemas.openxmlformats.org/officeDocument/2006/relationships/hyperlink" Target="https://doi.org/10.1002/lt.25737" TargetMode="External"/><Relationship Id="rId43" Type="http://schemas.openxmlformats.org/officeDocument/2006/relationships/hyperlink" Target="https://onlinelibrary.wiley.com/doi/full/10.1002/lt.25737" TargetMode="External"/><Relationship Id="rId44" Type="http://schemas.openxmlformats.org/officeDocument/2006/relationships/hyperlink" Target="https://thslc-houston.primo.exlibrisgroup.com/discovery/search?vid=01TEXASHEALTH_HOUSTON%3ATMC_INST&amp;query=any,contains,10.1002%2Flt.25737&amp;lang=en" TargetMode="External"/><Relationship Id="rId45" Type="http://schemas.openxmlformats.org/officeDocument/2006/relationships/hyperlink" Target="https://pubmed.ncbi.nlm.nih.gov/27647626/" TargetMode="External"/><Relationship Id="rId46" Type="http://schemas.openxmlformats.org/officeDocument/2006/relationships/hyperlink" Target="https://doi.org/10.1111/ajt.14055" TargetMode="External"/><Relationship Id="rId47" Type="http://schemas.openxmlformats.org/officeDocument/2006/relationships/hyperlink" Target="https://pmc.ncbi.nlm.nih.gov/articles/PMC5359081/pdf/nihms818467.pdf" TargetMode="External"/><Relationship Id="rId48" Type="http://schemas.openxmlformats.org/officeDocument/2006/relationships/hyperlink" Target="https://pmc.ncbi.nlm.nih.gov/articles/PMC5359081/" TargetMode="External"/><Relationship Id="rId49" Type="http://schemas.openxmlformats.org/officeDocument/2006/relationships/hyperlink" Target="https://thslc-houston.primo.exlibrisgroup.com/discovery/search?vid=01TEXASHEALTH_HOUSTON%3ATMC_INST&amp;query=any,contains,10.1111%2Fajt.14055&amp;lang=en" TargetMode="External"/><Relationship Id="rId50" Type="http://schemas.openxmlformats.org/officeDocument/2006/relationships/hyperlink" Target="https://pubmed.ncbi.nlm.nih.gov/42270817/" TargetMode="External"/><Relationship Id="rId51" Type="http://schemas.openxmlformats.org/officeDocument/2006/relationships/hyperlink" Target="https://doi.org/10.1038/s41571-026-01160-z" TargetMode="External"/><Relationship Id="rId52" Type="http://schemas.openxmlformats.org/officeDocument/2006/relationships/hyperlink" Target="https://pmc.ncbi.nlm.nih.gov/articles/PMC13665261/pdf/nihms-2192929.pdf" TargetMode="External"/><Relationship Id="rId53" Type="http://schemas.openxmlformats.org/officeDocument/2006/relationships/hyperlink" Target="https://pmc.ncbi.nlm.nih.gov/articles/PMC13665261/" TargetMode="External"/><Relationship Id="rId54" Type="http://schemas.openxmlformats.org/officeDocument/2006/relationships/hyperlink" Target="https://thslc-houston.primo.exlibrisgroup.com/discovery/search?vid=01TEXASHEALTH_HOUSTON%3ATMC_INST&amp;query=any,contains,10.1038%2Fs41571-026-01160-z&amp;lang=en" TargetMode="External"/><Relationship Id="rId55" Type="http://schemas.openxmlformats.org/officeDocument/2006/relationships/hyperlink" Target="https://pubmed.ncbi.nlm.nih.gov/27777223/" TargetMode="External"/><Relationship Id="rId56" Type="http://schemas.openxmlformats.org/officeDocument/2006/relationships/hyperlink" Target="https://doi.org/10.1136/bmj.i5239" TargetMode="External"/><Relationship Id="rId57" Type="http://schemas.openxmlformats.org/officeDocument/2006/relationships/hyperlink" Target="https://pmc.ncbi.nlm.nih.gov/articles/PMC5076380/" TargetMode="External"/><Relationship Id="rId58" Type="http://schemas.openxmlformats.org/officeDocument/2006/relationships/hyperlink" Target="https://thslc-houston.primo.exlibrisgroup.com/discovery/search?vid=01TEXASHEALTH_HOUSTON%3ATMC_INST&amp;query=any,contains,10.1136%2Fbmj.i5239&amp;lang=en" TargetMode="External"/><Relationship Id="rId59" Type="http://schemas.openxmlformats.org/officeDocument/2006/relationships/hyperlink" Target="https://pubmed.ncbi.nlm.nih.gov/41861992/" TargetMode="External"/><Relationship Id="rId60" Type="http://schemas.openxmlformats.org/officeDocument/2006/relationships/hyperlink" Target="https://doi.org/10.1016/j.jhepr.2026.101830" TargetMode="External"/><Relationship Id="rId61" Type="http://schemas.openxmlformats.org/officeDocument/2006/relationships/hyperlink" Target="https://pmc.ncbi.nlm.nih.gov/articles/PMC13254992/" TargetMode="External"/><Relationship Id="rId62" Type="http://schemas.openxmlformats.org/officeDocument/2006/relationships/hyperlink" Target="https://thslc-houston.primo.exlibrisgroup.com/discovery/search?vid=01TEXASHEALTH_HOUSTON%3ATMC_INST&amp;query=any,contains,10.1016%2Fj.jhepr.2026.101830&amp;lang=en" TargetMode="External"/><Relationship Id="rId63" Type="http://schemas.openxmlformats.org/officeDocument/2006/relationships/hyperlink" Target="https://www.ecfr.gov/current/title-45/subtitle-A/subchapter-A/part-46/subpart-A/section-46.111" TargetMode="External"/><Relationship Id="rId64" Type="http://schemas.openxmlformats.org/officeDocument/2006/relationships/hyperlink" Target="https://pubmed.ncbi.nlm.nih.gov/40014003/" TargetMode="External"/><Relationship Id="rId65" Type="http://schemas.openxmlformats.org/officeDocument/2006/relationships/hyperlink" Target="https://doi.org/10.1097/LVT.0000000000000589" TargetMode="External"/><Relationship Id="rId66" Type="http://schemas.openxmlformats.org/officeDocument/2006/relationships/hyperlink" Target="https://thslc-houston.primo.exlibrisgroup.com/discovery/search?vid=01TEXASHEALTH_HOUSTON%3ATMC_INST&amp;query=any,contains,10.1097%2FLVT.0000000000000589&amp;lang=en" TargetMode="External"/><Relationship Id="rId67" Type="http://schemas.openxmlformats.org/officeDocument/2006/relationships/hyperlink" Target="https://pubmed.ncbi.nlm.nih.gov/42835360/" TargetMode="External"/><Relationship Id="rId68" Type="http://schemas.openxmlformats.org/officeDocument/2006/relationships/hyperlink" Target="https://doi.org/10.1155/joot/2545887" TargetMode="External"/><Relationship Id="rId69" Type="http://schemas.openxmlformats.org/officeDocument/2006/relationships/hyperlink" Target="https://thslc-houston.primo.exlibrisgroup.com/discovery/search?vid=01TEXASHEALTH_HOUSTON%3ATMC_INST&amp;query=any,contains,10.1155%2Fjoot%2F2545887&amp;lang=en" TargetMode="External"/><Relationship Id="rId70" Type="http://schemas.openxmlformats.org/officeDocument/2006/relationships/hyperlink" Target="https://pubmed.ncbi.nlm.nih.gov/29548617/" TargetMode="External"/><Relationship Id="rId71" Type="http://schemas.openxmlformats.org/officeDocument/2006/relationships/hyperlink" Target="https://doi.org/10.1016/S2468-1253(18)30045-1" TargetMode="External"/><Relationship Id="rId72" Type="http://schemas.openxmlformats.org/officeDocument/2006/relationships/hyperlink" Target="https://thslc-houston.primo.exlibrisgroup.com/discovery/search?vid=01TEXASHEALTH_HOUSTON%3ATMC_INST&amp;query=any,contains,10.1016%2FS2468-1253%2818%2930045-1&amp;lang=en" TargetMode="External"/><Relationship Id="rId73" Type="http://schemas.openxmlformats.org/officeDocument/2006/relationships/hyperlink" Target="https://pubmed.ncbi.nlm.nih.gov/31860935/" TargetMode="External"/><Relationship Id="rId74" Type="http://schemas.openxmlformats.org/officeDocument/2006/relationships/hyperlink" Target="https://doi.org/10.1002/hep.31077" TargetMode="External"/><Relationship Id="rId75" Type="http://schemas.openxmlformats.org/officeDocument/2006/relationships/hyperlink" Target="https://thslc-houston.primo.exlibrisgroup.com/discovery/search?vid=01TEXASHEALTH_HOUSTON%3ATMC_INST&amp;query=any,contains,10.1002%2Fhep.31077&amp;lang=en" TargetMode="External"/><Relationship Id="rId76" Type="http://schemas.openxmlformats.org/officeDocument/2006/relationships/hyperlink" Target="https://pubmed.ncbi.nlm.nih.gov/39544321/" TargetMode="External"/><Relationship Id="rId77" Type="http://schemas.openxmlformats.org/officeDocument/2006/relationships/hyperlink" Target="https://doi.org/10.3389/ti.2024.13641" TargetMode="External"/><Relationship Id="rId78" Type="http://schemas.openxmlformats.org/officeDocument/2006/relationships/hyperlink" Target="https://pmc.ncbi.nlm.nih.gov/articles/PMC11560448/" TargetMode="External"/><Relationship Id="rId79" Type="http://schemas.openxmlformats.org/officeDocument/2006/relationships/hyperlink" Target="https://thslc-houston.primo.exlibrisgroup.com/discovery/search?vid=01TEXASHEALTH_HOUSTON%3ATMC_INST&amp;query=any,contains,10.3389%2Fti.2024.13641&amp;lang=en" TargetMode="External"/><Relationship Id="rId80" Type="http://schemas.openxmlformats.org/officeDocument/2006/relationships/hyperlink" Target="https://pubmed.ncbi.nlm.nih.gov/34856069/" TargetMode="External"/><Relationship Id="rId81" Type="http://schemas.openxmlformats.org/officeDocument/2006/relationships/hyperlink" Target="https://doi.org/10.1111/ajt.16906" TargetMode="External"/><Relationship Id="rId82" Type="http://schemas.openxmlformats.org/officeDocument/2006/relationships/hyperlink" Target="https://thslc-houston.primo.exlibrisgroup.com/discovery/search?vid=01TEXASHEALTH_HOUSTON%3ATMC_INST&amp;query=any,contains,10.1111%2Fajt.16906&amp;lang=en" TargetMode="External"/><Relationship Id="rId83" Type="http://schemas.openxmlformats.org/officeDocument/2006/relationships/hyperlink" Target="https://www.hrsa.gov/sites/default/files/hrsa/optn/adult-meld-exception-transplant-oncology-review-guidance.pdf" TargetMode="External"/><Relationship Id="rId84" Type="http://schemas.openxmlformats.org/officeDocument/2006/relationships/hyperlink" Target="https://pubmed.ncbi.nlm.nih.gov/40381735/" TargetMode="External"/><Relationship Id="rId85" Type="http://schemas.openxmlformats.org/officeDocument/2006/relationships/hyperlink" Target="https://doi.org/10.1016/j.jhep.2025.05.003" TargetMode="External"/><Relationship Id="rId86" Type="http://schemas.openxmlformats.org/officeDocument/2006/relationships/hyperlink" Target="https://www.journal-of-hepatology.eu/article/S0168-8278(25)02201-9/fulltext" TargetMode="External"/><Relationship Id="rId87" Type="http://schemas.openxmlformats.org/officeDocument/2006/relationships/hyperlink" Target="https://thslc-houston.primo.exlibrisgroup.com/discovery/search?vid=01TEXASHEALTH_HOUSTON%3ATMC_INST&amp;query=any,contains,10.1016%2Fj.jhep.2025.05.003&amp;lang=en" TargetMode="External"/><Relationship Id="rId88" Type="http://schemas.openxmlformats.org/officeDocument/2006/relationships/hyperlink" Target="https://www.hrsa.gov/optn/professionals/resources/ethical-considerations/ethical-principles-in-the-allocation-of-human-organs" TargetMode="External"/><Relationship Id="rId89" Type="http://schemas.openxmlformats.org/officeDocument/2006/relationships/hyperlink" Target="https://www.hrsa.gov/sites/default/files/hrsa/optn/optn_policies.pdf" TargetMode="External"/><Relationship Id="rId90" Type="http://schemas.openxmlformats.org/officeDocument/2006/relationships/hyperlink" Target="https://pubmed.ncbi.nlm.nih.gov/41082695/" TargetMode="External"/><Relationship Id="rId91" Type="http://schemas.openxmlformats.org/officeDocument/2006/relationships/hyperlink" Target="https://doi.org/10.1200/JCO-25-00923" TargetMode="External"/><Relationship Id="rId92" Type="http://schemas.openxmlformats.org/officeDocument/2006/relationships/hyperlink" Target="https://thslc-houston.primo.exlibrisgroup.com/discovery/search?vid=01TEXASHEALTH_HOUSTON%3ATMC_INST&amp;query=any,contains,10.1200%2FJCO-25-00923&amp;lang=en" TargetMode="External"/><Relationship Id="rId93" Type="http://schemas.openxmlformats.org/officeDocument/2006/relationships/hyperlink" Target="https://pubmed.ncbi.nlm.nih.gov/27481548/" TargetMode="External"/><Relationship Id="rId94" Type="http://schemas.openxmlformats.org/officeDocument/2006/relationships/hyperlink" Target="https://doi.org/10.1002/hep.28744" TargetMode="External"/><Relationship Id="rId95" Type="http://schemas.openxmlformats.org/officeDocument/2006/relationships/hyperlink" Target="https://thslc-houston.primo.exlibrisgroup.com/discovery/search?vid=01TEXASHEALTH_HOUSTON%3ATMC_INST&amp;query=any,contains,10.1002%2Fhep.28744&amp;lang=en" TargetMode="External"/><Relationship Id="rId96" Type="http://schemas.openxmlformats.org/officeDocument/2006/relationships/hyperlink" Target="https://pubmed.ncbi.nlm.nih.gov/41991890/" TargetMode="External"/><Relationship Id="rId97" Type="http://schemas.openxmlformats.org/officeDocument/2006/relationships/hyperlink" Target="https://doi.org/10.1245/s10434-026-19652-8" TargetMode="External"/><Relationship Id="rId98" Type="http://schemas.openxmlformats.org/officeDocument/2006/relationships/hyperlink" Target="https://thslc-houston.primo.exlibrisgroup.com/discovery/search?vid=01TEXASHEALTH_HOUSTON%3ATMC_INST&amp;query=any,contains,10.1245%2Fs10434-026-19652-8&amp;lang=en" TargetMode="External"/><Relationship Id="rId99" Type="http://schemas.openxmlformats.org/officeDocument/2006/relationships/hyperlink" Target="https://pubmed.ncbi.nlm.nih.gov/42810588/" TargetMode="External"/><Relationship Id="rId100" Type="http://schemas.openxmlformats.org/officeDocument/2006/relationships/hyperlink" Target="https://doi.org/10.1016/j.ajt.2026.09.039" TargetMode="External"/><Relationship Id="rId101" Type="http://schemas.openxmlformats.org/officeDocument/2006/relationships/hyperlink" Target="https://thslc-houston.primo.exlibrisgroup.com/discovery/search?vid=01TEXASHEALTH_HOUSTON%3ATMC_INST&amp;query=any,contains,10.1016%2Fj.ajt.2026.09.039&amp;lang=en" TargetMode="External"/><Relationship Id="rId102" Type="http://schemas.openxmlformats.org/officeDocument/2006/relationships/hyperlink" Target="https://pmc.ncbi.nlm.nih.gov/articles/PMC11560448/pdf/ti-37-13641.pdf" TargetMode="External"/><Relationship Id="rId103" Type="http://schemas.openxmlformats.org/officeDocument/2006/relationships/hyperlink" Target="https://pubmed.ncbi.nlm.nih.gov/39306468/" TargetMode="External"/><Relationship Id="rId104" Type="http://schemas.openxmlformats.org/officeDocument/2006/relationships/hyperlink" Target="https://doi.org/10.1016/S0140-6736(24)01595-2" TargetMode="External"/><Relationship Id="rId105" Type="http://schemas.openxmlformats.org/officeDocument/2006/relationships/hyperlink" Target="https://thslc-houston.primo.exlibrisgroup.com/discovery/search?vid=01TEXASHEALTH_HOUSTON%3ATMC_INST&amp;query=any,contains,10.1016%2FS0140-6736%2824%2901595-2&amp;lang=en" TargetMode="External"/><Relationship Id="rId106" Type="http://schemas.openxmlformats.org/officeDocument/2006/relationships/hyperlink" Target="https://pubmed.ncbi.nlm.nih.gov/31059945/" TargetMode="External"/><Relationship Id="rId107" Type="http://schemas.openxmlformats.org/officeDocument/2006/relationships/hyperlink" Target="https://doi.org/10.1016/j.jss.2019.04.023" TargetMode="External"/><Relationship Id="rId108" Type="http://schemas.openxmlformats.org/officeDocument/2006/relationships/hyperlink" Target="https://thslc-houston.primo.exlibrisgroup.com/discovery/search?vid=01TEXASHEALTH_HOUSTON%3ATMC_INST&amp;query=any,contains,10.1016%2Fj.jss.2019.04.023&amp;lang=en" TargetMode="External"/><Relationship Id="rId109" Type="http://schemas.openxmlformats.org/officeDocument/2006/relationships/hyperlink" Target="https://pubmed.ncbi.nlm.nih.gov/38015449/" TargetMode="External"/><Relationship Id="rId110" Type="http://schemas.openxmlformats.org/officeDocument/2006/relationships/hyperlink" Target="https://doi.org/10.1097/LVT.0000000000000303" TargetMode="External"/><Relationship Id="rId111" Type="http://schemas.openxmlformats.org/officeDocument/2006/relationships/hyperlink" Target="https://thslc-houston.primo.exlibrisgroup.com/discovery/search?vid=01TEXASHEALTH_HOUSTON%3ATMC_INST&amp;query=any,contains,10.1097%2FLVT.0000000000000303&amp;lang=en" TargetMode="External"/><Relationship Id="rId112" Type="http://schemas.openxmlformats.org/officeDocument/2006/relationships/hyperlink" Target="https://pubmed.ncbi.nlm.nih.gov/32615109/" TargetMode="External"/><Relationship Id="rId113" Type="http://schemas.openxmlformats.org/officeDocument/2006/relationships/hyperlink" Target="https://doi.org/10.1016/S1470-2045(20)30224-2" TargetMode="External"/><Relationship Id="rId114" Type="http://schemas.openxmlformats.org/officeDocument/2006/relationships/hyperlink" Target="https://thslc-houston.primo.exlibrisgroup.com/discovery/search?vid=01TEXASHEALTH_HOUSTON%3ATMC_INST&amp;query=any,contains,10.1016%2FS1470-2045%2820%2930224-2&amp;lang=en" TargetMode="External"/><Relationship Id="rId115" Type="http://schemas.openxmlformats.org/officeDocument/2006/relationships/hyperlink" Target="https://pubmed.ncbi.nlm.nih.gov/40099404/" TargetMode="External"/><Relationship Id="rId116" Type="http://schemas.openxmlformats.org/officeDocument/2006/relationships/hyperlink" Target="https://doi.org/10.1093/bjs/znaf054" TargetMode="External"/><Relationship Id="rId117" Type="http://schemas.openxmlformats.org/officeDocument/2006/relationships/hyperlink" Target="https://pmc.ncbi.nlm.nih.gov/articles/PMC11914714/pdf/znaf054.pdf" TargetMode="External"/><Relationship Id="rId118" Type="http://schemas.openxmlformats.org/officeDocument/2006/relationships/hyperlink" Target="https://pmc.ncbi.nlm.nih.gov/articles/PMC11914714/" TargetMode="External"/><Relationship Id="rId119" Type="http://schemas.openxmlformats.org/officeDocument/2006/relationships/hyperlink" Target="https://thslc-houston.primo.exlibrisgroup.com/discovery/search?vid=01TEXASHEALTH_HOUSTON%3ATMC_INST&amp;query=any,contains,10.1093%2Fbjs%2Fznaf054&amp;lang=en"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Memorial Hermann HCC system roadmap v0.9</dc:title>
  <dc:subject>Hepatocellular carcinoma</dc:subject>
  <dc:creator>Memorial Hermann / UTHealth Houston tumour roadmap programme</dc:creator>
  <dc:description>Draft under development. Not ratified clinical policy.</dc:description>
  <cp:lastModifiedBy>Un-named</cp:lastModifiedBy>
  <cp:revision>1</cp:revision>
  <dcterms:created xsi:type="dcterms:W3CDTF">2026-10-10T04:29:15.270Z</dcterms:created>
  <dcterms:modified xsi:type="dcterms:W3CDTF">2026-10-29T14:21:32Z</dcterms:modified>
</cp:coreProperties>
</file>

<file path=docProps/custom.xml><?xml version="1.0" encoding="utf-8"?>
<Properties xmlns="http://schemas.openxmlformats.org/officeDocument/2006/custom-properties" xmlns:vt="http://schemas.openxmlformats.org/officeDocument/2006/docPropsVTypes"/>
</file>