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Incidental liver mass</w:t>
      </w:r>
    </w:p>
    <w:p>
      <w:pPr>
        <w:spacing w:after="120"/>
      </w:pPr>
      <w:r>
        <w:rPr>
          <w:i/>
          <w:sz w:val="18"/>
        </w:rPr>
        <w:t xml:space="preserve">Standardized document set, 29 October 2026: this is the full-content document for the cancer roadmap. Questions for consensus: INC_2_Cancer_Roadmap_Questions.docx. Decision discussion for all settings: INC_7_Decision_Discussion.docx. Web page: https://drliuhao.github.io/mh-liver-pathways/incidental/</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Incidental liver mass · system roadmap V16 · Extrahepatic-disease update, 29 October 2026</w:t>
      </w:r>
    </w:p>
    <w:p>
      <w:pPr>
        <w:spacing w:after="320" w:line="276"/>
      </w:pPr>
      <w:r>
        <w:rPr>
          <w:color w:val="5A6069"/>
          <w:sz w:val="20"/>
          <w:szCs w:val="20"/>
        </w:rPr>
        <w:t xml:space="preserve">9 gates · 42 cited sources · 26 stated uncertainties · 16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Whether this lesion needs anything at all, which single test will say so, and — if it is not benign — which disease pathway the patient belongs on, named, before anyone passes a needle.</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Is this an at-risk liver?</w:t>
      </w:r>
    </w:p>
    <w:p>
      <w:pPr>
        <w:spacing w:after="140"/>
      </w:pPr>
      <w:r>
        <w:rPr>
          <w:b/>
          <w:bCs/>
          <w:color w:val="176A87"/>
          <w:sz w:val="19"/>
          <w:szCs w:val="19"/>
        </w:rPr>
        <w:t xml:space="preserve">The question. </w:t>
      </w:r>
      <w:r>
        <w:rPr>
          <w:sz w:val="19"/>
          <w:szCs w:val="19"/>
        </w:rPr>
        <w:t xml:space="preserve">Before I order anything else: is this liver in the population whose imaging criteria are allowed to make a diagnosis?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Cirrhosis of any aetiology</w:t>
      </w:r>
    </w:p>
    <w:p>
      <w:pPr>
        <w:pStyle w:val="ListParagraph"/>
        <w:numPr>
          <w:ilvl w:val="0"/>
          <w:numId w:val="2"/>
        </w:numPr>
        <w:spacing w:after="60" w:line="268"/>
      </w:pPr>
      <w:r>
        <w:rPr>
          <w:color w:val="15181F"/>
          <w:sz w:val="18"/>
          <w:szCs w:val="18"/>
        </w:rPr>
        <w:t xml:space="preserve">Chronic hepatitis B infection, with or without cirrhosis</w:t>
      </w:r>
    </w:p>
    <w:p>
      <w:pPr>
        <w:pStyle w:val="ListParagraph"/>
        <w:numPr>
          <w:ilvl w:val="0"/>
          <w:numId w:val="2"/>
        </w:numPr>
        <w:spacing w:after="60" w:line="268"/>
      </w:pPr>
      <w:r>
        <w:rPr>
          <w:color w:val="15181F"/>
          <w:sz w:val="18"/>
          <w:szCs w:val="18"/>
        </w:rPr>
        <w:t xml:space="preserve">Current or prior hepatocellular carcinoma, including a liver transplant candidate or recipient</w:t>
      </w:r>
    </w:p>
    <w:p>
      <w:pPr>
        <w:pStyle w:val="ListParagraph"/>
        <w:numPr>
          <w:ilvl w:val="0"/>
          <w:numId w:val="2"/>
        </w:numPr>
        <w:spacing w:after="60" w:line="268"/>
      </w:pPr>
      <w:r>
        <w:rPr>
          <w:color w:val="15181F"/>
          <w:sz w:val="18"/>
          <w:szCs w:val="18"/>
        </w:rPr>
        <w:t xml:space="preserve">None of the above — a liver with no risk factor for primary liver cancer</w:t>
      </w:r>
    </w:p>
    <w:p>
      <w:pPr>
        <w:pStyle w:val="ListParagraph"/>
        <w:numPr>
          <w:ilvl w:val="0"/>
          <w:numId w:val="2"/>
        </w:numPr>
        <w:spacing w:after="60" w:line="268"/>
      </w:pPr>
      <w:r>
        <w:rPr>
          <w:color w:val="15181F"/>
          <w:sz w:val="18"/>
          <w:szCs w:val="18"/>
        </w:rPr>
        <w:t xml:space="preserve">A vascular liver disorder, congenital hepatic fibrosis, or age under 18 — a separate category in which LI-RADS does not apply at all</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Answer the at-risk question first, because it decides which diagnostic criteria you are permitted to use for the rest of the workup.</w:t>
      </w:r>
    </w:p>
    <w:p>
      <w:pPr>
        <w:spacing w:after="50" w:line="276"/>
        <w:ind w:left="240"/>
      </w:pPr>
      <w:r>
        <w:rPr>
          <w:color w:val="15181F"/>
          <w:sz w:val="18"/>
          <w:szCs w:val="18"/>
        </w:rPr>
        <w:t xml:space="preserve">Every incidental liver lesion, before the next scan is ordered. The LI-RADS at-risk population is cirrhosis, chronic hepatitis B, and current or prior HCC including adult transplant candidates. AASLD 2023 and EASL 2025 both build their diagnostic algorithms on that same population and both use the LI-RADS lexicon; EASL 2025 states that LI-RADS should be preferred over its own 2018 algorithm because of the LR-M and LR-TIV categories, while noting the two perform similarly for HCC (LoE 3, strong recommendation).</w:t>
      </w:r>
    </w:p>
    <w:p>
      <w:pPr>
        <w:spacing w:after="50"/>
        <w:ind w:left="240"/>
      </w:pPr>
      <w:r>
        <w:rPr>
          <w:b/>
          <w:bCs/>
          <w:color w:val="8C2F26"/>
          <w:sz w:val="18"/>
          <w:szCs w:val="18"/>
        </w:rPr>
        <w:t xml:space="preserve">Caveat. </w:t>
      </w:r>
      <w:r>
        <w:rPr>
          <w:color w:val="15181F"/>
          <w:sz w:val="18"/>
          <w:szCs w:val="18"/>
        </w:rPr>
        <w:t xml:space="preserve">Do not let the referral's wording settle this. 'Known liver disease' on a request form is not the same as cirrhosis, and MASLD without cirrhosis is not an at-risk liver under either guideline.</w:t>
      </w:r>
    </w:p>
    <w:p>
      <w:pPr>
        <w:spacing w:after="50" w:line="276"/>
        <w:ind w:left="240"/>
      </w:pPr>
      <w:r>
        <w:rPr>
          <w:i/>
          <w:iCs/>
          <w:color w:val="5A6069"/>
          <w:sz w:val="17"/>
          <w:szCs w:val="17"/>
        </w:rPr>
        <w:t xml:space="preserve">Record the aetiology and how cirrhosis was established — histology, imaging, elastography, platelet count, or clinical decompensation. The at-risk answer is the single most consequential line in the report.</w:t>
      </w:r>
    </w:p>
    <w:p>
      <w:pPr>
        <w:spacing w:after="60" w:line="276"/>
        <w:ind w:left="240"/>
      </w:pPr>
      <w:r>
        <w:rPr>
          <w:color w:val="5A6069"/>
          <w:sz w:val="16"/>
          <w:szCs w:val="16"/>
        </w:rPr>
        <w:t xml:space="preserve">Sources: LI-RADS v2018; EASL HCC 2025; AASLD HCC 2023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an at-risk liver, categorise the observation with CT/MRI LI-RADS v2018 and put the category in the report — but read the category as a probability derived from retrospective high-prevalence cohorts, not as a measurement.</w:t>
      </w:r>
    </w:p>
    <w:p>
      <w:pPr>
        <w:spacing w:after="50" w:line="276"/>
        <w:ind w:left="240"/>
      </w:pPr>
      <w:r>
        <w:rPr>
          <w:color w:val="15181F"/>
          <w:sz w:val="18"/>
          <w:szCs w:val="18"/>
        </w:rPr>
        <w:t xml:space="preserve">Every observation in an at-risk liver. In a systematic review of 17 retrospective studies, 2,760 patients and 3,556 observations, the pooled proportions confirmed as HCC and as any malignancy were 94% (95% CI 92-96) and 97% (95-99) for LR-5, 74% (67-80) and 80% (75-85) for LR-4, 38% (31-45) and 40% (31-50) for LR-3, 13% (8-22) and 14% (9-21) for LR-2, and 36% (26-48) and 93% (87-97) for LR-M; no malignancy was found in LR-1.</w:t>
      </w:r>
    </w:p>
    <w:p>
      <w:pPr>
        <w:spacing w:after="50"/>
        <w:ind w:left="240"/>
      </w:pPr>
      <w:r>
        <w:rPr>
          <w:b/>
          <w:bCs/>
          <w:color w:val="8C2F26"/>
          <w:sz w:val="18"/>
          <w:szCs w:val="18"/>
        </w:rPr>
        <w:t xml:space="preserve">Caveat. </w:t>
      </w:r>
      <w:r>
        <w:rPr>
          <w:color w:val="15181F"/>
          <w:sz w:val="18"/>
          <w:szCs w:val="18"/>
        </w:rPr>
        <w:t xml:space="preserve">Three things undercut those figures. All 17 studies were retrospective and observation selection was the commonest high-risk domain, through verification bias and case-control design, so the LR-3 and LR-4 figures are probably inflated relative to an unselected incidental population; the authors themselves call the LR-2 estimate provisional and at high risk of bias while still recommending that LR-2 management be reconsidered, and this page does not inherit that recommendation. The 2022 individual-patient-data meta-analysis of 5,364 observations from 32 studies then shows the major features are not equivalent: nonperipheral washout carried an odds ratio of 13.2 (95% CI 9.0-19.2) and nonrim arterial hyperenhancement 10.3 (6.7-15.6), enhancing capsule only 2.4 (1.7-3.5), and threshold growth was not associated with HCC at all, OR 1.6 (0.8-3.4) — a result the same paper reports a second time as 1.6 (0.7-3.6), p=0.07.</w:t>
      </w:r>
    </w:p>
    <w:p>
      <w:pPr>
        <w:spacing w:after="50" w:line="276"/>
        <w:ind w:left="240"/>
      </w:pPr>
      <w:r>
        <w:rPr>
          <w:i/>
          <w:iCs/>
          <w:color w:val="5A6069"/>
          <w:sz w:val="17"/>
          <w:szCs w:val="17"/>
        </w:rPr>
        <w:t xml:space="preserve">The agreement figures matter as much as the probabilities. Interreader agreement for arterial hyperenhancement and washout is excellent, kappa 0.84-0.87, but agreement on the category that actually drives management is fair for CEUS (kappa 0.30-0.39), fair to substantial for MRI (0.35-0.61) and substantial for CT (0.79), and intermodality agreement is kappa 0.33-0.39 between CT and MRI and 0.22 between MRI and CEUS. A category is not a stable property of the lesion. See the quick reference for the v2018 table.</w:t>
      </w:r>
    </w:p>
    <w:p>
      <w:pPr>
        <w:spacing w:after="60" w:line="276"/>
        <w:ind w:left="240"/>
      </w:pPr>
      <w:r>
        <w:rPr>
          <w:color w:val="5A6069"/>
          <w:sz w:val="16"/>
          <w:szCs w:val="16"/>
        </w:rPr>
        <w:t xml:space="preserve">Sources: LI-RADS v2018; LI-RADS accuracy review; LI-RADS features IPD meta-analysis; EASL HCC 2025</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In a liver that is not at risk, accept that no imaging criterion set exists that can call a lesion hepatocellular carcinoma — EASL 2025 says so explicitly, and the consequence is that an unresolved solid lesion here needs tissue, not another category.</w:t>
      </w:r>
    </w:p>
    <w:p>
      <w:pPr>
        <w:spacing w:after="50" w:line="276"/>
        <w:ind w:left="240"/>
      </w:pPr>
      <w:r>
        <w:rPr>
          <w:color w:val="15181F"/>
          <w:sz w:val="18"/>
          <w:szCs w:val="18"/>
        </w:rPr>
        <w:t xml:space="preserve">The young patient, the patient with no liver disease, and the patient with MASLD and no cirrhosis. EASL 2025: the non-invasive criteria should only be applied to patients with cirrhosis, chronic HBV infection or a history of HCC, and in other patients the diagnosis of HCC should be confirmed by biopsy (LoE 1, strong recommendation). The guideline gives its own reason — the pre-test probability in these populations has not been precisely established.</w:t>
      </w:r>
    </w:p>
    <w:p>
      <w:pPr>
        <w:spacing w:after="50"/>
        <w:ind w:left="240"/>
      </w:pPr>
      <w:r>
        <w:rPr>
          <w:b/>
          <w:bCs/>
          <w:color w:val="8C2F26"/>
          <w:sz w:val="18"/>
          <w:szCs w:val="18"/>
        </w:rPr>
        <w:t xml:space="preserve">Caveat. </w:t>
      </w:r>
      <w:r>
        <w:rPr>
          <w:color w:val="15181F"/>
          <w:sz w:val="18"/>
          <w:szCs w:val="18"/>
        </w:rPr>
        <w:t xml:space="preserve">Do not apply a LI-RADS category outside the at-risk population and then act on it. The number means nothing there, and it will be read as though it did.</w:t>
      </w:r>
    </w:p>
    <w:p>
      <w:pPr>
        <w:spacing w:after="50" w:line="276"/>
        <w:ind w:left="240"/>
      </w:pPr>
      <w:r>
        <w:rPr>
          <w:i/>
          <w:iCs/>
          <w:color w:val="5A6069"/>
          <w:sz w:val="17"/>
          <w:szCs w:val="17"/>
        </w:rPr>
        <w:t xml:space="preserve">This does not mean every solid lesion in a normal liver needs a needle. Most are haemangioma, focal fat or focal nodular hyperplasia and are resolved on this page at gates 4 and 5. It means that an unresolved </w:t>
      </w:r>
      <w:r>
        <w:rPr>
          <w:i/>
          <w:iCs/>
          <w:color w:val="5A6069"/>
          <w:sz w:val="17"/>
          <w:szCs w:val="17"/>
        </w:rPr>
        <w:t xml:space="preserve">solid</w:t>
      </w:r>
      <w:r>
        <w:rPr>
          <w:i/>
          <w:iCs/>
          <w:color w:val="5A6069"/>
          <w:sz w:val="17"/>
          <w:szCs w:val="17"/>
        </w:rPr>
        <w:t xml:space="preserve"> lesion in a normal liver cannot be declared malignant or benign by imaging category alone.</w:t>
      </w:r>
    </w:p>
    <w:p>
      <w:pPr>
        <w:spacing w:after="60" w:line="276"/>
        <w:ind w:left="240"/>
      </w:pPr>
      <w:r>
        <w:rPr>
          <w:color w:val="5A6069"/>
          <w:sz w:val="16"/>
          <w:szCs w:val="16"/>
        </w:rPr>
        <w:t xml:space="preserve">Sources: EASL HCC 2025</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cirrhosis is suspected but not established, say so in those words and treat the pathway as undetermined rather than guessing in either direction.</w:t>
      </w:r>
    </w:p>
    <w:p>
      <w:pPr>
        <w:spacing w:after="50" w:line="276"/>
        <w:ind w:left="240"/>
      </w:pPr>
      <w:r>
        <w:rPr>
          <w:color w:val="15181F"/>
          <w:sz w:val="18"/>
          <w:szCs w:val="18"/>
        </w:rPr>
        <w:t xml:space="preserve">Advanced fibrosis on elastography without decompensation, a nodular liver contour without portal hypertension, long-standing alcohol use with normal synthetic function. Name the uncertainty, get the hepatology opinion, and decide the pathway once.</w:t>
      </w:r>
    </w:p>
    <w:p>
      <w:pPr>
        <w:spacing w:after="50"/>
        <w:ind w:left="240"/>
      </w:pPr>
      <w:r>
        <w:rPr>
          <w:b/>
          <w:bCs/>
          <w:color w:val="8C2F26"/>
          <w:sz w:val="18"/>
          <w:szCs w:val="18"/>
        </w:rPr>
        <w:t xml:space="preserve">Caveat. </w:t>
      </w:r>
      <w:r>
        <w:rPr>
          <w:color w:val="15181F"/>
          <w:sz w:val="18"/>
          <w:szCs w:val="18"/>
        </w:rPr>
        <w:t xml:space="preserve">Do not default to the at-risk pathway because it feels safer. It is not neutral: it licenses a treat-without-tissue decision for LR-5, and in a non-cirrhotic liver that decision has no evidence behind it.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In a liver with a vascular disorder — Budd-Chiari, chronic portal vein occlusion, obliterative portal venopathy, hereditary haemorrhagic telangiectasia, cardiac congestion — treat the case as its own category and get it to a benign-liver-tumour multidisciplinary review rather than through either arm of this gate.</w:t>
      </w:r>
    </w:p>
    <w:p>
      <w:pPr>
        <w:spacing w:after="50" w:line="276"/>
        <w:ind w:left="240"/>
      </w:pPr>
      <w:r>
        <w:rPr>
          <w:color w:val="15181F"/>
          <w:sz w:val="18"/>
          <w:szCs w:val="18"/>
        </w:rPr>
        <w:t xml:space="preserve">These livers generate multiple arterially hyperenhancing benign nodules — in Budd-Chiari syndrome, imaging displays hepatic nodules in 60-80% of patients, usually under 4 cm, frequently more than ten, hypervascular and disseminated, with no pathognomonic CT or MRI pattern — and LI-RADS specifically excludes cirrhosis caused by vascular disorders and by congenital hepatic fibrosis from its population. EASL's vascular-liver-disease guideline is the document that governs them, and it states plainly that characterisation of these nodules cannot rely on the HCC criteria validated in cirrhosis.</w:t>
      </w:r>
    </w:p>
    <w:p>
      <w:pPr>
        <w:spacing w:after="50"/>
        <w:ind w:left="240"/>
      </w:pPr>
      <w:r>
        <w:rPr>
          <w:b/>
          <w:bCs/>
          <w:color w:val="8C2F26"/>
          <w:sz w:val="18"/>
          <w:szCs w:val="18"/>
        </w:rPr>
        <w:t xml:space="preserve">Caveat. </w:t>
      </w:r>
      <w:r>
        <w:rPr>
          <w:color w:val="15181F"/>
          <w:sz w:val="18"/>
          <w:szCs w:val="18"/>
        </w:rPr>
        <w:t xml:space="preserve">Do not categorise a hyperenhancing nodule in a Budd-Chiari liver as LR-4 or LR-5 and act on it, and do not treat benignity as settled either: cumulative HCC incidence in Budd-Chiari syndrome is about 4% at a median 5 years. Note what the guideline does not give you — it reports how often these nodules occur in patients known to have vascular disease, and never the inverse probability a radiologist actually faces, which is the chance of underlying vascular disease given multiple hypervascular nodules in a non-cirrhotic liver. The five biopsy triggers it suggests (three or fewer nodules, a nodule 3 cm or larger, heterogeneity or venous-phase washout, change across two studies, rising alpha-fetoprotein) come from one cited source with no sensitivity or specificity, in the same paragraph that says the only formal recommendation is multidisciplinary surveillance.</w:t>
      </w:r>
    </w:p>
    <w:p>
      <w:pPr>
        <w:spacing w:after="50" w:line="276"/>
        <w:ind w:left="240"/>
      </w:pPr>
      <w:r>
        <w:rPr>
          <w:i/>
          <w:iCs/>
          <w:color w:val="5A6069"/>
          <w:sz w:val="17"/>
          <w:szCs w:val="17"/>
        </w:rPr>
        <w:t xml:space="preserve">Two provenance warnings. First, the EASL vascular-liver guidance this page quotes is the 2015 document, built on the agenda of a single 2012 conference with a PubMed-only search and committee opinion where evidence was absent; it has been superseded by a 2026 EASL edition that this page has not obtained, so every statement sourced to it here is provisional and must be re-checked against the new edition before clinical use. Second, the entity the 2015 guideline calls idiopathic non-cirrhotic portal hypertension has been redefined by the 2026 multisociety consensus as porto-sinusoidal vascular disorder or non-cirrhotic portal fibrosis, and nodular regenerative hyperplasia is now a major histological criterion for that disorder rather than a benign nodular tumour to reassure a patient about. Grade D on purpose: this is a scope rule drawn from documents that grade their own evidence as committee opinion.</w:t>
      </w:r>
    </w:p>
    <w:p>
      <w:pPr>
        <w:spacing w:after="60" w:line="276"/>
        <w:ind w:left="240"/>
      </w:pPr>
      <w:r>
        <w:rPr>
          <w:color w:val="5A6069"/>
          <w:sz w:val="16"/>
          <w:szCs w:val="16"/>
        </w:rPr>
        <w:t xml:space="preserve">Sources: EASL vascular liver 2015; LI-RADS v2018; PSVD/NCPF consensus 2026</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use a LI-RADS category outside the at-risk population, and do not write one into a report for a patient who has no risk factor.</w:t>
      </w:r>
    </w:p>
    <w:p>
      <w:pPr>
        <w:spacing w:after="50" w:line="276"/>
        <w:ind w:left="240"/>
      </w:pPr>
      <w:r>
        <w:rPr>
          <w:color w:val="15181F"/>
          <w:sz w:val="18"/>
          <w:szCs w:val="18"/>
        </w:rPr>
        <w:t xml:space="preserve">Describe the findings in the lexicon — arterial hyperenhancement, washout, capsule — without assigning a category, and route by what the lesion looks like.</w:t>
      </w:r>
    </w:p>
    <w:p>
      <w:pPr>
        <w:spacing w:after="50"/>
        <w:ind w:left="240"/>
      </w:pPr>
      <w:r>
        <w:rPr>
          <w:b/>
          <w:bCs/>
          <w:color w:val="8C2F26"/>
          <w:sz w:val="18"/>
          <w:szCs w:val="18"/>
        </w:rPr>
        <w:t xml:space="preserve">Caveat. </w:t>
      </w:r>
      <w:r>
        <w:rPr>
          <w:color w:val="15181F"/>
          <w:sz w:val="18"/>
          <w:szCs w:val="18"/>
        </w:rPr>
        <w:t xml:space="preserve">A category assigned outside its population is the commonest way a benign adenoma or a metastasis gets treated as HCC.</w:t>
      </w:r>
    </w:p>
    <w:p>
      <w:pPr>
        <w:spacing w:after="60" w:line="276"/>
        <w:ind w:left="240"/>
      </w:pPr>
      <w:r>
        <w:rPr>
          <w:color w:val="5A6069"/>
          <w:sz w:val="16"/>
          <w:szCs w:val="16"/>
        </w:rPr>
        <w:t xml:space="preserve">Sources: LI-RADS v2018; EASL HCC 2025</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 workup before the chart has been read.</w:t>
      </w:r>
    </w:p>
    <w:p>
      <w:pPr>
        <w:spacing w:after="50" w:line="276"/>
        <w:ind w:left="240"/>
      </w:pPr>
      <w:r>
        <w:rPr>
          <w:color w:val="15181F"/>
          <w:sz w:val="18"/>
          <w:szCs w:val="18"/>
        </w:rPr>
        <w:t xml:space="preserve">Risk factors for chronic liver disease, prior cancer, oestrogen and androgen exposure, metabolic syndrome, foreign travel and dysentery, constitutional symptoms, and baseline liver tests all change the differential before any scan is added. EASL's benign-tumour guideline puts the history and the baseline bloods ahead of the contrast study for exactly this reason.</w:t>
      </w:r>
    </w:p>
    <w:p>
      <w:pPr>
        <w:spacing w:after="50"/>
        <w:ind w:left="240"/>
      </w:pPr>
      <w:r>
        <w:rPr>
          <w:b/>
          <w:bCs/>
          <w:color w:val="8C2F26"/>
          <w:sz w:val="18"/>
          <w:szCs w:val="18"/>
        </w:rPr>
        <w:t xml:space="preserve">Caveat. </w:t>
      </w:r>
      <w:r>
        <w:rPr>
          <w:color w:val="15181F"/>
          <w:sz w:val="18"/>
          <w:szCs w:val="18"/>
        </w:rPr>
        <w:t xml:space="preserve">Ordering the next scan without the history is how a patient ends up with three studies and no diagnosis.</w:t>
      </w:r>
    </w:p>
    <w:p>
      <w:pPr>
        <w:spacing w:after="60" w:line="276"/>
        <w:ind w:left="240"/>
      </w:pPr>
      <w:r>
        <w:rPr>
          <w:color w:val="5A6069"/>
          <w:sz w:val="16"/>
          <w:szCs w:val="16"/>
        </w:rPr>
        <w:t xml:space="preserve">Sources: EASL benign tumours 2016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Known extrahepatic malignancy?</w:t>
      </w:r>
    </w:p>
    <w:p>
      <w:pPr>
        <w:spacing w:after="140"/>
      </w:pPr>
      <w:r>
        <w:rPr>
          <w:b/>
          <w:bCs/>
          <w:color w:val="176A87"/>
          <w:sz w:val="19"/>
          <w:szCs w:val="19"/>
        </w:rPr>
        <w:t xml:space="preserve">The question. </w:t>
      </w:r>
      <w:r>
        <w:rPr>
          <w:sz w:val="19"/>
          <w:szCs w:val="19"/>
        </w:rPr>
        <w:t xml:space="preserve">Does this patient have a primary that explains the lesion, and does that primary have a pathway page of its own?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An active or previously treated extrahepatic primary with a propensity to metastasise to the liver</w:t>
      </w:r>
    </w:p>
    <w:p>
      <w:pPr>
        <w:pStyle w:val="ListParagraph"/>
        <w:numPr>
          <w:ilvl w:val="0"/>
          <w:numId w:val="2"/>
        </w:numPr>
        <w:spacing w:after="60" w:line="268"/>
      </w:pPr>
      <w:r>
        <w:rPr>
          <w:color w:val="15181F"/>
          <w:sz w:val="18"/>
          <w:szCs w:val="18"/>
        </w:rPr>
        <w:t xml:space="preserve">Colorectal, breast, lung, pancreatic, gastro-oesophageal, neuroendocrine, melanoma, sarcoma or renal primary</w:t>
      </w:r>
    </w:p>
    <w:p>
      <w:pPr>
        <w:pStyle w:val="ListParagraph"/>
        <w:numPr>
          <w:ilvl w:val="0"/>
          <w:numId w:val="2"/>
        </w:numPr>
        <w:spacing w:after="60" w:line="268"/>
      </w:pPr>
      <w:r>
        <w:rPr>
          <w:color w:val="15181F"/>
          <w:sz w:val="18"/>
          <w:szCs w:val="18"/>
        </w:rPr>
        <w:t xml:space="preserve">On, or recently off, systemic therapy — which changes both the parenchyma and the appearance of the lesion</w:t>
      </w:r>
    </w:p>
    <w:p>
      <w:pPr>
        <w:pStyle w:val="ListParagraph"/>
        <w:numPr>
          <w:ilvl w:val="0"/>
          <w:numId w:val="2"/>
        </w:numPr>
        <w:spacing w:after="60" w:line="268"/>
      </w:pPr>
      <w:r>
        <w:rPr>
          <w:color w:val="15181F"/>
          <w:sz w:val="18"/>
          <w:szCs w:val="18"/>
        </w:rPr>
        <w:t xml:space="preserve">No known primary — in which case the pre-test probability of malignancy in a small lesion is close to nil</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Characterise with MRI, including diffusion-weighted imaging, rather than repeating the CT — but order it for the sub-centimetre lesion, which is the only place MRI has been shown to beat CT.</w:t>
      </w:r>
    </w:p>
    <w:p>
      <w:pPr>
        <w:spacing w:after="50" w:line="276"/>
        <w:ind w:left="240"/>
      </w:pPr>
      <w:r>
        <w:rPr>
          <w:color w:val="15181F"/>
          <w:sz w:val="18"/>
          <w:szCs w:val="18"/>
        </w:rPr>
        <w:t xml:space="preserve">Any indeterminate lesion in a patient with a known extrahepatic malignancy. The ACR incidental-findings algorithm names MRI as the modality for further workup in all four of its core recommendations, and the ACR Appropriateness Criteria make MRI without and with intravenous contrast the only option rated usually appropriate for a sub-centimetre lesion found on ultrasound in a patient with a known extrahepatic malignancy.</w:t>
      </w:r>
    </w:p>
    <w:p>
      <w:pPr>
        <w:spacing w:after="50"/>
        <w:ind w:left="240"/>
      </w:pPr>
      <w:r>
        <w:rPr>
          <w:b/>
          <w:bCs/>
          <w:color w:val="8C2F26"/>
          <w:sz w:val="18"/>
          <w:szCs w:val="18"/>
        </w:rPr>
        <w:t xml:space="preserve">Caveat. </w:t>
      </w:r>
      <w:r>
        <w:rPr>
          <w:color w:val="15181F"/>
          <w:sz w:val="18"/>
          <w:szCs w:val="18"/>
        </w:rPr>
        <w:t xml:space="preserve">Do not overstate the margin. In a meta-analysis of 39 prospective studies and 3,391 untreated colorectal cancer patients, per-lesion sensitivity was 80.3% (95% CI 74.6-85.0) for MRI against 74.4% (68.7-79.3) for CT — overlapping intervals, no significant difference — and per-patient sensitivity 88.2% (64.8-96.8) against 83.6% (66.9-92.8), p=0.653, also not significant. The one real advantage is below 10 mm: 60.2% (54.4-65.7) for MRI against 47.3% (40.1-54.5) for CT, p=0.006. At 10 mm or larger there is no difference at all, 89.0% against 86.7%, p=0.617. Note also what the meta-analysis did </w:t>
      </w:r>
      <w:r>
        <w:rPr>
          <w:i/>
          <w:iCs/>
          <w:color w:val="15181F"/>
          <w:sz w:val="18"/>
          <w:szCs w:val="18"/>
        </w:rPr>
        <w:t xml:space="preserve">not</w:t>
      </w:r>
      <w:r>
        <w:rPr>
          <w:color w:val="15181F"/>
          <w:sz w:val="18"/>
          <w:szCs w:val="18"/>
        </w:rPr>
        <w:t xml:space="preserve"> find: liver-specific contrast material, multisection scanners and dual-phase acquisition each gave no measurable benefit, so the case for MRI rests on the sequences and not on the agent.</w:t>
      </w:r>
    </w:p>
    <w:p>
      <w:pPr>
        <w:spacing w:after="50" w:line="276"/>
        <w:ind w:left="240"/>
      </w:pPr>
      <w:r>
        <w:rPr>
          <w:i/>
          <w:iCs/>
          <w:color w:val="5A6069"/>
          <w:sz w:val="17"/>
          <w:szCs w:val="17"/>
        </w:rPr>
        <w:t xml:space="preserve">Two cautions on transporting those numbers. They come from treatment-naive patients being staged for a known colorectal primary, where prevalence is high; the paper reports no predictive values at all, and after chemotherapy steatosis and sinusoidal injury degrade detection on every modality. And the figure that matters for a sub-centimetre lesion cuts against reassurance: the test being ordered to characterise it misses two metastases in five at that size. The same paper publishes two incompatible sets of per-patient sensitivities — 83.6, 88.2 and 94.1% in the abstract and Table 4, and 81.2, 93.4 and 94.2% in its own summary box — and does not reconcile them.</w:t>
      </w:r>
    </w:p>
    <w:p>
      <w:pPr>
        <w:spacing w:after="60" w:line="276"/>
        <w:ind w:left="240"/>
      </w:pPr>
      <w:r>
        <w:rPr>
          <w:color w:val="5A6069"/>
          <w:sz w:val="16"/>
          <w:szCs w:val="16"/>
        </w:rPr>
        <w:t xml:space="preserve">Sources: ACR liver white paper 2017; CRLM imaging meta-analysis; ACR AC liver lesion 2020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a sub-centimetre lesion in a cancer patient as probably benign but explicitly unresolved, and say which of the two it is in the report.</w:t>
      </w:r>
    </w:p>
    <w:p>
      <w:pPr>
        <w:spacing w:after="50" w:line="276"/>
        <w:ind w:left="240"/>
      </w:pPr>
      <w:r>
        <w:rPr>
          <w:color w:val="15181F"/>
          <w:sz w:val="18"/>
          <w:szCs w:val="18"/>
        </w:rPr>
        <w:t xml:space="preserve">Every small lesion reported in a patient under oncological surveillance. In 2,978 cancer patients who had both an initial and a follow-up abdominal CT at one cancer centre, a small hepatic lesion was mentioned in the radiology report of 378 (12.7%); 44 of the 378 (11.6%) grew and were counted metastatic, 303 (80.2%) were stable over a mean 25.6 months, and 31 (8.2%) were stable for under 6 months and left indeterminate. The rate varied by primary: metastatic in 3 of 76 (4%) with lymphoma, 8 of 57 (14%) with colorectal cancer and 14 of 63 (22%) with breast cancer.</w:t>
      </w:r>
    </w:p>
    <w:p>
      <w:pPr>
        <w:spacing w:after="50"/>
        <w:ind w:left="240"/>
      </w:pPr>
      <w:r>
        <w:rPr>
          <w:b/>
          <w:bCs/>
          <w:color w:val="8C2F26"/>
          <w:sz w:val="18"/>
          <w:szCs w:val="18"/>
        </w:rPr>
        <w:t xml:space="preserve">Caveat. </w:t>
      </w:r>
      <w:r>
        <w:rPr>
          <w:color w:val="15181F"/>
          <w:sz w:val="18"/>
          <w:szCs w:val="18"/>
        </w:rPr>
        <w:t xml:space="preserve">Do not quote 11.6% as the malignant rate without saying it is the most favourable of three analyses the authors ran. Counting all 31 indeterminates as malignant gives 19.8%, and splitting them evenly gives 15.7% — nearly one in five at the top end. Benignity was defined as not growing on the same test, with no histology in any case, and requiring a second CT at the same institution conditions the cohort on surviving and staying in follow-up, which preferentially removes the patients whose lesions would have grown. The ACR algorithm's rule for this patient is a new sub-centimetre lesion in a high-risk liver gets MRI at 3 to 6 months — a deliberate interval, not a discharge.</w:t>
      </w:r>
    </w:p>
    <w:p>
      <w:pPr>
        <w:spacing w:after="50" w:line="276"/>
        <w:ind w:left="240"/>
      </w:pPr>
      <w:r>
        <w:rPr>
          <w:i/>
          <w:iCs/>
          <w:color w:val="5A6069"/>
          <w:sz w:val="17"/>
          <w:szCs w:val="17"/>
        </w:rPr>
        <w:t xml:space="preserve">Number and size pull in different directions in the two series and neither is decisive. In the cancer-centre cohort, solitary and multiple lesions did not differ significantly (metastatic in 9.8% against 14.0%, p&gt;0.05), and nor did the presence of extrahepatic metastases (36% against 25.7%, p&gt;0.05); the study was underpowered for both and reports no power calculation. In the older 1,454-examination CT series, the gradient by number was steep — 5% of patients with one small lesion progressed against 76% of those with five or more — but lesion number there is confounded with tumour burden and stage.</w:t>
      </w:r>
    </w:p>
    <w:p>
      <w:pPr>
        <w:spacing w:after="60" w:line="276"/>
        <w:ind w:left="240"/>
      </w:pPr>
      <w:r>
        <w:rPr>
          <w:color w:val="5A6069"/>
          <w:sz w:val="16"/>
          <w:szCs w:val="16"/>
        </w:rPr>
        <w:t xml:space="preserve">Sources: Schwartz 1999; Jones 1992; ACR liver white paper 2017</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Route by the primary's name, not by the word metastasis: a known colorectal primary is the CRLM pathway from here, and a known neuroendocrine primary is the NELM pathway from here.</w:t>
      </w:r>
    </w:p>
    <w:p>
      <w:pPr>
        <w:spacing w:after="50" w:line="276"/>
        <w:ind w:left="240"/>
      </w:pPr>
      <w:r>
        <w:rPr>
          <w:color w:val="15181F"/>
          <w:sz w:val="18"/>
          <w:szCs w:val="18"/>
        </w:rPr>
        <w:t xml:space="preserve">As soon as the primary is established. Those pathways carry their own resectability, sequencing and biopsy rules, and the most common way to damage a patient at this gate is to start a generic workup instead of entering the right pathway. For colorectal disease in particular the consequence is concrete — biopsy of a resectable colorectal liver metastasis is contraindicated on that pathway, and this page's job is to get the patient there before anyone books one.</w:t>
      </w:r>
    </w:p>
    <w:p>
      <w:pPr>
        <w:spacing w:after="50"/>
        <w:ind w:left="240"/>
      </w:pPr>
      <w:r>
        <w:rPr>
          <w:b/>
          <w:bCs/>
          <w:color w:val="8C2F26"/>
          <w:sz w:val="18"/>
          <w:szCs w:val="18"/>
        </w:rPr>
        <w:t xml:space="preserve">Caveat. </w:t>
      </w:r>
      <w:r>
        <w:rPr>
          <w:color w:val="15181F"/>
          <w:sz w:val="18"/>
          <w:szCs w:val="18"/>
        </w:rPr>
        <w:t xml:space="preserve">Do not route on an assumption. A liver lesion in a patient with a treated colorectal cancer is not automatically a colorectal metastasis, and the local master workup CPG requires colorectal origin to be confirmed and the primary's status verified before the CRLM pathway is entered.</w:t>
      </w:r>
    </w:p>
    <w:p>
      <w:pPr>
        <w:spacing w:after="50" w:line="276"/>
        <w:ind w:left="240"/>
      </w:pPr>
      <w:r>
        <w:rPr>
          <w:i/>
          <w:iCs/>
          <w:color w:val="5A6069"/>
          <w:sz w:val="17"/>
          <w:szCs w:val="17"/>
        </w:rPr>
        <w:t xml:space="preserve">The local Master Workup and Staging CPG sets the minimum staging bundle for each destination: CT or MRI of chest, abdomen and pelvis plus FDG PET-CT, CEA, colonoscopy and molecular profile for CRLM; somatostatin-receptor imaging, cross-sectional staging and central review of grade and Ki-67 for neuroendocrine liver metastases.</w:t>
      </w:r>
    </w:p>
    <w:p>
      <w:pPr>
        <w:spacing w:after="60" w:line="276"/>
        <w:ind w:left="240"/>
      </w:pPr>
      <w:r>
        <w:rPr>
          <w:color w:val="5A6069"/>
          <w:sz w:val="16"/>
          <w:szCs w:val="16"/>
        </w:rPr>
        <w:t xml:space="preserve">Sources: Jones 2005 CRLM biopsy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often each is the right answer in an unselected incidental population, not by any comparative trial — none compares them for this indication. Both are second tests ordered for a named reason; neither characterises a lesion the liver MRI left indeterminate.</w:t>
      </w:r>
    </w:p>
    <w:p>
      <w:pPr>
        <w:spacing w:after="50" w:before="120"/>
        <w:ind w:left="240"/>
      </w:pPr>
      <w:r>
        <w:rPr>
          <w:b/>
          <w:bCs/>
          <w:color w:val="15181F"/>
          <w:sz w:val="19"/>
          <w:szCs w:val="19"/>
        </w:rPr>
        <w:t xml:space="preserve">FDG PET-CT</w:t>
      </w:r>
      <w:r>
        <w:rPr>
          <w:color w:val="5A6069"/>
          <w:sz w:val="15"/>
          <w:szCs w:val="15"/>
        </w:rPr>
        <w:t xml:space="preserve">   grade C</w:t>
      </w:r>
    </w:p>
    <w:p>
      <w:pPr>
        <w:spacing w:after="50" w:line="276"/>
        <w:ind w:left="240"/>
      </w:pPr>
      <w:r>
        <w:rPr>
          <w:color w:val="15181F"/>
          <w:sz w:val="18"/>
          <w:szCs w:val="18"/>
        </w:rPr>
        <w:t xml:space="preserve">The ACR Appropriateness Criteria rate FDG PET-CT usually appropriate in exactly one of eight variants — an indeterminate liver lesion larger than 1 cm found on non-contrast or single-phase CT or non-contrast MRI in a patient with a known extrahepatic malignancy. For the same lesion found on ultrasound it drops to may be appropriate, and it is rated usually not appropriate in a normal liver on the explicit basis that there is no relevant literature supporting its use there.</w:t>
      </w:r>
    </w:p>
    <w:p>
      <w:pPr>
        <w:spacing w:after="50" w:line="276"/>
        <w:ind w:left="240"/>
      </w:pPr>
      <w:r>
        <w:rPr>
          <w:color w:val="15181F"/>
          <w:sz w:val="18"/>
          <w:szCs w:val="18"/>
        </w:rPr>
        <w:t xml:space="preserve">The larger indeterminate lesion where the question is whether disease is confined to the liver, since the test answers a staging question the liver MRI cannot. Per-patient sensitivity for colorectal liver metastases was 94.1% (95% CI 91.6-95.9), higher than CT at 83.6% (66.9-92.8), p=0.025.</w:t>
      </w:r>
    </w:p>
    <w:p>
      <w:pPr>
        <w:spacing w:after="50"/>
        <w:ind w:left="240"/>
      </w:pPr>
      <w:r>
        <w:rPr>
          <w:b/>
          <w:bCs/>
          <w:color w:val="8C2F26"/>
          <w:sz w:val="18"/>
          <w:szCs w:val="18"/>
        </w:rPr>
        <w:t xml:space="preserve">Caveat. </w:t>
      </w:r>
      <w:r>
        <w:rPr>
          <w:color w:val="15181F"/>
          <w:sz w:val="18"/>
          <w:szCs w:val="18"/>
        </w:rPr>
        <w:t xml:space="preserve">Do not use it to clear a small lesion. Per-lesion sensitivity was 81.4% (66.5-90.6), statistically indistinguishable from MRI at 80.3%, and the FDG PET/CT data specifically amounted to one per-lesion data set, far too few for comparison with other modalities. A negative PET does not characterise a sub-centimetre lesion.</w:t>
      </w:r>
    </w:p>
    <w:p>
      <w:pPr>
        <w:spacing w:after="60" w:line="276"/>
        <w:ind w:left="240"/>
      </w:pPr>
      <w:r>
        <w:rPr>
          <w:color w:val="5A6069"/>
          <w:sz w:val="16"/>
          <w:szCs w:val="16"/>
        </w:rPr>
        <w:t xml:space="preserve">Sources: CRLM imaging meta-analysis; ACR AC liver lesion 2020; ACR liver white paper 2017</w:t>
      </w:r>
    </w:p>
    <w:p>
      <w:pPr>
        <w:spacing w:after="50" w:before="120"/>
        <w:ind w:left="240"/>
      </w:pPr>
      <w:r>
        <w:rPr>
          <w:b/>
          <w:bCs/>
          <w:color w:val="15181F"/>
          <w:sz w:val="19"/>
          <w:szCs w:val="19"/>
        </w:rPr>
        <w:t xml:space="preserve">Somatostatin-receptor PET</w:t>
      </w:r>
      <w:r>
        <w:rPr>
          <w:color w:val="5A6069"/>
          <w:sz w:val="15"/>
          <w:szCs w:val="15"/>
        </w:rPr>
        <w:t xml:space="preserve">   grade C</w:t>
      </w:r>
    </w:p>
    <w:p>
      <w:pPr>
        <w:spacing w:after="50" w:line="276"/>
        <w:ind w:left="240"/>
      </w:pPr>
      <w:r>
        <w:rPr>
          <w:color w:val="15181F"/>
          <w:sz w:val="18"/>
          <w:szCs w:val="18"/>
        </w:rPr>
        <w:t xml:space="preserve">The functional study for a suspected or known neuroendocrine primary, and the one the local master workup CPG names in the minimum staging bundle for neuroendocrine liver metastases. The ACR Appropriateness Criteria rate DOTATATE PET-CT may be appropriate for an indeterminate lesion larger than 1 cm in a patient with a known extrahepatic malignancy, and usually not appropriate in a normal liver.</w:t>
      </w:r>
    </w:p>
    <w:p>
      <w:pPr>
        <w:spacing w:after="50" w:line="276"/>
        <w:ind w:left="240"/>
      </w:pPr>
      <w:r>
        <w:rPr>
          <w:color w:val="15181F"/>
          <w:sz w:val="18"/>
          <w:szCs w:val="18"/>
        </w:rPr>
        <w:t xml:space="preserve">A hypervascular, often multiple lesion set in a patient with flushing, diarrhoea, a known small-bowel or pancreatic primary, or a previously resected neuroendocrine tumour — which is the NELM pathway from here.</w:t>
      </w:r>
    </w:p>
    <w:p>
      <w:pPr>
        <w:spacing w:after="50"/>
        <w:ind w:left="240"/>
      </w:pPr>
      <w:r>
        <w:rPr>
          <w:b/>
          <w:bCs/>
          <w:color w:val="8C2F26"/>
          <w:sz w:val="18"/>
          <w:szCs w:val="18"/>
        </w:rPr>
        <w:t xml:space="preserve">Caveat. </w:t>
      </w:r>
      <w:r>
        <w:rPr>
          <w:color w:val="15181F"/>
          <w:sz w:val="18"/>
          <w:szCs w:val="18"/>
        </w:rPr>
        <w:t xml:space="preserve">Do not substitute it for cross-sectional liver imaging; it answers receptor status and whole-body distribution, not resectability. And do not read the appropriateness rating as evidence — the criteria dismiss it in the normal-liver variants on the stated ground that no relevant literature exists, which is absence of evidence converted into a numerical rating.</w:t>
      </w:r>
    </w:p>
    <w:p>
      <w:pPr>
        <w:spacing w:after="60" w:line="276"/>
        <w:ind w:left="240"/>
      </w:pPr>
      <w:r>
        <w:rPr>
          <w:color w:val="5A6069"/>
          <w:sz w:val="16"/>
          <w:szCs w:val="16"/>
        </w:rPr>
        <w:t xml:space="preserve">Sources: ACR AC liver lesion 2020; ACR liver white paper 2017</w:t>
      </w:r>
    </w:p>
    <w:p>
      <w:pPr>
        <w:spacing w:after="60" w:line="276"/>
        <w:ind w:left="240"/>
      </w:pPr>
      <w:r>
        <w:rPr>
          <w:i/>
          <w:iCs/>
          <w:color w:val="5A6069"/>
          <w:sz w:val="16"/>
          <w:szCs w:val="16"/>
        </w:rPr>
        <w:t xml:space="preserve">Ratification item: whether FDG PET-CT may be ordered from the radiology report alone for an indeterminate lesion in a cancer patient, or only after the primary team has named the question. The ACR criteria support the test in one narrow variant and the commonest local failure is ordering it in the other seven — but note that those ratings are panel medians from a RAND/UCLA process whose rating dispersion and evidence grading are published on a separate ACR website and not in the paper, so the group cannot tell from the publication which ratings were near-unanimous and which were marginal. Audit: PET-CT ordered for liver characterisation, by lesion size and risk category.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lesion is the only evidence of metastatic disease and would change the treatment plan from curative to palliative, treat that as a multidisciplinary question rather than a radiological one.</w:t>
      </w:r>
    </w:p>
    <w:p>
      <w:pPr>
        <w:spacing w:after="50" w:line="276"/>
        <w:ind w:left="240"/>
      </w:pPr>
      <w:r>
        <w:rPr>
          <w:color w:val="15181F"/>
          <w:sz w:val="18"/>
          <w:szCs w:val="18"/>
        </w:rPr>
        <w:t xml:space="preserve">The patient about to have a curative resection of a colorectal, breast or lung primary, in whom one sub-centimetre liver lesion appeared on the staging CT. The 80.2% stability rate in the 2,978-patient series is a reason to re-image rather than to abandon the operation — bearing in mind that the same series puts the malignant rate anywhere from 11.6% to 19.8% depending on how its 31 indeterminate lesions are counted.</w:t>
      </w:r>
    </w:p>
    <w:p>
      <w:pPr>
        <w:spacing w:after="50"/>
        <w:ind w:left="240"/>
      </w:pPr>
      <w:r>
        <w:rPr>
          <w:b/>
          <w:bCs/>
          <w:color w:val="8C2F26"/>
          <w:sz w:val="18"/>
          <w:szCs w:val="18"/>
        </w:rPr>
        <w:t xml:space="preserve">Caveat. </w:t>
      </w:r>
      <w:r>
        <w:rPr>
          <w:color w:val="15181F"/>
          <w:sz w:val="18"/>
          <w:szCs w:val="18"/>
        </w:rPr>
        <w:t xml:space="preserve">Do not let an 8 mm indeterminate lesion cancel a curative operation without the board seeing it, and do not let it be ignored either.</w:t>
      </w:r>
    </w:p>
    <w:p>
      <w:pPr>
        <w:spacing w:after="60" w:line="276"/>
        <w:ind w:left="240"/>
      </w:pPr>
      <w:r>
        <w:rPr>
          <w:color w:val="5A6069"/>
          <w:sz w:val="16"/>
          <w:szCs w:val="16"/>
        </w:rPr>
        <w:t xml:space="preserve">Sources: Schwartz 1999</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biopsy a liver lesion in a patient whose colorectal liver metastases are resectable.</w:t>
      </w:r>
    </w:p>
    <w:p>
      <w:pPr>
        <w:spacing w:after="50" w:line="276"/>
        <w:ind w:left="240"/>
      </w:pPr>
      <w:r>
        <w:rPr>
          <w:color w:val="15181F"/>
          <w:sz w:val="18"/>
          <w:szCs w:val="18"/>
        </w:rPr>
        <w:t xml:space="preserve">Confirm colorectal origin from the primary's pathology and operate. This is the position of the CRLM pathway and the reason routing by name matters at this gate.</w:t>
      </w:r>
    </w:p>
    <w:p>
      <w:pPr>
        <w:spacing w:after="50"/>
        <w:ind w:left="240"/>
      </w:pPr>
      <w:r>
        <w:rPr>
          <w:b/>
          <w:bCs/>
          <w:color w:val="8C2F26"/>
          <w:sz w:val="18"/>
          <w:szCs w:val="18"/>
        </w:rPr>
        <w:t xml:space="preserve">Caveat. </w:t>
      </w:r>
      <w:r>
        <w:rPr>
          <w:color w:val="15181F"/>
          <w:sz w:val="18"/>
          <w:szCs w:val="18"/>
        </w:rPr>
        <w:t xml:space="preserve">In 598 patients resected with curative intent for colorectal metastases, 90 had been biopsied before referral and 17 of those 90 (19%) had needle-track deposits; 4-year overall survival after resection was 32.5% (standard error 5.5) against 46.7% (2.8) in the 508 not biopsied, p=0.008, an absolute difference of 14.2% (95% CI 2.0-26.4). Read the limits honestly, because they are larger than the paper admits. Every biopsy happened at a referring hospital, so the exposure is really a referral route and a marker of diagnostic uncertainty; the biopsied group had synchronous colorectal and hepatic disease in 61% against 26%, p&lt;0.001, the single largest prognostic imbalance in the paper, dismissed without any multivariable model; the claimed independent effect of biopsy is reported as 'p=0.001, Student's t test' with no hazard ratio, confidence interval or covariate list; and conditioning the denominator on having reached a curative resection removes the patients whom dissemination had already made inoperable. The 19% track-deposit rate is the harder number, though open biopsy at laparotomy produced as many deposits as a percutaneous needle (22% against 15%, p=0.398), which suggests some of what was counted is laparotomy implantation rather than needle tracking.</w:t>
      </w:r>
    </w:p>
    <w:p>
      <w:pPr>
        <w:spacing w:after="50" w:line="276"/>
        <w:ind w:left="240"/>
      </w:pPr>
      <w:r>
        <w:rPr>
          <w:i/>
          <w:iCs/>
          <w:color w:val="5A6069"/>
          <w:sz w:val="17"/>
          <w:szCs w:val="17"/>
        </w:rPr>
        <w:t xml:space="preserve">The counterweight is real and also thin: in the same series, inadvertent resection for benign disease without preoperative histology occurred in 6 of 514 (1.2%) — two haemangiomas and four cysts — in a specialist unit with intraoperative ultrasound. Six events in expert hands is not a rate that transports to a general surgical setting.</w:t>
      </w:r>
    </w:p>
    <w:p>
      <w:pPr>
        <w:spacing w:after="60" w:line="276"/>
        <w:ind w:left="240"/>
      </w:pPr>
      <w:r>
        <w:rPr>
          <w:color w:val="5A6069"/>
          <w:sz w:val="16"/>
          <w:szCs w:val="16"/>
        </w:rPr>
        <w:t xml:space="preserve">Sources: Jones 2005 CRLM biopsy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characterise a liver lesion on a scan that was not acquired to characterise it.</w:t>
      </w:r>
    </w:p>
    <w:p>
      <w:pPr>
        <w:spacing w:after="50" w:line="276"/>
        <w:ind w:left="240"/>
      </w:pPr>
      <w:r>
        <w:rPr>
          <w:color w:val="15181F"/>
          <w:sz w:val="18"/>
          <w:szCs w:val="18"/>
        </w:rPr>
        <w:t xml:space="preserve">If the study was a single-phase staging CT, say the lesion is unresolved and name the test that would resolve it.</w:t>
      </w:r>
    </w:p>
    <w:p>
      <w:pPr>
        <w:spacing w:after="50"/>
        <w:ind w:left="240"/>
      </w:pPr>
      <w:r>
        <w:rPr>
          <w:b/>
          <w:bCs/>
          <w:color w:val="8C2F26"/>
          <w:sz w:val="18"/>
          <w:szCs w:val="18"/>
        </w:rPr>
        <w:t xml:space="preserve">Caveat. </w:t>
      </w:r>
      <w:r>
        <w:rPr>
          <w:color w:val="15181F"/>
          <w:sz w:val="18"/>
          <w:szCs w:val="18"/>
        </w:rPr>
        <w:t xml:space="preserve">The ACR algorithm's benign and suspicious feature lists assume adequate phases and adequate dose; it warns that assessing small liver lesions is challenging when aggressive dose-reduction has been used, particularly in high-risk patients.</w:t>
      </w:r>
    </w:p>
    <w:p>
      <w:pPr>
        <w:spacing w:after="60" w:line="276"/>
        <w:ind w:left="240"/>
      </w:pPr>
      <w:r>
        <w:rPr>
          <w:color w:val="5A6069"/>
          <w:sz w:val="16"/>
          <w:szCs w:val="16"/>
        </w:rPr>
        <w:t xml:space="preserve">Sources: ACR liver white paper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The cystic lesion — resolved here or escalated here</w:t>
      </w:r>
    </w:p>
    <w:p>
      <w:pPr>
        <w:spacing w:after="140"/>
      </w:pPr>
      <w:r>
        <w:rPr>
          <w:b/>
          <w:bCs/>
          <w:color w:val="176A87"/>
          <w:sz w:val="19"/>
          <w:szCs w:val="19"/>
        </w:rPr>
        <w:t xml:space="preserve">The question. </w:t>
      </w:r>
      <w:r>
        <w:rPr>
          <w:sz w:val="19"/>
          <w:szCs w:val="19"/>
        </w:rPr>
        <w:t xml:space="preserve">Is this water in a bag, or is it something that needs an operation or a drain?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Homogeneous water attenuation, roughly −10 to +20 HU, sharply marginated, no wall thickening, no septation, no mural nodule, no enhancement</w:t>
      </w:r>
    </w:p>
    <w:p>
      <w:pPr>
        <w:pStyle w:val="ListParagraph"/>
        <w:numPr>
          <w:ilvl w:val="0"/>
          <w:numId w:val="2"/>
        </w:numPr>
        <w:spacing w:after="60" w:line="268"/>
      </w:pPr>
      <w:r>
        <w:rPr>
          <w:color w:val="15181F"/>
          <w:sz w:val="18"/>
          <w:szCs w:val="18"/>
        </w:rPr>
        <w:t xml:space="preserve">Multiple sub-15 mm cystic foci scattered through both lobes, no biliary communication on MRCP — biliary hamartomas</w:t>
      </w:r>
    </w:p>
    <w:p>
      <w:pPr>
        <w:pStyle w:val="ListParagraph"/>
        <w:numPr>
          <w:ilvl w:val="0"/>
          <w:numId w:val="2"/>
        </w:numPr>
        <w:spacing w:after="60" w:line="268"/>
      </w:pPr>
      <w:r>
        <w:rPr>
          <w:color w:val="15181F"/>
          <w:sz w:val="18"/>
          <w:szCs w:val="18"/>
        </w:rPr>
        <w:t xml:space="preserve">Fever, rigors, raised inflammatory markers, a rim-enhancing collection with surrounding oedema — abscess</w:t>
      </w:r>
    </w:p>
    <w:p>
      <w:pPr>
        <w:pStyle w:val="ListParagraph"/>
        <w:numPr>
          <w:ilvl w:val="0"/>
          <w:numId w:val="2"/>
        </w:numPr>
        <w:spacing w:after="60" w:line="268"/>
      </w:pPr>
      <w:r>
        <w:rPr>
          <w:color w:val="15181F"/>
          <w:sz w:val="18"/>
          <w:szCs w:val="18"/>
        </w:rPr>
        <w:t xml:space="preserve">Any septation, mural nodularity, wall thickening, enhancing component, or a daughter-cyst or membrane pattern — not a simple cyst</w:t>
      </w:r>
    </w:p>
    <w:p>
      <w:pPr>
        <w:pStyle w:val="ListParagraph"/>
        <w:numPr>
          <w:ilvl w:val="0"/>
          <w:numId w:val="2"/>
        </w:numPr>
        <w:spacing w:after="60" w:line="268"/>
      </w:pPr>
      <w:r>
        <w:rPr>
          <w:color w:val="15181F"/>
          <w:sz w:val="18"/>
          <w:szCs w:val="18"/>
        </w:rPr>
        <w:t xml:space="preserve">Measured enhancement greater than 20 HU between pre- and post-contrast phases, with pseudoenhancement excluded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homogeneous, sharply marginated, non-enhancing lesion of water attenuation is a simple cyst: say so, give no follow-up interval, and discharge it.</w:t>
      </w:r>
    </w:p>
    <w:p>
      <w:pPr>
        <w:spacing w:after="50" w:line="276"/>
        <w:ind w:left="240"/>
      </w:pPr>
      <w:r>
        <w:rPr>
          <w:color w:val="15181F"/>
          <w:sz w:val="18"/>
          <w:szCs w:val="18"/>
        </w:rPr>
        <w:t xml:space="preserve">The commonest cystic finding by a wide margin. The ACR criteria are -10 to +20 Hounsfield units, homogeneous and sharply marginated, with no enhancement, wall thickening, nodularity or septa; enhancement should be 20 HU or less after contrast. In 45,319 ultrasound examinations at one German university hospital, hepatic cysts were the second commonest of five pre-specified benign findings at 2,631 (5.81%), mean size 22.3 mm, solitary in 62.8%, rising monotonically with age from 0.8% in those under 30.</w:t>
      </w:r>
    </w:p>
    <w:p>
      <w:pPr>
        <w:spacing w:after="50"/>
        <w:ind w:left="240"/>
      </w:pPr>
      <w:r>
        <w:rPr>
          <w:b/>
          <w:bCs/>
          <w:color w:val="8C2F26"/>
          <w:sz w:val="18"/>
          <w:szCs w:val="18"/>
        </w:rPr>
        <w:t xml:space="preserve">Caveat. </w:t>
      </w:r>
      <w:r>
        <w:rPr>
          <w:color w:val="15181F"/>
          <w:sz w:val="18"/>
          <w:szCs w:val="18"/>
        </w:rPr>
        <w:t xml:space="preserve">Three cautions, two of them the white paper's own. Pseudoenhancement can make a genuinely benign cyst measure above 20 HU, so a single high reading is not proof of a solid component — and the same document concedes that in a lesion under 1 cm an accurate density measurement may not be attainable at all, which is precisely where most of the caseload sits. Cystic metastases exist, with ovarian cancer and gastrointestinal stromal tumours the named examples, so low density alone is not definitive in a patient with cancer. And the 5.81% figure is a prevalence of one benign finding in a hospital ultrasound population, not a probability that this cyst is benign: metastases, HCC, abscess and biliary hamartoma were never counted in that study's numerator.</w:t>
      </w:r>
    </w:p>
    <w:p>
      <w:pPr>
        <w:spacing w:after="50" w:line="276"/>
        <w:ind w:left="240"/>
      </w:pPr>
      <w:r>
        <w:rPr>
          <w:i/>
          <w:iCs/>
          <w:color w:val="5A6069"/>
          <w:sz w:val="17"/>
          <w:szCs w:val="17"/>
        </w:rPr>
        <w:t xml:space="preserve">Discharge rule: a simple cyst in a patient with no known malignancy needs no imaging follow-up, no size threshold and no interval. Symptoms from a large cyst are a surgical question, not a diagnostic one. The 20 HU threshold itself is a consensus number — the 2010 white paper gave it as 'up to about 20 HU' and invoked radiologists' discretion to resolve the pseudoenhancement problem — so it is a reporting convention, not a derived cut-point.</w:t>
      </w:r>
    </w:p>
    <w:p>
      <w:pPr>
        <w:spacing w:after="60" w:line="276"/>
        <w:ind w:left="240"/>
      </w:pPr>
      <w:r>
        <w:rPr>
          <w:color w:val="5A6069"/>
          <w:sz w:val="16"/>
          <w:szCs w:val="16"/>
        </w:rPr>
        <w:t xml:space="preserve">Sources: ACR liver white paper 2017; Kaltenbach 2016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Multiple small non-enhancing cystic foci that do not communicate with the biliary tree on MRCP are biliary hamartomas — von Meyenburg complexes — and the diagnosis is made on MRI, not by counting them on CT.</w:t>
      </w:r>
    </w:p>
    <w:p>
      <w:pPr>
        <w:spacing w:after="50" w:line="276"/>
        <w:ind w:left="240"/>
      </w:pPr>
      <w:r>
        <w:rPr>
          <w:color w:val="15181F"/>
          <w:sz w:val="18"/>
          <w:szCs w:val="18"/>
        </w:rPr>
        <w:t xml:space="preserve">The patient whose CT was read as multiple sub-centimetre hypodensities, which is the point at which a cancer patient gets labelled metastatic by mistake. These are ductal plate malformations, usually 1 to 15 mm and mostly under 5 mm, subcapsular and periportal, and they are common: a single autopsy series of 2,843 cases gives a prevalence of about 5.6%, and in 95 forensic autopsies of men aged 35 to 69 with targeted sectioning, bile duct tumours were the most frequent finding at 26 cases (27%), mean diameter 1.3 mm, multiple in 46% of the men.</w:t>
      </w:r>
    </w:p>
    <w:p>
      <w:pPr>
        <w:spacing w:after="50"/>
        <w:ind w:left="240"/>
      </w:pPr>
      <w:r>
        <w:rPr>
          <w:b/>
          <w:bCs/>
          <w:color w:val="8C2F26"/>
          <w:sz w:val="18"/>
          <w:szCs w:val="18"/>
        </w:rPr>
        <w:t xml:space="preserve">Caveat. </w:t>
      </w:r>
      <w:r>
        <w:rPr>
          <w:color w:val="15181F"/>
          <w:sz w:val="18"/>
          <w:szCs w:val="18"/>
        </w:rPr>
        <w:t xml:space="preserve">The published difficulty is exactly the one that matters here. The review states that on CT these lesions cannot be distinguished from small metastases in a patient with a known primary, and that ultrasound is non-specific. It then recommends heavily T2-weighted MRI with MR cholangiography as the discriminator without reporting a single sensitivity, specificity or predictive value for any of those features, and concedes that fibrous-predominant complexes may not be visible on MRI at all. If the clinical setting is a known primary and the foci are not uniform, resolve it on MRI and accept that the resolution is a judgement, not a measurement.</w:t>
      </w:r>
    </w:p>
    <w:p>
      <w:pPr>
        <w:spacing w:after="50" w:line="276"/>
        <w:ind w:left="240"/>
      </w:pPr>
      <w:r>
        <w:rPr>
          <w:i/>
          <w:iCs/>
          <w:color w:val="5A6069"/>
          <w:sz w:val="17"/>
          <w:szCs w:val="17"/>
        </w:rPr>
        <w:t xml:space="preserve">Grade D, downgraded from C after the full-text read: the entire imaging recommendation rests on a narrative single-centre review with no search strategy, no accuracy data and no interobserver agreement, and the autopsy prevalence is one secondhand figure from one 1996 series. Discharge rule with a caveat: no surveillance interval is established, and the pathway discharges them. About 35 cases of cholangiocarcinoma arising in von Meyenburg complexes have been reported in roughly fifty years, against a carrier prevalence of about 5.6% — so the absolute risk is vanishingly small and has never been computed. See the honest section.</w:t>
      </w:r>
    </w:p>
    <w:p>
      <w:pPr>
        <w:spacing w:after="60" w:line="276"/>
        <w:ind w:left="240"/>
      </w:pPr>
      <w:r>
        <w:rPr>
          <w:color w:val="5A6069"/>
          <w:sz w:val="16"/>
          <w:szCs w:val="16"/>
        </w:rPr>
        <w:t xml:space="preserve">Sources: Von Meyenburg complexes; Karhunen 1986</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A rim-enhancing collection in a febrile patient is an abscess until proved otherwise: take cultures, start antibiotics, and drain it with a catheter rather than a needle.</w:t>
      </w:r>
    </w:p>
    <w:p>
      <w:pPr>
        <w:spacing w:after="50" w:line="276"/>
        <w:ind w:left="240"/>
      </w:pPr>
      <w:r>
        <w:rPr>
          <w:color w:val="15181F"/>
          <w:sz w:val="18"/>
          <w:szCs w:val="18"/>
        </w:rPr>
        <w:t xml:space="preserve">Fever, rigors, right upper quadrant pain and a raised white count with a cystic-looking lesion. In a meta-analysis of 12 randomised trials and 1,425 adults, percutaneous catheter drainage gave a higher clinical success rate than percutaneous needle aspiration, odds ratio 4.12 (95% CI 2.01-8.45), p&lt;0.001.</w:t>
      </w:r>
    </w:p>
    <w:p>
      <w:pPr>
        <w:spacing w:after="50"/>
        <w:ind w:left="240"/>
      </w:pPr>
      <w:r>
        <w:rPr>
          <w:b/>
          <w:bCs/>
          <w:color w:val="8C2F26"/>
          <w:sz w:val="18"/>
          <w:szCs w:val="18"/>
        </w:rPr>
        <w:t xml:space="preserve">Caveat. </w:t>
      </w:r>
      <w:r>
        <w:rPr>
          <w:color w:val="15181F"/>
          <w:sz w:val="18"/>
          <w:szCs w:val="18"/>
        </w:rPr>
        <w:t xml:space="preserve">Carry four limits with that odds ratio. The abscess size subgroup that matters most is the one that fails: in the 5-10 cm stratum, which is 8 of the 12 trials and the commonest clinical scenario, the confidence interval crossed the line of no effect, and only the &gt;5 cm and &gt;10 cm strata — three trials between them — excluded it; the paper's abstract nonetheless reports that the subgroups 'confirmed the consistency of this benefit', which is true of the direction of point estimates and not of significance. Nine of the 12 trials were Indian and 8 enrolled mixed amoebic-predominant abscesses, so pyogenic abscess is represented by 3 trials and 212 patients with no pyogenic-only pooled estimate reported. 'Clinical treatment success' is never defined, and the authors name varying definitions as a likely source of the 56% heterogeneity, so the pooled effect is an odds ratio on an undefined composite. And the safety claim is not equivalence: the complication odds ratio of 1.02 comes from 7 of the 12 trials with a 95% interval of 0.30-3.50, which permits a 70% reduction or a 3.5-fold increase.</w:t>
      </w:r>
    </w:p>
    <w:p>
      <w:pPr>
        <w:spacing w:after="50" w:line="276"/>
        <w:ind w:left="240"/>
      </w:pPr>
      <w:r>
        <w:rPr>
          <w:i/>
          <w:iCs/>
          <w:color w:val="5A6069"/>
          <w:sz w:val="17"/>
          <w:szCs w:val="17"/>
        </w:rPr>
        <w:t xml:space="preserve">Treat the odds ratio as a direction, not a threshold, and note that the pooled comparison does not identify a size below which a single aspiration is sufficient. A necrotic metastasis and a necrotic cholangiocarcinoma can both look like an abscess, and an abscess can be the first sign of an occult cancer — see the alternative column. The ACR incidental-findings algorithm explicitly does not cover hepatic infection, so nothing on this gate comes from it.</w:t>
      </w:r>
    </w:p>
    <w:p>
      <w:pPr>
        <w:spacing w:after="60" w:line="276"/>
        <w:ind w:left="240"/>
      </w:pPr>
      <w:r>
        <w:rPr>
          <w:color w:val="5A6069"/>
          <w:sz w:val="16"/>
          <w:szCs w:val="16"/>
        </w:rPr>
        <w:t xml:space="preserve">Sources: Abscess drainage meta-analysis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After a pyogenic liver abscess with no obvious source, investigate for an occult cancer rather than treating the abscess as the whole diagnosis.</w:t>
      </w:r>
    </w:p>
    <w:p>
      <w:pPr>
        <w:spacing w:after="50" w:line="276"/>
        <w:ind w:left="240"/>
      </w:pPr>
      <w:r>
        <w:rPr>
          <w:color w:val="15181F"/>
          <w:sz w:val="18"/>
          <w:szCs w:val="18"/>
        </w:rPr>
        <w:t xml:space="preserve">Every cryptogenic pyogenic abscess, and particularly a diabetic patient. In a Taiwanese claims cohort of 1,257 patients with ICD-coded pyogenic liver abscess and no prior cancer, followed a median 3.33 years, the standardised incidence ratio against national rates was 3.83 (95% CI 3.30-4.42) for all cancers, 7.87 (5.94-10.21) for liver cancer, 34.58 (21.67-52.36) for biliary tract cancer and 5.27 (3.76-7.18) for colorectal cancer.</w:t>
      </w:r>
    </w:p>
    <w:p>
      <w:pPr>
        <w:spacing w:after="50"/>
        <w:ind w:left="240"/>
      </w:pPr>
      <w:r>
        <w:rPr>
          <w:b/>
          <w:bCs/>
          <w:color w:val="8C2F26"/>
          <w:sz w:val="18"/>
          <w:szCs w:val="18"/>
        </w:rPr>
        <w:t xml:space="preserve">Caveat. </w:t>
      </w:r>
      <w:r>
        <w:rPr>
          <w:color w:val="15181F"/>
          <w:sz w:val="18"/>
          <w:szCs w:val="18"/>
        </w:rPr>
        <w:t xml:space="preserve">Read the time course and the denominator before acting on those ratios. The highest ratios all fell in the first 90 days to one year — all cancers 360.82 (278.46-459.91), biliary tract 1,153 (694-1,801) — which cannot be a biological effect of an abscess; it is the result of imaging and endoscoping a patient intensively, and in some cases the cancer caused the abscess or was the abscess. Several of those ratios are built on expected counts of 0.01 to 0.02 cases and are numerically meaningless however many decimal places they carry. The comparison is to the general Taiwanese population adjusted for age and sex only, in a cohort that was 47.6% diabetic and 7.8% cirrhotic; cirrhosis alone moves the liver-cancer ratio from 4.21 to 59.77, so the unstratified 7.87 is a confounded average, and no matched internal comparator was constructed although the same database could have supplied one. Exposure is two or more appearances of one ICD-9 code with no imaging, culture or clinical validation. The only estimate consistent with a genuine late effect is the all-cancer ratio beyond 5 years, 1.52 (1.09-2.05).</w:t>
      </w:r>
    </w:p>
    <w:p>
      <w:pPr>
        <w:spacing w:after="50" w:line="276"/>
        <w:ind w:left="240"/>
      </w:pPr>
      <w:r>
        <w:rPr>
          <w:i/>
          <w:iCs/>
          <w:color w:val="5A6069"/>
          <w:sz w:val="17"/>
          <w:szCs w:val="17"/>
        </w:rPr>
        <w:t xml:space="preserve">The practical inference is to complete the search now, not to enrol the patient in long-term surveillance — and the inference runs the opposite way from how this cohort is usually cited: it is evidence that a lesion called an abscess may be a cancer, not that an abscess will become one. What 'the search' consists of is a local decision: cross-sectional imaging is already done, and the cohort gives no yield estimate, no modality and no stratification, so whether every cryptogenic abscess gets a colonoscopy is not settled by it.</w:t>
      </w:r>
    </w:p>
    <w:p>
      <w:pPr>
        <w:spacing w:after="60" w:line="276"/>
        <w:ind w:left="240"/>
      </w:pPr>
      <w:r>
        <w:rPr>
          <w:color w:val="5A6069"/>
          <w:sz w:val="16"/>
          <w:szCs w:val="16"/>
        </w:rPr>
        <w:t xml:space="preserve">Sources: Abscess cancer risk</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cystic lesion with septations, mural nodularity or an enhancing component is a surgical lesion — get it to MRI and to a hepatobiliary surgeon, and plan for resection rather than drainage.</w:t>
      </w:r>
    </w:p>
    <w:p>
      <w:pPr>
        <w:spacing w:after="50" w:line="276"/>
        <w:ind w:left="240"/>
      </w:pPr>
      <w:r>
        <w:rPr>
          <w:color w:val="15181F"/>
          <w:sz w:val="18"/>
          <w:szCs w:val="18"/>
        </w:rPr>
        <w:t xml:space="preserve">The multilocular cyst, the cyst with an internal nodule, the cyst that has grown. Mucinous cystic neoplasm of the liver is the entity being excluded, it carries malignant potential, and the operation is complete resection with negative margins.</w:t>
      </w:r>
    </w:p>
    <w:p>
      <w:pPr>
        <w:spacing w:after="50"/>
        <w:ind w:left="240"/>
      </w:pPr>
      <w:r>
        <w:rPr>
          <w:b/>
          <w:bCs/>
          <w:color w:val="8C2F26"/>
          <w:sz w:val="18"/>
          <w:szCs w:val="18"/>
        </w:rPr>
        <w:t xml:space="preserve">Caveat. </w:t>
      </w:r>
      <w:r>
        <w:rPr>
          <w:color w:val="15181F"/>
          <w:sz w:val="18"/>
          <w:szCs w:val="18"/>
        </w:rPr>
        <w:t xml:space="preserve">Do not aspirate or fenestrate it. The published series are small, selected and worse than they first appear — in one report of six resected intrahepatic biliary cystadenomas from a single Karachi pathology file over seven years, every case had been operated on under a preoperative impression of simple or hydatid cyst, sizes ranged 5.5 to 14.0 cm, and recurrence occurred in three of the five patients in whom any follow-up was available, two patients having been lost, one of them after a recurrence was already documented. Margins could not be assessed in at least three of the six because the specimens arrived opened or in pieces, so the claim that recurrence follows incomplete excision is inferred rather than shown; no dysplasia or malignancy was found in any of the six, and the 20% malignant-transformation figure the series invokes to justify radical resection is a single citation with no denominator. The authors attribute their own recurrence rate partly to limited local hepatobiliary surgical expertise. Six cases is not an evidence base; it is a warning about what the misdiagnosis costs.</w:t>
      </w:r>
    </w:p>
    <w:p>
      <w:pPr>
        <w:spacing w:after="50" w:line="276"/>
        <w:ind w:left="240"/>
      </w:pPr>
      <w:r>
        <w:rPr>
          <w:i/>
          <w:iCs/>
          <w:color w:val="5A6069"/>
          <w:sz w:val="17"/>
          <w:szCs w:val="17"/>
        </w:rPr>
        <w:t xml:space="preserve">Grade D on purpose. There is no comparative evidence for resection over observation in a radiologically suspected mucinous cystic neoplasm, no study establishes how often a septated cystic liver lesion is one, and the septation sign itself is contradicted by the series' own figure legend, which records one case as having no internal septations and reads that as favouring cystadenoma.</w:t>
      </w:r>
    </w:p>
    <w:p>
      <w:pPr>
        <w:spacing w:after="60" w:line="276"/>
        <w:ind w:left="240"/>
      </w:pPr>
      <w:r>
        <w:rPr>
          <w:color w:val="5A6069"/>
          <w:sz w:val="16"/>
          <w:szCs w:val="16"/>
        </w:rPr>
        <w:t xml:space="preserve">Sources: Biliary cystadenoma series; ACR liver white paper 2017</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history includes relevant exposure, consider cystic echinococcosis and stage it on imaging before touching it.</w:t>
      </w:r>
    </w:p>
    <w:p>
      <w:pPr>
        <w:spacing w:after="50" w:line="276"/>
        <w:ind w:left="240"/>
      </w:pPr>
      <w:r>
        <w:rPr>
          <w:color w:val="15181F"/>
          <w:sz w:val="18"/>
          <w:szCs w:val="18"/>
        </w:rPr>
        <w:t xml:space="preserve">Foreign travel or residence in an endemic area, sheep or dog contact, a cyst with daughter cysts, detached membranes or a calcified wall. The WHO Informal Working Group on Echinococcosis consensus is an image-based, stage-specific approach grouping cysts as active (CE1, CE2), transitional (CE3) and inactive (CE4, CE5), and it recommends strongly that an imaging-based classification system be used; the four options it sets out are percutaneous treatment, surgery, anti-infective drug treatment, or watch and wait. Puncture, aspiration, injection and re-aspiration with mandatory albendazole cover is first-line for CE1 and CE3a cysts larger than 5 cm, and is contraindicated for CE2, CE3b, CE4 and CE5.</w:t>
      </w:r>
    </w:p>
    <w:p>
      <w:pPr>
        <w:spacing w:after="50"/>
        <w:ind w:left="240"/>
      </w:pPr>
      <w:r>
        <w:rPr>
          <w:b/>
          <w:bCs/>
          <w:color w:val="8C2F26"/>
          <w:sz w:val="18"/>
          <w:szCs w:val="18"/>
        </w:rPr>
        <w:t xml:space="preserve">Caveat. </w:t>
      </w:r>
      <w:r>
        <w:rPr>
          <w:color w:val="15181F"/>
          <w:sz w:val="18"/>
          <w:szCs w:val="18"/>
        </w:rPr>
        <w:t xml:space="preserve">Do not aspirate a suspected hydatid cyst as though it were a simple cyst or an abscess, and do not treat an unclassified cyst at all until its parasitic nature is proven. The stage decides the option, and the stage is a subjective ultrasound judgement for which the consensus reports no interobserver agreement, while noting that calcification — the most objective feature — is unreliable for viability and occurs at every stage. The consensus states that percutaneous treatment should only be undertaken by experienced operators with resuscitation drugs and a surgical back-up team, but never states an anaphylaxis rate, and gives no sensitivity or specificity for any test in the document, including the two sequential serological assays it requires.</w:t>
      </w:r>
    </w:p>
    <w:p>
      <w:pPr>
        <w:spacing w:after="50" w:line="276"/>
        <w:ind w:left="240"/>
      </w:pPr>
      <w:r>
        <w:rPr>
          <w:i/>
          <w:iCs/>
          <w:color w:val="5A6069"/>
          <w:sz w:val="17"/>
          <w:szCs w:val="17"/>
        </w:rPr>
        <w:t xml:space="preserve">Grade D, downgraded from C after the full-text read. Ten of the eleven graded recommendations in this consensus are Strength B, Quality of Evidence III — the category for expert opinion and descriptive studies — the search was English-language Medline only and closed in 2008, consensus was reached by email with no voting or agreement threshold, and the watch-and-wait strategy for inactive cysts is described by the authors themselves as deserving formal evaluation. Serology supports but does not establish the diagnosis, and a negative test does not exclude it. Note also that the AASLD liver biopsy paper states that careful aspiration of these lesions with a 19-gauge needle can be undertaken, with none of the precautions this consensus requires; where the two conflict, follow the echinococcosis consensus.</w:t>
      </w:r>
    </w:p>
    <w:p>
      <w:pPr>
        <w:spacing w:after="60" w:line="276"/>
        <w:ind w:left="240"/>
      </w:pPr>
      <w:r>
        <w:rPr>
          <w:color w:val="5A6069"/>
          <w:sz w:val="16"/>
          <w:szCs w:val="16"/>
        </w:rPr>
        <w:t xml:space="preserve">Sources: WHO-IWGE echinococcosis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put a needle into a cystic liver lesion that has a septum, a mural nodule or an enhancing wall.</w:t>
      </w:r>
    </w:p>
    <w:p>
      <w:pPr>
        <w:spacing w:after="50" w:line="276"/>
        <w:ind w:left="240"/>
      </w:pPr>
      <w:r>
        <w:rPr>
          <w:color w:val="15181F"/>
          <w:sz w:val="18"/>
          <w:szCs w:val="18"/>
        </w:rPr>
        <w:t xml:space="preserve">Image it properly, discuss it, and resect it if it is a mucinous cystic neoplasm.</w:t>
      </w:r>
    </w:p>
    <w:p>
      <w:pPr>
        <w:spacing w:after="50"/>
        <w:ind w:left="240"/>
      </w:pPr>
      <w:r>
        <w:rPr>
          <w:b/>
          <w:bCs/>
          <w:color w:val="8C2F26"/>
          <w:sz w:val="18"/>
          <w:szCs w:val="18"/>
        </w:rPr>
        <w:t xml:space="preserve">Caveat. </w:t>
      </w:r>
      <w:r>
        <w:rPr>
          <w:color w:val="15181F"/>
          <w:sz w:val="18"/>
          <w:szCs w:val="18"/>
        </w:rPr>
        <w:t xml:space="preserve">Aspiration neither excludes the diagnosis nor treats it, and incomplete removal is the recognised cause of recurrence and malignant transformation in the reported series.</w:t>
      </w:r>
    </w:p>
    <w:p>
      <w:pPr>
        <w:spacing w:after="60" w:line="276"/>
        <w:ind w:left="240"/>
      </w:pPr>
      <w:r>
        <w:rPr>
          <w:color w:val="5A6069"/>
          <w:sz w:val="16"/>
          <w:szCs w:val="16"/>
        </w:rPr>
        <w:t xml:space="preserve">Sources: Biliary cystadenoma series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give a simple cyst a surveillance interval.</w:t>
      </w:r>
    </w:p>
    <w:p>
      <w:pPr>
        <w:spacing w:after="50" w:line="276"/>
        <w:ind w:left="240"/>
      </w:pPr>
      <w:r>
        <w:rPr>
          <w:color w:val="15181F"/>
          <w:sz w:val="18"/>
          <w:szCs w:val="18"/>
        </w:rPr>
        <w:t xml:space="preserve">Call it benign, state the criteria it meets, and stop.</w:t>
      </w:r>
    </w:p>
    <w:p>
      <w:pPr>
        <w:spacing w:after="50"/>
        <w:ind w:left="240"/>
      </w:pPr>
      <w:r>
        <w:rPr>
          <w:b/>
          <w:bCs/>
          <w:color w:val="8C2F26"/>
          <w:sz w:val="18"/>
          <w:szCs w:val="18"/>
        </w:rPr>
        <w:t xml:space="preserve">Caveat. </w:t>
      </w:r>
      <w:r>
        <w:rPr>
          <w:color w:val="15181F"/>
          <w:sz w:val="18"/>
          <w:szCs w:val="18"/>
        </w:rPr>
        <w:t xml:space="preserve">An interval attached to a definitively benign finding generates scans indefinitely and is the precise failure the ACR incidental-findings programme exists to prevent — the white paper's first two core recommendations are to forgo workup of lesions under 1 cm in low-risk patients and to forgo workup of lesions with distinctly benign features regardless of risk.</w:t>
      </w:r>
    </w:p>
    <w:p>
      <w:pPr>
        <w:spacing w:after="60" w:line="276"/>
        <w:ind w:left="240"/>
      </w:pPr>
      <w:r>
        <w:rPr>
          <w:color w:val="5A6069"/>
          <w:sz w:val="16"/>
          <w:szCs w:val="16"/>
        </w:rPr>
        <w:t xml:space="preserve">Sources: ACR liver white paper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Which test next, and what each one actually adds</w:t>
      </w:r>
    </w:p>
    <w:p>
      <w:pPr>
        <w:spacing w:after="140"/>
      </w:pPr>
      <w:r>
        <w:rPr>
          <w:b/>
          <w:bCs/>
          <w:color w:val="176A87"/>
          <w:sz w:val="19"/>
          <w:szCs w:val="19"/>
        </w:rPr>
        <w:t xml:space="preserve">The question. </w:t>
      </w:r>
      <w:r>
        <w:rPr>
          <w:sz w:val="19"/>
          <w:szCs w:val="19"/>
        </w:rPr>
        <w:t xml:space="preserve">What exactly am I asking this scan, and is there a scan that answers it rather than one that repeats the last one?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The lesion is solid and not resolved by the study in front of you</w:t>
      </w:r>
    </w:p>
    <w:p>
      <w:pPr>
        <w:pStyle w:val="ListParagraph"/>
        <w:numPr>
          <w:ilvl w:val="0"/>
          <w:numId w:val="2"/>
        </w:numPr>
        <w:spacing w:after="60" w:line="268"/>
      </w:pPr>
      <w:r>
        <w:rPr>
          <w:color w:val="15181F"/>
          <w:sz w:val="18"/>
          <w:szCs w:val="18"/>
        </w:rPr>
        <w:t xml:space="preserve">The available study lacked arterial-phase or delayed-phase imaging, or lacked contrast altogether</w:t>
      </w:r>
    </w:p>
    <w:p>
      <w:pPr>
        <w:pStyle w:val="ListParagraph"/>
        <w:numPr>
          <w:ilvl w:val="0"/>
          <w:numId w:val="2"/>
        </w:numPr>
        <w:spacing w:after="60" w:line="268"/>
      </w:pPr>
      <w:r>
        <w:rPr>
          <w:color w:val="15181F"/>
          <w:sz w:val="18"/>
          <w:szCs w:val="18"/>
        </w:rPr>
        <w:t xml:space="preserve">The question is a hepatocellular one — adenoma versus focal nodular hyperplasia, or HCC in an at-risk liver</w:t>
      </w:r>
    </w:p>
    <w:p>
      <w:pPr>
        <w:pStyle w:val="ListParagraph"/>
        <w:numPr>
          <w:ilvl w:val="0"/>
          <w:numId w:val="2"/>
        </w:numPr>
        <w:spacing w:after="60" w:line="268"/>
      </w:pPr>
      <w:r>
        <w:rPr>
          <w:color w:val="15181F"/>
          <w:sz w:val="18"/>
          <w:szCs w:val="18"/>
        </w:rPr>
        <w:t xml:space="preserve">The question is whether there is a second lesion anywhere else — a staging question, not a characterising one</w:t>
      </w:r>
    </w:p>
    <w:p>
      <w:pPr>
        <w:pStyle w:val="ListParagraph"/>
        <w:numPr>
          <w:ilvl w:val="0"/>
          <w:numId w:val="2"/>
        </w:numPr>
        <w:spacing w:after="60" w:line="268"/>
      </w:pPr>
      <w:r>
        <w:rPr>
          <w:color w:val="15181F"/>
          <w:sz w:val="18"/>
          <w:szCs w:val="18"/>
        </w:rPr>
        <w:t xml:space="preserve">The patient cannot have the obvious test: renal function, claustrophobia, pacemaker, pregnancy, body habitus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multiphase contrast study is the characterising test, and the phases and the agent depend on the question — say which question you are asking when you order it.</w:t>
      </w:r>
    </w:p>
    <w:p>
      <w:pPr>
        <w:spacing w:after="50" w:line="276"/>
        <w:ind w:left="240"/>
      </w:pPr>
      <w:r>
        <w:rPr>
          <w:color w:val="15181F"/>
          <w:sz w:val="18"/>
          <w:szCs w:val="18"/>
        </w:rPr>
        <w:t xml:space="preserve">Every solid lesion the index study left unresolved. The technical minimum, stated by the ACR Appropriateness Criteria and applying equally to CT, MRI and contrast-enhanced ultrasound, is at least two dynamic phases — late arterial and portal venous. The ACR white paper prefers MRI over CT for characterisation on three grounds: better assessment of internal features, more reliable assessment of enhancement, and no ionising radiation. EASL 2025 prefers CT or MRI over contrast-enhanced ultrasound as the first-line non-invasive test in at-risk patients because of higher sensitivity (LoE 3, strong recommendation).</w:t>
      </w:r>
    </w:p>
    <w:p>
      <w:pPr>
        <w:spacing w:after="50"/>
        <w:ind w:left="240"/>
      </w:pPr>
      <w:r>
        <w:rPr>
          <w:b/>
          <w:bCs/>
          <w:color w:val="8C2F26"/>
          <w:sz w:val="18"/>
          <w:szCs w:val="18"/>
        </w:rPr>
        <w:t xml:space="preserve">Caveat. </w:t>
      </w:r>
      <w:r>
        <w:rPr>
          <w:color w:val="15181F"/>
          <w:sz w:val="18"/>
          <w:szCs w:val="18"/>
        </w:rPr>
        <w:t xml:space="preserve">Do not read 'MRI is preferred' as a measured advantage. The ACR Appropriateness Criteria rate contrast-enhanced ultrasound, multiphase CT and contrast-enhanced MRI as equivalent and usually appropriate alternatives for an indeterminate lesion larger than 1 cm, both in a normal liver and in known chronic liver disease, and they do so on narrative accuracy ranges from different studies in different populations with no head-to-head data and no equivalence testing. The same document's own text cites specificity for contrast-enhanced CT in ultrasound-detected lesions as 38-82%, and one cited MRI study at 43% specificity for an exact diagnosis. A pathway that reads only the rating table never sees the 38%. And do not order 'MRI liver' and leave the agent to chance — the two guidelines ask for different agents for different questions, and that choice cannot be made by the scheduler.</w:t>
      </w:r>
    </w:p>
    <w:p>
      <w:pPr>
        <w:spacing w:after="50" w:line="276"/>
        <w:ind w:left="240"/>
      </w:pPr>
      <w:r>
        <w:rPr>
          <w:i/>
          <w:iCs/>
          <w:color w:val="5A6069"/>
          <w:sz w:val="17"/>
          <w:szCs w:val="17"/>
        </w:rPr>
        <w:t xml:space="preserve">Where contrast is contraindicated, say what the unenhanced study can and cannot do rather than treating it as the characterising test. Note that the ACR Appropriateness Criteria and the ACR white paper, from the same organisation, use incompatible risk taxonomies: the white paper merges low and average risk into one low-risk tier, while the Appropriateness Criteria split high risk into chronic liver disease versus known extrahepatic malignancy. A pathway using both has to reconcile them, and this page does so by treating the liver-disease fork at gate 0 as primary.</w:t>
      </w:r>
    </w:p>
    <w:p>
      <w:pPr>
        <w:spacing w:after="60" w:line="276"/>
        <w:ind w:left="240"/>
      </w:pPr>
      <w:r>
        <w:rPr>
          <w:color w:val="5A6069"/>
          <w:sz w:val="16"/>
          <w:szCs w:val="16"/>
        </w:rPr>
        <w:t xml:space="preserve">Sources: ACR liver white paper 2017; ACR AC liver lesion 2020; EASL HCC 2025</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Contrast-enhanced ultrasound characterises a solid lesion in real time and is the right test when the question is vascular pattern rather than anatomy.</w:t>
      </w:r>
    </w:p>
    <w:p>
      <w:pPr>
        <w:spacing w:after="50" w:line="276"/>
        <w:ind w:left="240"/>
      </w:pPr>
      <w:r>
        <w:rPr>
          <w:color w:val="15181F"/>
          <w:sz w:val="18"/>
          <w:szCs w:val="18"/>
        </w:rPr>
        <w:t xml:space="preserve">The lesion that is unclear after greyscale and Doppler ultrasound, the patient who cannot have gadolinium or iodinated contrast, and the small focal nodular hyperplasia where EASL puts CEUS ahead of MRI. The WFUMB guideline's single level-1 strong recommendation is for exactly this situation — contrast-enhanced ultrasound as the first-line technique for an incidentally detected indeterminate focal liver lesion at ultrasound in a non-cirrhotic liver without history or clinical suspicion of malignancy. In the DEGUM multicentre study of 1,349 patients at 14 hospitals with a hepatic lesion lacking a definite diagnosis on B-mode and power Doppler, overall accuracy against a reference standard that was histology in more than 75% of cases was 90.3%: 723 of 755 malignant lesions correctly assessed (sensitivity 95.8%) and 476 of 573 benign lesions (specificity 83.1%), with positive predictive value 95.4% and negative predictive value 95.7%.</w:t>
      </w:r>
    </w:p>
    <w:p>
      <w:pPr>
        <w:spacing w:after="50"/>
        <w:ind w:left="240"/>
      </w:pPr>
      <w:r>
        <w:rPr>
          <w:b/>
          <w:bCs/>
          <w:color w:val="8C2F26"/>
          <w:sz w:val="18"/>
          <w:szCs w:val="18"/>
        </w:rPr>
        <w:t xml:space="preserve">Caveat. </w:t>
      </w:r>
      <w:r>
        <w:rPr>
          <w:color w:val="15181F"/>
          <w:sz w:val="18"/>
          <w:szCs w:val="18"/>
        </w:rPr>
        <w:t xml:space="preserve">Carry both halves of that result and the limits of the recommendation behind it. Specificity was 83.1% — CEUS over-calls benign lesions as suspicious far more often than it misses cancer. In the companion analysis, 92 of the 1,349 lesions (6.8%) could not be definitively diagnosed by CEUS at all, mostly benign ones; the CEUS diagnosis was wrong in 39 lesions; and 8 lesions called benign by CEUS proved malignant — three histologically proven HCCs called adenoma, two called focal nodular hyperplasia that were an HCC and a metastasis, two called haemangioma that were an HCC and a metastasis, and one called benign that was a lymphoma. The WFUMB level-1 grade is asserted rather than demonstrated: no randomised comparison of CEUS-first against MRI-first for this lesion is cited, the supporting text is a block citation of roughly twenty studies with no pooled estimate or quality appraisal, and the guideline grades the same lesion in a patient </w:t>
      </w:r>
      <w:r>
        <w:rPr>
          <w:i/>
          <w:iCs/>
          <w:color w:val="15181F"/>
          <w:sz w:val="18"/>
          <w:szCs w:val="18"/>
        </w:rPr>
        <w:t xml:space="preserve">with</w:t>
      </w:r>
      <w:r>
        <w:rPr>
          <w:color w:val="15181F"/>
          <w:sz w:val="18"/>
          <w:szCs w:val="18"/>
        </w:rPr>
        <w:t xml:space="preserve"> suspected malignancy as level 2 and only a weak recommendation — the higher-stakes scenario getting the weaker grade with no explanation.</w:t>
      </w:r>
    </w:p>
    <w:p>
      <w:pPr>
        <w:spacing w:after="50" w:line="276"/>
        <w:ind w:left="240"/>
      </w:pPr>
      <w:r>
        <w:rPr>
          <w:i/>
          <w:iCs/>
          <w:color w:val="5A6069"/>
          <w:sz w:val="17"/>
          <w:szCs w:val="17"/>
        </w:rPr>
        <w:t xml:space="preserve">WFUMB in cooperation with EFSUMB, AFSUMB, AIUM and FLAUS updated the liver CEUS recommendations in 2020; that document, not the DEGUM study, is the protocol source, and it is the source to read on dose, mechanical index and the artefacts that cause mischaracterisation. Operator dependence is the unquantified variable: the guideline addresses it only through a training recommendation at its lowest evidence level, reports no interobserver agreement anywhere, and more than twenty of its authors declare relationships with the contrast or scanner manufacturers whose products the recommendations require. The DEGUM accuracy came from 14 centres using a standardised protocol, and CEUS LI-RADS category agreement is the lowest of any modality at kappa 0.30-0.39.</w:t>
      </w:r>
    </w:p>
    <w:p>
      <w:pPr>
        <w:spacing w:after="60" w:line="276"/>
        <w:ind w:left="240"/>
      </w:pPr>
      <w:r>
        <w:rPr>
          <w:color w:val="5A6069"/>
          <w:sz w:val="16"/>
          <w:szCs w:val="16"/>
        </w:rPr>
        <w:t xml:space="preserve">Sources: DEGUM CEUS trial; DEGUM unclear lesions; WFUMB CEUS 2020</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an at-risk liver, read the CEUS against CEUS LI-RADS v2017 criteria, not against the CT/MRI criteria — the washout timing and intensity are different and that is the whole point of the separate algorithm.</w:t>
      </w:r>
    </w:p>
    <w:p>
      <w:pPr>
        <w:spacing w:after="50" w:line="276"/>
        <w:ind w:left="240"/>
      </w:pPr>
      <w:r>
        <w:rPr>
          <w:color w:val="15181F"/>
          <w:sz w:val="18"/>
          <w:szCs w:val="18"/>
        </w:rPr>
        <w:t xml:space="preserve">The cirrhotic or chronic hepatitis B patient whose nodule is being worked up by ultrasound. EASL 2025 gives the CEUS criterion explicitly — non-rim arterial hyperenhancement with late-onset washout (later than 60 seconds) of mild intensity (LoE 1). In a meta-analysis of 10 studies, 5,543 patients and 6,124 lesions including 4,492 HCCs, 97% (95-98) of CEUS LR-5 observations were HCC, and CEUS LR-5 had sensitivity 0.76 (0.70-0.81), specificity 0.95 (0.91-0.97) and accuracy 0.82 (0.75-0.88) for HCC.</w:t>
      </w:r>
    </w:p>
    <w:p>
      <w:pPr>
        <w:spacing w:after="50"/>
        <w:ind w:left="240"/>
      </w:pPr>
      <w:r>
        <w:rPr>
          <w:b/>
          <w:bCs/>
          <w:color w:val="8C2F26"/>
          <w:sz w:val="18"/>
          <w:szCs w:val="18"/>
        </w:rPr>
        <w:t xml:space="preserve">Caveat. </w:t>
      </w:r>
      <w:r>
        <w:rPr>
          <w:color w:val="15181F"/>
          <w:sz w:val="18"/>
          <w:szCs w:val="18"/>
        </w:rPr>
        <w:t xml:space="preserve">The categories are not interchangeable between modalities, and the evidence that they are not is weaker than the page previously implied. In a 43-study comparison, CEUS LR-3 was 21% HCC against 35% for CT/MRI LR-3 (p=0.02) and CEUS LR-M was 56% HCC against 33% (p=0.01), with non-HCC malignancy in LR-M 35% against 58% (p=0.01) — but few paired studies exist, so these are comparisons between different populations with different HCC prevalence and different reference standards, presented with p-values as though they were head-to-head tests. Heterogeneity across the pooled proportions is I-squared 78-93%, the authors concede meta-regression could not explain it, and the LR-3 proportion itself moves from 14% in Asian to 32% in non-Asian studies, which shows these are population artefacts rather than properties of the categories. The two meta-analyses this page used to make the point come from the same Tianjin department, share authors, grants and included studies, were published two months apart, and report CEUS LR-M as 44% and 56% HCC from largely the same primary literature — they are one body of work, not independent corroboration.</w:t>
      </w:r>
    </w:p>
    <w:p>
      <w:pPr>
        <w:spacing w:after="50" w:line="276"/>
        <w:ind w:left="240"/>
      </w:pPr>
      <w:r>
        <w:rPr>
          <w:i/>
          <w:iCs/>
          <w:color w:val="5A6069"/>
          <w:sz w:val="17"/>
          <w:szCs w:val="17"/>
        </w:rPr>
        <w:t xml:space="preserve">CEUS LI-RADS remains at v2017 while CT/MRI LI-RADS is at v2018, and the diagnostic versions are not synchronised. For a CT or MRI observation that is LR-3 or non-characterizable, the prospective evidence that CEUS resolves it comes from one multicentre sub-analysis of 75 observations in 68 patients who were 97.1% cirrhotic — see gate 6, where the figures and their limits are set out. That study licenses nothing about a lesion in a liver that is not at risk.</w:t>
      </w:r>
    </w:p>
    <w:p>
      <w:pPr>
        <w:spacing w:after="60" w:line="276"/>
        <w:ind w:left="240"/>
      </w:pPr>
      <w:r>
        <w:rPr>
          <w:color w:val="5A6069"/>
          <w:sz w:val="16"/>
          <w:szCs w:val="16"/>
        </w:rPr>
        <w:t xml:space="preserve">Sources: CEUS LI-RADS meta; CEUS versus CT/MRI LI-RADS; Kono 2024 CEUS validation; EASL HCC 2025</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Ordered by how often each is the right agent in an incidental population, not by any trial that compared them for this purpose. The order reflects guideline wording: EASL 2025 prefers the extracellular agent for the HCC question, and the ACR white paper prefers the hepatobiliary agent for the adenoma question. Both cannot be satisfied in one acquisition, which is why the question must be named on the request.</w:t>
      </w:r>
    </w:p>
    <w:p>
      <w:pPr>
        <w:spacing w:after="50" w:before="120"/>
        <w:ind w:left="240"/>
      </w:pPr>
      <w:r>
        <w:rPr>
          <w:b/>
          <w:bCs/>
          <w:color w:val="15181F"/>
          <w:sz w:val="19"/>
          <w:szCs w:val="19"/>
        </w:rPr>
        <w:t xml:space="preserve">MRI with an extracellular gadolinium agent</w:t>
      </w:r>
      <w:r>
        <w:rPr>
          <w:color w:val="5A6069"/>
          <w:sz w:val="15"/>
          <w:szCs w:val="15"/>
        </w:rPr>
        <w:t xml:space="preserve">   grade B</w:t>
      </w:r>
      <w:r>
        <w:rPr>
          <w:b/>
          <w:bCs/>
          <w:color w:val="8E5008"/>
          <w:spacing w:val="12"/>
          <w:sz w:val="14"/>
          <w:szCs w:val="14"/>
        </w:rPr>
        <w:t xml:space="preserve">   PROTOCOL</w:t>
      </w:r>
    </w:p>
    <w:p>
      <w:pPr>
        <w:spacing w:after="50" w:line="276"/>
        <w:ind w:left="240"/>
      </w:pPr>
      <w:r>
        <w:rPr>
          <w:color w:val="15181F"/>
          <w:sz w:val="18"/>
          <w:szCs w:val="18"/>
        </w:rPr>
        <w:t xml:space="preserve">EASL 2025: extracellular contrast agents should be favoured over gadoxetic acid for the non-invasive diagnosis of HCC using MRI (LoE 1, strong recommendation, consensus). The ACR white paper likewise prefers gadolinium blood-pool agents generally.</w:t>
      </w:r>
    </w:p>
    <w:p>
      <w:pPr>
        <w:spacing w:after="50" w:line="276"/>
        <w:ind w:left="240"/>
      </w:pPr>
      <w:r>
        <w:rPr>
          <w:color w:val="15181F"/>
          <w:sz w:val="18"/>
          <w:szCs w:val="18"/>
        </w:rPr>
        <w:t xml:space="preserve">The at-risk liver, where the diagnosis turns on true washout in the portal venous or delayed phase, and the haemangioma or focal nodular hyperplasia where delayed-phase fill-in and a delayed-enhancing central scar are the diagnostic features.</w:t>
      </w:r>
    </w:p>
    <w:p>
      <w:pPr>
        <w:spacing w:after="50"/>
        <w:ind w:left="240"/>
      </w:pPr>
      <w:r>
        <w:rPr>
          <w:b/>
          <w:bCs/>
          <w:color w:val="8C2F26"/>
          <w:sz w:val="18"/>
          <w:szCs w:val="18"/>
        </w:rPr>
        <w:t xml:space="preserve">Caveat. </w:t>
      </w:r>
      <w:r>
        <w:rPr>
          <w:color w:val="15181F"/>
          <w:sz w:val="18"/>
          <w:szCs w:val="18"/>
        </w:rPr>
        <w:t xml:space="preserve">It will not answer the adenoma-versus-focal-nodular-hyperplasia question, which needs hepatocyte uptake.</w:t>
      </w:r>
    </w:p>
    <w:p>
      <w:pPr>
        <w:spacing w:after="60" w:line="276"/>
        <w:ind w:left="240"/>
      </w:pPr>
      <w:r>
        <w:rPr>
          <w:color w:val="5A6069"/>
          <w:sz w:val="16"/>
          <w:szCs w:val="16"/>
        </w:rPr>
        <w:t xml:space="preserve">Sources: EASL HCC 2025; ACR liver white paper 2017; LI-RADS features IPD meta-analysis</w:t>
      </w:r>
    </w:p>
    <w:p>
      <w:pPr>
        <w:spacing w:after="50" w:before="120"/>
        <w:ind w:left="240"/>
      </w:pPr>
      <w:r>
        <w:rPr>
          <w:b/>
          <w:bCs/>
          <w:color w:val="15181F"/>
          <w:sz w:val="19"/>
          <w:szCs w:val="19"/>
        </w:rPr>
        <w:t xml:space="preserve">MRI with gadoxetate disodium (hepatobiliary agent)</w:t>
      </w:r>
      <w:r>
        <w:rPr>
          <w:color w:val="5A6069"/>
          <w:sz w:val="15"/>
          <w:szCs w:val="15"/>
        </w:rPr>
        <w:t xml:space="preserve">   grade C</w:t>
      </w:r>
      <w:r>
        <w:rPr>
          <w:b/>
          <w:bCs/>
          <w:color w:val="8E5008"/>
          <w:spacing w:val="12"/>
          <w:sz w:val="14"/>
          <w:szCs w:val="14"/>
        </w:rPr>
        <w:t xml:space="preserve">   PROTOCOL</w:t>
      </w:r>
    </w:p>
    <w:p>
      <w:pPr>
        <w:spacing w:after="50" w:line="276"/>
        <w:ind w:left="240"/>
      </w:pPr>
      <w:r>
        <w:rPr>
          <w:color w:val="15181F"/>
          <w:sz w:val="18"/>
          <w:szCs w:val="18"/>
        </w:rPr>
        <w:t xml:space="preserve">The ACR white paper recommends gadoxetate disodium specifically to distinguish focal nodular hyperplasia from hepatocellular adenoma, because focal nodular hyperplasia takes up the agent on the hepatobiliary phase and adenoma was thought not to. The white paper flags the question as important especially above 3 cm and subcapsular — a threshold its own 2010 predecessor set at 4 cm, with no new evidence cited for the change.</w:t>
      </w:r>
    </w:p>
    <w:p>
      <w:pPr>
        <w:spacing w:after="50" w:line="276"/>
        <w:ind w:left="240"/>
      </w:pPr>
      <w:r>
        <w:rPr>
          <w:color w:val="15181F"/>
          <w:sz w:val="18"/>
          <w:szCs w:val="18"/>
        </w:rPr>
        <w:t xml:space="preserve">A solid hepatocellular lesion in a young woman in a normal liver, where the fork is focal nodular hyperplasia (discharge) versus adenoma (the HCA pathway).</w:t>
      </w:r>
    </w:p>
    <w:p>
      <w:pPr>
        <w:spacing w:after="50"/>
        <w:ind w:left="240"/>
      </w:pPr>
      <w:r>
        <w:rPr>
          <w:b/>
          <w:bCs/>
          <w:color w:val="8C2F26"/>
          <w:sz w:val="18"/>
          <w:szCs w:val="18"/>
        </w:rPr>
        <w:t xml:space="preserve">Caveat. </w:t>
      </w:r>
      <w:r>
        <w:rPr>
          <w:color w:val="15181F"/>
          <w:sz w:val="18"/>
          <w:szCs w:val="18"/>
        </w:rPr>
        <w:t xml:space="preserve">Two separate problems, and the first needs stating precisely because this page previously stated it loosely. In a meta-analysis of 28 studies, 364 patients and 410 subtyped adenomas, hepatobiliary-phase iso- or hyperintensity was present in 14% of all adenomas (95% CI 4-26%), in 0% of HNF1A-inactivated adenomas (0-2%), 14% of inflammatory (2-31%), 11% of unclassified (0-29%) and 59% of beta-catenin-activated adenomas (26-88%). Sensitivity and specificity for separating focal nodular hyperplasia from </w:t>
      </w:r>
      <w:r>
        <w:rPr>
          <w:i/>
          <w:iCs/>
          <w:color w:val="15181F"/>
          <w:sz w:val="18"/>
          <w:szCs w:val="18"/>
        </w:rPr>
        <w:t xml:space="preserve">all</w:t>
      </w:r>
      <w:r>
        <w:rPr>
          <w:color w:val="15181F"/>
          <w:sz w:val="18"/>
          <w:szCs w:val="18"/>
        </w:rPr>
        <w:t xml:space="preserve"> adenoma subtypes together were 99% (57-100%) and 89% (82-94%); the much-quoted 65% specificity (44-80%) applies only once HNF1A-inactivated and inflammatory adenomas have already been excluded, so it is the specificity against an enriched residual population and not a measured property of the test in an unselected lesion. Second, in an at-risk liver EASL 2025 states that hypointensity on the transitional or hepatobiliary phase is an ancillary finding favouring malignancy in general, not the equivalent of washout, and that the agent carries a risk of respiratory motion artefact in the arterial phase — the phase the HCC diagnosis depends on.</w:t>
      </w:r>
    </w:p>
    <w:p>
      <w:pPr>
        <w:spacing w:after="60" w:line="276"/>
        <w:ind w:left="240"/>
      </w:pPr>
      <w:r>
        <w:rPr>
          <w:color w:val="5A6069"/>
          <w:sz w:val="16"/>
          <w:szCs w:val="16"/>
        </w:rPr>
        <w:t xml:space="preserve">Sources: HBP adenoma subtypes; ACR liver white paper 2017; EASL HCC 2025</w:t>
      </w:r>
    </w:p>
    <w:p>
      <w:pPr>
        <w:spacing w:after="60" w:line="276"/>
        <w:ind w:left="240"/>
      </w:pPr>
      <w:r>
        <w:rPr>
          <w:i/>
          <w:iCs/>
          <w:color w:val="5A6069"/>
          <w:sz w:val="16"/>
          <w:szCs w:val="16"/>
        </w:rPr>
        <w:t xml:space="preserve">Ratification item: the programme needs a written rule for which agent is used when the question has not been narrowed — the at-risk liver, where EASL prefers an extracellular agent, versus the normal liver with a hepatocellular lesion, where the ACR prefers gadoxetate. The group should decide whether a hepatobiliary-phase iso-intense lesion may still be called focal nodular hyperplasia without tissue, and should do so on the right number: specificity against all adenoma subtypes is 89% (82-94%), falling to 65% (44-80%) only against beta-catenin-activated and unclassified adenoma once the other subtypes are excluded by conventional MRI. Audit: agent used, question stated on the request, and whether the study answered it.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index study is adequate and the lesion has distinctly benign features, order nothing.</w:t>
      </w:r>
    </w:p>
    <w:p>
      <w:pPr>
        <w:spacing w:after="50" w:line="276"/>
        <w:ind w:left="240"/>
      </w:pPr>
      <w:r>
        <w:rPr>
          <w:color w:val="15181F"/>
          <w:sz w:val="18"/>
          <w:szCs w:val="18"/>
        </w:rPr>
        <w:t xml:space="preserve">The ACR benign-feature list on non-contrast or portal-venous-phase CT is a sharp margin with homogeneous low attenuation at or below 20 HU, or the characteristic appearance of haemangioma, focal nodular hyperplasia, focal fatty sparing or deposition, or a perfusion change. Any of those needs no follow-up regardless of risk category, and the first two of the white paper's four core recommendations say exactly that.</w:t>
      </w:r>
    </w:p>
    <w:p>
      <w:pPr>
        <w:spacing w:after="50"/>
        <w:ind w:left="240"/>
      </w:pPr>
      <w:r>
        <w:rPr>
          <w:b/>
          <w:bCs/>
          <w:color w:val="8C2F26"/>
          <w:sz w:val="18"/>
          <w:szCs w:val="18"/>
        </w:rPr>
        <w:t xml:space="preserve">Caveat. </w:t>
      </w:r>
      <w:r>
        <w:rPr>
          <w:color w:val="15181F"/>
          <w:sz w:val="18"/>
          <w:szCs w:val="18"/>
        </w:rPr>
        <w:t xml:space="preserve">Do not apply the list to a lesion with ill-defined margins, heterogeneous density, mural thickening or nodularity, thick septa, or intermediate-to-high attenuation above 20 HU on portal venous phase with pseudoenhancement excluded. Those features earn prompt MRI, not reassurance. And do not mistake the lists for measurements: sharp versus ill-defined margin, homogeneous versus heterogeneous density, thick versus thin septa and the judgement of whether pseudoenhancement is present are all reader calls on which the whole algorithm pivots, and no interobserver agreement is reported for any of them anywhere in either white paper. The 2010 document's own benign-feature footnote permits 'sharp but irregular margins' while its suspicious-feature footnote lists 'ill-defined margins', leaving irregular-but-sharp to the reader.</w:t>
      </w:r>
    </w:p>
    <w:p>
      <w:pPr>
        <w:spacing w:after="50" w:line="276"/>
        <w:ind w:left="240"/>
      </w:pPr>
      <w:r>
        <w:rPr>
          <w:i/>
          <w:iCs/>
          <w:color w:val="5A6069"/>
          <w:sz w:val="17"/>
          <w:szCs w:val="17"/>
        </w:rPr>
        <w:t xml:space="preserve">Grade D, downgraded from C after the full-text read. This is a consensus feature list with no derivation and no reproducibility data, in a document whose committee states that its process meets no specific formal national standard and that its content should not be considered standard of care.</w:t>
      </w:r>
    </w:p>
    <w:p>
      <w:pPr>
        <w:spacing w:after="60" w:line="276"/>
        <w:ind w:left="240"/>
      </w:pPr>
      <w:r>
        <w:rPr>
          <w:color w:val="5A6069"/>
          <w:sz w:val="16"/>
          <w:szCs w:val="16"/>
        </w:rPr>
        <w:t xml:space="preserve">Sources: ACR liver white paper 2017</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FDG PET to characterise a liver lesion.</w:t>
      </w:r>
    </w:p>
    <w:p>
      <w:pPr>
        <w:spacing w:after="50" w:line="276"/>
        <w:ind w:left="240"/>
      </w:pPr>
      <w:r>
        <w:rPr>
          <w:color w:val="15181F"/>
          <w:sz w:val="18"/>
          <w:szCs w:val="18"/>
        </w:rPr>
        <w:t xml:space="preserve">Use it to answer a distribution question in a patient with a known extrahepatic primary and a lesion larger than 1 cm found on non-contrast or single-phase imaging, which is the one scenario of eight that the ACR Appropriateness Criteria rate usually appropriate.</w:t>
      </w:r>
    </w:p>
    <w:p>
      <w:pPr>
        <w:spacing w:after="50"/>
        <w:ind w:left="240"/>
      </w:pPr>
      <w:r>
        <w:rPr>
          <w:b/>
          <w:bCs/>
          <w:color w:val="8C2F26"/>
          <w:sz w:val="18"/>
          <w:szCs w:val="18"/>
        </w:rPr>
        <w:t xml:space="preserve">Caveat. </w:t>
      </w:r>
      <w:r>
        <w:rPr>
          <w:color w:val="15181F"/>
          <w:sz w:val="18"/>
          <w:szCs w:val="18"/>
        </w:rPr>
        <w:t xml:space="preserve">Per-lesion sensitivity for colorectal liver metastases was 81.4% (95% CI 66.5-90.6), statistically indistinguishable from MRI at 80.3%, and the FDG PET/CT data specifically came down to one per-lesion data set. The white paper's own claim is modest — PET may preclude biopsy in some patients with lesions larger than 1 cm — and the Appropriateness Criteria rate PET usually not appropriate in a normal liver on the stated ground that no relevant literature supports it there.</w:t>
      </w:r>
    </w:p>
    <w:p>
      <w:pPr>
        <w:spacing w:after="60" w:line="276"/>
        <w:ind w:left="240"/>
      </w:pPr>
      <w:r>
        <w:rPr>
          <w:color w:val="5A6069"/>
          <w:sz w:val="16"/>
          <w:szCs w:val="16"/>
        </w:rPr>
        <w:t xml:space="preserve">Sources: CRLM imaging meta-analysis; ACR AC liver lesion 2020; ACR liver white paper 2017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repeat the same inadequate study with the same protocol.</w:t>
      </w:r>
    </w:p>
    <w:p>
      <w:pPr>
        <w:spacing w:after="50" w:line="276"/>
        <w:ind w:left="240"/>
      </w:pPr>
      <w:r>
        <w:rPr>
          <w:color w:val="15181F"/>
          <w:sz w:val="18"/>
          <w:szCs w:val="18"/>
        </w:rPr>
        <w:t xml:space="preserve">Name the deficiency — missing arterial phase, missing delayed phase, aggressive dose reduction, no contrast — and order the study that fixes it.</w:t>
      </w:r>
    </w:p>
    <w:p>
      <w:pPr>
        <w:spacing w:after="50"/>
        <w:ind w:left="240"/>
      </w:pPr>
      <w:r>
        <w:rPr>
          <w:b/>
          <w:bCs/>
          <w:color w:val="8C2F26"/>
          <w:sz w:val="18"/>
          <w:szCs w:val="18"/>
        </w:rPr>
        <w:t xml:space="preserve">Caveat. </w:t>
      </w:r>
      <w:r>
        <w:rPr>
          <w:color w:val="15181F"/>
          <w:sz w:val="18"/>
          <w:szCs w:val="18"/>
        </w:rPr>
        <w:t xml:space="preserve">A second single-phase CT answers nothing and is the commonest wasted step in this pathway. The local master workup CPG requires the multidisciplinary team to document whether repeat imaging is needed when image quality or protocol is inadequate, rather than proceeding on a study that cannot support the decision.</w:t>
      </w:r>
    </w:p>
    <w:p>
      <w:pPr>
        <w:spacing w:after="60" w:line="276"/>
        <w:ind w:left="240"/>
      </w:pPr>
      <w:r>
        <w:rPr>
          <w:color w:val="5A6069"/>
          <w:sz w:val="16"/>
          <w:szCs w:val="16"/>
        </w:rPr>
        <w:t xml:space="preserve">Sources: ACR liver white paper 2017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Haemangioma and focal nodular hyperplasia — resolved and discharged here</w:t>
      </w:r>
    </w:p>
    <w:p>
      <w:pPr>
        <w:spacing w:after="140"/>
      </w:pPr>
      <w:r>
        <w:rPr>
          <w:b/>
          <w:bCs/>
          <w:color w:val="176A87"/>
          <w:sz w:val="19"/>
          <w:szCs w:val="19"/>
        </w:rPr>
        <w:t xml:space="preserve">The question. </w:t>
      </w:r>
      <w:r>
        <w:rPr>
          <w:sz w:val="19"/>
          <w:szCs w:val="19"/>
        </w:rPr>
        <w:t xml:space="preserve">Can I name this lesion and send the patient away today, without an interval?</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Haemangioma on ultrasound: homogeneously hyperechoic, sharp margin, posterior acoustic enhancement, no halo sign, under 3 cm, in a normal liver</w:t>
      </w:r>
    </w:p>
    <w:p>
      <w:pPr>
        <w:pStyle w:val="ListParagraph"/>
        <w:numPr>
          <w:ilvl w:val="0"/>
          <w:numId w:val="2"/>
        </w:numPr>
        <w:spacing w:after="60" w:line="268"/>
      </w:pPr>
      <w:r>
        <w:rPr>
          <w:color w:val="15181F"/>
          <w:sz w:val="18"/>
          <w:szCs w:val="18"/>
        </w:rPr>
        <w:t xml:space="preserve">Haemangioma on contrast imaging: peripheral globular arterial enhancement with progressive central fill-in on delayed phases; strongly hyperintense on heavily T2-weighted MRI with a high apparent diffusion coefficient</w:t>
      </w:r>
    </w:p>
    <w:p>
      <w:pPr>
        <w:pStyle w:val="ListParagraph"/>
        <w:numPr>
          <w:ilvl w:val="0"/>
          <w:numId w:val="2"/>
        </w:numPr>
        <w:spacing w:after="60" w:line="268"/>
      </w:pPr>
      <w:r>
        <w:rPr>
          <w:color w:val="15181F"/>
          <w:sz w:val="18"/>
          <w:szCs w:val="18"/>
        </w:rPr>
        <w:t xml:space="preserve">Focal nodular hyperplasia: homogeneous except for a central scar, near-isodense before contrast, strong homogeneous arterial enhancement becoming isodense on portal venous and delayed phases, no capsule, lobulated contour</w:t>
      </w:r>
    </w:p>
    <w:p>
      <w:pPr>
        <w:pStyle w:val="ListParagraph"/>
        <w:numPr>
          <w:ilvl w:val="0"/>
          <w:numId w:val="2"/>
        </w:numPr>
        <w:spacing w:after="60" w:line="268"/>
      </w:pPr>
      <w:r>
        <w:rPr>
          <w:color w:val="15181F"/>
          <w:sz w:val="18"/>
          <w:szCs w:val="18"/>
        </w:rPr>
        <w:t xml:space="preserve">Central scar hyperintense on T2 and enhancing on delayed phase with an extracellular agent</w:t>
      </w:r>
    </w:p>
    <w:p>
      <w:pPr>
        <w:pStyle w:val="ListParagraph"/>
        <w:numPr>
          <w:ilvl w:val="0"/>
          <w:numId w:val="2"/>
        </w:numPr>
        <w:spacing w:after="60" w:line="268"/>
      </w:pPr>
      <w:r>
        <w:rPr>
          <w:color w:val="15181F"/>
          <w:sz w:val="18"/>
          <w:szCs w:val="18"/>
        </w:rPr>
        <w:t xml:space="preserve">No underlying vascular liver disease, and no feature on the suspicious list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a normal liver, a hyperechoic lesion under 3 cm with a sharp margin, posterior acoustic enhancement and no halo sign is a haemangioma on ultrasound alone, and no contrast study is needed.</w:t>
      </w:r>
    </w:p>
    <w:p>
      <w:pPr>
        <w:spacing w:after="50" w:line="276"/>
        <w:ind w:left="240"/>
      </w:pPr>
      <w:r>
        <w:rPr>
          <w:color w:val="15181F"/>
          <w:sz w:val="18"/>
          <w:szCs w:val="18"/>
        </w:rPr>
        <w:t xml:space="preserve">The asymptomatic patient with no liver disease and no cancer. This is EASL's recommendation at evidence level II-2, grade of recommendation 1, and the prior probability is consistent with it — haemangioma was the third commonest of five pre-specified benign findings in 45,319 university-hospital ultrasound examinations, 1,640 cases, mean size 20.1 mm, after focal fatty sparing (2,839, 6.26%) and cysts (2,631, 5.81%).</w:t>
      </w:r>
    </w:p>
    <w:p>
      <w:pPr>
        <w:spacing w:after="50"/>
        <w:ind w:left="240"/>
      </w:pPr>
      <w:r>
        <w:rPr>
          <w:b/>
          <w:bCs/>
          <w:color w:val="8C2F26"/>
          <w:sz w:val="18"/>
          <w:szCs w:val="18"/>
        </w:rPr>
        <w:t xml:space="preserve">Caveat. </w:t>
      </w:r>
      <w:r>
        <w:rPr>
          <w:color w:val="15181F"/>
          <w:sz w:val="18"/>
          <w:szCs w:val="18"/>
        </w:rPr>
        <w:t xml:space="preserve">EASL draws the line itself: in oncology patients or in those with underlying liver disease, contrast-enhanced imaging is required (II-2, grade 1). The ultrasound-only rule does not cross into either of those populations. And do not treat the prevalence as a fixed quantity — EASL's own figure for haemangioma is a range of 0.4% to 20% of the general population, around 5% in imaging series and up to 20% at autopsy, and the 45,319-patient series reports its haemangioma rate as 3.3% in the abstract and 3.62% in the results table and Table 3, of which only the latter matches 1,640 of 45,319.</w:t>
      </w:r>
    </w:p>
    <w:p>
      <w:pPr>
        <w:spacing w:after="50" w:line="276"/>
        <w:ind w:left="240"/>
      </w:pPr>
      <w:r>
        <w:rPr>
          <w:i/>
          <w:iCs/>
          <w:color w:val="5A6069"/>
          <w:sz w:val="17"/>
          <w:szCs w:val="17"/>
        </w:rPr>
        <w:t xml:space="preserve">Discharge rule: because of its benign course, imaging follow-up is not required for a typical haemangioma (II-2, grade 1), and pregnancy and oral contraceptives are not contraindicated (III, grade 2). Conservative management is appropriate for typical cases (II-2, grade 1). Worth knowing when quoting the grades: not one recommendation anywhere in that guideline rests on evidence level I or II-1, so there is no randomised or controlled evidence behind any of it, and there is no stated search strategy, database or date range underneath the GRADE labels.</w:t>
      </w:r>
    </w:p>
    <w:p>
      <w:pPr>
        <w:spacing w:after="60" w:line="276"/>
        <w:ind w:left="240"/>
      </w:pPr>
      <w:r>
        <w:rPr>
          <w:color w:val="5A6069"/>
          <w:sz w:val="16"/>
          <w:szCs w:val="16"/>
        </w:rPr>
        <w:t xml:space="preserve">Sources: EASL benign tumours 2016; Kaltenbach 2016</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Where ultrasound is atypical, diagnose the haemangioma on MRI — peripheral and globular arterial enhancement with central fill-in on delayed phases, strong T2 hyperintensity, high apparent diffusion coefficient — and then discharge it.</w:t>
      </w:r>
    </w:p>
    <w:p>
      <w:pPr>
        <w:spacing w:after="50" w:line="276"/>
        <w:ind w:left="240"/>
      </w:pPr>
      <w:r>
        <w:rPr>
          <w:color w:val="15181F"/>
          <w:sz w:val="18"/>
          <w:szCs w:val="18"/>
        </w:rPr>
        <w:t xml:space="preserve">Rapidly filling and giant haemangiomas, the two commonest atypias, are both readily diagnosed on MRI. EASL reports MRI sensitivity and specificity for haemangioma above 90%.</w:t>
      </w:r>
    </w:p>
    <w:p>
      <w:pPr>
        <w:spacing w:after="50"/>
        <w:ind w:left="240"/>
      </w:pPr>
      <w:r>
        <w:rPr>
          <w:b/>
          <w:bCs/>
          <w:color w:val="8C2F26"/>
          <w:sz w:val="18"/>
          <w:szCs w:val="18"/>
        </w:rPr>
        <w:t xml:space="preserve">Caveat. </w:t>
      </w:r>
      <w:r>
        <w:rPr>
          <w:color w:val="15181F"/>
          <w:sz w:val="18"/>
          <w:szCs w:val="18"/>
        </w:rPr>
        <w:t xml:space="preserve">Know the named pitfalls. High-flow haemangiomas imaged with gadoxetic acid can show relatively low signal against liver on the three-minute equilibrium phase — a pseudo-washout that mimics a hypervascular tumour; the discriminators are very strong T2 signal and arterial-phase enhancement. Cystic, pedunculated, fluid-fluid-level, calcified, hyalinised or very slowly filling haemangiomas are the rare group in which imaging including MRI is explicitly less reliable, and small haemangiomas may show uniform flash filling that the ACR algorithm treats differently by risk category.</w:t>
      </w:r>
    </w:p>
    <w:p>
      <w:pPr>
        <w:spacing w:after="50" w:line="276"/>
        <w:ind w:left="240"/>
      </w:pPr>
      <w:r>
        <w:rPr>
          <w:i/>
          <w:iCs/>
          <w:color w:val="5A6069"/>
          <w:sz w:val="17"/>
          <w:szCs w:val="17"/>
        </w:rPr>
        <w:t xml:space="preserve">Size does not create follow-up. EASL states there is no relationship between haemangioma size and complications, and little relationship between symptoms and lesion characteristics; no randomised trial shows resection better than conservative management. Kasabach-Merritt syndrome, a growing lesion, or symptoms from compression are the referral triggers (III, grade 1).</w:t>
      </w:r>
    </w:p>
    <w:p>
      <w:pPr>
        <w:spacing w:after="60" w:line="276"/>
        <w:ind w:left="240"/>
      </w:pPr>
      <w:r>
        <w:rPr>
          <w:color w:val="5A6069"/>
          <w:sz w:val="16"/>
          <w:szCs w:val="16"/>
        </w:rPr>
        <w:t xml:space="preserve">Sources: EASL benign tumours 2016; ACR liver white paper 2017</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Focal nodular hyperplasia can be diagnosed with nearly 100% specificity when the typical features are seen in combination, and a typical lesion needs no follow-up at all unless there is underlying vascular liver disease.</w:t>
      </w:r>
    </w:p>
    <w:p>
      <w:pPr>
        <w:spacing w:after="50" w:line="276"/>
        <w:ind w:left="240"/>
      </w:pPr>
      <w:r>
        <w:rPr>
          <w:color w:val="15181F"/>
          <w:sz w:val="18"/>
          <w:szCs w:val="18"/>
        </w:rPr>
        <w:t xml:space="preserve">The young woman with a lobulated, homogeneous, arterially enhancing lesion with a T2-bright central scar that enhances late. EASL: CEUS, CT or MRI can diagnose focal nodular hyperplasia with nearly 100% specificity when typical features are seen in combination (II-2, grade 1); MRI has the highest overall performance, and CEUS the highest accuracy below 3 cm (II-2, grade 1). It is also an uncommon incidental finding — 81 cases (0.18%) in 45,319 hospital ultrasound examinations, against 19 (0.04%) for adenoma — so an incidental hepatocellular lesion is far more often focal nodular hyperplasia than adenoma, but neither is a random discovery.</w:t>
      </w:r>
    </w:p>
    <w:p>
      <w:pPr>
        <w:spacing w:after="50"/>
        <w:ind w:left="240"/>
      </w:pPr>
      <w:r>
        <w:rPr>
          <w:b/>
          <w:bCs/>
          <w:color w:val="8C2F26"/>
          <w:sz w:val="18"/>
          <w:szCs w:val="18"/>
        </w:rPr>
        <w:t xml:space="preserve">Caveat. </w:t>
      </w:r>
      <w:r>
        <w:rPr>
          <w:color w:val="15181F"/>
          <w:sz w:val="18"/>
          <w:szCs w:val="18"/>
        </w:rPr>
        <w:t xml:space="preserve">The sensitivity is the weak half: MRI sensitivity is 70-80% and lower in small lesions where the central scar is usually absent, so a lesion without the full feature set is neither excluded as focal nodular hyperplasia nor diagnosed as it. EASL's rule is that in atypical cases, liver biopsy is indicated. Steatotic focal nodular hyperplasia mimics adenoma and is commoner in a steatotic liver; strong T2 hyperintensity, a pseudocapsule and washout are the other recognised atypias. Be careful with the two prevalence figures as well: in that series both focal nodular hyperplasia and adenoma required confirmation by CEUS, MRI or histology while cysts, haemangiomas and fatty sparing were accepted on B-mode alone, and the mean confirmed lesion sizes were 51.6 mm and 39.0 mm — far larger than a typical incidental lesion. Asymmetric ascertainment of the rare entities is the likeliest reason both figures came in roughly tenfold below every prior series, including EASL's own 0.4-3% at autopsy and 0.03% clinically relevant for focal nodular hyperplasia.</w:t>
      </w:r>
    </w:p>
    <w:p>
      <w:pPr>
        <w:spacing w:after="50" w:line="276"/>
        <w:ind w:left="240"/>
      </w:pPr>
      <w:r>
        <w:rPr>
          <w:i/>
          <w:iCs/>
          <w:color w:val="5A6069"/>
          <w:sz w:val="17"/>
          <w:szCs w:val="17"/>
        </w:rPr>
        <w:t xml:space="preserve">Discharge rule: where the diagnosis is firm and the patient asymptomatic, follow-up imaging is not required and the patient can be discharged (III, grade 2). There is no indication to discontinue oral contraceptives and no need for follow-up during pregnancy. Treatment is not recommended (II-3, grade 2). The 'nearly 100% specificity' claim carries no pooled estimate and no confidence interval in the guideline.</w:t>
      </w:r>
    </w:p>
    <w:p>
      <w:pPr>
        <w:spacing w:after="60" w:line="276"/>
        <w:ind w:left="240"/>
      </w:pPr>
      <w:r>
        <w:rPr>
          <w:color w:val="5A6069"/>
          <w:sz w:val="16"/>
          <w:szCs w:val="16"/>
        </w:rPr>
        <w:t xml:space="preserve">Sources: EASL benign tumours 2016; Kaltenbach 2016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hepatocellular lesion cannot be separated from adenoma on an extracellular-agent study, add a hepatobiliary-phase study — but grade the result by what it can and cannot exclude.</w:t>
      </w:r>
    </w:p>
    <w:p>
      <w:pPr>
        <w:spacing w:after="50" w:line="276"/>
        <w:ind w:left="240"/>
      </w:pPr>
      <w:r>
        <w:rPr>
          <w:color w:val="15181F"/>
          <w:sz w:val="18"/>
          <w:szCs w:val="18"/>
        </w:rPr>
        <w:t xml:space="preserve">The indeterminate hepatocellular lesion where the fork is discharge versus the HCA pathway. EASL reports that hepatobiliary agents raise sensitivity for focal nodular hyperplasia to about 90%, with sensitivity and specificity for separating it from adenoma of 92–96.9% and 91–100% in the primary studies.</w:t>
      </w:r>
    </w:p>
    <w:p>
      <w:pPr>
        <w:spacing w:after="50"/>
        <w:ind w:left="240"/>
      </w:pPr>
      <w:r>
        <w:rPr>
          <w:b/>
          <w:bCs/>
          <w:color w:val="8C2F26"/>
          <w:sz w:val="18"/>
          <w:szCs w:val="18"/>
        </w:rPr>
        <w:t xml:space="preserve">Caveat. </w:t>
      </w:r>
      <w:r>
        <w:rPr>
          <w:color w:val="15181F"/>
          <w:sz w:val="18"/>
          <w:szCs w:val="18"/>
        </w:rPr>
        <w:t xml:space="preserve">EASL itself flags that the supporting meta-analysis rested on few, heterogeneous studies at high risk of bias, and the subsequent subtype-stratified meta-analysis shows where the specificity goes. Hepatobiliary-phase iso- or hyperintensity occurs in 0% of HNF1A-inactivated adenomas (95% CI 0-2%), 14% of inflammatory (2-31%) and 59% of beta-catenin-activated adenomas (26-88%). Specificity for focal nodular hyperplasia against all adenoma subtypes together is 89% (82-94%); it falls to 65% (44-80%) only against beta-catenin-activated and unclassified adenoma, after conventional MRI has already excluded the two commoner subtypes. State it that way round. Either way, a hepatobiliary-phase iso-intense lesion does not exclude the adenoma subtype with the highest malignant potential, and the paired sensitivity figures of 99% carry intervals of 57-100% and 53-100%, which are not measurements.</w:t>
      </w:r>
    </w:p>
    <w:p>
      <w:pPr>
        <w:spacing w:after="50" w:line="276"/>
        <w:ind w:left="240"/>
      </w:pPr>
      <w:r>
        <w:rPr>
          <w:i/>
          <w:iCs/>
          <w:color w:val="5A6069"/>
          <w:sz w:val="17"/>
          <w:szCs w:val="17"/>
        </w:rPr>
        <w:t xml:space="preserve">The authors' own explanation is that the low prevalence of beta-catenin-activated adenoma produced the earlier high performance figures. Thirty-three beta-catenin-activated adenomas across 28 studies, 16 of which were case reports or small series, is a thin basis for a 59% estimate, and all four studies supplying the diagnostic-performance figures were case-control in design and marked high risk of bias for patient selection — so the specificity numbers are functions of the sampling as much as of the test. It is the direction, not the precision, that matters for the discharge decision.</w:t>
      </w:r>
    </w:p>
    <w:p>
      <w:pPr>
        <w:spacing w:after="60" w:line="276"/>
        <w:ind w:left="240"/>
      </w:pPr>
      <w:r>
        <w:rPr>
          <w:color w:val="5A6069"/>
          <w:sz w:val="16"/>
          <w:szCs w:val="16"/>
        </w:rPr>
        <w:t xml:space="preserve">Sources: HBP adenoma subtypes; EASL benign tumours 2016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focal nodular hyperplasia is multiple, look for the setting rather than counting the lesions.</w:t>
      </w:r>
    </w:p>
    <w:p>
      <w:pPr>
        <w:spacing w:after="50" w:line="276"/>
        <w:ind w:left="240"/>
      </w:pPr>
      <w:r>
        <w:rPr>
          <w:color w:val="15181F"/>
          <w:sz w:val="18"/>
          <w:szCs w:val="18"/>
        </w:rPr>
        <w:t xml:space="preserve">Focal nodular hyperplasia is multiple in 20-30% of cases and associated with liver haemangioma in 20%. Multiple lesions should prompt a search for an underlying vascular liver disease — Budd-Chiari syndrome, obliterative portal venopathy or porto-sinusoidal vascular disorder, hereditary haemorrhagic telangiectasia, portal vein agenesis — in which EASL's own discharge rule no longer applies. The reason is quantitative: imaging displays hepatic nodules in 60-80% of patients with Budd-Chiari syndrome, usually under 4 cm, frequently more than ten, hypervascular and disseminated throughout a non-cirrhotic liver.</w:t>
      </w:r>
    </w:p>
    <w:p>
      <w:pPr>
        <w:spacing w:after="50"/>
        <w:ind w:left="240"/>
      </w:pPr>
      <w:r>
        <w:rPr>
          <w:b/>
          <w:bCs/>
          <w:color w:val="8C2F26"/>
          <w:sz w:val="18"/>
          <w:szCs w:val="18"/>
        </w:rPr>
        <w:t xml:space="preserve">Caveat. </w:t>
      </w:r>
      <w:r>
        <w:rPr>
          <w:color w:val="15181F"/>
          <w:sz w:val="18"/>
          <w:szCs w:val="18"/>
        </w:rPr>
        <w:t xml:space="preserve">Do not treat multiplicity as evidence of malignancy, and do not discharge multiple focal nodular hyperplasia without asking why there are several. But do not read the 60-80% as a post-test probability either: it is the prevalence of nodules among patients already known to have Budd-Chiari syndrome, and neither guideline reports the inverse — the probability of underlying vascular disease given multiple hypervascular nodules in a non-cirrhotic liver. That conditional, which is the one a radiologist needs, does not exist in either document.</w:t>
      </w:r>
    </w:p>
    <w:p>
      <w:pPr>
        <w:spacing w:after="50" w:line="276"/>
        <w:ind w:left="240"/>
      </w:pPr>
      <w:r>
        <w:rPr>
          <w:i/>
          <w:iCs/>
          <w:color w:val="5A6069"/>
          <w:sz w:val="17"/>
          <w:szCs w:val="17"/>
        </w:rPr>
        <w:t xml:space="preserve">EASL's wording is precise: for a lesion typical of focal nodular hyperplasia follow-up is not necessary, </w:t>
      </w:r>
      <w:r>
        <w:rPr>
          <w:i/>
          <w:iCs/>
          <w:color w:val="5A6069"/>
          <w:sz w:val="17"/>
          <w:szCs w:val="17"/>
        </w:rPr>
        <w:t xml:space="preserve">unless there is underlying vascular liver disease</w:t>
      </w:r>
      <w:r>
        <w:rPr>
          <w:i/>
          <w:iCs/>
          <w:color w:val="5A6069"/>
          <w:sz w:val="17"/>
          <w:szCs w:val="17"/>
        </w:rPr>
        <w:t xml:space="preserve"> (III, grade 2). It does not say what the interval should be in that case, and neither does this page. Grade D, downgraded from C: the rule is a III / grade 2 recommendation on one side and a superseded 2015 vascular-disease guideline on the other.</w:t>
      </w:r>
    </w:p>
    <w:p>
      <w:pPr>
        <w:spacing w:after="60" w:line="276"/>
        <w:ind w:left="240"/>
      </w:pPr>
      <w:r>
        <w:rPr>
          <w:color w:val="5A6069"/>
          <w:sz w:val="16"/>
          <w:szCs w:val="16"/>
        </w:rPr>
        <w:t xml:space="preserve">Sources: EASL benign tumours 2016; EASL vascular liver 2015</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biopsy a typical haemangioma, and do not biopsy a typical focal nodular hyperplasia.</w:t>
      </w:r>
    </w:p>
    <w:p>
      <w:pPr>
        <w:spacing w:after="50" w:line="276"/>
        <w:ind w:left="240"/>
      </w:pPr>
      <w:r>
        <w:rPr>
          <w:color w:val="15181F"/>
          <w:sz w:val="18"/>
          <w:szCs w:val="18"/>
        </w:rPr>
        <w:t xml:space="preserve">Diagnose on imaging, name the features, discharge. Where the diagnosis genuinely cannot be reached on imaging, EASL accepts percutaneous biopsy of a haemangioma provided a cuff of normal parenchyma lies between the capsule and the lesion margin, reporting an overall diagnostic accuracy of 96%.</w:t>
      </w:r>
    </w:p>
    <w:p>
      <w:pPr>
        <w:spacing w:after="50"/>
        <w:ind w:left="240"/>
      </w:pPr>
      <w:r>
        <w:rPr>
          <w:b/>
          <w:bCs/>
          <w:color w:val="8C2F26"/>
          <w:sz w:val="18"/>
          <w:szCs w:val="18"/>
        </w:rPr>
        <w:t xml:space="preserve">Caveat. </w:t>
      </w:r>
      <w:r>
        <w:rPr>
          <w:color w:val="15181F"/>
          <w:sz w:val="18"/>
          <w:szCs w:val="18"/>
        </w:rPr>
        <w:t xml:space="preserve">The procedure is not free, it does not alter management in a typical lesion, and both EASL recommendations state that these are invasive procedures with risk that should only be pursued after consideration by an experienced multidisciplinary team.</w:t>
      </w:r>
    </w:p>
    <w:p>
      <w:pPr>
        <w:spacing w:after="60" w:line="276"/>
        <w:ind w:left="240"/>
      </w:pPr>
      <w:r>
        <w:rPr>
          <w:color w:val="5A6069"/>
          <w:sz w:val="16"/>
          <w:szCs w:val="16"/>
        </w:rPr>
        <w:t xml:space="preserve">Sources: EASL benign tumours 2016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attach a surveillance interval to a typical haemangioma or focal nodular hyperplasia because the lesion is large.</w:t>
      </w:r>
    </w:p>
    <w:p>
      <w:pPr>
        <w:spacing w:after="50" w:line="276"/>
        <w:ind w:left="240"/>
      </w:pPr>
      <w:r>
        <w:rPr>
          <w:color w:val="15181F"/>
          <w:sz w:val="18"/>
          <w:szCs w:val="18"/>
        </w:rPr>
        <w:t xml:space="preserve">Discharge, with a plain explanation that the lesion may change size and that a slow incidental increase is not a cause for concern where the diagnosis is solid.</w:t>
      </w:r>
    </w:p>
    <w:p>
      <w:pPr>
        <w:spacing w:after="50"/>
        <w:ind w:left="240"/>
      </w:pPr>
      <w:r>
        <w:rPr>
          <w:b/>
          <w:bCs/>
          <w:color w:val="8C2F26"/>
          <w:sz w:val="18"/>
          <w:szCs w:val="18"/>
        </w:rPr>
        <w:t xml:space="preserve">Caveat. </w:t>
      </w:r>
      <w:r>
        <w:rPr>
          <w:color w:val="15181F"/>
          <w:sz w:val="18"/>
          <w:szCs w:val="18"/>
        </w:rPr>
        <w:t xml:space="preserve">EASL states that haemangiomas may change size during long-term follow-up with no relationship between size and complications, and that focal nodular hyperplasia is stable over time in the vast majority of cases. Size-triggered surveillance of these two lesions generates scans without generating decisions.</w:t>
      </w:r>
    </w:p>
    <w:p>
      <w:pPr>
        <w:spacing w:after="60" w:line="276"/>
        <w:ind w:left="240"/>
      </w:pPr>
      <w:r>
        <w:rPr>
          <w:color w:val="5A6069"/>
          <w:sz w:val="16"/>
          <w:szCs w:val="16"/>
        </w:rPr>
        <w:t xml:space="preserve">Sources: EASL benign tumours 2016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Pseudolesions and nodules of the diseased liver — nothing to follow</w:t>
      </w:r>
    </w:p>
    <w:p>
      <w:pPr>
        <w:spacing w:after="140"/>
      </w:pPr>
      <w:r>
        <w:rPr>
          <w:b/>
          <w:bCs/>
          <w:color w:val="176A87"/>
          <w:sz w:val="19"/>
          <w:szCs w:val="19"/>
        </w:rPr>
        <w:t xml:space="preserve">The question. </w:t>
      </w:r>
      <w:r>
        <w:rPr>
          <w:sz w:val="19"/>
          <w:szCs w:val="19"/>
        </w:rPr>
        <w:t xml:space="preserve">Is this actually a lesion, or is it normal liver behaving differently from the liver next to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Focal fat or focal fat sparing in a characteristic site — adjacent to the falciform ligament or ligamentum venosum, the gallbladder fossa, the porta hepatis, or subcapsular</w:t>
      </w:r>
    </w:p>
    <w:p>
      <w:pPr>
        <w:pStyle w:val="ListParagraph"/>
        <w:numPr>
          <w:ilvl w:val="0"/>
          <w:numId w:val="2"/>
        </w:numPr>
        <w:spacing w:after="60" w:line="268"/>
      </w:pPr>
      <w:r>
        <w:rPr>
          <w:color w:val="15181F"/>
          <w:sz w:val="18"/>
          <w:szCs w:val="18"/>
        </w:rPr>
        <w:t xml:space="preserve">Geometric or straight-edged margin, no displacement of traversing vessels, no mass effect</w:t>
      </w:r>
    </w:p>
    <w:p>
      <w:pPr>
        <w:pStyle w:val="ListParagraph"/>
        <w:numPr>
          <w:ilvl w:val="0"/>
          <w:numId w:val="2"/>
        </w:numPr>
        <w:spacing w:after="60" w:line="268"/>
      </w:pPr>
      <w:r>
        <w:rPr>
          <w:color w:val="15181F"/>
          <w:sz w:val="18"/>
          <w:szCs w:val="18"/>
        </w:rPr>
        <w:t xml:space="preserve">A transient hepatic attenuation or intensity difference — peripheral, wedge-shaped, present on one phase only</w:t>
      </w:r>
    </w:p>
    <w:p>
      <w:pPr>
        <w:pStyle w:val="ListParagraph"/>
        <w:numPr>
          <w:ilvl w:val="0"/>
          <w:numId w:val="2"/>
        </w:numPr>
        <w:spacing w:after="60" w:line="268"/>
      </w:pPr>
      <w:r>
        <w:rPr>
          <w:color w:val="15181F"/>
          <w:sz w:val="18"/>
          <w:szCs w:val="18"/>
        </w:rPr>
        <w:t xml:space="preserve">A regenerative nodule in a cirrhotic liver with no major feature and nothing suspicious</w:t>
      </w:r>
    </w:p>
    <w:p>
      <w:pPr>
        <w:pStyle w:val="ListParagraph"/>
        <w:numPr>
          <w:ilvl w:val="0"/>
          <w:numId w:val="2"/>
        </w:numPr>
        <w:spacing w:after="60" w:line="268"/>
      </w:pPr>
      <w:r>
        <w:rPr>
          <w:color w:val="15181F"/>
          <w:sz w:val="18"/>
          <w:szCs w:val="18"/>
        </w:rPr>
        <w:t xml:space="preserve">A regenerative or focal-nodular-hyperplasia-like nodule in a liver with a vascular disorder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Focal fat and focal fat sparing in a characteristic location with no vessel displacement and no mass effect are definitively characterised on the study in front of you and need no follow-up.</w:t>
      </w:r>
    </w:p>
    <w:p>
      <w:pPr>
        <w:spacing w:after="50" w:line="276"/>
        <w:ind w:left="240"/>
      </w:pPr>
      <w:r>
        <w:rPr>
          <w:color w:val="15181F"/>
          <w:sz w:val="18"/>
          <w:szCs w:val="18"/>
        </w:rPr>
        <w:t xml:space="preserve">The commonest finding of all — focal fatty sparing was the single largest contributor to the 15.1% benign-finding rate in 45,319 university-hospital ultrasound examinations, 2,839 cases (6.26%), mean size 20.6 mm, every one of them solitary and every one of them in the segment IV and gallbladder-bed location. It is a pseudolesion rather than a tumour, which is part of why that 15.1% figure cannot be read as a lesion prevalence. The ACR white paper states that the characteristic locations enable definitive characterisation without further follow-up, naming the region near the falciform ligament and the gallbladder fossa. The pattern review adds the diagnostic features: the distribution is heterogeneous or non-uniform, the margin may be geometric, and traversing vessels are not displaced.</w:t>
      </w:r>
    </w:p>
    <w:p>
      <w:pPr>
        <w:spacing w:after="50"/>
        <w:ind w:left="240"/>
      </w:pPr>
      <w:r>
        <w:rPr>
          <w:b/>
          <w:bCs/>
          <w:color w:val="8C2F26"/>
          <w:sz w:val="18"/>
          <w:szCs w:val="18"/>
        </w:rPr>
        <w:t xml:space="preserve">Caveat. </w:t>
      </w:r>
      <w:r>
        <w:rPr>
          <w:color w:val="15181F"/>
          <w:sz w:val="18"/>
          <w:szCs w:val="18"/>
        </w:rPr>
        <w:t xml:space="preserve">Know the patterns that do not look like this. Multinodular and perivascular fat accumulation are specifically described as mimicking neoplastic, inflammatory or vascular conditions, and patchy foci of normal parenchyma in an otherwise fatty liver can be a genuinely difficult problem. Where the pattern is nodular rather than geometric, treat it as unresolved and go to gate 3.</w:t>
      </w:r>
    </w:p>
    <w:p>
      <w:pPr>
        <w:spacing w:after="50" w:line="276"/>
        <w:ind w:left="240"/>
      </w:pPr>
      <w:r>
        <w:rPr>
          <w:i/>
          <w:iCs/>
          <w:color w:val="5A6069"/>
          <w:sz w:val="17"/>
          <w:szCs w:val="17"/>
        </w:rPr>
        <w:t xml:space="preserve">Chemical-shift or fat-fraction MRI settles the question directly when it matters; opposed-phase signal loss confirms fat.</w:t>
      </w:r>
    </w:p>
    <w:p>
      <w:pPr>
        <w:spacing w:after="60" w:line="276"/>
        <w:ind w:left="240"/>
      </w:pPr>
      <w:r>
        <w:rPr>
          <w:color w:val="5A6069"/>
          <w:sz w:val="16"/>
          <w:szCs w:val="16"/>
        </w:rPr>
        <w:t xml:space="preserve">Sources: Fatty liver patterns; ACR liver white paper 2017; Kaltenbach 2016</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transient hepatic attenuation or intensity difference is a perfusion phenomenon, not a mass: recognise it by its peripheral location, wedge shape and single-phase behaviour, and report no follow-up.</w:t>
      </w:r>
    </w:p>
    <w:p>
      <w:pPr>
        <w:spacing w:after="50" w:line="276"/>
        <w:ind w:left="240"/>
      </w:pPr>
      <w:r>
        <w:rPr>
          <w:color w:val="15181F"/>
          <w:sz w:val="18"/>
          <w:szCs w:val="18"/>
        </w:rPr>
        <w:t xml:space="preserve">The peripheral wedge of altered enhancement on the arterial phase that is invisible on the portal venous phase. The white paper's position is that characteristic locations and enhancement features allow definitive recognition and that these require no follow-up.</w:t>
      </w:r>
    </w:p>
    <w:p>
      <w:pPr>
        <w:spacing w:after="50"/>
        <w:ind w:left="240"/>
      </w:pPr>
      <w:r>
        <w:rPr>
          <w:b/>
          <w:bCs/>
          <w:color w:val="8C2F26"/>
          <w:sz w:val="18"/>
          <w:szCs w:val="18"/>
        </w:rPr>
        <w:t xml:space="preserve">Caveat. </w:t>
      </w:r>
      <w:r>
        <w:rPr>
          <w:color w:val="15181F"/>
          <w:sz w:val="18"/>
          <w:szCs w:val="18"/>
        </w:rPr>
        <w:t xml:space="preserve">A true lesion can sit at the apex of a perfusion abnormality, particularly in an at-risk liver, and a uniformly flash-filling observation is treated differently by risk category — in a high-risk patient the white paper advises MRI routinely for flash-filling lesions because of a higher probability of malignancy, while noting that in cirrhosis the majority of small wedge-shaped hypervascular lesions remain benign.</w:t>
      </w:r>
    </w:p>
    <w:p>
      <w:pPr>
        <w:spacing w:after="50" w:line="276"/>
        <w:ind w:left="240"/>
      </w:pPr>
      <w:r>
        <w:rPr>
          <w:i/>
          <w:iCs/>
          <w:color w:val="5A6069"/>
          <w:sz w:val="17"/>
          <w:szCs w:val="17"/>
        </w:rPr>
        <w:t xml:space="preserve">The phrase to avoid in a report is 'cannot exclude a lesion' when the finding is confined to one phase and has no counterpart on any other sequence.</w:t>
      </w:r>
    </w:p>
    <w:p>
      <w:pPr>
        <w:spacing w:after="60" w:line="276"/>
        <w:ind w:left="240"/>
      </w:pPr>
      <w:r>
        <w:rPr>
          <w:color w:val="5A6069"/>
          <w:sz w:val="16"/>
          <w:szCs w:val="16"/>
        </w:rPr>
        <w:t xml:space="preserve">Sources: ACR liver white paper 2017</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nodule in a cirrhotic liver with no arterial hyperenhancement and no other major feature is a regenerative or dysplastic nodule in all probability, and LI-RADS already states what to do with it — do not improvise an interval.</w:t>
      </w:r>
    </w:p>
    <w:p>
      <w:pPr>
        <w:spacing w:after="50" w:line="276"/>
        <w:ind w:left="240"/>
      </w:pPr>
      <w:r>
        <w:rPr>
          <w:color w:val="15181F"/>
          <w:sz w:val="18"/>
          <w:szCs w:val="18"/>
        </w:rPr>
        <w:t xml:space="preserve">The 8 mm or 15 mm nodule found on a surveillance or incidental study in a cirrhotic liver. Under CT/MRI LI-RADS v2018 the no-arterial-hyperenhancement observations fall into LR-2 or LR-3 depending on size and feature count, and the management LI-RADS specifies is repeat or alternative diagnostic imaging in 3 to 6 months for LR-3, not discharge and not biopsy.</w:t>
      </w:r>
    </w:p>
    <w:p>
      <w:pPr>
        <w:spacing w:after="50"/>
        <w:ind w:left="240"/>
      </w:pPr>
      <w:r>
        <w:rPr>
          <w:b/>
          <w:bCs/>
          <w:color w:val="8C2F26"/>
          <w:sz w:val="18"/>
          <w:szCs w:val="18"/>
        </w:rPr>
        <w:t xml:space="preserve">Caveat. </w:t>
      </w:r>
      <w:r>
        <w:rPr>
          <w:color w:val="15181F"/>
          <w:sz w:val="18"/>
          <w:szCs w:val="18"/>
        </w:rPr>
        <w:t xml:space="preserve">Do not describe either category as benign to the patient, and do not treat the numbers as precise. In the pooled systematic review, 13% (95% CI 8-22) of LR-2 and 38% (31-45) of LR-3 observations were confirmed HCC, and 14% (9-21) and 40% (31-50) respectively were confirmed malignant — a 3-to-6-month interval on a 38% probability is a watch, not reassurance. The authors explicitly label the LR-2 estimate provisional and at high risk of bias, and it rests on 223 observations for HCC and 162 for malignancy.</w:t>
      </w:r>
    </w:p>
    <w:p>
      <w:pPr>
        <w:spacing w:after="50" w:line="276"/>
        <w:ind w:left="240"/>
      </w:pPr>
      <w:r>
        <w:rPr>
          <w:i/>
          <w:iCs/>
          <w:color w:val="5A6069"/>
          <w:sz w:val="17"/>
          <w:szCs w:val="17"/>
        </w:rPr>
        <w:t xml:space="preserve">Two cautions on how the category is reached. The feature that most often lifts a nodule out of LR-2 or LR-3 on a follow-up study is threshold growth, and the 2022 individual-patient-data meta-analysis found no association between threshold growth and HCC (OR 1.6, 95% CI 0.8-3.4) — assessable in only 452 of 4,434 observations, and reported a second time in the same paper as 1.6 (0.7-3.6). Enhancing capsule is weak too, OR 2.4 (1.7-3.5), and reached significance in only one of the three analysis cohorts. Downgraded from B to C: every figure here comes from retrospective cohorts with structural verification bias. A cirrhotic liver with a nodule is, by definition, a liver that needs surveillance anyway; the surveillance programme and the nodule's follow-up interval should be one plan with one owner, not two.</w:t>
      </w:r>
    </w:p>
    <w:p>
      <w:pPr>
        <w:spacing w:after="60" w:line="276"/>
        <w:ind w:left="240"/>
      </w:pPr>
      <w:r>
        <w:rPr>
          <w:color w:val="5A6069"/>
          <w:sz w:val="16"/>
          <w:szCs w:val="16"/>
        </w:rPr>
        <w:t xml:space="preserve">Sources: LI-RADS v2018; LI-RADS accuracy review; LI-RADS features IPD meta-analysis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In a liver with a vascular disorder, treat regenerative and focal-nodular-hyperplasia-like nodules as a specific entity to be managed under the vascular-liver-disease guideline, with an interval set by the multidisciplinary team rather than copied from LI-RADS.</w:t>
      </w:r>
    </w:p>
    <w:p>
      <w:pPr>
        <w:spacing w:after="50" w:line="276"/>
        <w:ind w:left="240"/>
      </w:pPr>
      <w:r>
        <w:rPr>
          <w:color w:val="15181F"/>
          <w:sz w:val="18"/>
          <w:szCs w:val="18"/>
        </w:rPr>
        <w:t xml:space="preserve">Budd-Chiari syndrome, obliterative portal venopathy, congenital portosystemic shunt, cardiac congestion, and what is now called porto-sinusoidal vascular disorder or non-cirrhotic portal fibrosis. These livers generate multiple arterially hyperenhancing benign nodules, LI-RADS explicitly excludes them from its population, and EASL's benign-tumour guideline removes its own no-follow-up rule for focal nodular hyperplasia in this setting.</w:t>
      </w:r>
    </w:p>
    <w:p>
      <w:pPr>
        <w:spacing w:after="50"/>
        <w:ind w:left="240"/>
      </w:pPr>
      <w:r>
        <w:rPr>
          <w:b/>
          <w:bCs/>
          <w:color w:val="8C2F26"/>
          <w:sz w:val="18"/>
          <w:szCs w:val="18"/>
        </w:rPr>
        <w:t xml:space="preserve">Caveat. </w:t>
      </w:r>
      <w:r>
        <w:rPr>
          <w:color w:val="15181F"/>
          <w:sz w:val="18"/>
          <w:szCs w:val="18"/>
        </w:rPr>
        <w:t xml:space="preserve">Neither guideline states an interval for this situation. Setting one is a local decision and should be recorded as such rather than presented as guideline-derived. One thing has changed since this page was drafted and it changes what a report can safely say: the 2026 multisociety consensus makes nodular regenerative hyperplasia one of three major histological criteria for porto-sinusoidal vascular disorder, alongside muscularised portal venules and portal venule stenosis in 50% or more of portal tracts. Nodular regenerative hyperplasia is therefore no longer a benign nodular tumour to reassure a patient about; it is a marker of a vascular disorder, and EASL's benign-tumour guideline had already placed it outside its own scope on exactly that ground.</w:t>
      </w:r>
    </w:p>
    <w:p>
      <w:pPr>
        <w:spacing w:after="50" w:line="276"/>
        <w:ind w:left="240"/>
      </w:pPr>
      <w:r>
        <w:rPr>
          <w:i/>
          <w:iCs/>
          <w:color w:val="5A6069"/>
          <w:sz w:val="17"/>
          <w:szCs w:val="17"/>
        </w:rPr>
        <w:t xml:space="preserve">Grade D, and labelled as an operating rule rather than a result. Take the 2026 consensus for what it is: liver biopsy is mandatory for the diagnosis (95% agreement) with adequacy set at a 15 mm specimen including one fragment of 10 mm or more, but the criteria were derived in 88 European patients who all had specific signs of portal hypertension while the definition permits diagnosis without portal hypertension — which is exactly the patient an incidental nodular liver produces — a major criterion needs a sensitivity of only 0.10 provided specificity exceeds 0.95, and the diagnostic score was fitted to votes on 36 hypothetical scenarios and then shown to reproduce those votes, which is arithmetic consistency rather than diagnostic validity. The consensus says nothing about how incidentally detected nodular regenerative hyperplasia should be handled, and nothing about the harms of biopsying incidental nodularity. The EASL vascular-liver guidance this page otherwise relies on is the 2015 edition, superseded by a 2026 edition not obtained for this page. See the honest section and the approvals list.</w:t>
      </w:r>
    </w:p>
    <w:p>
      <w:pPr>
        <w:spacing w:after="60" w:line="276"/>
        <w:ind w:left="240"/>
      </w:pPr>
      <w:r>
        <w:rPr>
          <w:color w:val="5A6069"/>
          <w:sz w:val="16"/>
          <w:szCs w:val="16"/>
        </w:rPr>
        <w:t xml:space="preserve">Sources: EASL vascular liver 2015; EASL benign tumours 2016; PSVD/NCPF consensus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a pseudolesion cannot be distinguished from a mass on the available study, re-image on the modality that answers the mechanism rather than repeating the one that raised the question.</w:t>
      </w:r>
    </w:p>
    <w:p>
      <w:pPr>
        <w:spacing w:after="50" w:line="276"/>
        <w:ind w:left="240"/>
      </w:pPr>
      <w:r>
        <w:rPr>
          <w:color w:val="15181F"/>
          <w:sz w:val="18"/>
          <w:szCs w:val="18"/>
        </w:rPr>
        <w:t xml:space="preserve">Chemical-shift MRI for a suspected fat phenomenon; a properly phased multiphase study for a suspected perfusion phenomenon. Both answer a mechanism question that a second unenhanced CT cannot.</w:t>
      </w:r>
    </w:p>
    <w:p>
      <w:pPr>
        <w:spacing w:after="50"/>
        <w:ind w:left="240"/>
      </w:pPr>
      <w:r>
        <w:rPr>
          <w:b/>
          <w:bCs/>
          <w:color w:val="8C2F26"/>
          <w:sz w:val="18"/>
          <w:szCs w:val="18"/>
        </w:rPr>
        <w:t xml:space="preserve">Caveat. </w:t>
      </w:r>
      <w:r>
        <w:rPr>
          <w:color w:val="15181F"/>
          <w:sz w:val="18"/>
          <w:szCs w:val="18"/>
        </w:rPr>
        <w:t xml:space="preserve">Do not put a pseudolesion into a surveillance programme because the index study was ambiguous. Resolve it once.</w:t>
      </w:r>
    </w:p>
    <w:p>
      <w:pPr>
        <w:spacing w:after="60" w:line="276"/>
        <w:ind w:left="240"/>
      </w:pPr>
      <w:r>
        <w:rPr>
          <w:color w:val="5A6069"/>
          <w:sz w:val="16"/>
          <w:szCs w:val="16"/>
        </w:rPr>
        <w:t xml:space="preserve">Sources: Fatty liver patterns; ACR liver white paper 2017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biopsy a geometric area of altered attenuation in a fatty liver.</w:t>
      </w:r>
    </w:p>
    <w:p>
      <w:pPr>
        <w:spacing w:after="50" w:line="276"/>
        <w:ind w:left="240"/>
      </w:pPr>
      <w:r>
        <w:rPr>
          <w:color w:val="15181F"/>
          <w:sz w:val="18"/>
          <w:szCs w:val="18"/>
        </w:rPr>
        <w:t xml:space="preserve">Confirm with chemical-shift imaging and report it as a fat phenomenon.</w:t>
      </w:r>
    </w:p>
    <w:p>
      <w:pPr>
        <w:spacing w:after="50"/>
        <w:ind w:left="240"/>
      </w:pPr>
      <w:r>
        <w:rPr>
          <w:b/>
          <w:bCs/>
          <w:color w:val="8C2F26"/>
          <w:sz w:val="18"/>
          <w:szCs w:val="18"/>
        </w:rPr>
        <w:t xml:space="preserve">Caveat. </w:t>
      </w:r>
      <w:r>
        <w:rPr>
          <w:color w:val="15181F"/>
          <w:sz w:val="18"/>
          <w:szCs w:val="18"/>
        </w:rPr>
        <w:t xml:space="preserve">The histology comes back as liver, the patient has had a procedure for nothing, and the next clinician reads the result as an inadequate sample.</w:t>
      </w:r>
    </w:p>
    <w:p>
      <w:pPr>
        <w:spacing w:after="60" w:line="276"/>
        <w:ind w:left="240"/>
      </w:pPr>
      <w:r>
        <w:rPr>
          <w:color w:val="5A6069"/>
          <w:sz w:val="16"/>
          <w:szCs w:val="16"/>
        </w:rPr>
        <w:t xml:space="preserve">Sources: Fatty liver patterns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a sub-centimetre nodule in a cirrhotic liver benign.</w:t>
      </w:r>
    </w:p>
    <w:p>
      <w:pPr>
        <w:spacing w:after="50" w:line="276"/>
        <w:ind w:left="240"/>
      </w:pPr>
      <w:r>
        <w:rPr>
          <w:color w:val="15181F"/>
          <w:sz w:val="18"/>
          <w:szCs w:val="18"/>
        </w:rPr>
        <w:t xml:space="preserve">Assign the LI-RADS category, state the category's own management interval, and make sure the surveillance programme owns it.</w:t>
      </w:r>
    </w:p>
    <w:p>
      <w:pPr>
        <w:spacing w:after="50"/>
        <w:ind w:left="240"/>
      </w:pPr>
      <w:r>
        <w:rPr>
          <w:b/>
          <w:bCs/>
          <w:color w:val="8C2F26"/>
          <w:sz w:val="18"/>
          <w:szCs w:val="18"/>
        </w:rPr>
        <w:t xml:space="preserve">Caveat. </w:t>
      </w:r>
      <w:r>
        <w:rPr>
          <w:color w:val="15181F"/>
          <w:sz w:val="18"/>
          <w:szCs w:val="18"/>
        </w:rPr>
        <w:t xml:space="preserve">LR-1 is the only category in which no malignancy was found in the pooled review. LR-2 at 13% (95% CI 8-22) HCC and LR-3 at 38% (31-45) are not benign. The systematic review's authors do argue those figures indicate the need for a more active management strategy than the categories currently recommend — but they also call the LR-2 estimate provisional and at high risk of bias two paragraphs earlier, so this page states the number and does not adopt the recommendation.</w:t>
      </w:r>
    </w:p>
    <w:p>
      <w:pPr>
        <w:spacing w:after="60" w:line="276"/>
        <w:ind w:left="240"/>
      </w:pPr>
      <w:r>
        <w:rPr>
          <w:color w:val="5A6069"/>
          <w:sz w:val="16"/>
          <w:szCs w:val="16"/>
        </w:rPr>
        <w:t xml:space="preserve">Sources: LI-RADS accuracy review; LI-RADS v2018</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The lesion imaging cannot characterise</w:t>
      </w:r>
    </w:p>
    <w:p>
      <w:pPr>
        <w:spacing w:after="140"/>
      </w:pPr>
      <w:r>
        <w:rPr>
          <w:b/>
          <w:bCs/>
          <w:color w:val="176A87"/>
          <w:sz w:val="19"/>
          <w:szCs w:val="19"/>
        </w:rPr>
        <w:t xml:space="preserve">The question. </w:t>
      </w:r>
      <w:r>
        <w:rPr>
          <w:sz w:val="19"/>
          <w:szCs w:val="19"/>
        </w:rPr>
        <w:t xml:space="preserve">Does this lesion need to be resolved now, and if an interval is the answer, what exactly will I do differently when it comes back unchanged?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Under 10 mm, and reported as too small to characterise</w:t>
      </w:r>
    </w:p>
    <w:p>
      <w:pPr>
        <w:pStyle w:val="ListParagraph"/>
        <w:numPr>
          <w:ilvl w:val="0"/>
          <w:numId w:val="2"/>
        </w:numPr>
        <w:spacing w:after="60" w:line="268"/>
      </w:pPr>
      <w:r>
        <w:rPr>
          <w:color w:val="15181F"/>
          <w:sz w:val="18"/>
          <w:szCs w:val="18"/>
        </w:rPr>
        <w:t xml:space="preserve">Seen on one modality and not on another, with no explanation for the discrepancy</w:t>
      </w:r>
    </w:p>
    <w:p>
      <w:pPr>
        <w:pStyle w:val="ListParagraph"/>
        <w:numPr>
          <w:ilvl w:val="0"/>
          <w:numId w:val="2"/>
        </w:numPr>
        <w:spacing w:after="60" w:line="268"/>
      </w:pPr>
      <w:r>
        <w:rPr>
          <w:color w:val="15181F"/>
          <w:sz w:val="18"/>
          <w:szCs w:val="18"/>
        </w:rPr>
        <w:t xml:space="preserve">Indeterminate after an adequate multiphase MRI</w:t>
      </w:r>
    </w:p>
    <w:p>
      <w:pPr>
        <w:pStyle w:val="ListParagraph"/>
        <w:numPr>
          <w:ilvl w:val="0"/>
          <w:numId w:val="2"/>
        </w:numPr>
        <w:spacing w:after="60" w:line="268"/>
      </w:pPr>
      <w:r>
        <w:rPr>
          <w:color w:val="15181F"/>
          <w:sz w:val="18"/>
          <w:szCs w:val="18"/>
        </w:rPr>
        <w:t xml:space="preserve">LR-3 or LR-4 in an at-risk liver, where the category is itself a statement of uncertainty</w:t>
      </w:r>
    </w:p>
    <w:p>
      <w:pPr>
        <w:pStyle w:val="ListParagraph"/>
        <w:numPr>
          <w:ilvl w:val="0"/>
          <w:numId w:val="2"/>
        </w:numPr>
        <w:spacing w:after="60" w:line="268"/>
      </w:pPr>
      <w:r>
        <w:rPr>
          <w:color w:val="15181F"/>
          <w:sz w:val="18"/>
          <w:szCs w:val="18"/>
        </w:rPr>
        <w:t xml:space="preserve">Indeterminate in a patient whose treatment decision cannot wait for an interval</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Decide before you set an interval what a stable repeat scan will change, and write that down.</w:t>
      </w:r>
    </w:p>
    <w:p>
      <w:pPr>
        <w:spacing w:after="50" w:line="276"/>
        <w:ind w:left="240"/>
      </w:pPr>
      <w:r>
        <w:rPr>
          <w:color w:val="15181F"/>
          <w:sz w:val="18"/>
          <w:szCs w:val="18"/>
        </w:rPr>
        <w:t xml:space="preserve">Every indeterminate lesion. If the answer is that stability discharges the patient, say so and name the interval. If the answer is that stability changes nothing because the lesion will be resected either way, go to gate 7 or gate 8 now.</w:t>
      </w:r>
    </w:p>
    <w:p>
      <w:pPr>
        <w:spacing w:after="50"/>
        <w:ind w:left="240"/>
      </w:pPr>
      <w:r>
        <w:rPr>
          <w:b/>
          <w:bCs/>
          <w:color w:val="8C2F26"/>
          <w:sz w:val="18"/>
          <w:szCs w:val="18"/>
        </w:rPr>
        <w:t xml:space="preserve">Caveat. </w:t>
      </w:r>
      <w:r>
        <w:rPr>
          <w:color w:val="15181F"/>
          <w:sz w:val="18"/>
          <w:szCs w:val="18"/>
        </w:rPr>
        <w:t xml:space="preserve">An interval set without a stopping rule becomes indefinite surveillance. The ACR Incidental Findings Committee exists because of exactly this cascade — its founding paper describes the inclination to evaluate incidental findings as driven by physician and patient unwillingness to accept uncertainty, and names the potentially injurious and expensive cascade of tests and procedures as the harm.</w:t>
      </w:r>
    </w:p>
    <w:p>
      <w:pPr>
        <w:spacing w:after="50" w:line="276"/>
        <w:ind w:left="240"/>
      </w:pPr>
      <w:r>
        <w:rPr>
          <w:i/>
          <w:iCs/>
          <w:color w:val="5A6069"/>
          <w:sz w:val="17"/>
          <w:szCs w:val="17"/>
        </w:rPr>
        <w:t xml:space="preserve">Grade D by construction. No trial compares interval strategies for the indeterminate liver lesion, and this is an operating rule the programme chooses.</w:t>
      </w:r>
    </w:p>
    <w:p>
      <w:pPr>
        <w:spacing w:after="60" w:line="276"/>
        <w:ind w:left="240"/>
      </w:pPr>
      <w:r>
        <w:rPr>
          <w:color w:val="5A6069"/>
          <w:sz w:val="16"/>
          <w:szCs w:val="16"/>
        </w:rPr>
        <w:t xml:space="preserve">Sources: ACR abdominal CT white paper 2010; ACR liver white paper 2017</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 new sub-centimetre lesion in a patient with cancer, cirrhosis or other hepatic risk factors gets MRI at 3 to 6 months; the same lesion in a patient with no risk factor gets nothing.</w:t>
      </w:r>
    </w:p>
    <w:p>
      <w:pPr>
        <w:spacing w:after="50" w:line="276"/>
        <w:ind w:left="240"/>
      </w:pPr>
      <w:r>
        <w:rPr>
          <w:color w:val="15181F"/>
          <w:sz w:val="18"/>
          <w:szCs w:val="18"/>
        </w:rPr>
        <w:t xml:space="preserve">This is the ACR algorithm's most consequential single rule and it follows the risk fork at gate 0, not the lesion. In a low-risk patient, lesions 1 cm or smaller require no workup at all. In a high-risk patient, MRI is advised in 3 to 6 months to characterise the lesion and assess growth, and for a sub-centimetre lesion found on ultrasound in a patient with a known extrahepatic malignancy the ACR Appropriateness Criteria make MRI without and with contrast the only option they rate usually appropriate.</w:t>
      </w:r>
    </w:p>
    <w:p>
      <w:pPr>
        <w:spacing w:after="50"/>
        <w:ind w:left="240"/>
      </w:pPr>
      <w:r>
        <w:rPr>
          <w:b/>
          <w:bCs/>
          <w:color w:val="8C2F26"/>
          <w:sz w:val="18"/>
          <w:szCs w:val="18"/>
        </w:rPr>
        <w:t xml:space="preserve">Caveat. </w:t>
      </w:r>
      <w:r>
        <w:rPr>
          <w:color w:val="15181F"/>
          <w:sz w:val="18"/>
          <w:szCs w:val="18"/>
        </w:rPr>
        <w:t xml:space="preserve">Four honest qualifications, and the first is the most important. Every number in this rule is a convention. The small-lesion stratum was 0.5 cm in the 2010 white paper and 1 cm in 2017; the interval was 6 months and became 3 to 6 months; the three risk tiers became two; the focal-nodular-hyperplasia-versus-adenoma threshold moved from 4 cm to 3 cm. Four thresholds changed in seven years with no new evidence cited and the same subcommittee chair on both occasions, and the committee states that its consensus process meets no specific formal national standard and that its content should not be considered standard of care. Second, the test being ordered is not reliable at that size: per-lesion sensitivity for colorectal metastases below 10 mm was 60.2% for MRI and 47.3% for CT. Third, in the 2,978-patient cancer cohort, 8.2% of small lesions were followed for under 6 months, remained stable and were still classed indeterminate — so a 3-month repeat often resolves nothing. Fourth, the white paper permits the radiologist to deviate from the under-1-cm rule even in low-risk patients when a lesion has suspicious features, in which case MRI is suggested.</w:t>
      </w:r>
    </w:p>
    <w:p>
      <w:pPr>
        <w:spacing w:after="50" w:line="276"/>
        <w:ind w:left="240"/>
      </w:pPr>
      <w:r>
        <w:rPr>
          <w:i/>
          <w:iCs/>
          <w:color w:val="5A6069"/>
          <w:sz w:val="17"/>
          <w:szCs w:val="17"/>
        </w:rPr>
        <w:t xml:space="preserve">Growth over a year is concerning; growth over a shorter timeframe is more urgent. That is the white paper's wording and it is a judgement, not a threshold — and growth was deliberately left out of the algorithm altogether because thresholds vary by risk category, then reinserted as narrative advice. Downgraded from C to D: an underived consensus threshold is grade D however firmly it is stated.</w:t>
      </w:r>
    </w:p>
    <w:p>
      <w:pPr>
        <w:spacing w:after="60" w:line="276"/>
        <w:ind w:left="240"/>
      </w:pPr>
      <w:r>
        <w:rPr>
          <w:color w:val="5A6069"/>
          <w:sz w:val="16"/>
          <w:szCs w:val="16"/>
        </w:rPr>
        <w:t xml:space="preserve">Sources: ACR liver white paper 2017; ACR AC liver lesion 2020; CRLM imaging meta-analysis; Schwartz 1999</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 lesion that exists on one modality and not on another is a finding about the two studies, not about the liver — reconcile the studies before you work up the lesion.</w:t>
      </w:r>
    </w:p>
    <w:p>
      <w:pPr>
        <w:spacing w:after="50" w:line="276"/>
        <w:ind w:left="240"/>
      </w:pPr>
      <w:r>
        <w:rPr>
          <w:color w:val="15181F"/>
          <w:sz w:val="18"/>
          <w:szCs w:val="18"/>
        </w:rPr>
        <w:t xml:space="preserve">Compare the actual images side by side with the radiologist, not the two reports. Check phase timing, slice thickness, dose, breath-hold position, field of view and whether the segment was covered at all. Most one-modality lesions resolve as a timing or coverage difference, a perfusion phenomenon, or a lesion that one modality cannot show.</w:t>
      </w:r>
    </w:p>
    <w:p>
      <w:pPr>
        <w:spacing w:after="50"/>
        <w:ind w:left="240"/>
      </w:pPr>
      <w:r>
        <w:rPr>
          <w:b/>
          <w:bCs/>
          <w:color w:val="8C2F26"/>
          <w:sz w:val="18"/>
          <w:szCs w:val="18"/>
        </w:rPr>
        <w:t xml:space="preserve">Caveat. </w:t>
      </w:r>
      <w:r>
        <w:rPr>
          <w:color w:val="15181F"/>
          <w:sz w:val="18"/>
          <w:szCs w:val="18"/>
        </w:rPr>
        <w:t xml:space="preserve">There is no literature that quantifies how often a one-modality-only liver lesion proves malignant, and targeted searching does not find one — this page should not imply there is. What is documented is that even with a standardised protocol and a histological reference standard in a 1,349-patient multicentre study, 6.8% of lesions that were unclear on greyscale ultrasound could not be definitively diagnosed by contrast-enhanced ultrasound either, and most of those were benign. Residual uncertainty is normal and is not by itself a reason to escalate.</w:t>
      </w:r>
    </w:p>
    <w:p>
      <w:pPr>
        <w:spacing w:after="50" w:line="276"/>
        <w:ind w:left="240"/>
      </w:pPr>
      <w:r>
        <w:rPr>
          <w:i/>
          <w:iCs/>
          <w:color w:val="5A6069"/>
          <w:sz w:val="17"/>
          <w:szCs w:val="17"/>
        </w:rPr>
        <w:t xml:space="preserve">The local master workup CPG requires baseline and restaging studies used for selection to be available for central review with the priors, and requires the team to document whether repeat imaging is needed when the protocol was inadequate. Reconciliation is a named step, not an informal courtesy.</w:t>
      </w:r>
    </w:p>
    <w:p>
      <w:pPr>
        <w:spacing w:after="60" w:line="276"/>
        <w:ind w:left="240"/>
      </w:pPr>
      <w:r>
        <w:rPr>
          <w:color w:val="5A6069"/>
          <w:sz w:val="16"/>
          <w:szCs w:val="16"/>
        </w:rPr>
        <w:t xml:space="preserve">Sources: DEGUM unclear lesions; ACR liver white paper 2017</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lesion is LR-3 or LR-4 in an at-risk liver, use the category's own management pathway and put the case in front of the board rather than inventing a plan.</w:t>
      </w:r>
    </w:p>
    <w:p>
      <w:pPr>
        <w:spacing w:after="50" w:line="276"/>
        <w:ind w:left="240"/>
      </w:pPr>
      <w:r>
        <w:rPr>
          <w:color w:val="15181F"/>
          <w:sz w:val="18"/>
          <w:szCs w:val="18"/>
        </w:rPr>
        <w:t xml:space="preserve">LI-RADS v2018 specifies repeat or alternative diagnostic imaging in 3 to 6 months for LR-3, and multidisciplinary discussion with consideration of biopsy or shorter-interval imaging for LR-4. The pooled malignancy figures justify the difference — 40% (95% CI 31-50) of LR-3 and 80% (75-85) of LR-4 observations were confirmed malignant. Where the unresolved observation is in a cirrhotic liver, contrast-enhanced ultrasound is a reasonable next step before an interval is set: in a prospective multicentre cohort of 75 CT/MRI-indeterminate observations in 68 patients, CEUS re-categorised 25 of 75 (33.3%) with a management change that was correct in 24 of 25 (96.0%), and avoided follow-up imaging altogether in 21 of 75 (28.0%).</w:t>
      </w:r>
    </w:p>
    <w:p>
      <w:pPr>
        <w:spacing w:after="50"/>
        <w:ind w:left="240"/>
      </w:pPr>
      <w:r>
        <w:rPr>
          <w:b/>
          <w:bCs/>
          <w:color w:val="8C2F26"/>
          <w:sz w:val="18"/>
          <w:szCs w:val="18"/>
        </w:rPr>
        <w:t xml:space="preserve">Caveat. </w:t>
      </w:r>
      <w:r>
        <w:rPr>
          <w:color w:val="15181F"/>
          <w:sz w:val="18"/>
          <w:szCs w:val="18"/>
        </w:rPr>
        <w:t xml:space="preserve">Do not treat LR-4 as a diagnosis and do not treat it as benign. It is 74% (67-80) HCC and 80% malignant in pooled retrospective data with acknowledged verification bias, which is exactly the range in which a board decision beats an algorithm. And do not over-read the CEUS study. Its population was 97.1% cirrhotic with 23.5% having a personal history of HCC, enrolled because a lesion had already been found — the baseline risk in that cohort was 25.9% HCC for a CT/MRI LR-3 observation and 52.4% for a non-characterizable one. In a liver that is not at risk the same appearances carry a far lower probability and none of those predictive values holds. The quoted 100% positive and negative predictive values rest on 7, 7, 6 and 1 observations with no confidence interval anywhere in the paper — 7 of 7 has an exact interval of roughly 59-100%. CEUS readers could see the CT or MRI in most cases, the reference standard was follow-up CT or MRI in 72% of observations, persistently LR-3 nodules at one year were counted non-malignant, and 74.1% of LR-3 observations remained indeterminate after CEUS. The study was funded in part by the manufacturer of the contrast agent.</w:t>
      </w:r>
    </w:p>
    <w:p>
      <w:pPr>
        <w:spacing w:after="50" w:line="276"/>
        <w:ind w:left="240"/>
      </w:pPr>
      <w:r>
        <w:rPr>
          <w:i/>
          <w:iCs/>
          <w:color w:val="5A6069"/>
          <w:sz w:val="17"/>
          <w:szCs w:val="17"/>
        </w:rPr>
        <w:t xml:space="preserve">A lesion with both hepatocellular and cholangiocytic phenotypes, or an LR-M observation, goes to gate 8 and to the cHCC-CCA pathway, not into an interval. Downgraded from B to C: the LI-RADS management figures are retrospective and the CEUS evidence is a sub-analysis of a trial powered for a different question.</w:t>
      </w:r>
    </w:p>
    <w:p>
      <w:pPr>
        <w:spacing w:after="60" w:line="276"/>
        <w:ind w:left="240"/>
      </w:pPr>
      <w:r>
        <w:rPr>
          <w:color w:val="5A6069"/>
          <w:sz w:val="16"/>
          <w:szCs w:val="16"/>
        </w:rPr>
        <w:t xml:space="preserve">Sources: LI-RADS v2018; LI-RADS accuracy review; Kono 2024 CEUS validation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an interval is chosen, name the owner, the date and the modality in the record, and close the loop in the registry.</w:t>
      </w:r>
    </w:p>
    <w:p>
      <w:pPr>
        <w:spacing w:after="50" w:line="276"/>
        <w:ind w:left="240"/>
      </w:pPr>
      <w:r>
        <w:rPr>
          <w:color w:val="15181F"/>
          <w:sz w:val="18"/>
          <w:szCs w:val="18"/>
        </w:rPr>
        <w:t xml:space="preserve">Every deferred lesion. The failure this prevents is the common one: an interval recommended in a radiology report that no clinician owns.</w:t>
      </w:r>
    </w:p>
    <w:p>
      <w:pPr>
        <w:spacing w:after="50"/>
        <w:ind w:left="240"/>
      </w:pPr>
      <w:r>
        <w:rPr>
          <w:b/>
          <w:bCs/>
          <w:color w:val="8C2F26"/>
          <w:sz w:val="18"/>
          <w:szCs w:val="18"/>
        </w:rPr>
        <w:t xml:space="preserve">Caveat. </w:t>
      </w:r>
      <w:r>
        <w:rPr>
          <w:color w:val="15181F"/>
          <w:sz w:val="18"/>
          <w:szCs w:val="18"/>
        </w:rPr>
        <w:t xml:space="preserve">Do not leave the interval in the impression of a report as the only record of it. The local master workup CPG requires an assigned owner and due date for any conditional or incomplete disposition, and requires that such a case not be presented as approved.</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keep re-imaging a lesion when the answer will not change management.</w:t>
      </w:r>
    </w:p>
    <w:p>
      <w:pPr>
        <w:spacing w:after="50" w:line="276"/>
        <w:ind w:left="240"/>
      </w:pPr>
      <w:r>
        <w:rPr>
          <w:color w:val="15181F"/>
          <w:sz w:val="18"/>
          <w:szCs w:val="18"/>
        </w:rPr>
        <w:t xml:space="preserve">Either resolve it with tissue, or resect it, or discharge it, and say which.</w:t>
      </w:r>
    </w:p>
    <w:p>
      <w:pPr>
        <w:spacing w:after="50"/>
        <w:ind w:left="240"/>
      </w:pPr>
      <w:r>
        <w:rPr>
          <w:b/>
          <w:bCs/>
          <w:color w:val="8C2F26"/>
          <w:sz w:val="18"/>
          <w:szCs w:val="18"/>
        </w:rPr>
        <w:t xml:space="preserve">Caveat. </w:t>
      </w:r>
      <w:r>
        <w:rPr>
          <w:color w:val="15181F"/>
          <w:sz w:val="18"/>
          <w:szCs w:val="18"/>
        </w:rPr>
        <w:t xml:space="preserve">Repeated imaging of a stable indeterminate lesion is the pathway's commonest way to spend a year. The ACR's founding incidental-findings paper puts standardisation forward precisely to limit cost and reduce risk to patients from this cascade.</w:t>
      </w:r>
    </w:p>
    <w:p>
      <w:pPr>
        <w:spacing w:after="60" w:line="276"/>
        <w:ind w:left="240"/>
      </w:pPr>
      <w:r>
        <w:rPr>
          <w:color w:val="5A6069"/>
          <w:sz w:val="16"/>
          <w:szCs w:val="16"/>
        </w:rPr>
        <w:t xml:space="preserve">Sources: ACR abdominal CT white paper 2010</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resolve diagnostic uncertainty by escalating to a more invasive test before the cheaper one has been done properly.</w:t>
      </w:r>
    </w:p>
    <w:p>
      <w:pPr>
        <w:spacing w:after="50" w:line="276"/>
        <w:ind w:left="240"/>
      </w:pPr>
      <w:r>
        <w:rPr>
          <w:color w:val="15181F"/>
          <w:sz w:val="18"/>
          <w:szCs w:val="18"/>
        </w:rPr>
        <w:t xml:space="preserve">An adequate multiphase MRI with the right agent, read against the right criteria, resolves most of these. Biopsy follows a failed adequate study, not a failed inadequate one.</w:t>
      </w:r>
    </w:p>
    <w:p>
      <w:pPr>
        <w:spacing w:after="50"/>
        <w:ind w:left="240"/>
      </w:pPr>
      <w:r>
        <w:rPr>
          <w:b/>
          <w:bCs/>
          <w:color w:val="8C2F26"/>
          <w:sz w:val="18"/>
          <w:szCs w:val="18"/>
        </w:rPr>
        <w:t xml:space="preserve">Caveat. </w:t>
      </w:r>
      <w:r>
        <w:rPr>
          <w:color w:val="15181F"/>
          <w:sz w:val="18"/>
          <w:szCs w:val="18"/>
        </w:rPr>
        <w:t xml:space="preserve">The ACR algorithm reserves direct biopsy for large, highly suspicious lesions in high-risk patients and otherwise recommends prompt MRI at minimum.</w:t>
      </w:r>
    </w:p>
    <w:p>
      <w:pPr>
        <w:spacing w:after="60" w:line="276"/>
        <w:ind w:left="240"/>
      </w:pPr>
      <w:r>
        <w:rPr>
          <w:color w:val="5A6069"/>
          <w:sz w:val="16"/>
          <w:szCs w:val="16"/>
        </w:rPr>
        <w:t xml:space="preserve">Sources: ACR liver white paper 2017; DEGUM unclear lesions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Biopsy — when it adds something, and when it costs an option</w:t>
      </w:r>
    </w:p>
    <w:p>
      <w:pPr>
        <w:spacing w:after="140"/>
      </w:pPr>
      <w:r>
        <w:rPr>
          <w:b/>
          <w:bCs/>
          <w:color w:val="176A87"/>
          <w:sz w:val="19"/>
          <w:szCs w:val="19"/>
        </w:rPr>
        <w:t xml:space="preserve">The question. </w:t>
      </w:r>
      <w:r>
        <w:rPr>
          <w:sz w:val="19"/>
          <w:szCs w:val="19"/>
        </w:rPr>
        <w:t xml:space="preserve">Will this result change what I do, and will the route I am about to use cost this patient an option they currently have?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The destination is named before any needle is passed: resection, transplant pathway, systemic therapy, or discharge</w:t>
      </w:r>
    </w:p>
    <w:p>
      <w:pPr>
        <w:pStyle w:val="ListParagraph"/>
        <w:numPr>
          <w:ilvl w:val="0"/>
          <w:numId w:val="2"/>
        </w:numPr>
        <w:spacing w:after="60" w:line="268"/>
      </w:pPr>
      <w:r>
        <w:rPr>
          <w:color w:val="15181F"/>
          <w:sz w:val="18"/>
          <w:szCs w:val="18"/>
        </w:rPr>
        <w:t xml:space="preserve">The result will change management — not merely confirm what the plan already assumes</w:t>
      </w:r>
    </w:p>
    <w:p>
      <w:pPr>
        <w:pStyle w:val="ListParagraph"/>
        <w:numPr>
          <w:ilvl w:val="0"/>
          <w:numId w:val="2"/>
        </w:numPr>
        <w:spacing w:after="60" w:line="268"/>
      </w:pPr>
      <w:r>
        <w:rPr>
          <w:color w:val="15181F"/>
          <w:sz w:val="18"/>
          <w:szCs w:val="18"/>
        </w:rPr>
        <w:t xml:space="preserve">The lesion is not a resectable colorectal metastasis, and the patient is not a candidate for a perihilar transplant protocol</w:t>
      </w:r>
    </w:p>
    <w:p>
      <w:pPr>
        <w:pStyle w:val="ListParagraph"/>
        <w:numPr>
          <w:ilvl w:val="0"/>
          <w:numId w:val="2"/>
        </w:numPr>
        <w:spacing w:after="60" w:line="268"/>
      </w:pPr>
      <w:r>
        <w:rPr>
          <w:color w:val="15181F"/>
          <w:sz w:val="18"/>
          <w:szCs w:val="18"/>
        </w:rPr>
        <w:t xml:space="preserve">Suspected perihilar cholangiocarcinoma has been excluded, or the transplant pathway has been reviewed first</w:t>
      </w:r>
    </w:p>
    <w:p>
      <w:pPr>
        <w:pStyle w:val="ListParagraph"/>
        <w:numPr>
          <w:ilvl w:val="0"/>
          <w:numId w:val="2"/>
        </w:numPr>
        <w:spacing w:after="60" w:line="268"/>
      </w:pPr>
      <w:r>
        <w:rPr>
          <w:color w:val="15181F"/>
          <w:sz w:val="18"/>
          <w:szCs w:val="18"/>
        </w:rPr>
        <w:t xml:space="preserve">Core biopsy rather than fine-needle aspiration, with the route and the specimen priorities agreed in advance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Do not perform a transperitoneal or primary-tumour needle biopsy in a patient with suspected perihilar cholangiocarcinoma until the transplant pathway has been reviewed — this is the local programme's written safety rule and it is not a weighing of evidence.</w:t>
      </w:r>
    </w:p>
    <w:p>
      <w:pPr>
        <w:spacing w:after="50" w:line="276"/>
        <w:ind w:left="240"/>
      </w:pPr>
      <w:r>
        <w:rPr>
          <w:color w:val="15181F"/>
          <w:sz w:val="18"/>
          <w:szCs w:val="18"/>
        </w:rPr>
        <w:t xml:space="preserve">Any central, periductal or hilar lesion with biliary dilatation above it. The local Master Workup and Staging CPG carries this as its one critical safety rule, requires suspected perihilar disease to be flagged before any primary-tumour biopsy at the safety-screen step, requires regional-node sampling to follow the perihilar protocol, and requires the biopsy route to be documented for all cholangiocarcinoma candidates. From here the case is the perihilar cholangiocarcinoma pathway, which carries the route rules in full.</w:t>
      </w:r>
    </w:p>
    <w:p>
      <w:pPr>
        <w:spacing w:after="50"/>
        <w:ind w:left="240"/>
      </w:pPr>
      <w:r>
        <w:rPr>
          <w:b/>
          <w:bCs/>
          <w:color w:val="8C2F26"/>
          <w:sz w:val="18"/>
          <w:szCs w:val="18"/>
        </w:rPr>
        <w:t xml:space="preserve">Caveat. </w:t>
      </w:r>
      <w:r>
        <w:rPr>
          <w:color w:val="15181F"/>
          <w:sz w:val="18"/>
          <w:szCs w:val="18"/>
        </w:rPr>
        <w:t xml:space="preserve">The supporting data are retrospective, small, and asymmetrically evidenced. Of 191 patients in a neoadjuvant-plus-transplant protocol, 16 had a transperitoneal fine-needle aspiration of the primary elsewhere; of the 6 whose aspirate was positive for adenocarcinoma, 5 of 6 (83%) had peritoneal metastases at operative staging, against 8% (14 of 175) in those not biopsied, p=0.0097. The 9 patients with non-diagnostic aspirates had no metastases — which means the excess fell entirely on diagnostic aspirates and reverse causation is not excluded. Six patients is not a measured seeding rate. Note the asymmetry in the surgical literature too: the seeding risk that justifies the prohibition is asserted with no rate and no denominator anywhere, while the competing harm is quantified — about 15% of patients resected for apparent perihilar cholangiocarcinoma prove on final pathology to have benign disease, a figure the review states twice from a single citation with no denominator or interval of its own.</w:t>
      </w:r>
    </w:p>
    <w:p>
      <w:pPr>
        <w:spacing w:after="50" w:line="276"/>
        <w:ind w:left="240"/>
      </w:pPr>
      <w:r>
        <w:rPr>
          <w:i/>
          <w:iCs/>
          <w:color w:val="5A6069"/>
          <w:sz w:val="17"/>
          <w:szCs w:val="17"/>
        </w:rPr>
        <w:t xml:space="preserve">The surgical review of this disease states the general position plainly: biopsy is typically avoided because of the risk of seeding metastases and the low yield of a bile duct brush, it is contraindicated outright in a transplant candidate, and a negative brushing or biopsy should not exclude the diagnosis or delay treatment. Read the review for what it is — a narrative paper by hepatobiliary and transplant surgeons with no search strategy, no quality appraisal and survival figures drawn entirely from uncontrolled surgical series — and take the safety rule from the local CPG rather than from it.</w:t>
      </w:r>
    </w:p>
    <w:p>
      <w:pPr>
        <w:spacing w:after="60" w:line="276"/>
        <w:ind w:left="240"/>
      </w:pPr>
      <w:r>
        <w:rPr>
          <w:color w:val="5A6069"/>
          <w:sz w:val="16"/>
          <w:szCs w:val="16"/>
        </w:rPr>
        <w:t xml:space="preserve">Sources: Heimbach 2011; Cillo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not biopsy a lesion you are going to resect anyway.</w:t>
      </w:r>
    </w:p>
    <w:p>
      <w:pPr>
        <w:spacing w:after="50" w:line="276"/>
        <w:ind w:left="240"/>
      </w:pPr>
      <w:r>
        <w:rPr>
          <w:color w:val="15181F"/>
          <w:sz w:val="18"/>
          <w:szCs w:val="18"/>
        </w:rPr>
        <w:t xml:space="preserve">The resectable colorectal liver metastasis in a patient with a confirmed colorectal primary, the resectable solitary mass in a fit patient where the operation is the same whatever the histology shows, and the lesion whose imaging phenotype and clinical context leave no competing diagnosis that would change the plan.</w:t>
      </w:r>
    </w:p>
    <w:p>
      <w:pPr>
        <w:spacing w:after="50"/>
        <w:ind w:left="240"/>
      </w:pPr>
      <w:r>
        <w:rPr>
          <w:b/>
          <w:bCs/>
          <w:color w:val="8C2F26"/>
          <w:sz w:val="18"/>
          <w:szCs w:val="18"/>
        </w:rPr>
        <w:t xml:space="preserve">Caveat. </w:t>
      </w:r>
      <w:r>
        <w:rPr>
          <w:color w:val="15181F"/>
          <w:sz w:val="18"/>
          <w:szCs w:val="18"/>
        </w:rPr>
        <w:t xml:space="preserve">The quantitative case rests on two different kinds of evidence and they are not equally strong. For colorectal metastases, 17 of 90 biopsied patients (19%) had needle-track deposits and 4-year survival was 32.5% against 46.7%, p=0.008 — in a retrospective comparison in which every biopsy was done at a referring hospital, synchronous disease was present in 61% of the biopsied against 26% of the non-biopsied (p&lt;0.001) with no multivariable adjustment, and the denominator is conditioned on having reached a resection. For hepatocellular carcinoma, a meta-analysis of 8 observational studies put needle-track seeding at 2.7% per patient (95% CI 1.8-4.0) or 0.9% per patient per year (0.6-1.3), with no case demonstrably affecting survival — but seven of the eight studies were retrospective, the largest and only prospective one found zero events in 239 patients, median follow-up in several series was shorter than the 17-month median time to seeding, and the abstract misstates its own units by a factor of 100. Do not quote one number for both diseases.</w:t>
      </w:r>
    </w:p>
    <w:p>
      <w:pPr>
        <w:spacing w:after="50" w:line="276"/>
        <w:ind w:left="240"/>
      </w:pPr>
      <w:r>
        <w:rPr>
          <w:i/>
          <w:iCs/>
          <w:color w:val="5A6069"/>
          <w:sz w:val="17"/>
          <w:szCs w:val="17"/>
        </w:rPr>
        <w:t xml:space="preserve">Procedural harm is quoted inconsistently across every source this page uses, and the group should know that before it writes a consent line. The ACR white paper gives morbidity of about 0.5% and mortality about 0.05% and prefers core biopsy over fine-needle aspiration; the same committee's 2010 document gave morbidity of 2.0% to 4.8%, with no explanation for the revision. The AASLD position paper gives severe bleeding at 1 in 2,500 to 1 in 10,000 and mortality at about 1 in 10,000 — but explicitly for the intercostal percutaneous approach in diffuse non-focal disease, while noting that death from bleeding may be greater after biopsy of a malignant lesion — and gives tumour seeding as 0.13% from one study, twenty-fold below the pooled HCC figure. If the route under discussion is endoscopic ultrasound-guided fine-needle biopsy, a meta-analysis of 99 studies and 9,303 patients puts the overall adverse-event rate at 1.8% but the liver subgroup at 14.0% (95% CI 7.7-24.0) — on 133 patients in 4 studies with 18 events, 13 of which were abdominal pain, 3 bleeds and one suspected death from anticoagulant interruption that the paper's own conclusion denies occurred. No source in this depot reports comparable harm figures for the competing routes, which is a ratification item rather than a finding.</w:t>
      </w:r>
    </w:p>
    <w:p>
      <w:pPr>
        <w:spacing w:after="60" w:line="276"/>
        <w:ind w:left="240"/>
      </w:pPr>
      <w:r>
        <w:rPr>
          <w:color w:val="5A6069"/>
          <w:sz w:val="16"/>
          <w:szCs w:val="16"/>
        </w:rPr>
        <w:t xml:space="preserve">Sources: Jones 2005 CRLM biopsy; HCC seeding meta-analysis; EUS-FNB adverse events meta-analysis; AASLD liver biopsy</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Biopsy is the right move when imaging criteria cannot be applied or have failed, and the result will change the plan — and in a liver that is not at risk, that is the guideline position rather than a fallback.</w:t>
      </w:r>
    </w:p>
    <w:p>
      <w:pPr>
        <w:spacing w:after="50" w:line="276"/>
        <w:ind w:left="240"/>
      </w:pPr>
      <w:r>
        <w:rPr>
          <w:color w:val="15181F"/>
          <w:sz w:val="18"/>
          <w:szCs w:val="18"/>
        </w:rPr>
        <w:t xml:space="preserve">The indeterminate solid lesion in a non-cirrhotic liver; the lesion that remains indeterminate after an adequate multiphase MRI; the at-risk patient whose observation does not meet LR-5. EASL 2025 states that HCC diagnosis should be confirmed by tumour biopsy when the non-invasive imaging-based diagnostic criteria are not met (LoE 1), and that in patients without cirrhosis, chronic HBV or a history of HCC the diagnosis must be confirmed by biopsy. The ACR white paper's indication is the same shape — when MRI cannot confirm the diagnosis and the knowledge would alter management.</w:t>
      </w:r>
    </w:p>
    <w:p>
      <w:pPr>
        <w:spacing w:after="50"/>
        <w:ind w:left="240"/>
      </w:pPr>
      <w:r>
        <w:rPr>
          <w:b/>
          <w:bCs/>
          <w:color w:val="8C2F26"/>
          <w:sz w:val="18"/>
          <w:szCs w:val="18"/>
        </w:rPr>
        <w:t xml:space="preserve">Caveat. </w:t>
      </w:r>
      <w:r>
        <w:rPr>
          <w:color w:val="15181F"/>
          <w:sz w:val="18"/>
          <w:szCs w:val="18"/>
        </w:rPr>
        <w:t xml:space="preserve">Do not biopsy to document a diagnosis nobody will act on. And do not biopsy without agreeing the specimen priorities first — the local CPG requires tissue priorities to be defined before limited material is consumed, in the order diagnostic confirmation, required biomarkers, broad sequencing, research, and tumour-informed circulating-tumour-DNA assay creation.</w:t>
      </w:r>
    </w:p>
    <w:p>
      <w:pPr>
        <w:spacing w:after="50" w:line="276"/>
        <w:ind w:left="240"/>
      </w:pPr>
      <w:r>
        <w:rPr>
          <w:i/>
          <w:iCs/>
          <w:color w:val="5A6069"/>
          <w:sz w:val="17"/>
          <w:szCs w:val="17"/>
        </w:rPr>
        <w:t xml:space="preserve">Route, platelet count, coagulation, ascites and the choice between percutaneous, transjugular and laparoscopic access are governed by the AASLD liver biopsy position paper and by local interventional radiology policy. EASL 2025 also asks that, if a biopsy is obtained, prognostic features including tumour differentiation and WHO subtype be reported (LoE 1, strong recommendation).</w:t>
      </w:r>
    </w:p>
    <w:p>
      <w:pPr>
        <w:spacing w:after="60" w:line="276"/>
        <w:ind w:left="240"/>
      </w:pPr>
      <w:r>
        <w:rPr>
          <w:color w:val="5A6069"/>
          <w:sz w:val="16"/>
          <w:szCs w:val="16"/>
        </w:rPr>
        <w:t xml:space="preserve">Sources: EASL HCC 2025; ACR liver white paper 2017; AASLD liver biopsy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lesion is hepatocellular and the question is which adenoma subtype, accept that biopsy answers a question imaging increasingly cannot, and send the case to the HCA pathway with the subtype question stated.</w:t>
      </w:r>
    </w:p>
    <w:p>
      <w:pPr>
        <w:spacing w:after="50" w:line="276"/>
        <w:ind w:left="240"/>
      </w:pPr>
      <w:r>
        <w:rPr>
          <w:color w:val="15181F"/>
          <w:sz w:val="18"/>
          <w:szCs w:val="18"/>
        </w:rPr>
        <w:t xml:space="preserve">A hepatobiliary-phase iso-intense hepatocellular lesion in a normal liver, where 59% (95% CI 26-88%) of beta-catenin-activated adenomas show that same appearance and the hepatobiliary phase cannot separate beta-catenin-activated from inflammatory adenoma at all. The subtype decides risk, and this is the HCA pathway from here.</w:t>
      </w:r>
    </w:p>
    <w:p>
      <w:pPr>
        <w:spacing w:after="50"/>
        <w:ind w:left="240"/>
      </w:pPr>
      <w:r>
        <w:rPr>
          <w:b/>
          <w:bCs/>
          <w:color w:val="8C2F26"/>
          <w:sz w:val="18"/>
          <w:szCs w:val="18"/>
        </w:rPr>
        <w:t xml:space="preserve">Caveat. </w:t>
      </w:r>
      <w:r>
        <w:rPr>
          <w:color w:val="15181F"/>
          <w:sz w:val="18"/>
          <w:szCs w:val="18"/>
        </w:rPr>
        <w:t xml:space="preserve">Do not biopsy a lesion that is already going to be resected on size or sex criteria — the explant or resection specimen answers the subtype question without a needle.</w:t>
      </w:r>
    </w:p>
    <w:p>
      <w:pPr>
        <w:spacing w:after="50" w:line="276"/>
        <w:ind w:left="240"/>
      </w:pPr>
      <w:r>
        <w:rPr>
          <w:i/>
          <w:iCs/>
          <w:color w:val="5A6069"/>
          <w:sz w:val="17"/>
          <w:szCs w:val="17"/>
        </w:rPr>
        <w:t xml:space="preserve">The ACR white paper's own subtype summary — inflammatory adenoma carrying the greatest haemorrhage risk and beta-catenin-activated adenoma the greatest malignancy risk — is the reason the subtype matters. EASL goes further and states that beta-catenin-activated adenoma cannot be identified, or distinguished from unclassified adenoma or from HCC, by any imaging technique, while simultaneously making a proven beta-catenin mutation an indication for resection. That circularity is the reason the question reaches a needle at all, and the HCA pathway carries it.</w:t>
      </w:r>
    </w:p>
    <w:p>
      <w:pPr>
        <w:spacing w:after="60" w:line="276"/>
        <w:ind w:left="240"/>
      </w:pPr>
      <w:r>
        <w:rPr>
          <w:color w:val="5A6069"/>
          <w:sz w:val="16"/>
          <w:szCs w:val="16"/>
        </w:rPr>
        <w:t xml:space="preserve">Sources: HBP adenoma subtypes; ACR liver white paper 2017</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result will not change management but the diagnosis is needed for a trial, a registry or a protocol, say that is the reason.</w:t>
      </w:r>
    </w:p>
    <w:p>
      <w:pPr>
        <w:spacing w:after="50" w:line="276"/>
        <w:ind w:left="240"/>
      </w:pPr>
      <w:r>
        <w:rPr>
          <w:color w:val="15181F"/>
          <w:sz w:val="18"/>
          <w:szCs w:val="18"/>
        </w:rPr>
        <w:t xml:space="preserve">Protocol-mandated tissue, molecular profiling for a named systemic therapy decision, or the assay-creation requirement for tumour-informed circulating tumour DNA. Naming the reason makes the risk-benefit explicit and makes the consent accurate.</w:t>
      </w:r>
    </w:p>
    <w:p>
      <w:pPr>
        <w:spacing w:after="50"/>
        <w:ind w:left="240"/>
      </w:pPr>
      <w:r>
        <w:rPr>
          <w:b/>
          <w:bCs/>
          <w:color w:val="8C2F26"/>
          <w:sz w:val="18"/>
          <w:szCs w:val="18"/>
        </w:rPr>
        <w:t xml:space="preserve">Caveat. </w:t>
      </w:r>
      <w:r>
        <w:rPr>
          <w:color w:val="15181F"/>
          <w:sz w:val="18"/>
          <w:szCs w:val="18"/>
        </w:rPr>
        <w:t xml:space="preserve">Do not fold a protocol-driven biopsy into the clinical indication. They have different thresholds and different consent conversations.</w:t>
      </w:r>
    </w:p>
    <w:p>
      <w:pPr>
        <w:spacing w:after="60" w:line="276"/>
        <w:ind w:left="240"/>
      </w:pPr>
      <w:r>
        <w:rPr>
          <w:color w:val="5A6069"/>
          <w:sz w:val="16"/>
          <w:szCs w:val="16"/>
        </w:rPr>
        <w:t xml:space="preserve">Sources: AASLD liver biopsy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biopsy before the destination has been named.</w:t>
      </w:r>
    </w:p>
    <w:p>
      <w:pPr>
        <w:spacing w:after="50" w:line="276"/>
        <w:ind w:left="240"/>
      </w:pPr>
      <w:r>
        <w:rPr>
          <w:color w:val="15181F"/>
          <w:sz w:val="18"/>
          <w:szCs w:val="18"/>
        </w:rPr>
        <w:t xml:space="preserve">Resection, transplant pathway, systemic therapy or discharge — one of those, written down, before the needle.</w:t>
      </w:r>
    </w:p>
    <w:p>
      <w:pPr>
        <w:spacing w:after="50"/>
        <w:ind w:left="240"/>
      </w:pPr>
      <w:r>
        <w:rPr>
          <w:b/>
          <w:bCs/>
          <w:color w:val="8C2F26"/>
          <w:sz w:val="18"/>
          <w:szCs w:val="18"/>
        </w:rPr>
        <w:t xml:space="preserve">Caveat. </w:t>
      </w:r>
      <w:r>
        <w:rPr>
          <w:color w:val="15181F"/>
          <w:sz w:val="18"/>
          <w:szCs w:val="18"/>
        </w:rPr>
        <w:t xml:space="preserve">A biopsy obtained for convenience is the commonest way a curative option is lost in this pathway, and the local CPG's safety screen exists to catch it.</w:t>
      </w:r>
    </w:p>
    <w:p>
      <w:pPr>
        <w:spacing w:after="60" w:line="276"/>
        <w:ind w:left="240"/>
      </w:pPr>
      <w:r>
        <w:rPr>
          <w:color w:val="5A6069"/>
          <w:sz w:val="16"/>
          <w:szCs w:val="16"/>
        </w:rPr>
        <w:t xml:space="preserve">Sources: Heimbach 2011</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accept a non-diagnostic result as reassurance.</w:t>
      </w:r>
    </w:p>
    <w:p>
      <w:pPr>
        <w:spacing w:after="50" w:line="276"/>
        <w:ind w:left="240"/>
      </w:pPr>
      <w:r>
        <w:rPr>
          <w:color w:val="15181F"/>
          <w:sz w:val="18"/>
          <w:szCs w:val="18"/>
        </w:rPr>
        <w:t xml:space="preserve">Decide in advance what a negative or non-diagnostic result will change. If the answer is nothing, the patient needs a destination decision, not another needle.</w:t>
      </w:r>
    </w:p>
    <w:p>
      <w:pPr>
        <w:spacing w:after="50"/>
        <w:ind w:left="240"/>
      </w:pPr>
      <w:r>
        <w:rPr>
          <w:b/>
          <w:bCs/>
          <w:color w:val="8C2F26"/>
          <w:sz w:val="18"/>
          <w:szCs w:val="18"/>
        </w:rPr>
        <w:t xml:space="preserve">Caveat. </w:t>
      </w:r>
      <w:r>
        <w:rPr>
          <w:color w:val="15181F"/>
          <w:sz w:val="18"/>
          <w:szCs w:val="18"/>
        </w:rPr>
        <w:t xml:space="preserve">In the perihilar series the 9 non-diagnostic aspirates had no metastases while 5 of 6 diagnostic ones did — the same procedure, two entirely different implications — and the yield of brush cytology and biopsy in biliary strictures is low enough that the surgical review states plainly a negative result should not exclude the diagnosis or delay treatment. The same holds for a small nodule: in the one prospective series inside the hepatocellular-carcinoma seeding meta-analysis, 294 nodules of 2 cm or less were biopsied, 49 (17%) yielded no diagnosis, and 29 of those (10% of the whole series) later proved to be HCC that the aspirate had missed — 8 inadequate samples, 11 read as regenerative and 10 as dysplastic.</w:t>
      </w:r>
    </w:p>
    <w:p>
      <w:pPr>
        <w:spacing w:after="60" w:line="276"/>
        <w:ind w:left="240"/>
      </w:pPr>
      <w:r>
        <w:rPr>
          <w:color w:val="5A6069"/>
          <w:sz w:val="16"/>
          <w:szCs w:val="16"/>
        </w:rPr>
        <w:t xml:space="preserve">Sources: Heimbach 2011; Cillo 2019</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Routing — name the destination page</w:t>
      </w:r>
    </w:p>
    <w:p>
      <w:pPr>
        <w:spacing w:after="140"/>
      </w:pPr>
      <w:r>
        <w:rPr>
          <w:b/>
          <w:bCs/>
          <w:color w:val="176A87"/>
          <w:sz w:val="19"/>
          <w:szCs w:val="19"/>
        </w:rPr>
        <w:t xml:space="preserve">The question. </w:t>
      </w:r>
      <w:r>
        <w:rPr>
          <w:sz w:val="19"/>
          <w:szCs w:val="19"/>
        </w:rPr>
        <w:t xml:space="preserve">Which page does this patient belong on, and have I named it rather than describing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LR-5, or LR-4 after board discussion, in an at-risk liver</w:t>
      </w:r>
    </w:p>
    <w:p>
      <w:pPr>
        <w:pStyle w:val="ListParagraph"/>
        <w:numPr>
          <w:ilvl w:val="0"/>
          <w:numId w:val="2"/>
        </w:numPr>
        <w:spacing w:after="60" w:line="268"/>
      </w:pPr>
      <w:r>
        <w:rPr>
          <w:color w:val="15181F"/>
          <w:sz w:val="18"/>
          <w:szCs w:val="18"/>
        </w:rPr>
        <w:t xml:space="preserve">An LR-M or targetoid observation, or a peripheral mass with capsular retraction and delayed central enhancement</w:t>
      </w:r>
    </w:p>
    <w:p>
      <w:pPr>
        <w:pStyle w:val="ListParagraph"/>
        <w:numPr>
          <w:ilvl w:val="0"/>
          <w:numId w:val="2"/>
        </w:numPr>
        <w:spacing w:after="60" w:line="268"/>
      </w:pPr>
      <w:r>
        <w:rPr>
          <w:color w:val="15181F"/>
          <w:sz w:val="18"/>
          <w:szCs w:val="18"/>
        </w:rPr>
        <w:t xml:space="preserve">A confirmed colorectal or neuroendocrine primary</w:t>
      </w:r>
    </w:p>
    <w:p>
      <w:pPr>
        <w:pStyle w:val="ListParagraph"/>
        <w:numPr>
          <w:ilvl w:val="0"/>
          <w:numId w:val="2"/>
        </w:numPr>
        <w:spacing w:after="60" w:line="268"/>
      </w:pPr>
      <w:r>
        <w:rPr>
          <w:color w:val="15181F"/>
          <w:sz w:val="18"/>
          <w:szCs w:val="18"/>
        </w:rPr>
        <w:t xml:space="preserve">A hepatocellular lesion in a normal liver that is not focal nodular hyperplasia</w:t>
      </w:r>
    </w:p>
    <w:p>
      <w:pPr>
        <w:pStyle w:val="ListParagraph"/>
        <w:numPr>
          <w:ilvl w:val="0"/>
          <w:numId w:val="2"/>
        </w:numPr>
        <w:spacing w:after="60" w:line="268"/>
      </w:pPr>
      <w:r>
        <w:rPr>
          <w:color w:val="15181F"/>
          <w:sz w:val="18"/>
          <w:szCs w:val="18"/>
        </w:rPr>
        <w:t xml:space="preserve">A lesion carrying both hepatocellular and cholangiocytic phenotypes, or discordant markers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An LR-5 observation in an at-risk liver is hepatocellular carcinoma and this is the HCC pathway from here — including the transplant question, which that page opens.</w:t>
      </w:r>
    </w:p>
    <w:p>
      <w:pPr>
        <w:spacing w:after="50" w:line="276"/>
        <w:ind w:left="240"/>
      </w:pPr>
      <w:r>
        <w:rPr>
          <w:color w:val="15181F"/>
          <w:sz w:val="18"/>
          <w:szCs w:val="18"/>
        </w:rPr>
        <w:t xml:space="preserve">Every LR-5 observation. 94% (95% CI 92-96) of pooled LR-5 observations were confirmed HCC and 97% (95-99) were confirmed malignant, which is what justifies treating without tissue in this population and nowhere else.</w:t>
      </w:r>
    </w:p>
    <w:p>
      <w:pPr>
        <w:spacing w:after="50"/>
        <w:ind w:left="240"/>
      </w:pPr>
      <w:r>
        <w:rPr>
          <w:b/>
          <w:bCs/>
          <w:color w:val="8C2F26"/>
          <w:sz w:val="18"/>
          <w:szCs w:val="18"/>
        </w:rPr>
        <w:t xml:space="preserve">Caveat. </w:t>
      </w:r>
      <w:r>
        <w:rPr>
          <w:color w:val="15181F"/>
          <w:sz w:val="18"/>
          <w:szCs w:val="18"/>
        </w:rPr>
        <w:t xml:space="preserve">6% of pooled LR-5 observations were not HCC and 3% were not malignant, and the pooled data are retrospective with acknowledged verification and incorporation bias. The size of that bias has been measured: in a 43-study meta-analysis, the CT/MRI LR-5 HCC proportion was 92.3% where pathology was the reference standard against 97% where a composite imaging standard was used (p=0.01), and for LR-4 it was 63.4% against 81.2% (p=0.03) — so between 5 and 18 percentage points of the headline figures come from confirming HCC partly by its LR-5 appearance on another modality. LR-5 is not a histological diagnosis, and a lesion with an atypical clinical context deserves the board's attention before a treatment commitment. Downgraded from B to C for that reason.</w:t>
      </w:r>
    </w:p>
    <w:p>
      <w:pPr>
        <w:spacing w:after="50" w:line="276"/>
        <w:ind w:left="240"/>
      </w:pPr>
      <w:r>
        <w:rPr>
          <w:i/>
          <w:iCs/>
          <w:color w:val="5A6069"/>
          <w:sz w:val="17"/>
          <w:szCs w:val="17"/>
        </w:rPr>
        <w:t xml:space="preserve">The local master workup CPG sets the staging bundle for this destination: multiphasic liver CT or MRI, chest CT, alpha-fetoprotein, and assessment of LI-RADS and OPTN class and vascular invasion, with biopsy only when imaging is atypical or a mixed or intrahepatic cholangiocarcinoma diagnosis is suspected and the multidisciplinary team agrees.</w:t>
      </w:r>
    </w:p>
    <w:p>
      <w:pPr>
        <w:spacing w:after="60" w:line="276"/>
        <w:ind w:left="240"/>
      </w:pPr>
      <w:r>
        <w:rPr>
          <w:color w:val="5A6069"/>
          <w:sz w:val="16"/>
          <w:szCs w:val="16"/>
        </w:rPr>
        <w:t xml:space="preserve">Sources: LI-RADS accuracy review; LI-RADS v2018; CEUS versus CT/MRI LI-RADS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targetoid or LR-M observation is a non-HCC malignancy until proved otherwise — route it to the iCCA pathway, and to the cHCC-CCA pathway where both phenotypes are present or the diagnosis is genuinely mixed.</w:t>
      </w:r>
    </w:p>
    <w:p>
      <w:pPr>
        <w:spacing w:after="50" w:line="276"/>
        <w:ind w:left="240"/>
      </w:pPr>
      <w:r>
        <w:rPr>
          <w:color w:val="15181F"/>
          <w:sz w:val="18"/>
          <w:szCs w:val="18"/>
        </w:rPr>
        <w:t xml:space="preserve">Rim arterial hyperenhancement, peripheral washout, delayed central enhancement, an infiltrative pattern, marked diffusion restriction, or necrosis. 93% (95% CI 87-97) of pooled CT/MRI LR-M observations were malignant but only 36% (26-48) were HCC, which is precisely why the category exists and why it routes away from the HCC page.</w:t>
      </w:r>
    </w:p>
    <w:p>
      <w:pPr>
        <w:spacing w:after="50"/>
        <w:ind w:left="240"/>
      </w:pPr>
      <w:r>
        <w:rPr>
          <w:b/>
          <w:bCs/>
          <w:color w:val="8C2F26"/>
          <w:sz w:val="18"/>
          <w:szCs w:val="18"/>
        </w:rPr>
        <w:t xml:space="preserve">Caveat. </w:t>
      </w:r>
      <w:r>
        <w:rPr>
          <w:color w:val="15181F"/>
          <w:sz w:val="18"/>
          <w:szCs w:val="18"/>
        </w:rPr>
        <w:t xml:space="preserve">LR-M is not a diagnosis of cholangiocarcinoma, and on contrast-enhanced ultrasound the mix is different again — but less precisely than this page previously said. In a meta-analysis of 1,046 CEUS LR-M observations, 54% (44-65) were HCC and 40% (28-53) non-HCC malignancy, with heterogeneity of I-squared 84% and 88%; the widely quoted 94% malignant is the arithmetic sum of those two separately pooled proportions, carries no confidence interval anywhere, and does not match the raw counts, which give 1,011 of 1,046 or 96.7%. Removing a single case-control study moves the HCC proportion from 54% to 59% and halves the heterogeneity, 31% of the non-HCC malignancies have no specified diagnosis, and the non-HCC proportion is 35% in Asian and hepatitis-B-dominant studies against 54% in Western ones. The direction is reliable — a CEUS LR-M carries a materially higher chance of being HCC than a CT or MRI LR-M — and the numbers are not. Tissue decides, and gate 7 governs the route by which it is obtained. Note too the surgical position: no imaging feature is unique to intrahepatic cholangiocarcinoma, so a peripherally enhancing mass in a non-cirrhotic liver cannot be called cholangiocarcinoma, metastasis or HCC on imaging alone.</w:t>
      </w:r>
    </w:p>
    <w:p>
      <w:pPr>
        <w:spacing w:after="50" w:line="276"/>
        <w:ind w:left="240"/>
      </w:pPr>
      <w:r>
        <w:rPr>
          <w:i/>
          <w:iCs/>
          <w:color w:val="5A6069"/>
          <w:sz w:val="17"/>
          <w:szCs w:val="17"/>
        </w:rPr>
        <w:t xml:space="preserve">Washout timing is the practical discriminator at the scanner. In a 320-patient subanalysis, intrahepatic cholangiocarcinoma showed early portal-venous washout in the tumour centre in 85.8% of cases against 49.8% for HCC, initial peripheral enhancement in 85.7% against 61%, and late-phase hypoenhancement in 92.9% against 75%; cirrhosis was present in 76.9% of the HCC patients and 16.7% of the cholangiocarcinoma patients. That subanalysis is one of the papers on this page still read from its abstract only. Downgraded from B to C.</w:t>
      </w:r>
    </w:p>
    <w:p>
      <w:pPr>
        <w:spacing w:after="60" w:line="276"/>
        <w:ind w:left="240"/>
      </w:pPr>
      <w:r>
        <w:rPr>
          <w:color w:val="5A6069"/>
          <w:sz w:val="16"/>
          <w:szCs w:val="16"/>
        </w:rPr>
        <w:t xml:space="preserve">Sources: LI-RADS accuracy review; CEUS LR-M meta; DEGUM HCC vs iCCA; Cillo 2019</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Route by primary where there is one: a confirmed colorectal primary is the CRLM pathway, a confirmed neuroendocrine primary is the NELM pathway, and a hepatocellular lesion in a normal liver that is not focal nodular hyperplasia is the HCA pathway.</w:t>
      </w:r>
    </w:p>
    <w:p>
      <w:pPr>
        <w:spacing w:after="50" w:line="276"/>
        <w:ind w:left="240"/>
      </w:pPr>
      <w:r>
        <w:rPr>
          <w:color w:val="15181F"/>
          <w:sz w:val="18"/>
          <w:szCs w:val="18"/>
        </w:rPr>
        <w:t xml:space="preserve">As soon as the primary or the entity is established. Each destination page carries its own resectability criteria, its own sequencing and its own biopsy rules, and routing early is how those rules get applied rather than discovered late.</w:t>
      </w:r>
    </w:p>
    <w:p>
      <w:pPr>
        <w:spacing w:after="50"/>
        <w:ind w:left="240"/>
      </w:pPr>
      <w:r>
        <w:rPr>
          <w:b/>
          <w:bCs/>
          <w:color w:val="8C2F26"/>
          <w:sz w:val="18"/>
          <w:szCs w:val="18"/>
        </w:rPr>
        <w:t xml:space="preserve">Caveat. </w:t>
      </w:r>
      <w:r>
        <w:rPr>
          <w:color w:val="15181F"/>
          <w:sz w:val="18"/>
          <w:szCs w:val="18"/>
        </w:rPr>
        <w:t xml:space="preserve">Do not route on a presumption. The local CPG requires colorectal origin to be confirmed and the primary's resection and the absence of active extrahepatic disease to be verified before the CRLM destination, and requires central pathology review of grade and differentiation before the neuroendocrine one.</w:t>
      </w:r>
    </w:p>
    <w:p>
      <w:pPr>
        <w:spacing w:after="50" w:line="276"/>
        <w:ind w:left="240"/>
      </w:pPr>
      <w:r>
        <w:rPr>
          <w:i/>
          <w:iCs/>
          <w:color w:val="5A6069"/>
          <w:sz w:val="17"/>
          <w:szCs w:val="17"/>
        </w:rPr>
        <w:t xml:space="preserve">Hepatic epithelioid haemangioendothelioma is in the programme's scope but has no page in this set; the local CPG requires expert pathology review for it because of diagnostic overlap, and it goes to the board as its own case.</w:t>
      </w:r>
    </w:p>
    <w:p>
      <w:pPr>
        <w:spacing w:after="60" w:line="276"/>
        <w:ind w:left="240"/>
      </w:pPr>
      <w:r>
        <w:rPr>
          <w:color w:val="5A6069"/>
          <w:sz w:val="16"/>
          <w:szCs w:val="16"/>
        </w:rPr>
        <w:t xml:space="preserve">Sources: CRLM imaging meta-analysis; EASL benign tumours 2016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lesion looks hepatocellular but the liver is normal and the patient is male, or the lesion is over 5 cm, route to the HCA pathway with those features stated rather than attempting to resolve the subtype here.</w:t>
      </w:r>
    </w:p>
    <w:p>
      <w:pPr>
        <w:spacing w:after="50" w:line="276"/>
        <w:ind w:left="240"/>
      </w:pPr>
      <w:r>
        <w:rPr>
          <w:color w:val="15181F"/>
          <w:sz w:val="18"/>
          <w:szCs w:val="18"/>
        </w:rPr>
        <w:t xml:space="preserve">The hepatocellular lesion that is not focal nodular hyperplasia. The HCA pathway carries the 5 cm threshold, the male-sex indication and the subtype-specific risks; this page's job is to get the patient there with the right question attached.</w:t>
      </w:r>
    </w:p>
    <w:p>
      <w:pPr>
        <w:spacing w:after="50"/>
        <w:ind w:left="240"/>
      </w:pPr>
      <w:r>
        <w:rPr>
          <w:b/>
          <w:bCs/>
          <w:color w:val="8C2F26"/>
          <w:sz w:val="18"/>
          <w:szCs w:val="18"/>
        </w:rPr>
        <w:t xml:space="preserve">Caveat. </w:t>
      </w:r>
      <w:r>
        <w:rPr>
          <w:color w:val="15181F"/>
          <w:sz w:val="18"/>
          <w:szCs w:val="18"/>
        </w:rPr>
        <w:t xml:space="preserve">Do not discharge a hepatocellular lesion as focal nodular hyperplasia on hepatobiliary-phase uptake alone when the clinical context is wrong for it. Specificity against all adenoma subtypes together is 89% (95% CI 82-94), and 65% (44-80) against beta-catenin-activated and unclassified adenoma once the commoner subtypes have been excluded on conventional MRI — and 59% of beta-catenin-activated adenomas, the subtype with the highest malignant potential, take up the agent.</w:t>
      </w:r>
    </w:p>
    <w:p>
      <w:pPr>
        <w:spacing w:after="50" w:line="276"/>
        <w:ind w:left="240"/>
      </w:pPr>
      <w:r>
        <w:rPr>
          <w:i/>
          <w:iCs/>
          <w:color w:val="5A6069"/>
          <w:sz w:val="17"/>
          <w:szCs w:val="17"/>
        </w:rPr>
        <w:t xml:space="preserve">Incidental adenoma is rare — 19 cases, 0.04%, in 45,319 hospital ultrasound examinations, with a mean confirmed size of 39.0 mm and confirmation required by CEUS, MRI or histology — so an incidental hepatocellular lesion that is not focal nodular hyperplasia deserves a second look at the history, particularly oestrogen and androgen exposure and glycogen storage disease. EASL's own figure for adenoma prevalence is 0.001-0.004%, three to four orders of magnitude lower, and neither document reconciles with the other.</w:t>
      </w:r>
    </w:p>
    <w:p>
      <w:pPr>
        <w:spacing w:after="60" w:line="276"/>
        <w:ind w:left="240"/>
      </w:pPr>
      <w:r>
        <w:rPr>
          <w:color w:val="5A6069"/>
          <w:sz w:val="16"/>
          <w:szCs w:val="16"/>
        </w:rPr>
        <w:t xml:space="preserve">Sources: HBP adenoma subtypes; EASL benign tumours 2016</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lesion cannot be assigned to a single destination, send it to the board as an unassigned case with the competing possibilities named, rather than entering it on the closest-looking page.</w:t>
      </w:r>
    </w:p>
    <w:p>
      <w:pPr>
        <w:spacing w:after="50" w:line="276"/>
        <w:ind w:left="240"/>
      </w:pPr>
      <w:r>
        <w:rPr>
          <w:color w:val="15181F"/>
          <w:sz w:val="18"/>
          <w:szCs w:val="18"/>
        </w:rPr>
        <w:t xml:space="preserve">The mass with both hepatocellular and cholangiocytic features, the discordant marker profile, the lesion whose phenotype changed between studies. The cHCC-CCA pathway exists for the first of these and should be named explicitly.</w:t>
      </w:r>
    </w:p>
    <w:p>
      <w:pPr>
        <w:spacing w:after="50"/>
        <w:ind w:left="240"/>
      </w:pPr>
      <w:r>
        <w:rPr>
          <w:b/>
          <w:bCs/>
          <w:color w:val="8C2F26"/>
          <w:sz w:val="18"/>
          <w:szCs w:val="18"/>
        </w:rPr>
        <w:t xml:space="preserve">Caveat. </w:t>
      </w:r>
      <w:r>
        <w:rPr>
          <w:color w:val="15181F"/>
          <w:sz w:val="18"/>
          <w:szCs w:val="18"/>
        </w:rPr>
        <w:t xml:space="preserve">Do not default to the HCC pathway because it is the busiest one. An LR-M observation treated as HCC is the error this gate exists to prevent, and the pooled CT/MRI LR-M HCC proportion is 36% (95% CI 26-48) — so most LR-M observations are malignancies that are not HCC, and the category routes accordingly.</w:t>
      </w:r>
    </w:p>
    <w:p>
      <w:pPr>
        <w:spacing w:after="60" w:line="276"/>
        <w:ind w:left="240"/>
      </w:pPr>
      <w:r>
        <w:rPr>
          <w:color w:val="5A6069"/>
          <w:sz w:val="16"/>
          <w:szCs w:val="16"/>
        </w:rPr>
        <w:t xml:space="preserve">Sources: LI-RADS accuracy review</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route a patient out of this page without a named destination, a named owner and a date.</w:t>
      </w:r>
    </w:p>
    <w:p>
      <w:pPr>
        <w:spacing w:after="50" w:line="276"/>
        <w:ind w:left="240"/>
      </w:pPr>
      <w:r>
        <w:rPr>
          <w:color w:val="15181F"/>
          <w:sz w:val="18"/>
          <w:szCs w:val="18"/>
        </w:rPr>
        <w:t xml:space="preserve">One destination page, one owner, one date, recorded in the conference note alongside the staging adequacy and the allocation classification, as the local CPG's minimum conference note requires.</w:t>
      </w:r>
    </w:p>
    <w:p>
      <w:pPr>
        <w:spacing w:after="50"/>
        <w:ind w:left="240"/>
      </w:pPr>
      <w:r>
        <w:rPr>
          <w:b/>
          <w:bCs/>
          <w:color w:val="8C2F26"/>
          <w:sz w:val="18"/>
          <w:szCs w:val="18"/>
        </w:rPr>
        <w:t xml:space="preserve">Caveat. </w:t>
      </w:r>
      <w:r>
        <w:rPr>
          <w:color w:val="15181F"/>
          <w:sz w:val="18"/>
          <w:szCs w:val="18"/>
        </w:rPr>
        <w:t xml:space="preserve">A recommendation to 'refer to hepatobiliary' with no named destination is how a patient re-enters this pathway six months later at the same gate.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discharge a patient from this page without telling them, in writing, what the lesion is and that no follow-up is needed.</w:t>
      </w:r>
    </w:p>
    <w:p>
      <w:pPr>
        <w:spacing w:after="50" w:line="276"/>
        <w:ind w:left="240"/>
      </w:pPr>
      <w:r>
        <w:rPr>
          <w:color w:val="15181F"/>
          <w:sz w:val="18"/>
          <w:szCs w:val="18"/>
        </w:rPr>
        <w:t xml:space="preserve">A discharge letter that names the entity, states the criteria it met, and says explicitly that no further imaging is required.</w:t>
      </w:r>
    </w:p>
    <w:p>
      <w:pPr>
        <w:spacing w:after="50"/>
        <w:ind w:left="240"/>
      </w:pPr>
      <w:r>
        <w:rPr>
          <w:b/>
          <w:bCs/>
          <w:color w:val="8C2F26"/>
          <w:sz w:val="18"/>
          <w:szCs w:val="18"/>
        </w:rPr>
        <w:t xml:space="preserve">Caveat. </w:t>
      </w:r>
      <w:r>
        <w:rPr>
          <w:color w:val="15181F"/>
          <w:sz w:val="18"/>
          <w:szCs w:val="18"/>
        </w:rPr>
        <w:t xml:space="preserve">An unexplained benign finding is re-investigated by the next clinician who sees the report. The discharge rule only works if it is communicated.</w:t>
      </w:r>
    </w:p>
    <w:p>
      <w:pPr>
        <w:spacing w:after="60" w:line="276"/>
        <w:ind w:left="240"/>
      </w:pPr>
      <w:r>
        <w:rPr>
          <w:color w:val="5A6069"/>
          <w:sz w:val="16"/>
          <w:szCs w:val="16"/>
        </w:rPr>
        <w:t xml:space="preserve">Sources: ACR abdominal CT white paper 2010</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Who the at-risk algorithms apply to</w:t>
      </w:r>
    </w:p>
    <w:p>
      <w:pPr>
        <w:spacing w:after="120" w:line="276"/>
      </w:pPr>
      <w:r>
        <w:rPr>
          <w:i/>
          <w:iCs/>
          <w:color w:val="5A6069"/>
          <w:sz w:val="18"/>
          <w:szCs w:val="18"/>
        </w:rPr>
        <w:t xml:space="preserve">The fork at gate 0. Getting this wrong invalidates every category assigned downstream.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Cirrhosis of any aetiology</w:t>
            </w:r>
          </w:p>
        </w:tc>
        <w:tc>
          <w:tcPr>
            <w:tcW w:type="dxa" w:w="5260"/>
            <w:tcMar>
              <w:top w:type="dxa" w:w="70"/>
              <w:left w:type="dxa" w:w="110"/>
              <w:bottom w:type="dxa" w:w="70"/>
              <w:right w:type="dxa" w:w="110"/>
            </w:tcMar>
            <w:vAlign w:val="top"/>
          </w:tcPr>
          <w:p>
            <w:pPr>
              <w:spacing w:after="0" w:line="276"/>
            </w:pPr>
            <w:r>
              <w:rPr>
                <w:color w:val="15181F"/>
                <w:sz w:val="17"/>
                <w:szCs w:val="17"/>
              </w:rPr>
              <w:t xml:space="preserve">At risk — LI-RADS applies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Chronic hepatitis B, with or without cirrhosis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risk — LI-RADS applies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Current or prior HCC, including an adult liver transplant candidate</w:t>
            </w:r>
          </w:p>
        </w:tc>
        <w:tc>
          <w:tcPr>
            <w:tcW w:type="dxa" w:w="5260"/>
            <w:tcMar>
              <w:top w:type="dxa" w:w="70"/>
              <w:left w:type="dxa" w:w="110"/>
              <w:bottom w:type="dxa" w:w="70"/>
              <w:right w:type="dxa" w:w="110"/>
            </w:tcMar>
            <w:vAlign w:val="top"/>
          </w:tcPr>
          <w:p>
            <w:pPr>
              <w:spacing w:after="0" w:line="276"/>
            </w:pPr>
            <w:r>
              <w:rPr>
                <w:color w:val="15181F"/>
                <w:sz w:val="17"/>
                <w:szCs w:val="17"/>
              </w:rPr>
              <w:t xml:space="preserve">At risk — LI-RADS applies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MASLD or MASH without cirrhosis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Not at risk — EASL 2025: biopsy required to diagnose HCC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 liver disease and no prior HCC</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at risk — no non-invasive criteria exist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Cirrhosis from a vascular disorder, or congenital hepatic fibrosis, or age under 18</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Outside LI-RADS entirely — a separate category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Which imaging first, in an at-risk patient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CT or MRI preferred over CEUS as first line (EASL 2025, LoE 3, strong)</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Which MRI agent, in an at-risk patient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Extracellular gadolinium favoured over gadoxetic acid (EASL 2025, LoE 1, strong)</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Which MRI agent, for FNH versus adenoma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Gadoxetate disodium (ACR white paper) — but specificity is 65% against β-catenin-activated or unclassified adenoma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Which risk taxonomy applies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Two incompatible ACR ones: the white paper merges low and average risk; the Appropriateness Criteria split high risk into liver disease versus extrahepatic malignancy</w:t>
            </w:r>
          </w:p>
        </w:tc>
      </w:tr>
    </w:tbl>
    <w:p>
      <w:pPr>
        <w:spacing w:after="200" w:line="276"/>
      </w:pPr>
      <w:r>
        <w:rPr>
          <w:i/>
          <w:iCs/>
          <w:color w:val="5A6069"/>
          <w:sz w:val="16"/>
          <w:szCs w:val="16"/>
        </w:rPr>
        <w:t xml:space="preserve">EASL 2025 states that the non-invasive criteria should only be applied to patients with cirrhosis, chronic HBV infection or a history of HCC, and that in other patients the diagnosis of HCC should be confirmed by biopsy (LoE 1, strong recommendation, consensus), giving as its reason that the pre-test probability in those other populations has not been precisely established. It also states that LI-RADS should be preferred over the 2018 EASL algorithm because of the LR-M and LR-TIV refinements, while noting the two have similar performance for HCC (LoE 3). LI-RADS v2018 itself excludes patients under 18 and cirrhosis due to congenital hepatic fibrosis or to vascular disorders, and its own authors state that nothing in the system licenses applying a category outside the at-risk population, because every probability in it was derived under high HCC prevalence. The two agent recommendations point in opposite directions because they answer different questions; the request form must say which question is being asked. The two ACR documents define risk differently, which a pathway using both has to reconcile — this page forks on liver disease first, at gate 0.</w:t>
      </w:r>
    </w:p>
    <w:p>
      <w:pPr>
        <w:pStyle w:val="Heading3"/>
        <w:keepNext/>
        <w:spacing w:after="110" w:before="240"/>
      </w:pPr>
      <w:r>
        <w:rPr>
          <w:rFonts w:ascii="Cambria" w:cs="Cambria" w:eastAsia="Cambria" w:hAnsi="Cambria"/>
          <w:b/>
          <w:bCs/>
          <w:color w:val="17365D"/>
          <w:sz w:val="22"/>
          <w:szCs w:val="22"/>
        </w:rPr>
        <w:t xml:space="preserve">CT/MRI LI-RADS v2018 — category, and what each one means</w:t>
      </w:r>
    </w:p>
    <w:p>
      <w:pPr>
        <w:spacing w:after="120" w:line="276"/>
      </w:pPr>
      <w:r>
        <w:rPr>
          <w:i/>
          <w:iCs/>
          <w:color w:val="5A6069"/>
          <w:sz w:val="18"/>
          <w:szCs w:val="18"/>
        </w:rPr>
        <w:t xml:space="preserve">Major features are nonrim arterial phase hyperenhancement, nonperipheral washout, enhancing capsule and threshold growth. Threshold growth in v2018 is a 50% or greater size increase in 6 months or less.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 APHE, under 20 mm</w:t>
            </w:r>
          </w:p>
        </w:tc>
        <w:tc>
          <w:tcPr>
            <w:tcW w:type="dxa" w:w="5260"/>
            <w:tcMar>
              <w:top w:type="dxa" w:w="70"/>
              <w:left w:type="dxa" w:w="110"/>
              <w:bottom w:type="dxa" w:w="70"/>
              <w:right w:type="dxa" w:w="110"/>
            </w:tcMar>
            <w:vAlign w:val="top"/>
          </w:tcPr>
          <w:p>
            <w:pPr>
              <w:spacing w:after="0" w:line="276"/>
            </w:pPr>
            <w:r>
              <w:rPr>
                <w:color w:val="15181F"/>
                <w:sz w:val="17"/>
                <w:szCs w:val="17"/>
              </w:rPr>
              <w:t xml:space="preserve">0 additional features LR-3 · 1 LR-3 · 2 or more LR-4</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 APHE, 20 mm or more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0 LR-3 · 1 LR-4 · 2 or more LR-4</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Nonrim APHE, under 10 mm</w:t>
            </w:r>
          </w:p>
        </w:tc>
        <w:tc>
          <w:tcPr>
            <w:tcW w:type="dxa" w:w="5260"/>
            <w:tcMar>
              <w:top w:type="dxa" w:w="70"/>
              <w:left w:type="dxa" w:w="110"/>
              <w:bottom w:type="dxa" w:w="70"/>
              <w:right w:type="dxa" w:w="110"/>
            </w:tcMar>
            <w:vAlign w:val="top"/>
          </w:tcPr>
          <w:p>
            <w:pPr>
              <w:spacing w:after="0" w:line="276"/>
            </w:pPr>
            <w:r>
              <w:rPr>
                <w:color w:val="15181F"/>
                <w:sz w:val="17"/>
                <w:szCs w:val="17"/>
              </w:rPr>
              <w:t xml:space="preserve">0 LR-3 · 1 LR-4 · 2 or more LR-4</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Nonrim APHE, 10–19 mm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0 LR-3 · 1 LR-4, but LR-5 if that feature is nonperipheral washout or threshold growth · 2 or more LR-5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Nonrim APHE, 20 mm or more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0 LR-4 · 1 or more LR-5</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LR-M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Targetoid — rim APHE, peripheral washout, delayed central enhancement — or nontargetoid: infiltrative, marked diffusion restriction, necrosis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Management, LR-3</w:t>
            </w:r>
          </w:p>
        </w:tc>
        <w:tc>
          <w:tcPr>
            <w:tcW w:type="dxa" w:w="5260"/>
            <w:tcMar>
              <w:top w:type="dxa" w:w="70"/>
              <w:left w:type="dxa" w:w="110"/>
              <w:bottom w:type="dxa" w:w="70"/>
              <w:right w:type="dxa" w:w="110"/>
            </w:tcMar>
            <w:vAlign w:val="top"/>
          </w:tcPr>
          <w:p>
            <w:pPr>
              <w:spacing w:after="0" w:line="276"/>
            </w:pPr>
            <w:r>
              <w:rPr>
                <w:color w:val="15181F"/>
                <w:sz w:val="17"/>
                <w:szCs w:val="17"/>
              </w:rPr>
              <w:t xml:space="preserve">Repeat or alternative diagnostic imaging in 3 to 6 months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Management, LR-4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Multidisciplinary discussion; shorter-interval imaging or biopsy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Management, LR-5 / LR-M</w:t>
            </w:r>
          </w:p>
        </w:tc>
        <w:tc>
          <w:tcPr>
            <w:tcW w:type="dxa" w:w="5260"/>
            <w:tcMar>
              <w:top w:type="dxa" w:w="70"/>
              <w:left w:type="dxa" w:w="110"/>
              <w:bottom w:type="dxa" w:w="70"/>
              <w:right w:type="dxa" w:w="110"/>
            </w:tcMar>
            <w:vAlign w:val="top"/>
          </w:tcPr>
          <w:p>
            <w:pPr>
              <w:spacing w:after="0" w:line="276"/>
            </w:pPr>
            <w:r>
              <w:rPr>
                <w:color w:val="15181F"/>
                <w:sz w:val="17"/>
                <w:szCs w:val="17"/>
              </w:rPr>
              <w:t xml:space="preserve">Treat as HCC / obtain tissue, route to the iCCA or cHCC-CCA pathway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Which major features carry the weight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Nonperipheral washout OR 13.2 (9.0-19.2) · nonrim APHE OR 10.3 (6.7-15.6) · enhancing capsule OR 2.4 (1.7-3.5) · threshold growth OR 1.6 (0.8-3.4), not associated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Interreader agreement, major features</w:t>
            </w:r>
          </w:p>
        </w:tc>
        <w:tc>
          <w:tcPr>
            <w:tcW w:type="dxa" w:w="5260"/>
            <w:tcMar>
              <w:top w:type="dxa" w:w="70"/>
              <w:left w:type="dxa" w:w="110"/>
              <w:bottom w:type="dxa" w:w="70"/>
              <w:right w:type="dxa" w:w="110"/>
            </w:tcMar>
            <w:vAlign w:val="top"/>
          </w:tcPr>
          <w:p>
            <w:pPr>
              <w:spacing w:after="0" w:line="276"/>
            </w:pPr>
            <w:r>
              <w:rPr>
                <w:color w:val="15181F"/>
                <w:sz w:val="17"/>
                <w:szCs w:val="17"/>
              </w:rPr>
              <w:t xml:space="preserve">APHE and washout kappa 0.84-0.87 · capsule controversial, excellent in one study and not in the others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Interreader agreement, the category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CEUS kappa 0.30-0.39 · MRI 0.35-0.61 · CT 0.79. Between modalities: CT versus MRI 0.33-0.39, MRI versus CEUS 0.22</w:t>
            </w:r>
          </w:p>
        </w:tc>
      </w:tr>
    </w:tbl>
    <w:p>
      <w:pPr>
        <w:spacing w:after="200" w:line="276"/>
      </w:pPr>
      <w:r>
        <w:rPr>
          <w:i/>
          <w:iCs/>
          <w:color w:val="5A6069"/>
          <w:sz w:val="16"/>
          <w:szCs w:val="16"/>
        </w:rPr>
        <w:t xml:space="preserve">Pooled proportions confirmed as HCC and as any malignancy, from a systematic review of 17 retrospective studies, 2,760 patients, 3,556 observations and 2,482 HCCs: LR-5 94% (95% CI 92-96) and 97% (95-99); LR-4 74% (67-80) and 80% (75-85); LR-3 38% (31-45) and 40% (31-50); LR-2 13% (8-22) and 14% (9-21); LR-TIV 79% (63-89) and 92% (77-98); LR-M 36% (26-48) and 93% (87-97); no malignancy in LR-1. All included studies were retrospective and observation selection was the most frequent source of bias through verification bias and case-control design, so these are not calibrated to an unselected incidental population, and the authors label the LR-2 estimate provisional and at high risk of bias. A 43-study meta-analysis quantifies the reference-standard effect: the LR-5 HCC proportion is 92.3% with pathology against 97% with a composite imaging standard, and LR-4 63.4% against 81.2%. Two further cautions. The 2022 individual-patient-data meta-analysis of 5,364 observations shows the four major features are not equivalent — washout and arterial hyperenhancement carry the diagnosis, capsule contributes weakly and reached significance in only one of three analysis cohorts, and threshold growth was not associated with HCC at all, assessable in only 452 of 4,434 observations and reported with two different confidence intervals in the same paper, whose online version was corrected in February 2023. And agreement on the output that drives management is much worse than agreement on the features: kappa 0.30-0.39 for CEUS categories against 0.84-0.87 for the features themselves, which means the same lesion can receive different categories from two readers or on two modalities. The v2018 change was narrow — the threshold-growth definition was simplified to align with AASLD and OPTN, and 10-19 mm observations with nonrim APHE plus nonperipheral washout became LR-5. CEUS LI-RADS remains at v2017 and its categories are not interchangeable: 97% (95-98) of CEUS LR-5 observations were HCC, CEUS LR-3 is 21% HCC against 35% for CT/MRI LR-3, and CEUS LR-M is 54% HCC against 36%. The two CEUS meta-analyses behind those figures come from the same department with overlapping studies and are not independent. Verify the table against the current ACR core document before clinical use.</w:t>
      </w:r>
    </w:p>
    <w:p>
      <w:pPr>
        <w:pStyle w:val="Heading3"/>
        <w:keepNext/>
        <w:spacing w:after="110" w:before="240"/>
      </w:pPr>
      <w:r>
        <w:rPr>
          <w:rFonts w:ascii="Cambria" w:cs="Cambria" w:eastAsia="Cambria" w:hAnsi="Cambria"/>
          <w:b/>
          <w:bCs/>
          <w:color w:val="17365D"/>
          <w:sz w:val="22"/>
          <w:szCs w:val="22"/>
        </w:rPr>
        <w:t xml:space="preserve">ACR incidental liver lesion algorithm, by risk and size</w:t>
      </w:r>
    </w:p>
    <w:p>
      <w:pPr>
        <w:spacing w:after="120" w:line="276"/>
      </w:pPr>
      <w:r>
        <w:rPr>
          <w:i/>
          <w:iCs/>
          <w:color w:val="5A6069"/>
          <w:sz w:val="18"/>
          <w:szCs w:val="18"/>
        </w:rPr>
        <w:t xml:space="preserve">The ACR Incidental Findings Committee algorithm for a liver lesion found on CT. Low risk means no known malignancy, no hepatic dysfunction and no hepatic risk factors; high risk means a known primary with liver tropism, cirrhosis, or other hepatic risk factors.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Low risk, 1 cm or smaller</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workup — benign. Deviate for suspicious features: MRI suggested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Low risk, 1.0–1.5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Benign or flash-filling features: no workup. Suspicious: prompt MRI</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Low risk, larger than 1.5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Benign features: no workup. Suspicious or flash-filling: prompt MRI</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High risk, 1 cm or smaller, new</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MRI in 3 to 6 months, to characterise and assess growth</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High risk, 1.0–1.5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Benign features: no MRI. Suspicious or flash-filling: prompt MRI</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High risk, larger than 1.5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Without benign features: prompt MRI at minimum; direct biopsy may be considered for a large, highly suspicious lesion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Benign features</w:t>
            </w:r>
          </w:p>
        </w:tc>
        <w:tc>
          <w:tcPr>
            <w:tcW w:type="dxa" w:w="5260"/>
            <w:tcMar>
              <w:top w:type="dxa" w:w="70"/>
              <w:left w:type="dxa" w:w="110"/>
              <w:bottom w:type="dxa" w:w="70"/>
              <w:right w:type="dxa" w:w="110"/>
            </w:tcMar>
            <w:vAlign w:val="top"/>
          </w:tcPr>
          <w:p>
            <w:pPr>
              <w:spacing w:after="0" w:line="276"/>
            </w:pPr>
            <w:r>
              <w:rPr>
                <w:color w:val="15181F"/>
                <w:sz w:val="17"/>
                <w:szCs w:val="17"/>
              </w:rPr>
              <w:t xml:space="preserve">Sharp margin with homogeneous low attenuation; or the characteristic appearance of haemangioma, FNH, focal fatty sparing or deposition, or a perfusion change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Suspicious features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Ill-defined margin, heterogeneous density, mural thickening or nodularity, thick septa, or portal-venous attenuation above 20 HU with pseudoenhancement excluded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Simple cyst criteria</w:t>
            </w:r>
          </w:p>
        </w:tc>
        <w:tc>
          <w:tcPr>
            <w:tcW w:type="dxa" w:w="5260"/>
            <w:tcMar>
              <w:top w:type="dxa" w:w="70"/>
              <w:left w:type="dxa" w:w="110"/>
              <w:bottom w:type="dxa" w:w="70"/>
              <w:right w:type="dxa" w:w="110"/>
            </w:tcMar>
            <w:vAlign w:val="top"/>
          </w:tcPr>
          <w:p>
            <w:pPr>
              <w:spacing w:after="0" w:line="276"/>
            </w:pPr>
            <w:r>
              <w:rPr>
                <w:color w:val="15181F"/>
                <w:sz w:val="17"/>
                <w:szCs w:val="17"/>
              </w:rPr>
              <w:t xml:space="preserve">−10 to +20 HU, homogeneous, sharply marginated, no enhancement, no wall thickening, no nodularity, no septa; post-contrast enhancement 20 HU or less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Core preferred over fine-needle aspiration; morbidity about 0.5%, mortality about 0.05%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ACR Appropriateness Criteria, &gt;1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CEUS, multiphase CT and contrast-enhanced MRI rated equivalent and usually appropriate — in a normal liver and in chronic liver disease alike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ACR Appropriateness Criteria, &lt;1 cm with cancer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MRI without and with contrast is the only usually-appropriate option; biopsy usually not appropriate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Technical minimum</w:t>
            </w:r>
          </w:p>
        </w:tc>
        <w:tc>
          <w:tcPr>
            <w:tcW w:type="dxa" w:w="5260"/>
            <w:tcMar>
              <w:top w:type="dxa" w:w="70"/>
              <w:left w:type="dxa" w:w="110"/>
              <w:bottom w:type="dxa" w:w="70"/>
              <w:right w:type="dxa" w:w="110"/>
            </w:tcMar>
            <w:vAlign w:val="top"/>
          </w:tcPr>
          <w:p>
            <w:pPr>
              <w:spacing w:after="0" w:line="276"/>
            </w:pPr>
            <w:r>
              <w:rPr>
                <w:color w:val="15181F"/>
                <w:sz w:val="17"/>
                <w:szCs w:val="17"/>
              </w:rPr>
              <w:t xml:space="preserve">At least two dynamic phases, late arterial and portal venous, on CT, MRI or CEUS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changed from the 2010 paper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Risk tiers 3 to 2 · small-lesion stratum 0.5 to 1 cm · interval 6 months to 3-6 months · FNH-versus-adenoma 4 cm to 3 cm · biopsy morbidity 2.0-4.8% to 0.5%. No new evidence cited for any of them</w:t>
            </w:r>
          </w:p>
        </w:tc>
      </w:tr>
    </w:tbl>
    <w:p>
      <w:pPr>
        <w:spacing w:after="200" w:line="276"/>
      </w:pPr>
      <w:r>
        <w:rPr>
          <w:i/>
          <w:iCs/>
          <w:color w:val="5A6069"/>
          <w:sz w:val="16"/>
          <w:szCs w:val="16"/>
        </w:rPr>
        <w:t xml:space="preserve">The four core recommendations are: forgo workup of lesions under 1 cm in low-risk patients; forgo workup of lesions with distinctly benign features regardless of risk; pursue workup of lesions 1 cm or larger lacking benign features in high-risk patients; and use MRI for further workup. Read the document's own disclaimers, because they are stronger than the way it is usually cited: the committee states that its consensus processes meet ACR policy standards but do </w:t>
      </w:r>
      <w:r>
        <w:rPr>
          <w:i/>
          <w:iCs/>
          <w:color w:val="5A6069"/>
          <w:sz w:val="16"/>
          <w:szCs w:val="16"/>
        </w:rPr>
        <w:t xml:space="preserve">not</w:t>
      </w:r>
      <w:r>
        <w:rPr>
          <w:i/>
          <w:iCs/>
          <w:color w:val="5A6069"/>
          <w:sz w:val="16"/>
          <w:szCs w:val="16"/>
        </w:rPr>
        <w:t xml:space="preserve"> meet any specific formal national standards, that the product is not an ACR Practice Guideline or Appropriateness Criteria policy, that it should be termed guidance rather than guidelines, and that its content must be viewed as recommendations and should not be considered standard of care. It was finalised by informal iterative consensus by five abdominal radiologists, one hepatologist and one hepatobiliary surgeon, with no systematic review, no search strategy, no evidence tables and no grading of evidence anywhere. Every threshold in it is a convention: 1 cm, 1.5 cm, 3 cm, 20 HU, 3-6 months, 1 year of stability, none derived and none validated, and four of them changed from the 2010 version without new evidence. The benign and suspicious feature lists carry no interobserver agreement data, and the 20 HU rule is acknowledged to be unreliable in the sub-centimetre lesions that make up most of the caseload. The opening claim that incidental liver lesions are found in up to 30% of individuals over 40 is a block citation of nineteen heterogeneous references with no pooled estimate behind it. Flash filling means uniform enhancement relative to parenchyma on arterial-phase imaging; in cirrhosis the white paper notes most small wedge-shaped hypervascular lesions remain benign. The algorithm explicitly does not apply when the index CT was requested to evaluate a known liver abnormality, and was not designed for hepatic infection or abscess. The companion ACR Appropriateness Criteria topic, Liver Lesion-Initial Characterization, new in 2020, rates FDG PET-CT usually appropriate in only one of its eight variants, and its ratings are panel medians from a RAND/UCLA process whose dispersion and evidence grading are published only on a separate ACR website.</w:t>
      </w:r>
    </w:p>
    <w:p>
      <w:pPr>
        <w:pStyle w:val="Heading3"/>
        <w:keepNext/>
        <w:spacing w:after="110" w:before="240"/>
      </w:pPr>
      <w:r>
        <w:rPr>
          <w:rFonts w:ascii="Cambria" w:cs="Cambria" w:eastAsia="Cambria" w:hAnsi="Cambria"/>
          <w:b/>
          <w:bCs/>
          <w:color w:val="17365D"/>
          <w:sz w:val="22"/>
          <w:szCs w:val="22"/>
        </w:rPr>
        <w:t xml:space="preserve">The four prevalence figures, and what each one counted</w:t>
      </w:r>
    </w:p>
    <w:p>
      <w:pPr>
        <w:spacing w:after="120" w:line="276"/>
      </w:pPr>
      <w:r>
        <w:rPr>
          <w:i/>
          <w:iCs/>
          <w:color w:val="5A6069"/>
          <w:sz w:val="18"/>
          <w:szCs w:val="18"/>
        </w:rPr>
        <w:t xml:space="preserve">Every one of these numbers is quoted as though it were the prior probability for an incidental liver lesion. None of them is. Use the figure whose denominator matches your patient, or quote none.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Karhunen 1986 — 52%</w:t>
            </w:r>
          </w:p>
        </w:tc>
        <w:tc>
          <w:tcPr>
            <w:tcW w:type="dxa" w:w="5260"/>
            <w:tcMar>
              <w:top w:type="dxa" w:w="70"/>
              <w:left w:type="dxa" w:w="110"/>
              <w:bottom w:type="dxa" w:w="70"/>
              <w:right w:type="dxa" w:w="110"/>
            </w:tcMar>
            <w:vAlign w:val="top"/>
          </w:tcPr>
          <w:p>
            <w:pPr>
              <w:spacing w:after="0" w:line="276"/>
            </w:pPr>
            <w:r>
              <w:rPr>
                <w:color w:val="15181F"/>
                <w:sz w:val="17"/>
                <w:szCs w:val="17"/>
              </w:rPr>
              <w:t xml:space="preserve">49 of 95 consecutive forensic autopsies of Finnish men aged 35-69, with each liver sliced into 1-2 cm sections and 505 targeted blocks taken from suspect areas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was inside that 52%</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Bile duct microhamartomas and adenomas pooled, 26 men (27%), mean diameter 1.3 mm, range 0.3-4.5 mm · cavernous haemangioma 19 (20%), mean 5.2 mm · FNH 3 (3%) · adenoma 1 (1%). Nothing at 1.3 mm is visible on CT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Jones 1992 — 17%</w:t>
            </w:r>
          </w:p>
        </w:tc>
        <w:tc>
          <w:tcPr>
            <w:tcW w:type="dxa" w:w="5260"/>
            <w:tcMar>
              <w:top w:type="dxa" w:w="70"/>
              <w:left w:type="dxa" w:w="110"/>
              <w:bottom w:type="dxa" w:w="70"/>
              <w:right w:type="dxa" w:w="110"/>
            </w:tcMar>
            <w:vAlign w:val="top"/>
          </w:tcPr>
          <w:p>
            <w:pPr>
              <w:spacing w:after="0" w:line="276"/>
            </w:pPr>
            <w:r>
              <w:rPr>
                <w:color w:val="15181F"/>
                <w:sz w:val="17"/>
                <w:szCs w:val="17"/>
              </w:rPr>
              <w:t xml:space="preserve">254 of 1,454 consecutive outpatient contrast-enhanced abdominal CT examinations at one tertiary centre in 1989-90, on 10 mm contiguous non-helical sections. A per-examination rate, and 82% of those with lesions had a known cancer</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happened to those 254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129 (51%) judged benign, 55 (22%) malignant, 70 (27%) never resolved. Benignity rested on biopsy or imaging in 16 of 254 (6%) and on CT stability alone in the rest. Of the 45 patients with no known cancer, none had a malignant lesion — but 23 of the 45 had under 6 months of follow-up</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Schwartz 1999 — 12.7%</w:t>
            </w:r>
          </w:p>
        </w:tc>
        <w:tc>
          <w:tcPr>
            <w:tcW w:type="dxa" w:w="5260"/>
            <w:tcMar>
              <w:top w:type="dxa" w:w="70"/>
              <w:left w:type="dxa" w:w="110"/>
              <w:bottom w:type="dxa" w:w="70"/>
              <w:right w:type="dxa" w:w="110"/>
            </w:tcMar>
            <w:vAlign w:val="top"/>
          </w:tcPr>
          <w:p>
            <w:pPr>
              <w:spacing w:after="0" w:line="276"/>
            </w:pPr>
            <w:r>
              <w:rPr>
                <w:color w:val="15181F"/>
                <w:sz w:val="17"/>
                <w:szCs w:val="17"/>
              </w:rPr>
              <w:t xml:space="preserve">378 of 2,978 cancer patients at one cancer centre in whom a radiology report mentioned a lesion 1 cm or smaller, or called one too small to characterise. A report-mention rate, from patients required to have had both an initial and a follow-up CT at the same institution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happened to those 378</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44 (11.6%) grew and were counted metastatic · 303 (80.2%) stable over a mean 25.6 months · 31 (8.2%) stable under 6 months and left indeterminate. Counting the indeterminates as malignant gives 19.8%, splitting them evenly 15.7%. No histology in any case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Kaltenbach 2016 — 15.1%</w:t>
            </w:r>
          </w:p>
        </w:tc>
        <w:tc>
          <w:tcPr>
            <w:tcW w:type="dxa" w:w="5260"/>
            <w:tcMar>
              <w:top w:type="dxa" w:w="70"/>
              <w:left w:type="dxa" w:w="110"/>
              <w:bottom w:type="dxa" w:w="70"/>
              <w:right w:type="dxa" w:w="110"/>
            </w:tcMar>
            <w:vAlign w:val="top"/>
          </w:tcPr>
          <w:p>
            <w:pPr>
              <w:spacing w:after="0" w:line="276"/>
            </w:pPr>
            <w:r>
              <w:rPr>
                <w:color w:val="15181F"/>
                <w:sz w:val="17"/>
                <w:szCs w:val="17"/>
              </w:rPr>
              <w:t xml:space="preserve">6,851 of 45,319 ultrasound examinations at one German university hospital over 11 years with at least one of five pre-specified benign findings. Metastases, HCC, cholangiocarcinoma, abscess and biliary hamartoma were never in the numerator</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was inside that 15.1%</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Focal fatty sparing 2,839 (6.26%), a pseudolesion · simple cysts 2,631 (5.81%), not tumours — together four fifths of the total · haemangioma 1,640 (3.62% in the results table, printed as 3.3% in the abstract) · FNH 81 (0.18%) · adenoma 19 (0.04%). Solid benign tumours are under 4%</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Gore 2017 — 'up to 30% over 40'</w:t>
            </w:r>
          </w:p>
        </w:tc>
        <w:tc>
          <w:tcPr>
            <w:tcW w:type="dxa" w:w="5260"/>
            <w:tcMar>
              <w:top w:type="dxa" w:w="70"/>
              <w:left w:type="dxa" w:w="110"/>
              <w:bottom w:type="dxa" w:w="70"/>
              <w:right w:type="dxa" w:w="110"/>
            </w:tcMar>
            <w:vAlign w:val="top"/>
          </w:tcPr>
          <w:p>
            <w:pPr>
              <w:spacing w:after="0" w:line="276"/>
            </w:pPr>
            <w:r>
              <w:rPr>
                <w:color w:val="15181F"/>
                <w:sz w:val="17"/>
                <w:szCs w:val="17"/>
              </w:rPr>
              <w:t xml:space="preserve">A block citation of nineteen references with no pooled estimate and no indication of which contributes what — autopsy series, CT colonography cohorts, lumbar spine MRI series, emergency CT reviews and cancer-surveillance series among them. There is no study behind the 30%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Are any of the four comparable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A targeted-autopsy rate in 95 men, a per-examination CT rate in cancer-surveillance outpatients, a report-mention rate in cancer patients who survived to a second scan, and a five-finding sonographic rate in hospital attenders. They resemble each other by coincidence</w:t>
            </w:r>
          </w:p>
        </w:tc>
      </w:tr>
    </w:tbl>
    <w:p>
      <w:pPr>
        <w:spacing w:after="200" w:line="276"/>
      </w:pPr>
      <w:r>
        <w:rPr>
          <w:i/>
          <w:iCs/>
          <w:color w:val="5A6069"/>
          <w:sz w:val="16"/>
          <w:szCs w:val="16"/>
        </w:rPr>
        <w:t xml:space="preserve">The practical reading has not changed: on the fortuitous discovery of a liver lesion, first consideration goes to focal fatty sparing, a simple cyst and a haemangioma, and the finding of a focal nodular hyperplasia or an adenoma is rarely a random discovery. What has changed after the full-text read is that no single number may be quoted as the prior probability. Each figure fails as a prior for a different reason. Karhunen's 52% measures search intensity at targeted autopsy in a population selected for violent, cardiovascular and intoxication-related death — 49.5% cardiovascular, 15.8% intoxication, 1% neoplastic — and half of it is millimetre-scale lesions that no scanner will ever show; its clinically relevant numerators are 3 cases of FNH and 1 adenoma, for which a 1-in-95 estimate carries an interval of roughly 0 to 6%. Jones's 17% is an artefact of case mix in scans ordered to look for metastases, on a detection threshold set by 1989 technology, with benign and malignant both defined by whether the lesion grew on the same test. Schwartz's 12.7% measures how often a radiologist wrote a phrase, and its cohort is conditioned on surviving and returning for a second scan, which preferentially removes the patients whose lesions would have grown. Kaltenbach's 15.1% is the prevalence of five chosen benign findings, four fifths of it pseudolesion and cyst, in a university hospital population, with malignancy never in the numerator — so it cannot speak to the probability that a given lesion is benign, which is the only question a pathway asks. Three further details worth carrying. Kaltenbach's FNH figure of 0.18% and adenoma figure of 0.04% are roughly tenfold below every prior series, most plausibly because those two entities alone required confirmation by CEUS, MRI or histology while the three common findings were accepted on B-mode; mean confirmed sizes were 51.6 mm and 39.0 mm, so what was measured is the prevalence of large FNH and large adenoma. The same paper gives two different values for its own headline, 15.1% with n=6,839 in the abstract and n=6,851 in the results, and two for haemangioma, 3.3% and 3.62%. And the 11.6% that gets quoted from Schwartz is the most favourable of three analyses the authors ran; the upper one, 19.8%, is in the same table.</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This page is a first draft, revised once. There is no ratified Memorial Hermann or UTHealth roadmap for the incidental liver mass, and no institutional decision has been taken on anything in it except where the local Master Workup and Staging CPG is quoted directly.</w:t>
      </w:r>
    </w:p>
    <w:p>
      <w:pPr>
        <w:spacing w:after="40" w:line="276"/>
        <w:ind w:left="260"/>
      </w:pPr>
      <w:r>
        <w:rPr>
          <w:color w:val="15181F"/>
          <w:sz w:val="18"/>
          <w:szCs w:val="18"/>
        </w:rPr>
        <w:t xml:space="preserve">The only local document behind this page is that CPG, which is itself a draft for institutional review and is effective only after its approval block is completed. Every interval, threshold and discharge rule here is drawn from a published guideline or from the primary literature, and every one of them is a proposal to the group rather than a position the group holds. The second pass, on 7 October 2026, replaced numbers taken from abstracts with numbers from the full texts, added their confidence intervals, and downgraded fifteen evidence strings; it did not remove any recommendation.</w:t>
      </w:r>
    </w:p>
    <w:p>
      <w:pPr>
        <w:spacing w:after="60" w:before="160"/>
      </w:pPr>
      <w:r>
        <w:rPr>
          <w:b/>
          <w:bCs/>
          <w:color w:val="8E5008"/>
          <w:sz w:val="19"/>
          <w:szCs w:val="19"/>
        </w:rPr>
        <w:t xml:space="preserve">2. </w:t>
      </w:r>
      <w:r>
        <w:rPr>
          <w:b/>
          <w:bCs/>
          <w:sz w:val="19"/>
          <w:szCs w:val="19"/>
        </w:rPr>
        <w:t xml:space="preserve">The at-risk fork at gate 0 is treated as binary. In practice a substantial number of patients sit between the two arms — advanced fibrosis without established cirrhosis, MASLD with a nodular liver, long-standing alcohol use with normal synthetic function.</w:t>
      </w:r>
    </w:p>
    <w:p>
      <w:pPr>
        <w:spacing w:after="40" w:line="276"/>
        <w:ind w:left="260"/>
      </w:pPr>
      <w:r>
        <w:rPr>
          <w:color w:val="15181F"/>
          <w:sz w:val="18"/>
          <w:szCs w:val="18"/>
        </w:rPr>
        <w:t xml:space="preserve">Neither LI-RADS nor EASL 2025 defines what to do with these patients, and EASL says only that the pre-test probability in non-cirrhotic populations has not been precisely established. The page's rule — name the uncertainty and treat the pathway as undetermined — is grade D and is an operating convention, not a finding.</w:t>
      </w:r>
    </w:p>
    <w:p>
      <w:pPr>
        <w:spacing w:after="60" w:before="160"/>
      </w:pPr>
      <w:r>
        <w:rPr>
          <w:b/>
          <w:bCs/>
          <w:color w:val="8E5008"/>
          <w:sz w:val="19"/>
          <w:szCs w:val="19"/>
        </w:rPr>
        <w:t xml:space="preserve">3. </w:t>
      </w:r>
      <w:r>
        <w:rPr>
          <w:b/>
          <w:bCs/>
          <w:sz w:val="19"/>
          <w:szCs w:val="19"/>
        </w:rPr>
        <w:t xml:space="preserve">The follow-up interval for a regenerative or focal-nodular-hyperplasia-like nodule in a liver with a vascular disorder is not stated on this page because no guideline states one.</w:t>
      </w:r>
    </w:p>
    <w:p>
      <w:pPr>
        <w:spacing w:after="40" w:line="276"/>
        <w:ind w:left="260"/>
      </w:pPr>
      <w:r>
        <w:rPr>
          <w:color w:val="15181F"/>
          <w:sz w:val="18"/>
          <w:szCs w:val="18"/>
        </w:rPr>
        <w:t xml:space="preserve">LI-RADS excludes these livers from its population, and EASL's benign-tumour guideline withdraws its own no-follow-up rule for focal nodular hyperplasia in this setting without replacing it with an interval. Setting an interval is a local decision and belongs in the approvals list, not in a gate. The relevant EASL vascular-liver guidance on this page is the 2015 edition, which has since been superseded.</w:t>
      </w:r>
    </w:p>
    <w:p>
      <w:pPr>
        <w:spacing w:after="60" w:before="160"/>
      </w:pPr>
      <w:r>
        <w:rPr>
          <w:b/>
          <w:bCs/>
          <w:color w:val="8E5008"/>
          <w:sz w:val="19"/>
          <w:szCs w:val="19"/>
        </w:rPr>
        <w:t xml:space="preserve">4. </w:t>
      </w:r>
      <w:r>
        <w:rPr>
          <w:b/>
          <w:bCs/>
          <w:sz w:val="19"/>
          <w:szCs w:val="19"/>
        </w:rPr>
        <w:t xml:space="preserve">Biliary hamartomas are discharged on this page with no interval, and that is an inference rather than a demonstrated safe practice.</w:t>
      </w:r>
    </w:p>
    <w:p>
      <w:pPr>
        <w:spacing w:after="40" w:line="276"/>
        <w:ind w:left="260"/>
      </w:pPr>
      <w:r>
        <w:rPr>
          <w:color w:val="15181F"/>
          <w:sz w:val="18"/>
          <w:szCs w:val="18"/>
        </w:rPr>
        <w:t xml:space="preserve">No surveillance interval is established, which is not the same as surveillance having been shown unnecessary. The association between von Meyenburg complexes and cholangiocarcinoma rests on roughly 35 case reports accumulated over about fifty years, set against an autopsy carrier prevalence of about 5.6% from a single 1996 series of 2,843 autopsies — which implies an absolute risk so small that nobody has computed it, and the reporting mechanism is itself the bias, since a complex that never causes trouble is not publishable. The molecular evidence of neoplastic potential is loss-of-heterozygosity analysis in two patients and a Ki-67 gradient in a four-case series. Discharging them is reasonable and is what everyone does; it is not evidence based, and the imaging recommendation that supports the diagnosis carries no accuracy data at all.</w:t>
      </w:r>
    </w:p>
    <w:p>
      <w:pPr>
        <w:spacing w:after="60" w:before="160"/>
      </w:pPr>
      <w:r>
        <w:rPr>
          <w:b/>
          <w:bCs/>
          <w:color w:val="8E5008"/>
          <w:sz w:val="19"/>
          <w:szCs w:val="19"/>
        </w:rPr>
        <w:t xml:space="preserve">5. </w:t>
      </w:r>
      <w:r>
        <w:rPr>
          <w:b/>
          <w:bCs/>
          <w:sz w:val="19"/>
          <w:szCs w:val="19"/>
        </w:rPr>
        <w:t xml:space="preserve">The position that a resectable lesion you intend to resect should not be biopsied is stated on this page as one rule, but the evidence behind it differs by an order of magnitude between diseases.</w:t>
      </w:r>
    </w:p>
    <w:p>
      <w:pPr>
        <w:spacing w:after="40" w:line="276"/>
        <w:ind w:left="260"/>
      </w:pPr>
      <w:r>
        <w:rPr>
          <w:color w:val="15181F"/>
          <w:sz w:val="18"/>
          <w:szCs w:val="18"/>
        </w:rPr>
        <w:t xml:space="preserve">For colorectal liver metastases the track-deposit rate was 19% in a retrospective series of 90 patients biopsied at referring hospitals, with a 14.2% absolute 4-year survival difference whose interval runs from 2.0% to 26.4%, a 61%-against-26% imbalance in synchronous disease and an adjusted analysis reported only as a p-value from the wrong statistical test; for hepatocellular carcinoma a meta-analysis of 8 observational studies put seeding at 2.7% (1.8-4.0) per patient, or 0.9% per patient per year, with the largest and only prospective study reporting zero events in 239 patients; for perihilar cholangiocarcinoma the figure everyone cites rests on 6 patients. Presenting these as one position is a simplification the page makes deliberately, and the group should decide whether to keep it.</w:t>
      </w:r>
    </w:p>
    <w:p>
      <w:pPr>
        <w:spacing w:after="60" w:before="160"/>
      </w:pPr>
      <w:r>
        <w:rPr>
          <w:b/>
          <w:bCs/>
          <w:color w:val="8E5008"/>
          <w:sz w:val="19"/>
          <w:szCs w:val="19"/>
        </w:rPr>
        <w:t xml:space="preserve">6. </w:t>
      </w:r>
      <w:r>
        <w:rPr>
          <w:b/>
          <w:bCs/>
          <w:sz w:val="19"/>
          <w:szCs w:val="19"/>
        </w:rPr>
        <w:t xml:space="preserve">The ACR white paper's recommendation to use gadoxetate disodium to separate focal nodular hyperplasia from adenoma has been materially weakened since 2017 — and this page previously stated the weakening in the wrong terms.</w:t>
      </w:r>
    </w:p>
    <w:p>
      <w:pPr>
        <w:spacing w:after="40" w:line="276"/>
        <w:ind w:left="260"/>
      </w:pPr>
      <w:r>
        <w:rPr>
          <w:color w:val="15181F"/>
          <w:sz w:val="18"/>
          <w:szCs w:val="18"/>
        </w:rPr>
        <w:t xml:space="preserve">The 2022 meta-analysis of 28 studies and 410 subtyped adenomas found hepatobiliary-phase iso- or hyperintensity in 59% (95% CI 26-88%) of beta-catenin-activated adenomas. Specificity for separating focal nodular hyperplasia from </w:t>
      </w:r>
      <w:r>
        <w:rPr>
          <w:i/>
          <w:iCs/>
          <w:color w:val="15181F"/>
          <w:sz w:val="18"/>
          <w:szCs w:val="18"/>
        </w:rPr>
        <w:t xml:space="preserve">all</w:t>
      </w:r>
      <w:r>
        <w:rPr>
          <w:color w:val="15181F"/>
          <w:sz w:val="18"/>
          <w:szCs w:val="18"/>
        </w:rPr>
        <w:t xml:space="preserve"> adenoma subtypes together is 89% (82-94%); the 65% (44-80%) figure applies only once HNF1A-inactivated and inflammatory adenomas have been excluded, so it is the specificity against the residual enriched population rather than the performance of the test on an unselected lesion. The earlier draft of this page quoted 65% as the specificity without that condition, which overstated the problem. What survives is still decisive for the discharge rule: 33 beta-catenin-activated adenomas spread across 28 studies, 16 of them case reports or small series, cannot support a point estimate; the paired sensitivities of 99% carry intervals of 57-100% and 53-100%; all four diagnostic-performance studies were case-control and marked high risk of bias for patient selection; and the hepatobiliary phase could not separate beta-catenin-activated from inflammatory adenoma, the commonest subtype of all.</w:t>
      </w:r>
    </w:p>
    <w:p>
      <w:pPr>
        <w:spacing w:after="60" w:before="160"/>
      </w:pPr>
      <w:r>
        <w:rPr>
          <w:b/>
          <w:bCs/>
          <w:color w:val="8E5008"/>
          <w:sz w:val="19"/>
          <w:szCs w:val="19"/>
        </w:rPr>
        <w:t xml:space="preserve">7. </w:t>
      </w:r>
      <w:r>
        <w:rPr>
          <w:b/>
          <w:bCs/>
          <w:sz w:val="19"/>
          <w:szCs w:val="19"/>
        </w:rPr>
        <w:t xml:space="preserve">The LI-RADS category malignancy probabilities quoted throughout this page should not be read as applying to an unselected incidental population.</w:t>
      </w:r>
    </w:p>
    <w:p>
      <w:pPr>
        <w:spacing w:after="40" w:line="276"/>
        <w:ind w:left="260"/>
      </w:pPr>
      <w:r>
        <w:rPr>
          <w:color w:val="15181F"/>
          <w:sz w:val="18"/>
          <w:szCs w:val="18"/>
        </w:rPr>
        <w:t xml:space="preserve">Every study in the pooled analysis was retrospective, observation selection was the commonest source of bias through verification bias and case-control design, and the pooled cohort was about 70% HCC by observation. The system's own authors state that LI-RADS applies only to patients with or at risk for HCC, and that every probability in it was derived under high HCC prevalence. An incidental lesion in a cirrhotic liver found on a scan done for something else has a lower prior than an observation entered into a LI-RADS validation study, so the LR-3 and LR-4 figures in particular are likely overestimates here — and outside the at-risk population they are not estimates of anything. The reference standard adds a measurable inflation of its own: LR-5 reads 92.3% HCC against pathology and 97% against a composite imaging standard.</w:t>
      </w:r>
    </w:p>
    <w:p>
      <w:pPr>
        <w:spacing w:after="60" w:before="160"/>
      </w:pPr>
      <w:r>
        <w:rPr>
          <w:b/>
          <w:bCs/>
          <w:color w:val="8E5008"/>
          <w:sz w:val="19"/>
          <w:szCs w:val="19"/>
        </w:rPr>
        <w:t xml:space="preserve">8. </w:t>
      </w:r>
      <w:r>
        <w:rPr>
          <w:b/>
          <w:bCs/>
          <w:sz w:val="19"/>
          <w:szCs w:val="19"/>
        </w:rPr>
        <w:t xml:space="preserve">No evidence quantifies how often a liver lesion that appears on one modality and not on another proves malignant, and this page does not pretend otherwise.</w:t>
      </w:r>
    </w:p>
    <w:p>
      <w:pPr>
        <w:spacing w:after="40" w:line="276"/>
        <w:ind w:left="260"/>
      </w:pPr>
      <w:r>
        <w:rPr>
          <w:color w:val="15181F"/>
          <w:sz w:val="18"/>
          <w:szCs w:val="18"/>
        </w:rPr>
        <w:t xml:space="preserve">Targeted searching returns nothing. The reconciliation step at gate 6 — compare the images rather than the reports, check phase timing, coverage, dose and breath-hold — is mechanistic reasoning plus a local failure pattern, graded D. What is documented is only that 6.8% of lesions unclear on greyscale ultrasound remained undiagnosed after a standardised contrast-enhanced ultrasound in a 1,349-patient multicentre study, and that most of those were benign.</w:t>
      </w:r>
    </w:p>
    <w:p>
      <w:pPr>
        <w:spacing w:after="60" w:before="160"/>
      </w:pPr>
      <w:r>
        <w:rPr>
          <w:b/>
          <w:bCs/>
          <w:color w:val="8E5008"/>
          <w:sz w:val="19"/>
          <w:szCs w:val="19"/>
        </w:rPr>
        <w:t xml:space="preserve">9. </w:t>
      </w:r>
      <w:r>
        <w:rPr>
          <w:b/>
          <w:bCs/>
          <w:sz w:val="19"/>
          <w:szCs w:val="19"/>
        </w:rPr>
        <w:t xml:space="preserve">Contrast-enhanced ultrasound is presented on this page as a characterising test, and its specificity for a benign diagnosis is the weak half of its performance.</w:t>
      </w:r>
    </w:p>
    <w:p>
      <w:pPr>
        <w:spacing w:after="40" w:line="276"/>
        <w:ind w:left="260"/>
      </w:pPr>
      <w:r>
        <w:rPr>
          <w:color w:val="15181F"/>
          <w:sz w:val="18"/>
          <w:szCs w:val="18"/>
        </w:rPr>
        <w:t xml:space="preserve">In the DEGUM multicentre study, sensitivity for malignancy was 95.8% but specificity was 83.1%, and in the companion analysis 8 lesions called benign by contrast-enhanced ultrasound proved malignant — three HCCs called adenoma, two called focal nodular hyperplasia, two called haemangioma, one called benign that was lymphoma. Those are the exact errors a triage page is designed to prevent, and they happened in a 14-centre study using a standardised protocol with histology as the reference standard in more than 75% of cases.</w:t>
      </w:r>
    </w:p>
    <w:p>
      <w:pPr>
        <w:spacing w:after="60" w:before="160"/>
      </w:pPr>
      <w:r>
        <w:rPr>
          <w:b/>
          <w:bCs/>
          <w:color w:val="8E5008"/>
          <w:sz w:val="19"/>
          <w:szCs w:val="19"/>
        </w:rPr>
        <w:t xml:space="preserve">10. </w:t>
      </w:r>
      <w:r>
        <w:rPr>
          <w:b/>
          <w:bCs/>
          <w:sz w:val="19"/>
          <w:szCs w:val="19"/>
        </w:rPr>
        <w:t xml:space="preserve">The discharge rules on this page assume a competent index study. In a patient whose CT was dose-reduced, single-phase, or did not cover the segment, none of the benign-feature rules can be applied, and the page does not say what happens then beyond 'order the right study'.</w:t>
      </w:r>
    </w:p>
    <w:p>
      <w:pPr>
        <w:spacing w:after="40" w:line="276"/>
        <w:ind w:left="260"/>
      </w:pPr>
      <w:r>
        <w:rPr>
          <w:color w:val="15181F"/>
          <w:sz w:val="18"/>
          <w:szCs w:val="18"/>
        </w:rPr>
        <w:t xml:space="preserve">The ACR white paper itself warns that assessing small liver lesions is challenging when aggressive dose-reduction has been used, particularly in high-risk patients, without defining adequacy, and separately concedes that in a lesion under 1 cm an accurate attenuation measurement may not be attainable at all — which is the measurement the 20 HU benign-feature rule depends on. It also recommends eliminating the unenhanced phase whenever possible, while its own benign-feature definition rests on non-contrast attenuation. What counts as an adequate study for the purpose of discharging a lesion is a local imaging-standards question and has no published answer.</w:t>
      </w:r>
    </w:p>
    <w:p>
      <w:pPr>
        <w:spacing w:after="60" w:before="160"/>
      </w:pPr>
      <w:r>
        <w:rPr>
          <w:b/>
          <w:bCs/>
          <w:color w:val="8E5008"/>
          <w:sz w:val="19"/>
          <w:szCs w:val="19"/>
        </w:rPr>
        <w:t xml:space="preserve">11. </w:t>
      </w:r>
      <w:r>
        <w:rPr>
          <w:b/>
          <w:bCs/>
          <w:sz w:val="19"/>
          <w:szCs w:val="19"/>
        </w:rPr>
        <w:t xml:space="preserve">The cystic gate names mucinous cystic neoplasm as a surgical lesion on the basis of surgical series with no denominator.</w:t>
      </w:r>
    </w:p>
    <w:p>
      <w:pPr>
        <w:spacing w:after="40" w:line="276"/>
        <w:ind w:left="260"/>
      </w:pPr>
      <w:r>
        <w:rPr>
          <w:color w:val="15181F"/>
          <w:sz w:val="18"/>
          <w:szCs w:val="18"/>
        </w:rPr>
        <w:t xml:space="preserve">Grade D. The best available support is a six-case report from one Karachi pathology file in which every lesion had been operated on under a preoperative impression of simple or hydatid cyst, recurrence occurred in three of the five patients with any follow-up, margins could not be assessed in at least three of six because specimens arrived opened or in pieces, no dysplasia or malignancy was found in any case, and the 20% malignant-transformation figure invoked to justify radical resection is a single citation with no denominator. The authors attribute their recurrence rate partly to limited local hepatobiliary surgical expertise. There is no comparative evidence for resection over observation in a radiologically suspected mucinous cystic neoplasm, no study establishes how often a septated cystic liver lesion is one, and the septation sign is contradicted by the series' own figure legend.</w:t>
      </w:r>
    </w:p>
    <w:p>
      <w:pPr>
        <w:spacing w:after="60" w:before="160"/>
      </w:pPr>
      <w:r>
        <w:rPr>
          <w:b/>
          <w:bCs/>
          <w:color w:val="8E5008"/>
          <w:sz w:val="19"/>
          <w:szCs w:val="19"/>
        </w:rPr>
        <w:t xml:space="preserve">12. </w:t>
      </w:r>
      <w:r>
        <w:rPr>
          <w:b/>
          <w:bCs/>
          <w:sz w:val="19"/>
          <w:szCs w:val="19"/>
        </w:rPr>
        <w:t xml:space="preserve">The tumour board operating model and the metrics below are reproduced from the programme's standard pattern so that one operating standard covers every liver pathway. They are grade D by construction and should be audited for adherence, not for effectiveness.</w:t>
      </w:r>
    </w:p>
    <w:p>
      <w:pPr>
        <w:spacing w:after="40" w:line="276"/>
        <w:ind w:left="260"/>
      </w:pPr>
      <w:r>
        <w:rPr>
          <w:color w:val="15181F"/>
          <w:sz w:val="18"/>
          <w:szCs w:val="18"/>
        </w:rPr>
        <w:t xml:space="preserve">They are stakeholder-derived operating requirements, labelled standard because the programme chooses them, not because any trial supports them. The local Master Workup and Staging CPG supplies the specific steps — the safety screen, central imaging and pathology review, the disposition categories and the minimum conference note — and is itself a draft pending approval.</w:t>
      </w:r>
    </w:p>
    <w:p>
      <w:pPr>
        <w:spacing w:after="60" w:before="160"/>
      </w:pPr>
      <w:r>
        <w:rPr>
          <w:b/>
          <w:bCs/>
          <w:color w:val="8E5008"/>
          <w:sz w:val="19"/>
          <w:szCs w:val="19"/>
        </w:rPr>
        <w:t xml:space="preserve">13. </w:t>
      </w:r>
      <w:r>
        <w:rPr>
          <w:b/>
          <w:bCs/>
          <w:sz w:val="19"/>
          <w:szCs w:val="19"/>
        </w:rPr>
        <w:t xml:space="preserve">The four prevalence figures this page used to quote side by side are not comparable, and the page no longer quotes any single number as the prior probability for an incidental liver lesion.</w:t>
      </w:r>
    </w:p>
    <w:p>
      <w:pPr>
        <w:spacing w:after="40" w:line="276"/>
        <w:ind w:left="260"/>
      </w:pPr>
      <w:r>
        <w:rPr>
          <w:color w:val="15181F"/>
          <w:sz w:val="18"/>
          <w:szCs w:val="18"/>
        </w:rPr>
        <w:t xml:space="preserve">Karhunen's 52% is 95 forensic autopsies of Finnish men aged 35-69 with targeted sectioning, half of it bile-duct microhamartomas of mean diameter 1.3 mm — nothing visible on any scanner. Jones's 17% is a per-examination rate in 1,454 outpatient contrast CTs in 1989-90, 82% of them with known cancer, on 10 mm non-helical sections. Schwartz's 12.7% is a radiology-report mention rate in cancer patients required to have had two or more CTs at the same centre, which conditions the cohort on survival and removes the patients whose lesions would have grown. Kaltenbach's 15.1% counts five pre-specified benign findings in 45,319 hospital ultrasound examinations, four fifths of it focal fatty sparing and simple cysts, with malignancy never in the numerator. One is an autopsy rate, one a per-examination rate, one a report-mention rate and one a five-finding sonographic rate; they resemble one another by coincidence. The quick reference now carries each with its denominator.</w:t>
      </w:r>
    </w:p>
    <w:p>
      <w:pPr>
        <w:spacing w:after="60" w:before="160"/>
      </w:pPr>
      <w:r>
        <w:rPr>
          <w:b/>
          <w:bCs/>
          <w:color w:val="8E5008"/>
          <w:sz w:val="19"/>
          <w:szCs w:val="19"/>
        </w:rPr>
        <w:t xml:space="preserve">14. </w:t>
      </w:r>
      <w:r>
        <w:rPr>
          <w:b/>
          <w:bCs/>
          <w:sz w:val="19"/>
          <w:szCs w:val="19"/>
        </w:rPr>
        <w:t xml:space="preserve">The 'up to 30% of individuals older than 40' figure that opens the ACR white paper, and that every local pathway inherits, has no study behind it.</w:t>
      </w:r>
    </w:p>
    <w:p>
      <w:pPr>
        <w:spacing w:after="40" w:line="276"/>
        <w:ind w:left="260"/>
      </w:pPr>
      <w:r>
        <w:rPr>
          <w:color w:val="15181F"/>
          <w:sz w:val="18"/>
          <w:szCs w:val="18"/>
        </w:rPr>
        <w:t xml:space="preserve">It is supported by a block citation of nineteen references with no indication of which contributes what. Those nineteen include a 45,319-patient ultrasound series, a cancer-surveillance CT series, CT colonography screening cohorts, lumbar spine MRI series, emergency abdominal CT reviews and a renal-colic series — incompatible denominators and incompatible lesion definitions, with no pooled estimate anywhere. It is a round number standing in for a literature that ranges from under 4% to 52% depending on what was counted and how hard anyone looked.</w:t>
      </w:r>
    </w:p>
    <w:p>
      <w:pPr>
        <w:spacing w:after="60" w:before="160"/>
      </w:pPr>
      <w:r>
        <w:rPr>
          <w:b/>
          <w:bCs/>
          <w:color w:val="8E5008"/>
          <w:sz w:val="19"/>
          <w:szCs w:val="19"/>
        </w:rPr>
        <w:t xml:space="preserve">15. </w:t>
      </w:r>
      <w:r>
        <w:rPr>
          <w:b/>
          <w:bCs/>
          <w:sz w:val="19"/>
          <w:szCs w:val="19"/>
        </w:rPr>
        <w:t xml:space="preserve">The ACR Incidental Findings Committee states that its own consensus process meets no specific formal national standard and that its recommendations are not standard of care — and this page is built on it.</w:t>
      </w:r>
    </w:p>
    <w:p>
      <w:pPr>
        <w:spacing w:after="40" w:line="276"/>
        <w:ind w:left="260"/>
      </w:pPr>
      <w:r>
        <w:rPr>
          <w:color w:val="15181F"/>
          <w:sz w:val="18"/>
          <w:szCs w:val="18"/>
        </w:rPr>
        <w:t xml:space="preserve">The committee writes that its processes meet ACR policy standards but do not meet any specific formal national standards, that the product is not an ACR Practice Guideline or Appropriateness Criteria policy, that it should be termed guidance rather than guidelines, and that its content should not be considered standard of care, with radiologists free to deviate. There is no systematic review, no search strategy, no evidence tables and no grading anywhere in it. The thresholds behave accordingly: between 2010 and 2017 the risk tiers went from three to two, the small-lesion stratum from 0.5 cm to 1 cm, the follow-up interval from 6 months to 3-6 months, the focal-nodular-hyperplasia threshold from 4 cm to 3 cm, and quoted biopsy morbidity from 2.0-4.8% to 0.5%, with no new evidence cited for any of it and the same subcommittee chair on both documents. The founding 2010 paper also records the committee's own hypothesis that academic radiologists may be biased toward imaging overuse and that its guidance might not reduce utilisation or could increase it.</w:t>
      </w:r>
    </w:p>
    <w:p>
      <w:pPr>
        <w:spacing w:after="60" w:before="160"/>
      </w:pPr>
      <w:r>
        <w:rPr>
          <w:b/>
          <w:bCs/>
          <w:color w:val="8E5008"/>
          <w:sz w:val="19"/>
          <w:szCs w:val="19"/>
        </w:rPr>
        <w:t xml:space="preserve">16. </w:t>
      </w:r>
      <w:r>
        <w:rPr>
          <w:b/>
          <w:bCs/>
          <w:sz w:val="19"/>
          <w:szCs w:val="19"/>
        </w:rPr>
        <w:t xml:space="preserve">LI-RADS category assignment is much less reproducible than the features it is built from, so the category a patient receives depends in part on who read the study and on which scanner they entered.</w:t>
      </w:r>
    </w:p>
    <w:p>
      <w:pPr>
        <w:spacing w:after="40" w:line="276"/>
        <w:ind w:left="260"/>
      </w:pPr>
      <w:r>
        <w:rPr>
          <w:color w:val="15181F"/>
          <w:sz w:val="18"/>
          <w:szCs w:val="18"/>
        </w:rPr>
        <w:t xml:space="preserve">Interreader agreement for arterial phase hyperenhancement and washout is excellent at kappa 0.84-0.87, and that is the figure the system's own report leads with. Agreement on the category that drives management is fair for CEUS at kappa 0.30-0.39, fair to substantial for MRI at 0.35-0.61, and substantial for CT at 0.79; agreement for the capsule feature is described by the same report as controversial, excellent in one study and not in the others; and intermodality agreement is kappa 0.33-0.39 between CT and MRI and 0.22 between MRI and CEUS, with CT tending to undercategorise. The report states all of this and treats none of it as a problem requiring resolution. This page therefore puts the category in the report and sends LR-3 and LR-4 to the board rather than to an algorithm.</w:t>
      </w:r>
    </w:p>
    <w:p>
      <w:pPr>
        <w:spacing w:after="60" w:before="160"/>
      </w:pPr>
      <w:r>
        <w:rPr>
          <w:b/>
          <w:bCs/>
          <w:color w:val="8E5008"/>
          <w:sz w:val="19"/>
          <w:szCs w:val="19"/>
        </w:rPr>
        <w:t xml:space="preserve">17. </w:t>
      </w:r>
      <w:r>
        <w:rPr>
          <w:b/>
          <w:bCs/>
          <w:sz w:val="19"/>
          <w:szCs w:val="19"/>
        </w:rPr>
        <w:t xml:space="preserve">Two of the four LI-RADS major features are not carrying the diagnostic weight the table implies, and the paper that showed this cannot give stable effect sizes.</w:t>
      </w:r>
    </w:p>
    <w:p>
      <w:pPr>
        <w:spacing w:after="40" w:line="276"/>
        <w:ind w:left="260"/>
      </w:pPr>
      <w:r>
        <w:rPr>
          <w:color w:val="15181F"/>
          <w:sz w:val="18"/>
          <w:szCs w:val="18"/>
        </w:rPr>
        <w:t xml:space="preserve">In an individual-patient-data meta-analysis of 5,364 observations from 32 studies, nonperipheral washout and nonrim arterial hyperenhancement had odds ratios of 13.2 (95% CI 9.0-19.2) and 10.3 (6.7-15.6), while enhancing capsule was only 2.4 (1.7-3.5) and reached significance in just one of three analysis cohorts, and threshold growth was not associated with HCC at all. The threshold-growth result is reported twice in the same article with different intervals and p-values, OR 1.6 (0.8-3.4), p=0.19 and OR 1.6 (0.7-3.6), p=0.07, and the online version carries a correction notice. It was assessable in only 452 of 4,434 observations, missing mostly because prior imaging did not exist — so the one cohort that could test it is the least representative. Several odds ratios invert direction between analysis cohorts, 78% of contributing studies were at high risk of bias, and only 32 of 81 eligible studies shared data, by author willingness. The page keeps the v2018 table because it is the current system, and says here that its components are unequal.</w:t>
      </w:r>
    </w:p>
    <w:p>
      <w:pPr>
        <w:spacing w:after="60" w:before="160"/>
      </w:pPr>
      <w:r>
        <w:rPr>
          <w:b/>
          <w:bCs/>
          <w:color w:val="8E5008"/>
          <w:sz w:val="19"/>
          <w:szCs w:val="19"/>
        </w:rPr>
        <w:t xml:space="preserve">18. </w:t>
      </w:r>
      <w:r>
        <w:rPr>
          <w:b/>
          <w:bCs/>
          <w:sz w:val="19"/>
          <w:szCs w:val="19"/>
        </w:rPr>
        <w:t xml:space="preserve">The two contrast-enhanced ultrasound meta-analyses this page uses are not independent corroboration of each other.</w:t>
      </w:r>
    </w:p>
    <w:p>
      <w:pPr>
        <w:spacing w:after="40" w:line="276"/>
        <w:ind w:left="260"/>
      </w:pPr>
      <w:r>
        <w:rPr>
          <w:color w:val="15181F"/>
          <w:sz w:val="18"/>
          <w:szCs w:val="18"/>
        </w:rPr>
        <w:t xml:space="preserve">Both come from the same ultrasound department in Tianjin, share authors, share the same four funding grants, draw on overlapping included studies and were published two months apart in 2022. They also disagree: one reports CEUS LR-M as 44% HCC and the other as 56%, from largely the same primary literature, without either acknowledging the other's estimate. A third meta-analysis from a separate group gives 54% (95% CI 44-65). Heterogeneity across all three is I-squared 78-95%, the LR-3 HCC proportion moves from 14% in Asian to 32% in non-Asian studies, and the widely quoted figure that 94% of CEUS LR-M lesions are malignant is the arithmetic sum of two separately pooled proportions with no confidence interval anywhere. Citing two of these papers as agreeing is counting one body of work twice.</w:t>
      </w:r>
    </w:p>
    <w:p>
      <w:pPr>
        <w:spacing w:after="60" w:before="160"/>
      </w:pPr>
      <w:r>
        <w:rPr>
          <w:b/>
          <w:bCs/>
          <w:color w:val="8E5008"/>
          <w:sz w:val="19"/>
          <w:szCs w:val="19"/>
        </w:rPr>
        <w:t xml:space="preserve">19. </w:t>
      </w:r>
      <w:r>
        <w:rPr>
          <w:b/>
          <w:bCs/>
          <w:sz w:val="19"/>
          <w:szCs w:val="19"/>
        </w:rPr>
        <w:t xml:space="preserve">The prospective evidence that contrast-enhanced ultrasound resolves an indeterminate CT or MRI observation comes from a 97% cirrhotic cohort and licenses nothing about a non-cirrhotic incidental mass.</w:t>
      </w:r>
    </w:p>
    <w:p>
      <w:pPr>
        <w:spacing w:after="40" w:line="276"/>
        <w:ind w:left="260"/>
      </w:pPr>
      <w:r>
        <w:rPr>
          <w:color w:val="15181F"/>
          <w:sz w:val="18"/>
          <w:szCs w:val="18"/>
        </w:rPr>
        <w:t xml:space="preserve">In the only prospective primary study behind this page, 75 observations in 68 patients were re-assessed by CEUS after CT or MRI had returned LR-3 or non-characterizable. The cohort was 97.1% cirrhotic, 23.5% had a personal history of HCC, and every patient was enrolled because a lesion had already been found on surveillance; at that prevalence a CT/MRI LR-3 observation carried a 25.9% HCC risk and a non-characterizable one 52.4%. The reported 100% positive and negative predictive values rest on 7, 7, 6 and 1 observations with no confidence interval printed anywhere in the paper — 7 of 7 has an exact interval of roughly 59-100%. Readers could see the prior CT or MRI in most cases, the reference standard was follow-up CT or MRI in 72% of observations, persistently indeterminate nodules at one year were counted non-malignant, CEUS left 74.1% of LR-3 observations still indeterminate, the sub-analysis was not the basis of the parent trial's sample size, and the study was funded in part by the manufacturer of the contrast agent. Nothing in it transfers to a lesion in a liver that is not at risk.</w:t>
      </w:r>
    </w:p>
    <w:p>
      <w:pPr>
        <w:spacing w:after="60" w:before="160"/>
      </w:pPr>
      <w:r>
        <w:rPr>
          <w:b/>
          <w:bCs/>
          <w:color w:val="8E5008"/>
          <w:sz w:val="19"/>
          <w:szCs w:val="19"/>
        </w:rPr>
        <w:t xml:space="preserve">20. </w:t>
      </w:r>
      <w:r>
        <w:rPr>
          <w:b/>
          <w:bCs/>
          <w:sz w:val="19"/>
          <w:szCs w:val="19"/>
        </w:rPr>
        <w:t xml:space="preserve">The ACR Appropriateness Criteria call contrast-enhanced ultrasound, multiphase CT and contrast-enhanced MRI equivalent for an indeterminate lesion over 1 cm, and the same document cites specificity for one of them as low as 38%.</w:t>
      </w:r>
    </w:p>
    <w:p>
      <w:pPr>
        <w:spacing w:after="40" w:line="276"/>
        <w:ind w:left="260"/>
      </w:pPr>
      <w:r>
        <w:rPr>
          <w:color w:val="15181F"/>
          <w:sz w:val="18"/>
          <w:szCs w:val="18"/>
        </w:rPr>
        <w:t xml:space="preserve">The equivalence is asserted on narrative accuracy ranges from different studies in different populations, with no head-to-head data, no pooled estimates and no formal equivalence testing; the ranges actually cited are wide enough to contain clinically important differences, including contrast-enhanced CT specificity of 38-82% in ultrasound-detected lesions and one MRI study at 43% specificity for an exact diagnosis. The ratings are panel medians from a RAND/UCLA process whose rating dispersion and GRADE assessment are published on a separate ACR website rather than in the paper, so a reader cannot tell which ratings were near-unanimous and which were marginal — only one variant carries an explicit disagreement label. Several procedures are rated usually not appropriate on the stated basis that no relevant literature supports their use, which converts absence of evidence into a numerical rating. The document also redefines the risk categories incompatibly with the white paper from the same organisation. And its 1 cm variant boundary is inherited without derivation, in a document that gives no accuracy data stratified by size.</w:t>
      </w:r>
    </w:p>
    <w:p>
      <w:pPr>
        <w:spacing w:after="60" w:before="160"/>
      </w:pPr>
      <w:r>
        <w:rPr>
          <w:b/>
          <w:bCs/>
          <w:color w:val="8E5008"/>
          <w:sz w:val="19"/>
          <w:szCs w:val="19"/>
        </w:rPr>
        <w:t xml:space="preserve">21. </w:t>
      </w:r>
      <w:r>
        <w:rPr>
          <w:b/>
          <w:bCs/>
          <w:sz w:val="19"/>
          <w:szCs w:val="19"/>
        </w:rPr>
        <w:t xml:space="preserve">Procedural harm figures for liver biopsy differ by an order of magnitude across the sources this page relies on, and none of them is for the procedure a patient would actually have.</w:t>
      </w:r>
    </w:p>
    <w:p>
      <w:pPr>
        <w:spacing w:after="40" w:line="276"/>
        <w:ind w:left="260"/>
      </w:pPr>
      <w:r>
        <w:rPr>
          <w:color w:val="15181F"/>
          <w:sz w:val="18"/>
          <w:szCs w:val="18"/>
        </w:rPr>
        <w:t xml:space="preserve">The ACR white paper gives morbidity of about 0.5% and mortality about 0.05%; the same committee's 2010 document gave 2.0-4.8% morbidity with no explanation for the revision. The AASLD position paper gives severe bleeding at 1 in 2,500 to 1 in 10,000 and mortality at about 1 in 10,000, but states explicitly that these are for the intercostal percutaneous approach in diffuse non-focal parenchymal disease, and notes in one clause that death from bleeding may be greater after biopsy of a malignant lesion; its seeding figure of 0.13% is twenty-fold below the 2.7% pooled for hepatocellular carcinoma. For endoscopic ultrasound-guided fine-needle biopsy, a meta-analysis of 99 studies and 9,303 patients puts the overall adverse-event rate at 1.8% but the liver subgroup at 14.0% (95% CI 7.7-24.0) — on 133 patients in 4 studies with 18 events, of which 13 were abdominal pain, 3 were bleeds and one was a suspected death that the paper's conclusion denies occurred; the serious-event rate, which the paper never states, is about 3%. The same review found prospective studies reporting 60% more adverse events than retrospective ones, which means the reassuring overall figure is an under-ascertainment. The page therefore quotes a range and names the route.</w:t>
      </w:r>
    </w:p>
    <w:p>
      <w:pPr>
        <w:spacing w:after="60" w:before="160"/>
      </w:pPr>
      <w:r>
        <w:rPr>
          <w:b/>
          <w:bCs/>
          <w:color w:val="8E5008"/>
          <w:sz w:val="19"/>
          <w:szCs w:val="19"/>
        </w:rPr>
        <w:t xml:space="preserve">22. </w:t>
      </w:r>
      <w:r>
        <w:rPr>
          <w:b/>
          <w:bCs/>
          <w:sz w:val="19"/>
          <w:szCs w:val="19"/>
        </w:rPr>
        <w:t xml:space="preserve">The EASL vascular-liver guidance this page cites is the 2015 edition and has been superseded by a 2026 edition that was not obtained for this page.</w:t>
      </w:r>
    </w:p>
    <w:p>
      <w:pPr>
        <w:spacing w:after="40" w:line="276"/>
        <w:ind w:left="260"/>
      </w:pPr>
      <w:r>
        <w:rPr>
          <w:color w:val="15181F"/>
          <w:sz w:val="18"/>
          <w:szCs w:val="18"/>
        </w:rPr>
        <w:t xml:space="preserve">Every statement on this page sourced to that document — the Budd-Chiari nodule prevalence of 60-80%, the 4% cumulative HCC incidence at a median 5 years, the biopsy triggers for a Budd-Chiari nodule, and the scope rule that these livers are managed outside the HCC algorithms — comes from a guideline built on the agenda of a single 2012 conference, with a PubMed-only search, no search string or date limits, and committee opinion where evidence was absent. It never reports the inverse probability a radiologist needs, which is the chance of underlying vascular disease given multiple hypervascular nodules in a non-cirrhotic liver. A 2026 EASL edition exists and this page has not read it, so the whole of gate 0's vascular arm and gate 5's alternative column are provisional pending that read. Obtaining it is an approvals item.</w:t>
      </w:r>
    </w:p>
    <w:p>
      <w:pPr>
        <w:spacing w:after="60" w:before="160"/>
      </w:pPr>
      <w:r>
        <w:rPr>
          <w:b/>
          <w:bCs/>
          <w:color w:val="8E5008"/>
          <w:sz w:val="19"/>
          <w:szCs w:val="19"/>
        </w:rPr>
        <w:t xml:space="preserve">23. </w:t>
      </w:r>
      <w:r>
        <w:rPr>
          <w:b/>
          <w:bCs/>
          <w:sz w:val="19"/>
          <w:szCs w:val="19"/>
        </w:rPr>
        <w:t xml:space="preserve">Nodular regenerative hyperplasia has been reclassified as a marker of a vascular disorder rather than a benign nodular tumour, and the consensus that did it describes its own diagnostic score as unvalidated.</w:t>
      </w:r>
    </w:p>
    <w:p>
      <w:pPr>
        <w:spacing w:after="40" w:line="276"/>
        <w:ind w:left="260"/>
      </w:pPr>
      <w:r>
        <w:rPr>
          <w:color w:val="15181F"/>
          <w:sz w:val="18"/>
          <w:szCs w:val="18"/>
        </w:rPr>
        <w:t xml:space="preserve">The 2026 multisociety consensus on porto-sinusoidal vascular disorder or non-cirrhotic portal fibrosis makes nodular regenerative hyperplasia one of three major histological criteria for the disorder, alongside muscularised portal venules and portal venule stenosis in 50% or more of portal tracts, and makes liver biopsy mandatory for the diagnosis. Read what it does not establish. The criteria were derived in 88 European patients who all had specific signs of portal hypertension, while the definition permits diagnosis in patients without portal hypertension — which is exactly the patient an incidental nodular liver produces. A major criterion qualifies on a sensitivity of 0.10 provided specificity exceeds 0.95, so the framework is built for ruling in and the sensitivity of the whole criterion set is never stated. Specificity was tested against 41 normal donors and 89 chronic-liver-disease controls that deliberately excluded biliary disease. The diagnostic score was built by converting votes on 36 hypothetical scenarios into weights and then shown to reproduce those votes, which is arithmetic consistency, not diagnostic validity; no patient was classified by it in the paper. The term in the title carried 74% agreement against a pre-specified 75% threshold. And the consensus says nothing about how incidentally detected nodular regenerative hyperplasia should be handled, nor what proportion of it represents the disorder.</w:t>
      </w:r>
    </w:p>
    <w:p>
      <w:pPr>
        <w:spacing w:after="60" w:before="160"/>
      </w:pPr>
      <w:r>
        <w:rPr>
          <w:b/>
          <w:bCs/>
          <w:color w:val="8E5008"/>
          <w:sz w:val="19"/>
          <w:szCs w:val="19"/>
        </w:rPr>
        <w:t xml:space="preserve">24. </w:t>
      </w:r>
      <w:r>
        <w:rPr>
          <w:b/>
          <w:bCs/>
          <w:sz w:val="19"/>
          <w:szCs w:val="19"/>
        </w:rPr>
        <w:t xml:space="preserve">The abscess drainage recommendation on this page does not hold in the size range in which most abscesses present, and the safety claim behind it is not a safety claim.</w:t>
      </w:r>
    </w:p>
    <w:p>
      <w:pPr>
        <w:spacing w:after="40" w:line="276"/>
        <w:ind w:left="260"/>
      </w:pPr>
      <w:r>
        <w:rPr>
          <w:color w:val="15181F"/>
          <w:sz w:val="18"/>
          <w:szCs w:val="18"/>
        </w:rPr>
        <w:t xml:space="preserve">In the pooled analysis of 12 randomised trials, the confidence interval for catheter drainage over needle aspiration crossed the line of no effect in the 5-10 cm subgroup — which is 8 of the 12 trials and the commonest clinical scenario — while excluding it only in the &gt;5 cm and &gt;10 cm strata, three trials between them; the abstract nonetheless states that the subgroups confirmed the consistency of the benefit, which is true of the direction of the point estimates and not of significance. Nine of 12 trials were Indian and 8 enrolled mixed amoebic-predominant abscesses, so pyogenic abscess rests on 3 trials and 212 patients with no separate pooled estimate reported. 'Clinical treatment success' is never defined, and the authors name varying definitions as the likely source of the 56% heterogeneity. The complication odds ratio of 1.02 comes from 7 of the 12 trials with an interval of 0.30-3.50, which permits a 70% reduction or a 3.5-fold increase and is uninformative rather than reassuring. Catheter drainage remains this page's recommendation; the pooled odds ratio of 4.12 is a direction, not a threshold, and there is no size below which a single aspiration has been shown sufficient.</w:t>
      </w:r>
    </w:p>
    <w:p>
      <w:pPr>
        <w:spacing w:after="60" w:before="160"/>
      </w:pPr>
      <w:r>
        <w:rPr>
          <w:b/>
          <w:bCs/>
          <w:color w:val="8E5008"/>
          <w:sz w:val="19"/>
          <w:szCs w:val="19"/>
        </w:rPr>
        <w:t xml:space="preserve">25. </w:t>
      </w:r>
      <w:r>
        <w:rPr>
          <w:b/>
          <w:bCs/>
          <w:sz w:val="19"/>
          <w:szCs w:val="19"/>
        </w:rPr>
        <w:t xml:space="preserve">MRI is not better than CT for a liver lesion in a cancer patient except below 10 mm, and below 10 mm it still misses two metastases in five.</w:t>
      </w:r>
    </w:p>
    <w:p>
      <w:pPr>
        <w:spacing w:after="40" w:line="276"/>
        <w:ind w:left="260"/>
      </w:pPr>
      <w:r>
        <w:rPr>
          <w:color w:val="15181F"/>
          <w:sz w:val="18"/>
          <w:szCs w:val="18"/>
        </w:rPr>
        <w:t xml:space="preserve">In the meta-analysis of 39 prospective studies and 3,391 treatment-naive colorectal cancer patients, per-lesion sensitivity was 80.3% for MRI against 74.4% for CT with overlapping intervals, and per-patient sensitivity 88.2% against 83.6%, p=0.653 — neither significant. The only significant advantage was below 10 mm, 60.2% against 47.3%, p=0.006, and at 10 mm or larger there was no difference at all. The earlier draft of this page presented both the per-lesion and per-patient figures as MRI outperforming CT, which they do not. Three negative findings in the same paper also restrain protocol claims that are often made: multisection CT was no better than single-section, dual-phase no better than portal-phase alone, and liver-specific contrast agents gave no measurable benefit. The uncomfortable consequence for gate 6 is that the test the algorithm sends a sub-centimetre lesion to has a sensitivity of 60% at that size, in a staging population with a far higher prior than an incidental one.</w:t>
      </w:r>
    </w:p>
    <w:p>
      <w:pPr>
        <w:spacing w:after="60" w:before="160"/>
      </w:pPr>
      <w:r>
        <w:rPr>
          <w:b/>
          <w:bCs/>
          <w:color w:val="8E5008"/>
          <w:sz w:val="19"/>
          <w:szCs w:val="19"/>
        </w:rPr>
        <w:t xml:space="preserve">26. </w:t>
      </w:r>
      <w:r>
        <w:rPr>
          <w:b/>
          <w:bCs/>
          <w:sz w:val="19"/>
          <w:szCs w:val="19"/>
        </w:rPr>
        <w:t xml:space="preserve">Several documents this page relies on were read only as abstracts or guideline text and not in full, and their numbers have not been checked against a full text.</w:t>
      </w:r>
    </w:p>
    <w:p>
      <w:pPr>
        <w:spacing w:after="40" w:line="276"/>
        <w:ind w:left="260"/>
      </w:pPr>
      <w:r>
        <w:rPr>
          <w:color w:val="15181F"/>
          <w:sz w:val="18"/>
          <w:szCs w:val="18"/>
        </w:rPr>
        <w:t xml:space="preserve">The full-text read of 7 October 2026 covered thirty papers. It did not cover the EASL hepatocellular carcinoma guideline of 2025, the AASLD practice guidance of 2023, the three DEGUM contrast-enhanced ultrasound papers (the 1,349-patient multicentre study, its unclear-lesion companion and the 320-patient HCC-versus-cholangiocarcinoma subanalysis), the perihilar fine-needle aspiration series, or the fatty-liver imaging review. Every figure on this page attributed to those six sources is therefore at the same evidentiary standard as the first draft, including the DEGUM sensitivity and specificity of 95.8% and 83.1%, the washout-timing percentages at gate 8, and the 5-of-6 perihilar figure at gate 7. Two further documents named in the gap scan were sought and not obtained: the 2026 EASL vascular-liver guideline and the CAMINO study. Neither is cited here as read.</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incidental liver lesions may be discharged by the radiologist at the index report without any clinical referral, and which must be referred?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ACR algorithm is explicit that lesions under 1 cm in low-risk patients and lesions with distinctly benign features in any patient need no workup, but it is a radiology consensus document and it does not say who owns the discharge. Without a local rule, either every finding generates a referral or none does.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How is the at-risk question answered and recorded when cirrhosis is suspected but not established?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whole algorithm forks here, and neither LI-RADS nor EASL 2025 defines the intermediate patient. EASL states only that pre-test probability in non-cirrhotic populations has not been precisely established.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MRI contrast agent is the default when the question has not been narrowed?</w:t>
            </w:r>
          </w:p>
        </w:tc>
        <w:tc>
          <w:tcPr>
            <w:tcW w:type="dxa" w:w="4740"/>
            <w:tcMar>
              <w:top w:type="dxa" w:w="70"/>
              <w:left w:type="dxa" w:w="110"/>
              <w:bottom w:type="dxa" w:w="70"/>
              <w:right w:type="dxa" w:w="110"/>
            </w:tcMar>
            <w:vAlign w:val="top"/>
          </w:tcPr>
          <w:p>
            <w:pPr>
              <w:spacing w:after="0" w:line="276"/>
            </w:pPr>
            <w:r>
              <w:rPr>
                <w:color w:val="15181F"/>
                <w:sz w:val="17"/>
                <w:szCs w:val="17"/>
              </w:rPr>
              <w:t xml:space="preserve">EASL 2025 favours extracellular agents over gadoxetic acid for the HCC question (LoE 1, strong), while the ACR white paper recommends gadoxetate specifically for focal nodular hyperplasia versus adenoma. The two cannot be satisfied in one acquisition, and the 65% specificity figure against β-catenin-activated and unclassified adenoma weakens the second recommendation substantially since 2017.</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FDG PET-CT be ordered for liver lesion characterisation from the radiology report alone?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ACR Appropriateness Criteria rate it usually appropriate in one of eight variants only. It is not an answer for a sub-centimetre lesion, and per-lesion sensitivity for colorectal liver metastases, 81.4%, is no better than MRI at 80.3%.</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standing rule on biopsying a lesion that is going to be resected, and does it apply identically across diseases?</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page presents one rule, but the evidence ranges from a 19% needle-track rate in 90 patients biopsied before referral — with a 61%-against-26% imbalance in synchronous disease and no valid adjustment — to a 2.7% (1.8-4.0) pooled seeding rate in hepatocellular carcinoma whose largest prospective contributing study found zero events, to a six-patient series in perihilar disease. Whether to keep one rule or three is a genuine decision.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surveillance interval, if any, applies to regenerative and focal-nodular-hyperplasia-like nodules in a liver with a vascular disorder?</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LI-RADS excludes these livers and EASL's benign-tumour guideline withdraws its no-follow-up rule for this setting without supplying an interval. There is no guideline answer and the page should not invent one silently.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constitutes the completed search for an occult cancer after a cryptogenic pyogenic liver abscess, and does it include colonoscopy in every case?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national cohort found standardised incidence ratios of 34.58 for biliary tract cancer and 5.27 for colorectal cancer, but the highest ratios all fell within the first 90 days, which means most of the signal is prevalent disease found during the index admission rather than incident disease. That supports completing a search now; it does not define the search.</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a follow-up interval recommended in a radiology report, and how is the loop closed?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Not an evidence question. An interval with no owner is the pathway's commonest failure, and the local CPG already requires an owner and due date for any conditional disposition.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constitutes an adequate index study for the purpose of discharging a lesion?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Every benign-feature rule on this page assumes adequate phases and adequate dose. The ACR white paper warns that dose-reduced studies make small lesions hard to assess but does not define adequacy, and the local CPG requires the team to document inadequacy without saying what it is.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update check on the ACR incidental liver white paper, the LI-RADS versions, and the EASL and AASLD guidance, and on what cycle?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liver white paper is from 2017 with no revision published since and no update interval stated, CT/MRI LI-RADS has been at v2018 since August 2018 with only treatment-response and ultrasound-surveillance modules updated to v2024, CEUS LI-RADS remains at v2017, the ACR Appropriateness Criteria liver topic dates from 2020 and closed its evidence base before both the CEUS LI-RADS validation work and the 2022 individual-patient-data meta-analysis, and the EASL benign-tumour guideline of 2016 predates the molecular adenoma classification now in use. A page built on sources that are not being revised on a predictable schedule needs a named owner watching for the next one.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prevalence figure, if any, may be quoted to a patient or written into a report as the probability that an incidental liver lesion is benign?</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four figures in circulation are not comparable and none of them answers the question. Karhunen's 52% is a targeted-autopsy rate in 95 Finnish men, half of it lesions of 1.3 mm; Jones's 17% is a per-examination rate in cancer-surveillance CT; Schwartz's 12.7% is a report-mention rate conditioned on surviving to a second scan; Kaltenbach's 15.1% counts five benign findings and never counted a malignancy. The ACR's 'up to 30% over 40' has nineteen references and no pooled estimate behind it. The group has to decide whether the programme quotes a number at all, and if so which population it names alongside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a LI-RADS category assigned on one modality be acted on, or carried forward, when the comparison study was a different modality?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Intermodality agreement is kappa 0.33-0.39 between CT and MRI and 0.22 between MRI and CEUS, with CT tending to undercategorise, and category agreement between two readers on the same CEUS study is only kappa 0.30-0.39. If the category determines management then management depends in part on which scanner the patient entered and who read it. The LI-RADS authors state this and do not resolve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In which patients may contrast-enhanced ultrasound be used as the resolving test for a CT- or MRI-indeterminate observation, rather than as a first-line characterising test?</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only prospective evidence is a sub-analysis of 75 observations in 68 patients who were 97.1% cirrhotic, with readers who could see the prior CT or MRI, a reference standard that was follow-up CT or MRI in 72% of cases, predictive values resting on 7, 7, 6 and 1 observations, and 74% of LR-3 observations still indeterminate afterwards. The WFUMB guideline separately makes its only level-1 strong recommendation for CEUS first-line in a non-cirrhotic liver without suspected malignancy — the opposite population — on a block citation with no pooled estimate. The two positions need reconciling locally, and the agent's manufacturer part-funded the first.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Which route is used when tissue is needed from a liver lesion — percutaneous core, endoscopic ultrasound-guided fine-needle biopsy, or transjugular — and who decides?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source this page uses reports comparable harm figures for the three routes. Percutaneous morbidity is quoted as 0.5% by the 2017 ACR paper and 2.0-4.8% by the same committee in 2010; AASLD gives severe bleeding at 1 in 2,500 to 1 in 10,000 for diffuse non-focal disease and notes the risk may be higher for a malignant lesion; the pooled liver adverse-event rate for endoscopic ultrasound-guided fine-needle biopsy is 14.0% (7.7-24.0) on 133 patients, with a death in the numerator that the paper's conclusion denies. Cirrhosis and a hypervascular tumour are named as risk factors in the same review that concedes it could not analyse either.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edition of the EASL vascular-liver guidance governs this pathway, and who obtains and reads the 2026 edition?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Everything on this page about nodules in a vascular liver is sourced to the 2015 guideline, which was built on one 2012 conference agenda with a PubMed-only search and committee opinion where evidence was absent, and which has been superseded. The 2026 edition was not obtained for this revision, so the vascular arm of gate 0 and the alternative column of gate 5 are provisional.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an incidentally discovered nodular non-cirrhotic liver, or incidentally reported nodular regenerative hyperplasia, trigger a porto-sinusoidal vascular disorder workup — and does that include a biopsy?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2026 multisociety consensus makes nodular regenerative hyperplasia a major histological criterion for the disorder and makes liver biopsy mandatory for the diagnosis, with adequacy set at 15 mm including one 10 mm fragment. But its criteria were derived in 88 European patients who all had portal hypertension while the definition permits diagnosis without it, a major criterion needs only 10% sensitivity, its diagnostic score was fitted to expert votes on 36 hypothetical scenarios and reproduced them by construction, and it offers no guidance at all on incidentally detected nodularity and no risk-benefit analysis for biopsying an asymptomatic patient. Whether the programme adopts an unvalidated score and a mandatory biopsy for an incidental finding is a decision, not a reading of the guideline.</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on 7 October 2026 after a full-text read of this pathway's depot: thirty papers read in full and abstracted, each with the authors' own stated limitations and an independent critique. The revision corrected or qualified forty-one evidence strings, rewrote the prevalence quick reference so that every figure carries its denominator, downgraded fifteen evidence grades, added five papers, and roughly doubled the honest section. No recommendation was removed; the page's positions stand, and what changed is how well supported they are said to be. Built originally as a first draft from the UTHealth Houston / Memorial Hermann Transplant Oncology Master Workup and Staging CPG — a programme companion document that is itself a draft for institutional review, with its companion protocol set reviewed 20 July 2026 — together with the published imaging and benign-liver literature. The imaging backbone is the ACR Incidental Findings Committee white paper on incidental liver lesions on CT (Gore 2017, still the current version; no liver revision has been published and the ACR lists no liver topic under development), its 2010 predecessor, ACR CT/MRI LI-RADS v2018 Core and CEUS LI-RADS v2017 (both checked 6 October 2026 and both still the current diagnostic versions; the 2024 LI-RADS releases cover treatment response and ultrasound surveillance only), and the ACR Appropriateness Criteria topic Liver Lesion-Initial Characterization of 2020, now read in full as Chernyak 2020. The benign entities follow the EASL Clinical Practice Guidelines on the management of benign liver tumours of 2016 — still the last full guideline for haemangioma and focal nodular hyperplasia — with the subsequent literature used to say where that document has been overtaken, principally the 2022 subtype-stratified meta-analysis of hepatobiliary-phase signal. The LI-RADS evidence now includes the 2022 individual-patient-data meta-analysis of the major features and the prospective CEUS LI-RADS validation sub-analysis of 2024. Nodules in vascular livers are governed by the EASL vascular-liver guidance of 2015 together with the 2026 multisociety consensus on porto-sinusoidal vascular disorder. The at-risk fork and the diagnostic criteria for hepatocellular carcinoma follow the EASL hepatocellular carcinoma guideline of 2025 and the AASLD practice guidance of 2023. Say plainly what was not read. Six sources on this page are still cited from abstract or guideline text only and were not in the full-text depot: the EASL hepatocellular carcinoma guideline 2025 (PMID 39690085), the AASLD practice guidance 2023 (37199193), the three DEGUM contrast-enhanced ultrasound papers (19241506, 20740399, 25812115), the perihilar fine-needle aspiration series (21492336) and the fatty-liver imaging review (17102041). Every figure attributed to those sources is at the first draft's evidentiary standard. Two documents named in the gap scan were sought and not obtained, and are not cited here as read: the 2026 EASL guideline on vascular diseases of the liver, which supersedes the 2015 edition this page quotes and makes the whole of the vascular arm provisional, and the CAMINO study. Every PMID was verified against PubMed on 6 October 2026. This is a triage page: it starts at the scan and ends by routing to the HCC, iCCA, cHCC-CCA, CRLM, NELM or HCA pathway, and it makes no treatment recommendation beyond drainage of an abscess and the decision not to intervene on a lesion it resolves. Plainly: there is no ratified roadmap behind this page. No institutional decision has been taken on any threshold, interval or discharge rule in it except where the local CPG is quoted directly, every one of the sixteen ratification items in the approvals list is genuinely open, and every numeric criterion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r>
        <w:t xml:space="preserve">Incidental liver lesions — not applicable</w:t>
      </w:r>
    </w:p>
    <w:p>
      <w:pPr>
        <w:pStyle w:val="Normal"/>
        <w:widowControl/>
        <w:spacing w:after="120"/>
      </w:pPr>
      <w:r>
        <w:t xml:space="preserve">Different question. A previously treated extrahepatic cancer is already a risk factor in this roadmap: an indeterminate liver lesion in such a patient is worked up with MRI as a possible metastasis and routed to the matching tumor pathway.</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42 sources. Every one is held as a PDF in Ref_Depot_Incidental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HCC 2023. </w:t>
      </w:r>
      <w:r>
        <w:rPr>
          <w:sz w:val="17"/>
          <w:szCs w:val="17"/>
        </w:rPr>
        <w:t xml:space="preserve">Singal AG, Llovet JM, Yarchoan M, et al. AASLD Practice Guidance on prevention, diagnosis, and treatment of hepatocellular carcinoma. Hepatology. 2023;78(6):1922-1965. doi:10.1097/HEP.0000000000000466. PMID:37199193.</w:t>
      </w:r>
    </w:p>
    <w:p>
      <w:pPr>
        <w:spacing w:after="70"/>
        <w:ind w:left="360" w:hanging="360"/>
      </w:pPr>
      <w:r>
        <w:rPr>
          <w:b/>
          <w:bCs/>
          <w:color w:val="17365D"/>
          <w:sz w:val="17"/>
          <w:szCs w:val="17"/>
        </w:rPr>
        <w:t xml:space="preserve">ACR abdominal CT white paper 2010. </w:t>
      </w:r>
      <w:r>
        <w:rPr>
          <w:sz w:val="17"/>
          <w:szCs w:val="17"/>
        </w:rPr>
        <w:t xml:space="preserve">Berland LL, Silverman SG, Gore RM, et al. Managing incidental findings on abdominal CT: white paper of the ACR incidental findings committee. J Am Coll Radiol. 2010;7(10):754-73. doi:10.1016/j.jacr.2010.06.013. PMID:20889105.</w:t>
      </w:r>
    </w:p>
    <w:p>
      <w:pPr>
        <w:spacing w:after="70"/>
        <w:ind w:left="360" w:hanging="360"/>
      </w:pPr>
      <w:r>
        <w:rPr>
          <w:b/>
          <w:bCs/>
          <w:color w:val="17365D"/>
          <w:sz w:val="17"/>
          <w:szCs w:val="17"/>
        </w:rPr>
        <w:t xml:space="preserve">ACR AC liver lesion 2020. </w:t>
      </w:r>
      <w:r>
        <w:rPr>
          <w:sz w:val="17"/>
          <w:szCs w:val="17"/>
        </w:rPr>
        <w:t xml:space="preserve">Chernyak V, Fowler KJ, Heiken JP, et al. ACR Appropriateness Criteria: Liver Lesion-Initial Characterization. J Am Coll Radiol. 2020. PMID:33153555.</w:t>
      </w:r>
    </w:p>
    <w:p>
      <w:pPr>
        <w:spacing w:after="70"/>
        <w:ind w:left="360" w:hanging="360"/>
      </w:pPr>
      <w:r>
        <w:rPr>
          <w:b/>
          <w:bCs/>
          <w:color w:val="17365D"/>
          <w:sz w:val="17"/>
          <w:szCs w:val="17"/>
        </w:rPr>
        <w:t xml:space="preserve">ACR AC Liver Lesion–Initial Characterization. </w:t>
      </w:r>
      <w:r>
        <w:rPr>
          <w:sz w:val="17"/>
          <w:szCs w:val="17"/>
        </w:rPr>
        <w:t xml:space="preserve">American College of Radiology. ACR Appropriateness Criteria: Liver Lesion-Initial Characterization. New 2020; topic 130, checked 6 October 2026. The published paper is Chernyak 2020, PMID 33153555, and is read in full on this page. Eight variants covering the indeterminate or incidental liver lesion above and below 1 cm in a normal liver, in a patient with a known extrahepatic malignancy, and in known chronic liver disease. Ratings are panel medians from an 18-member RAND/UCLA process; the evidence tables, literature search, strength-of-evidence assessment and final rating-round tabulations are not in the paper and are available only on the separate ACR website.</w:t>
      </w:r>
    </w:p>
    <w:p>
      <w:pPr>
        <w:spacing w:after="70"/>
        <w:ind w:left="360" w:hanging="360"/>
      </w:pPr>
      <w:r>
        <w:rPr>
          <w:b/>
          <w:bCs/>
          <w:color w:val="17365D"/>
          <w:sz w:val="17"/>
          <w:szCs w:val="17"/>
        </w:rPr>
        <w:t xml:space="preserve">ACR CEUS LI-RADS v2017. </w:t>
      </w:r>
      <w:r>
        <w:rPr>
          <w:sz w:val="17"/>
          <w:szCs w:val="17"/>
        </w:rPr>
        <w:t xml:space="preserve">American College of Radiology. CEUS LI-RADS v2017 Core. Liver Imaging Reporting and Data System. The current diagnostic version for contrast-enhanced ultrasound, checked 6 October 2026. It is a version behind CT/MRI LI-RADS and its categories are not interchangeable with the CT/MRI ones.</w:t>
      </w:r>
    </w:p>
    <w:p>
      <w:pPr>
        <w:spacing w:after="70"/>
        <w:ind w:left="360" w:hanging="360"/>
      </w:pPr>
      <w:r>
        <w:rPr>
          <w:b/>
          <w:bCs/>
          <w:color w:val="17365D"/>
          <w:sz w:val="17"/>
          <w:szCs w:val="17"/>
        </w:rPr>
        <w:t xml:space="preserve">ACR CT/MRI LI-RADS v2018 Core. </w:t>
      </w:r>
      <w:r>
        <w:rPr>
          <w:sz w:val="17"/>
          <w:szCs w:val="17"/>
        </w:rPr>
        <w:t xml:space="preserve">American College of Radiology. CT/MRI LI-RADS v2018 Core. Liver Imaging Reporting and Data System. ACR, released 13 August 2018; checked 6 October 2026 and still the current diagnostic version for CT and MRI. The 2024 updates cover treatment response assessment (CT/MRI Nonradiation and Radiation TRA v2024, CEUS Nonradiation TRA v2024) and Ultrasound Surveillance v2024, not the diagnostic algorithm. The diagnostic table, the major feature definitions, the at-risk population and the management recommendations quoted on this page are from the core document and must be verified against it before clinical use.</w:t>
      </w:r>
    </w:p>
    <w:p>
      <w:pPr>
        <w:spacing w:after="70"/>
        <w:ind w:left="360" w:hanging="360"/>
      </w:pPr>
      <w:r>
        <w:rPr>
          <w:b/>
          <w:bCs/>
          <w:color w:val="17365D"/>
          <w:sz w:val="17"/>
          <w:szCs w:val="17"/>
        </w:rPr>
        <w:t xml:space="preserve">ACR Incidental Findings programme. </w:t>
      </w:r>
      <w:r>
        <w:rPr>
          <w:sz w:val="17"/>
          <w:szCs w:val="17"/>
        </w:rPr>
        <w:t xml:space="preserve">American College of Radiology. Incidental Findings Committee publications and topics under development, checked 6 October 2026. No revision of the 2017 liver white paper has been published; fatty liver disease, parathyroid lesion, paediatric pituitary gland and a revision of the adrenal mass paper are listed as topics under development.</w:t>
      </w:r>
    </w:p>
    <w:p>
      <w:pPr>
        <w:spacing w:after="70"/>
        <w:ind w:left="360" w:hanging="360"/>
      </w:pPr>
      <w:r>
        <w:rPr>
          <w:b/>
          <w:bCs/>
          <w:color w:val="17365D"/>
          <w:sz w:val="17"/>
          <w:szCs w:val="17"/>
        </w:rPr>
        <w:t xml:space="preserve">ACR liver white paper 2017. </w:t>
      </w:r>
      <w:r>
        <w:rPr>
          <w:sz w:val="17"/>
          <w:szCs w:val="17"/>
        </w:rPr>
        <w:t xml:space="preserve">Gore RM, Pickhardt PJ, Mortele KJ, et al. Management of Incidental Liver Lesions on CT: A White Paper of the ACR Incidental Findings Committee. J Am Coll Radiol. 2017;14(11):1429-1437. doi:10.1016/j.jacr.2017.07.018. PMID:28927870.</w:t>
      </w:r>
    </w:p>
    <w:p>
      <w:pPr>
        <w:spacing w:after="70"/>
        <w:ind w:left="360" w:hanging="360"/>
      </w:pPr>
      <w:r>
        <w:rPr>
          <w:b/>
          <w:bCs/>
          <w:color w:val="17365D"/>
          <w:sz w:val="17"/>
          <w:szCs w:val="17"/>
        </w:rPr>
        <w:t xml:space="preserve">EASL benign tumours 2016. </w:t>
      </w:r>
      <w:r>
        <w:rPr>
          <w:sz w:val="17"/>
          <w:szCs w:val="17"/>
        </w:rPr>
        <w:t xml:space="preserve">European Association for the Study of the Liver. EASL Clinical Practice Guidelines on the management of benign liver tumours. J Hepatol. 2016;65(2):386-98. doi:10.1016/j.jhep.2016.04.001. PMID:27085809.</w:t>
      </w:r>
    </w:p>
    <w:p>
      <w:pPr>
        <w:spacing w:after="70"/>
        <w:ind w:left="360" w:hanging="360"/>
      </w:pPr>
      <w:r>
        <w:rPr>
          <w:b/>
          <w:bCs/>
          <w:color w:val="17365D"/>
          <w:sz w:val="17"/>
          <w:szCs w:val="17"/>
        </w:rPr>
        <w:t xml:space="preserve">EASL HCC 2025. </w:t>
      </w:r>
      <w:r>
        <w:rPr>
          <w:sz w:val="17"/>
          <w:szCs w:val="17"/>
        </w:rPr>
        <w:t xml:space="preserve">European Association for the Study of the Liver. EASL Clinical Practice Guidelines on the management of hepatocellular carcinoma. J Hepatol. 2025;82(2):315-374. doi:10.1016/j.jhep.2024.08.028. PMID:39690085.</w:t>
      </w:r>
    </w:p>
    <w:p>
      <w:pPr>
        <w:spacing w:after="70"/>
        <w:ind w:left="360" w:hanging="360"/>
      </w:pPr>
      <w:r>
        <w:rPr>
          <w:b/>
          <w:bCs/>
          <w:color w:val="17365D"/>
          <w:sz w:val="17"/>
          <w:szCs w:val="17"/>
        </w:rPr>
        <w:t xml:space="preserve">EASL vascular liver 2015. </w:t>
      </w:r>
      <w:r>
        <w:rPr>
          <w:sz w:val="17"/>
          <w:szCs w:val="17"/>
        </w:rPr>
        <w:t xml:space="preserve">European Association for the Study of the Liver. EASL Clinical Practice Guidelines: Vascular diseases of the liver. J Hepatol. 2016;64(1):179-202. doi:10.1016/j.jhep.2015.07.040. PMID:26516032.</w:t>
      </w:r>
    </w:p>
    <w:p>
      <w:pPr>
        <w:spacing w:after="70"/>
        <w:ind w:left="360" w:hanging="360"/>
      </w:pPr>
      <w:r>
        <w:rPr>
          <w:b/>
          <w:bCs/>
          <w:color w:val="17365D"/>
          <w:sz w:val="17"/>
          <w:szCs w:val="17"/>
        </w:rPr>
        <w:t xml:space="preserve">LI-RADS v2018. </w:t>
      </w:r>
      <w:r>
        <w:rPr>
          <w:sz w:val="17"/>
          <w:szCs w:val="17"/>
        </w:rPr>
        <w:t xml:space="preserve">Chernyak V, Fowler KJ, Kamaya A, et al. Liver Imaging Reporting and Data System (LI-RADS) Version 2018: Imaging of Hepatocellular Carcinoma in At-Risk Patients. Radiology. 2018;289(3):816-830. doi:10.1148/radiol.2018181494. PMID:30251931.</w:t>
      </w:r>
    </w:p>
    <w:p>
      <w:pPr>
        <w:spacing w:after="70"/>
        <w:ind w:left="360" w:hanging="360"/>
      </w:pPr>
      <w:r>
        <w:rPr>
          <w:b/>
          <w:bCs/>
          <w:color w:val="17365D"/>
          <w:sz w:val="17"/>
          <w:szCs w:val="17"/>
        </w:rPr>
        <w:t xml:space="preserve">PSVD/NCPF consensus 2026. </w:t>
      </w:r>
      <w:r>
        <w:rPr>
          <w:sz w:val="17"/>
          <w:szCs w:val="17"/>
        </w:rPr>
        <w:t xml:space="preserve">Hernandez-Gea V, et al. A multisociety consensus statement on a new common definition and diagnostic criteria for PSVD or NCPF. Ann Hepatol. 2026. PMID:42191146. Endorsed by AASLD, EASL, APASL, ALEH and ten other societies.</w:t>
      </w:r>
    </w:p>
    <w:p>
      <w:pPr>
        <w:spacing w:after="70"/>
        <w:ind w:left="360" w:hanging="360"/>
      </w:pPr>
      <w:r>
        <w:rPr>
          <w:b/>
          <w:bCs/>
          <w:color w:val="17365D"/>
          <w:sz w:val="17"/>
          <w:szCs w:val="17"/>
        </w:rPr>
        <w:t xml:space="preserve">UTHealth/MH Master Workup and Staging CPG. </w:t>
      </w:r>
      <w:r>
        <w:rPr>
          <w:sz w:val="17"/>
          <w:szCs w:val="17"/>
        </w:rPr>
        <w:t xml:space="preserve">UTHealth Houston / Memorial Hermann Transplant Oncology. Master Workup and Staging CPG. Programme companion clinical practice guideline, draft for institutional review; companion disease-specific protocol set reviewed 20 July 2026, OPTN policy reference current to the posting updated 24 June 2026. The source of this page's safety screen, central imaging and pathology review requirements, disease-specific minimum staging bundles, disposition categories, minimum conference note and tissue-priority order. It carries the critical safety rule that no transperitoneal or primary-tumour needle biopsy is performed in suspected perihilar cholangiocarcinoma until the transplant pathway has been reviewed. The document is effective only after its approval block is completed and it is published in the controlled document repository.</w:t>
      </w:r>
    </w:p>
    <w:p>
      <w:pPr>
        <w:spacing w:after="70"/>
        <w:ind w:left="360" w:hanging="360"/>
      </w:pPr>
      <w:r>
        <w:rPr>
          <w:b/>
          <w:bCs/>
          <w:color w:val="17365D"/>
          <w:sz w:val="17"/>
          <w:szCs w:val="17"/>
        </w:rPr>
        <w:t xml:space="preserve">WFUMB CEUS 2020. </w:t>
      </w:r>
      <w:r>
        <w:rPr>
          <w:sz w:val="17"/>
          <w:szCs w:val="17"/>
        </w:rPr>
        <w:t xml:space="preserve">Dietrich CF, Nolsøe CP, Barr RG, et al. Guidelines and Good Clinical Practice Recommendations for Contrast Enhanced Ultrasound (CEUS) in the Liver — Update 2020 — WFUMB in Cooperation with EFSUMB, AFSUMB, AIUM, and FLAUS. Ultraschall Med. 2020;41(5):562-585. doi:10.1055/a-1177-0530. PMID:32707595.</w:t>
      </w:r>
    </w:p>
    <w:p>
      <w:pPr>
        <w:pStyle w:val="Heading3"/>
        <w:keepNext/>
        <w:spacing w:after="110" w:before="240"/>
      </w:pPr>
      <w:r>
        <w:rPr>
          <w:rFonts w:ascii="Cambria" w:cs="Cambria" w:eastAsia="Cambria" w:hAnsi="Cambria"/>
          <w:b/>
          <w:bCs/>
          <w:color w:val="17365D"/>
          <w:sz w:val="22"/>
          <w:szCs w:val="22"/>
        </w:rPr>
        <w:t xml:space="preserve">Biopsy &amp; tissue</w:t>
      </w:r>
    </w:p>
    <w:p>
      <w:pPr>
        <w:spacing w:after="70"/>
        <w:ind w:left="360" w:hanging="360"/>
      </w:pPr>
      <w:r>
        <w:rPr>
          <w:b/>
          <w:bCs/>
          <w:color w:val="17365D"/>
          <w:sz w:val="17"/>
          <w:szCs w:val="17"/>
        </w:rPr>
        <w:t xml:space="preserve">AASLD liver biopsy. </w:t>
      </w:r>
      <w:r>
        <w:rPr>
          <w:sz w:val="17"/>
          <w:szCs w:val="17"/>
        </w:rPr>
        <w:t xml:space="preserve">Rockey DC, Caldwell SH, Goodman ZD, Nelson RC, Smith AD; American Association for the Study of Liver Diseases. Liver biopsy. Hepatology. 2009;49(3):1017-44. doi:10.1002/hep.22742. PMID:19243014.</w:t>
      </w:r>
    </w:p>
    <w:p>
      <w:pPr>
        <w:spacing w:after="70"/>
        <w:ind w:left="360" w:hanging="360"/>
      </w:pPr>
      <w:r>
        <w:rPr>
          <w:b/>
          <w:bCs/>
          <w:color w:val="17365D"/>
          <w:sz w:val="17"/>
          <w:szCs w:val="17"/>
        </w:rPr>
        <w:t xml:space="preserve">Cillo 2019. </w:t>
      </w:r>
      <w:r>
        <w:rPr>
          <w:sz w:val="17"/>
          <w:szCs w:val="17"/>
        </w:rPr>
        <w:t xml:space="preserve">Cillo U, Fondevila C, Donadon M, et al. Surgery for cholangiocarcinoma. Liver Int. 2019;39 Suppl 1:143-155. doi:10.1111/liv.14089. PMID:30843343.</w:t>
      </w:r>
    </w:p>
    <w:p>
      <w:pPr>
        <w:spacing w:after="70"/>
        <w:ind w:left="360" w:hanging="360"/>
      </w:pPr>
      <w:r>
        <w:rPr>
          <w:b/>
          <w:bCs/>
          <w:color w:val="17365D"/>
          <w:sz w:val="17"/>
          <w:szCs w:val="17"/>
        </w:rPr>
        <w:t xml:space="preserve">EUS-FNB adverse events meta-analysis. </w:t>
      </w:r>
      <w:r>
        <w:rPr>
          <w:sz w:val="17"/>
          <w:szCs w:val="17"/>
        </w:rPr>
        <w:t xml:space="preserve">Pan Y, et al. Adverse events of 20-22G second-generation endoscopic ultrasound-guided fine-needle biopsy needles for solid lesions in the upper gastrointestinal tract and adjacent organs: systematic review and meta-analysis. Dig Endosc. 2025. PMID:39789825.</w:t>
      </w:r>
    </w:p>
    <w:p>
      <w:pPr>
        <w:spacing w:after="70"/>
        <w:ind w:left="360" w:hanging="360"/>
      </w:pPr>
      <w:r>
        <w:rPr>
          <w:b/>
          <w:bCs/>
          <w:color w:val="17365D"/>
          <w:sz w:val="17"/>
          <w:szCs w:val="17"/>
        </w:rPr>
        <w:t xml:space="preserve">HCC seeding meta-analysis. </w:t>
      </w:r>
      <w:r>
        <w:rPr>
          <w:sz w:val="17"/>
          <w:szCs w:val="17"/>
        </w:rPr>
        <w:t xml:space="preserve">Silva MA, Hegab B, Hyde C, Guo B, Buckels JAC, Mirza DF. Needle track seeding following biopsy of liver lesions in the diagnosis of hepatocellular cancer: a systematic review and meta-analysis. Gut. 2008;57(11):1592-6. doi:10.1136/gut.2008.149062. PMID:18669577.</w:t>
      </w:r>
    </w:p>
    <w:p>
      <w:pPr>
        <w:spacing w:after="70"/>
        <w:ind w:left="360" w:hanging="360"/>
      </w:pPr>
      <w:r>
        <w:rPr>
          <w:b/>
          <w:bCs/>
          <w:color w:val="17365D"/>
          <w:sz w:val="17"/>
          <w:szCs w:val="17"/>
        </w:rPr>
        <w:t xml:space="preserve">Heimbach 2011. </w:t>
      </w:r>
      <w:r>
        <w:rPr>
          <w:sz w:val="17"/>
          <w:szCs w:val="17"/>
        </w:rPr>
        <w:t xml:space="preserve">Heimbach JK, Sanchez W, Rosen CB, Gores GJ. Trans-peritoneal fine needle aspiration biopsy of hilar cholangiocarcinoma is associated with disease dissemination. HPB (Oxford). 2011;13(5):356-60. doi:10.1111/j.1477-2574.2011.00298.x. PMID:21492336.</w:t>
      </w:r>
    </w:p>
    <w:p>
      <w:pPr>
        <w:spacing w:after="70"/>
        <w:ind w:left="360" w:hanging="360"/>
      </w:pPr>
      <w:r>
        <w:rPr>
          <w:b/>
          <w:bCs/>
          <w:color w:val="17365D"/>
          <w:sz w:val="17"/>
          <w:szCs w:val="17"/>
        </w:rPr>
        <w:t xml:space="preserve">Jones 2005 CRLM biopsy. </w:t>
      </w:r>
      <w:r>
        <w:rPr>
          <w:sz w:val="17"/>
          <w:szCs w:val="17"/>
        </w:rPr>
        <w:t xml:space="preserve">Jones OM, Rees M, John TG, Bygrave S, Plant G. Biopsy of resectable colorectal liver metastases causes tumour dissemination and adversely affects survival after liver resection. Br J Surg. 2005;92(9):1165-8. doi:10.1002/bjs.4888. PMID:15997444.</w:t>
      </w:r>
    </w:p>
    <w:p>
      <w:pPr>
        <w:pStyle w:val="Heading3"/>
        <w:keepNext/>
        <w:spacing w:after="110" w:before="240"/>
      </w:pPr>
      <w:r>
        <w:rPr>
          <w:rFonts w:ascii="Cambria" w:cs="Cambria" w:eastAsia="Cambria" w:hAnsi="Cambria"/>
          <w:b/>
          <w:bCs/>
          <w:color w:val="17365D"/>
          <w:sz w:val="22"/>
          <w:szCs w:val="22"/>
        </w:rPr>
        <w:t xml:space="preserve">Epidemiology</w:t>
      </w:r>
    </w:p>
    <w:p>
      <w:pPr>
        <w:spacing w:after="70"/>
        <w:ind w:left="360" w:hanging="360"/>
      </w:pPr>
      <w:r>
        <w:rPr>
          <w:b/>
          <w:bCs/>
          <w:color w:val="17365D"/>
          <w:sz w:val="17"/>
          <w:szCs w:val="17"/>
        </w:rPr>
        <w:t xml:space="preserve">Jones 1992. </w:t>
      </w:r>
      <w:r>
        <w:rPr>
          <w:sz w:val="17"/>
          <w:szCs w:val="17"/>
        </w:rPr>
        <w:t xml:space="preserve">Jones EC, Chezmar JL, Nelson RC, Bernardino ME. The frequency and significance of small (less than or equal to 15 mm) hepatic lesions detected by CT. AJR Am J Roentgenol. 1992;158(3):535-9. doi:10.2214/ajr.158.3.1738990. PMID:1738990.</w:t>
      </w:r>
    </w:p>
    <w:p>
      <w:pPr>
        <w:spacing w:after="70"/>
        <w:ind w:left="360" w:hanging="360"/>
      </w:pPr>
      <w:r>
        <w:rPr>
          <w:b/>
          <w:bCs/>
          <w:color w:val="17365D"/>
          <w:sz w:val="17"/>
          <w:szCs w:val="17"/>
        </w:rPr>
        <w:t xml:space="preserve">Kaltenbach 2016. </w:t>
      </w:r>
      <w:r>
        <w:rPr>
          <w:sz w:val="17"/>
          <w:szCs w:val="17"/>
        </w:rPr>
        <w:t xml:space="preserve">Kaltenbach TE, Engler P, Kratzer W, et al. Prevalence of benign focal liver lesions: ultrasound investigation of 45,319 hospital patients. Abdom Radiol (NY). 2016;41(1):25-32. doi:10.1007/s00261-015-0605-7. PMID:26830608.</w:t>
      </w:r>
    </w:p>
    <w:p>
      <w:pPr>
        <w:spacing w:after="70"/>
        <w:ind w:left="360" w:hanging="360"/>
      </w:pPr>
      <w:r>
        <w:rPr>
          <w:b/>
          <w:bCs/>
          <w:color w:val="17365D"/>
          <w:sz w:val="17"/>
          <w:szCs w:val="17"/>
        </w:rPr>
        <w:t xml:space="preserve">Karhunen 1986. </w:t>
      </w:r>
      <w:r>
        <w:rPr>
          <w:sz w:val="17"/>
          <w:szCs w:val="17"/>
        </w:rPr>
        <w:t xml:space="preserve">Karhunen PJ. Benign hepatic tumours and tumour like conditions in men. J Clin Pathol. 1986;39(2):183-8. doi:10.1136/jcp.39.2.183. PMID:3950039.</w:t>
      </w:r>
    </w:p>
    <w:p>
      <w:pPr>
        <w:spacing w:after="70"/>
        <w:ind w:left="360" w:hanging="360"/>
      </w:pPr>
      <w:r>
        <w:rPr>
          <w:b/>
          <w:bCs/>
          <w:color w:val="17365D"/>
          <w:sz w:val="17"/>
          <w:szCs w:val="17"/>
        </w:rPr>
        <w:t xml:space="preserve">Schwartz 1999. </w:t>
      </w:r>
      <w:r>
        <w:rPr>
          <w:sz w:val="17"/>
          <w:szCs w:val="17"/>
        </w:rPr>
        <w:t xml:space="preserve">Schwartz LH, Gandras EJ, Colangelo SM, Ercolani MC, Panicek DM. Prevalence and importance of small hepatic lesions found at CT in patients with cancer. Radiology. 1999;210(1):71-4. doi:10.1148/radiology.210.1.r99ja0371. PMID:9885589.</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CEUS LI-RADS meta. </w:t>
      </w:r>
      <w:r>
        <w:rPr>
          <w:sz w:val="17"/>
          <w:szCs w:val="17"/>
        </w:rPr>
        <w:t xml:space="preserve">Qin Z, Zhou Y, Ding J, et al. Risk stratification for hepatocellular carcinoma of contrast-enhanced ultrasound Liver Imaging Reporting and Data System (LI-RADS) and the diagnostic performance of LR-5 and LR-M: a systematic review and meta-analysis. Clin Radiol. 2022;77(4):e280-e286. doi:10.1016/j.crad.2022.01.041. PMID:35164930.</w:t>
      </w:r>
    </w:p>
    <w:p>
      <w:pPr>
        <w:spacing w:after="70"/>
        <w:ind w:left="360" w:hanging="360"/>
      </w:pPr>
      <w:r>
        <w:rPr>
          <w:b/>
          <w:bCs/>
          <w:color w:val="17365D"/>
          <w:sz w:val="17"/>
          <w:szCs w:val="17"/>
        </w:rPr>
        <w:t xml:space="preserve">CEUS LR-M meta. </w:t>
      </w:r>
      <w:r>
        <w:rPr>
          <w:sz w:val="17"/>
          <w:szCs w:val="17"/>
        </w:rPr>
        <w:t xml:space="preserve">Shin J, Lee S, Kim YY, Chung YE, Choi JY, Park MS. Contrast-enhanced ultrasound Liver Imaging Reporting and Data System category M: a systematic review and meta-analysis. Ultrasonography. 2022;41(1):74-82. doi:10.14366/usg.21011. PMID:34289649.</w:t>
      </w:r>
    </w:p>
    <w:p>
      <w:pPr>
        <w:spacing w:after="70"/>
        <w:ind w:left="360" w:hanging="360"/>
      </w:pPr>
      <w:r>
        <w:rPr>
          <w:b/>
          <w:bCs/>
          <w:color w:val="17365D"/>
          <w:sz w:val="17"/>
          <w:szCs w:val="17"/>
        </w:rPr>
        <w:t xml:space="preserve">CEUS versus CT/MRI LI-RADS. </w:t>
      </w:r>
      <w:r>
        <w:rPr>
          <w:sz w:val="17"/>
          <w:szCs w:val="17"/>
        </w:rPr>
        <w:t xml:space="preserve">Zhou Y, Qin Z, Ding J, et al. Risk Stratification and Distribution of Hepatocellular Carcinomas in CEUS and CT/MRI LI-RADS: A Meta-Analysis. Front Oncol. 2022;12:873913. doi:10.3389/fonc.2022.873913. PMID:35425706.</w:t>
      </w:r>
    </w:p>
    <w:p>
      <w:pPr>
        <w:spacing w:after="70"/>
        <w:ind w:left="360" w:hanging="360"/>
      </w:pPr>
      <w:r>
        <w:rPr>
          <w:b/>
          <w:bCs/>
          <w:color w:val="17365D"/>
          <w:sz w:val="17"/>
          <w:szCs w:val="17"/>
        </w:rPr>
        <w:t xml:space="preserve">CRLM imaging meta-analysis. </w:t>
      </w:r>
      <w:r>
        <w:rPr>
          <w:sz w:val="17"/>
          <w:szCs w:val="17"/>
        </w:rPr>
        <w:t xml:space="preserve">Niekel MC, Bipat S, Stoker J. Diagnostic imaging of colorectal liver metastases with CT, MR imaging, FDG PET, and/or FDG PET/CT: a meta-analysis of prospective studies including patients who have not previously undergone treatment. Radiology. 2010;257(3):674-84. doi:10.1148/radiol.10100729. PMID:20829538.</w:t>
      </w:r>
    </w:p>
    <w:p>
      <w:pPr>
        <w:spacing w:after="70"/>
        <w:ind w:left="360" w:hanging="360"/>
      </w:pPr>
      <w:r>
        <w:rPr>
          <w:b/>
          <w:bCs/>
          <w:color w:val="17365D"/>
          <w:sz w:val="17"/>
          <w:szCs w:val="17"/>
        </w:rPr>
        <w:t xml:space="preserve">DEGUM CEUS trial. </w:t>
      </w:r>
      <w:r>
        <w:rPr>
          <w:sz w:val="17"/>
          <w:szCs w:val="17"/>
        </w:rPr>
        <w:t xml:space="preserve">Strobel D, Seitz K, Blank W, et al. Contrast-enhanced ultrasound for the characterization of focal liver lesions — diagnostic accuracy in clinical practice (DEGUM multicenter trial). Ultraschall Med. 2008;29(5):499-505. doi:10.1055/s-2008-1027806. PMID:19241506.</w:t>
      </w:r>
    </w:p>
    <w:p>
      <w:pPr>
        <w:spacing w:after="70"/>
        <w:ind w:left="360" w:hanging="360"/>
      </w:pPr>
      <w:r>
        <w:rPr>
          <w:b/>
          <w:bCs/>
          <w:color w:val="17365D"/>
          <w:sz w:val="17"/>
          <w:szCs w:val="17"/>
        </w:rPr>
        <w:t xml:space="preserve">DEGUM HCC vs iCCA. </w:t>
      </w:r>
      <w:r>
        <w:rPr>
          <w:sz w:val="17"/>
          <w:szCs w:val="17"/>
        </w:rPr>
        <w:t xml:space="preserve">Wildner D, Bernatik T, Greis C, Seitz K, Neurath MF, Strobel D. CEUS in hepatocellular carcinoma and intrahepatic cholangiocellular carcinoma in 320 patients — early or late washout matters: a subanalysis of the DEGUM multicenter trial. Ultraschall Med. 2015;36(2):132-9. doi:10.1055/s-0034-1399147. PMID:25812115.</w:t>
      </w:r>
    </w:p>
    <w:p>
      <w:pPr>
        <w:spacing w:after="70"/>
        <w:ind w:left="360" w:hanging="360"/>
      </w:pPr>
      <w:r>
        <w:rPr>
          <w:b/>
          <w:bCs/>
          <w:color w:val="17365D"/>
          <w:sz w:val="17"/>
          <w:szCs w:val="17"/>
        </w:rPr>
        <w:t xml:space="preserve">DEGUM unclear lesions. </w:t>
      </w:r>
      <w:r>
        <w:rPr>
          <w:sz w:val="17"/>
          <w:szCs w:val="17"/>
        </w:rPr>
        <w:t xml:space="preserve">Bernatik T, Seitz K, Blank W, Schuler A, Dietrich CF, Strobel D. Unclear focal liver lesions in contrast-enhanced ultrasonography — lessons to be learned from the DEGUM multicenter study for the characterization of liver tumors. Ultraschall Med. 2010;31(6):577-81. doi:10.1055/s-0029-1245649. PMID:20740399.</w:t>
      </w:r>
    </w:p>
    <w:p>
      <w:pPr>
        <w:spacing w:after="70"/>
        <w:ind w:left="360" w:hanging="360"/>
      </w:pPr>
      <w:r>
        <w:rPr>
          <w:b/>
          <w:bCs/>
          <w:color w:val="17365D"/>
          <w:sz w:val="17"/>
          <w:szCs w:val="17"/>
        </w:rPr>
        <w:t xml:space="preserve">Fatty liver patterns. </w:t>
      </w:r>
      <w:r>
        <w:rPr>
          <w:sz w:val="17"/>
          <w:szCs w:val="17"/>
        </w:rPr>
        <w:t xml:space="preserve">Hamer OW, Aguirre DA, Casola G, Lavine JE, Woenckhaus M, Sirlin CB. Fatty liver: imaging patterns and pitfalls. Radiographics. 2006;26(6):1637-53. doi:10.1148/rg.266065004. PMID:17102041.</w:t>
      </w:r>
    </w:p>
    <w:p>
      <w:pPr>
        <w:spacing w:after="70"/>
        <w:ind w:left="360" w:hanging="360"/>
      </w:pPr>
      <w:r>
        <w:rPr>
          <w:b/>
          <w:bCs/>
          <w:color w:val="17365D"/>
          <w:sz w:val="17"/>
          <w:szCs w:val="17"/>
        </w:rPr>
        <w:t xml:space="preserve">HBP adenoma subtypes. </w:t>
      </w:r>
      <w:r>
        <w:rPr>
          <w:sz w:val="17"/>
          <w:szCs w:val="17"/>
        </w:rPr>
        <w:t xml:space="preserve">Kim TH, Woo S, Ebrahimzadeh S, McInnes MDF, Gerst SR, Do RK. Hepatic Adenoma Subtypes on Hepatobiliary Phase of Gadoxetic Acid-Enhanced MRI: Systematic Review and Meta-Analysis. AJR Am J Roentgenol. 2023;220(1):28-38. doi:10.2214/AJR.22.27989. PMID:35920706.</w:t>
      </w:r>
    </w:p>
    <w:p>
      <w:pPr>
        <w:spacing w:after="70"/>
        <w:ind w:left="360" w:hanging="360"/>
      </w:pPr>
      <w:r>
        <w:rPr>
          <w:b/>
          <w:bCs/>
          <w:color w:val="17365D"/>
          <w:sz w:val="17"/>
          <w:szCs w:val="17"/>
        </w:rPr>
        <w:t xml:space="preserve">Kono 2024 CEUS validation. </w:t>
      </w:r>
      <w:r>
        <w:rPr>
          <w:sz w:val="17"/>
          <w:szCs w:val="17"/>
        </w:rPr>
        <w:t xml:space="preserve">Kono Y, Medved M, Rodgers SK, et al. Clinical impact of CEUS on non-characterizable observations and observations with intermediate probability of malignancy on CT/MRI in patients at risk for HCC. Abdom Radiol (NY). 2024. PMID:38860996. Sub-analysis of the CEUS LI-RADS validation study, NCT03318380.</w:t>
      </w:r>
    </w:p>
    <w:p>
      <w:pPr>
        <w:spacing w:after="70"/>
        <w:ind w:left="360" w:hanging="360"/>
      </w:pPr>
      <w:r>
        <w:rPr>
          <w:b/>
          <w:bCs/>
          <w:color w:val="17365D"/>
          <w:sz w:val="17"/>
          <w:szCs w:val="17"/>
        </w:rPr>
        <w:t xml:space="preserve">LI-RADS accuracy review. </w:t>
      </w:r>
      <w:r>
        <w:rPr>
          <w:sz w:val="17"/>
          <w:szCs w:val="17"/>
        </w:rPr>
        <w:t xml:space="preserve">van der Pol CB, Lim CS, Sirlin CB, et al. Accuracy of the Liver Imaging Reporting and Data System in Computed Tomography and Magnetic Resonance Image Analysis of Hepatocellular Carcinoma or Overall Malignancy — A Systematic Review. Gastroenterology. 2019;156(4):976-986. doi:10.1053/j.gastro.2018.11.020. PMID:30445016.</w:t>
      </w:r>
    </w:p>
    <w:p>
      <w:pPr>
        <w:spacing w:after="70"/>
        <w:ind w:left="360" w:hanging="360"/>
      </w:pPr>
      <w:r>
        <w:rPr>
          <w:b/>
          <w:bCs/>
          <w:color w:val="17365D"/>
          <w:sz w:val="17"/>
          <w:szCs w:val="17"/>
        </w:rPr>
        <w:t xml:space="preserve">LI-RADS features IPD meta-analysis. </w:t>
      </w:r>
      <w:r>
        <w:rPr>
          <w:sz w:val="17"/>
          <w:szCs w:val="17"/>
        </w:rPr>
        <w:t xml:space="preserve">van der Pol CB, McInnes MDF, Salameh JP, et al. CT/MRI and CEUS LI-RADS Major Features Association with Hepatocellular Carcinoma: Individual Patient Data Meta-Analysis. Radiology. 2022. PMID:34783596. An earlier incorrect version appeared online; the article was corrected on 2 February 2023.</w:t>
      </w:r>
    </w:p>
    <w:p>
      <w:pPr>
        <w:spacing w:after="70"/>
        <w:ind w:left="360" w:hanging="360"/>
      </w:pPr>
      <w:r>
        <w:rPr>
          <w:b/>
          <w:bCs/>
          <w:color w:val="17365D"/>
          <w:sz w:val="17"/>
          <w:szCs w:val="17"/>
        </w:rPr>
        <w:t xml:space="preserve">Von Meyenburg complexes. </w:t>
      </w:r>
      <w:r>
        <w:rPr>
          <w:sz w:val="17"/>
          <w:szCs w:val="17"/>
        </w:rPr>
        <w:t xml:space="preserve">Pech L, Favelier S, Falcoz MT, Loffroy R, Krause D, Cercueil JP. Imaging of Von Meyenburg complexes. Diagn Interv Imaging. 2016;97(4):401-9. doi:10.1016/j.diii.2015.05.012. PMID:26522945.</w:t>
      </w:r>
    </w:p>
    <w:p>
      <w:pPr>
        <w:pStyle w:val="Heading3"/>
        <w:keepNext/>
        <w:spacing w:after="110" w:before="240"/>
      </w:pPr>
      <w:r>
        <w:rPr>
          <w:rFonts w:ascii="Cambria" w:cs="Cambria" w:eastAsia="Cambria" w:hAnsi="Cambria"/>
          <w:b/>
          <w:bCs/>
          <w:color w:val="17365D"/>
          <w:sz w:val="22"/>
          <w:szCs w:val="22"/>
        </w:rPr>
        <w:t xml:space="preserve">Infection &amp; inflammation</w:t>
      </w:r>
    </w:p>
    <w:p>
      <w:pPr>
        <w:spacing w:after="70"/>
        <w:ind w:left="360" w:hanging="360"/>
      </w:pPr>
      <w:r>
        <w:rPr>
          <w:b/>
          <w:bCs/>
          <w:color w:val="17365D"/>
          <w:sz w:val="17"/>
          <w:szCs w:val="17"/>
        </w:rPr>
        <w:t xml:space="preserve">Abscess cancer risk. </w:t>
      </w:r>
      <w:r>
        <w:rPr>
          <w:sz w:val="17"/>
          <w:szCs w:val="17"/>
        </w:rPr>
        <w:t xml:space="preserve">Kao WY, Hwang CY, Chang YT, et al. Cancer risk in patients with pyogenic liver abscess: a nationwide cohort study. Aliment Pharmacol Ther. 2012;36(5):467-76. doi:10.1111/j.1365-2036.2012.05212.x. PMID:22779737.</w:t>
      </w:r>
    </w:p>
    <w:p>
      <w:pPr>
        <w:spacing w:after="70"/>
        <w:ind w:left="360" w:hanging="360"/>
      </w:pPr>
      <w:r>
        <w:rPr>
          <w:b/>
          <w:bCs/>
          <w:color w:val="17365D"/>
          <w:sz w:val="17"/>
          <w:szCs w:val="17"/>
        </w:rPr>
        <w:t xml:space="preserve">Abscess drainage meta-analysis. </w:t>
      </w:r>
      <w:r>
        <w:rPr>
          <w:sz w:val="17"/>
          <w:szCs w:val="17"/>
        </w:rPr>
        <w:t xml:space="preserve">Xu D, Zeng D. Percutaneous catheter drainage versus needle aspiration for liver abscess: a systematic review and meta-analysis of efficacy and safety. Eur J Gastroenterol Hepatol. 2026;38(11):1329-1338. doi:10.1097/MEG.0000000000003252. PMID:42743010.</w:t>
      </w:r>
    </w:p>
    <w:p>
      <w:pPr>
        <w:spacing w:after="70"/>
        <w:ind w:left="360" w:hanging="360"/>
      </w:pPr>
      <w:r>
        <w:rPr>
          <w:b/>
          <w:bCs/>
          <w:color w:val="17365D"/>
          <w:sz w:val="17"/>
          <w:szCs w:val="17"/>
        </w:rPr>
        <w:t xml:space="preserve">WHO-IWGE echinococcosis. </w:t>
      </w:r>
      <w:r>
        <w:rPr>
          <w:sz w:val="17"/>
          <w:szCs w:val="17"/>
        </w:rPr>
        <w:t xml:space="preserve">Brunetti E, Kern P, Vuitton DA; Writing Panel for the WHO-IWGE. Expert consensus for the diagnosis and treatment of cystic and alveolar echinococcosis in humans. Acta Trop. 2010;114(1):1-16. doi:10.1016/j.actatropica.2009.11.001. PMID:19931502.</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Biliary cystadenoma series. </w:t>
      </w:r>
      <w:r>
        <w:rPr>
          <w:sz w:val="17"/>
          <w:szCs w:val="17"/>
        </w:rPr>
        <w:t xml:space="preserve">Ahmad Z, Uddin N, Memon W, Abdul-Ghafar J, Ahmed A. Intrahepatic biliary cystadenoma mimicking hydatid cyst of liver: a clinicopathologic study of six cases. J Med Case Rep. 2017;11(1):317. doi:10.1186/s13256-017-1481-2. PMID:29121977.</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30 of this pathway's 42 sources were read in full and abstracted this way. 12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AASLD liver biopsy</w:t>
      </w:r>
      <w:r>
        <w:rPr>
          <w:b/>
          <w:bCs/>
          <w:color w:val="176A87"/>
          <w:sz w:val="15"/>
          <w:szCs w:val="15"/>
        </w:rPr>
        <w:t xml:space="preserve">   Guideline</w:t>
      </w:r>
      <w:r>
        <w:rPr>
          <w:color w:val="5A6069"/>
          <w:sz w:val="15"/>
          <w:szCs w:val="15"/>
        </w:rPr>
        <w:t xml:space="preserve">   PMID 19243014</w:t>
      </w:r>
    </w:p>
    <w:p>
      <w:pPr>
        <w:spacing w:after="50" w:line="276"/>
      </w:pPr>
      <w:r>
        <w:rPr>
          <w:color w:val="5A6069"/>
          <w:sz w:val="17"/>
          <w:szCs w:val="17"/>
        </w:rPr>
        <w:t xml:space="preserve">Liver biopsy.</w:t>
      </w:r>
    </w:p>
    <w:p>
      <w:pPr>
        <w:spacing w:after="70"/>
      </w:pPr>
      <w:r>
        <w:rPr>
          <w:b/>
          <w:bCs/>
          <w:color w:val="17365D"/>
          <w:sz w:val="16"/>
          <w:szCs w:val="16"/>
        </w:rPr>
        <w:t xml:space="preserve">Bottom line. </w:t>
      </w:r>
      <w:r>
        <w:rPr>
          <w:sz w:val="16"/>
          <w:szCs w:val="16"/>
        </w:rPr>
        <w:t xml:space="preserve">The AASLD position paper on liver biopsy, establishing that severe bleeding occurs in roughly 1 in 2500 to 1 in 10,000 and death in about 1 in 10,000 percutaneous biopsies, that tumour seeding is around 0.13%, and that 2-4 hours of observation suffices - the harm figures derive from biopsy for diffuse parenchymal disease rather than for focal masses, most of its procedural recommendations are Class I Level C expert opinion, and it concedes its own complication literature is underpowered.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states its recommendations are intended to be flexible, in contrast to standards of care, and are based on relevant published information plus the experience of the authors</w:t>
            </w:r>
          </w:p>
          <w:p>
            <w:pPr>
              <w:pStyle w:val="ListParagraph"/>
              <w:numPr>
                <w:ilvl w:val="0"/>
                <w:numId w:val="2"/>
              </w:numPr>
              <w:spacing w:after="45"/>
            </w:pPr>
            <w:r>
              <w:rPr>
                <w:sz w:val="15"/>
                <w:szCs w:val="15"/>
              </w:rPr>
              <w:t xml:space="preserve">It concedes studies of post-biopsy complications are generally underpowered because of the rarity of serious events</w:t>
            </w:r>
          </w:p>
          <w:p>
            <w:pPr>
              <w:pStyle w:val="ListParagraph"/>
              <w:numPr>
                <w:ilvl w:val="0"/>
                <w:numId w:val="2"/>
              </w:numPr>
              <w:spacing w:after="45"/>
            </w:pPr>
            <w:r>
              <w:rPr>
                <w:sz w:val="15"/>
                <w:szCs w:val="15"/>
              </w:rPr>
              <w:t xml:space="preserve">It states the optimal length of post-biopsy observation has not been firmly established</w:t>
            </w:r>
          </w:p>
          <w:p>
            <w:pPr>
              <w:pStyle w:val="ListParagraph"/>
              <w:numPr>
                <w:ilvl w:val="0"/>
                <w:numId w:val="2"/>
              </w:numPr>
              <w:spacing w:after="45"/>
            </w:pPr>
            <w:r>
              <w:rPr>
                <w:sz w:val="15"/>
                <w:szCs w:val="15"/>
              </w:rPr>
              <w:t xml:space="preserve">It notes transvenous mortality may reflect selection of higher-risk patients</w:t>
            </w:r>
          </w:p>
          <w:p>
            <w:pPr>
              <w:pStyle w:val="ListParagraph"/>
              <w:numPr>
                <w:ilvl w:val="0"/>
                <w:numId w:val="2"/>
              </w:numPr>
              <w:spacing w:after="45"/>
            </w:pPr>
            <w:r>
              <w:rPr>
                <w:sz w:val="15"/>
                <w:szCs w:val="15"/>
              </w:rPr>
              <w:t xml:space="preserve">It acknowledges controversy on ultrasound guidance, on fine-needle aspiration of small HCC, and on repositioning after biopsy, and notes wide practice variation in the HCC biopsy question</w:t>
            </w:r>
          </w:p>
          <w:p>
            <w:pPr>
              <w:pStyle w:val="ListParagraph"/>
              <w:numPr>
                <w:ilvl w:val="0"/>
                <w:numId w:val="2"/>
              </w:numPr>
              <w:spacing w:after="45"/>
            </w:pPr>
            <w:r>
              <w:rPr>
                <w:sz w:val="15"/>
                <w:szCs w:val="15"/>
              </w:rPr>
              <w:t xml:space="preserve">It notes precise mortality figures vary widely in the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harms quoted throughout are drawn from series of biopsy for *diffuse parenchymal disease*, not for a focal mass, and the paper says in one clause that death from bleeding 'may be greater after biopsy of malignant lesions'. The 1 in 2500 to 1 in 10,000 severe bleeding figure and the 1 in 10,000 mortality figure are explicitly for the intercostal percutaneous approach in diffuse non-focal disease. A pathway that applies them to biopsy of a vascular hepatic mass is importing the wrong denominator, and the paper never supplies the right one</w:t>
            </w:r>
          </w:p>
          <w:p>
            <w:pPr>
              <w:pStyle w:val="ListParagraph"/>
              <w:numPr>
                <w:ilvl w:val="0"/>
                <w:numId w:val="2"/>
              </w:numPr>
              <w:spacing w:after="45"/>
            </w:pPr>
            <w:r>
              <w:rPr>
                <w:sz w:val="15"/>
                <w:szCs w:val="15"/>
              </w:rPr>
              <w:t xml:space="preserve">The quantified risks are ranges and single-citation point estimates with no confidence intervals anywhere: severe bleeding as a fourfold range, mortality as 'the most commonly quoted figure', seeding as 0.13% from one study. No pooled estimate, no meta-analysis, no systematic search is described</w:t>
            </w:r>
          </w:p>
          <w:p>
            <w:pPr>
              <w:pStyle w:val="ListParagraph"/>
              <w:numPr>
                <w:ilvl w:val="0"/>
                <w:numId w:val="2"/>
              </w:numPr>
              <w:spacing w:after="45"/>
            </w:pPr>
            <w:r>
              <w:rPr>
                <w:sz w:val="15"/>
                <w:szCs w:val="15"/>
              </w:rPr>
              <w:t xml:space="preserve">The seeding figure of 0.13% sits an order of magnitude below the 2.7% that Silva's meta-analysis of HCC biopsy reports in the same depot. Both are in the literature; this guideline cites the low one and defers the HCC biopsy question to a separate document, so a reader using the AASLD paper alone gets a seeding risk twenty times lower than the pooled HCC-specific figure</w:t>
            </w:r>
          </w:p>
          <w:p>
            <w:pPr>
              <w:pStyle w:val="ListParagraph"/>
              <w:numPr>
                <w:ilvl w:val="0"/>
                <w:numId w:val="2"/>
              </w:numPr>
              <w:spacing w:after="45"/>
            </w:pPr>
            <w:r>
              <w:rPr>
                <w:sz w:val="15"/>
                <w:szCs w:val="15"/>
              </w:rPr>
              <w:t xml:space="preserve">A large share of recommendations are Class I Level C - the committee's strongest recommendation grade supported by its weakest evidence grade. Dedicated physical space, vital-sign monitoring every 15 minutes, management of anticoagulants and several others are all Class I Level C, which means 'you should do this' resting on expert opinion</w:t>
            </w:r>
          </w:p>
          <w:p>
            <w:pPr>
              <w:pStyle w:val="ListParagraph"/>
              <w:numPr>
                <w:ilvl w:val="0"/>
                <w:numId w:val="2"/>
              </w:numPr>
              <w:spacing w:after="45"/>
            </w:pPr>
            <w:r>
              <w:rPr>
                <w:sz w:val="15"/>
                <w:szCs w:val="15"/>
              </w:rPr>
              <w:t xml:space="preserve">The observation-time recommendation (2-4 hours, Class I Level B) contradicts the evidence cited to support it: a 3214-patient series reduced recovery from 6 hours to 1 hour with no change in complication rate, a 500-patient series discharged 496 at 1 hour, and the text itself concludes 'prolonged observation times appear to be unnecessary'. The recommendation is then set at 2-4 hours without explanation of the gap between the data and the number</w:t>
            </w:r>
          </w:p>
          <w:p>
            <w:pPr>
              <w:pStyle w:val="ListParagraph"/>
              <w:numPr>
                <w:ilvl w:val="0"/>
                <w:numId w:val="2"/>
              </w:numPr>
              <w:spacing w:after="45"/>
            </w:pPr>
            <w:r>
              <w:rPr>
                <w:sz w:val="15"/>
                <w:szCs w:val="15"/>
              </w:rPr>
              <w:t xml:space="preserve">The hydatid guidance reverses a long-standing absolute contraindication on the basis of 'available data suggest' with no number of cases, no anaphylaxis rate and no comparison to the WHO-IWGE consensus (also in this depot) which treats cyst puncture as requiring resuscitation equipment, a surgical back-up team and mandatory albendazole prophylaxis. A pathway taking the AASLD sentence alone would aspirate a hydatid cyst without any of those precautions</w:t>
            </w:r>
          </w:p>
          <w:p>
            <w:pPr>
              <w:pStyle w:val="ListParagraph"/>
              <w:numPr>
                <w:ilvl w:val="0"/>
                <w:numId w:val="2"/>
              </w:numPr>
              <w:spacing w:after="45"/>
            </w:pPr>
            <w:r>
              <w:rPr>
                <w:sz w:val="15"/>
                <w:szCs w:val="15"/>
              </w:rPr>
              <w:t xml:space="preserve">The image-guidance evidence is internally contradictory and left unresolved: one 631-patient comparison found no advantage for real-time ultrasound over prebiopsy marking, while a large unblinded randomised trial found a fourfold reduction in major complications (0.5% vs 2.2%). The paper reports both and issues no recommendation strong enough to settle practice, which is honest but leaves the pathway without guidance on the step most likely to affect harm</w:t>
            </w:r>
          </w:p>
          <w:p>
            <w:pPr>
              <w:pStyle w:val="ListParagraph"/>
              <w:numPr>
                <w:ilvl w:val="0"/>
                <w:numId w:val="2"/>
              </w:numPr>
              <w:spacing w:after="45"/>
            </w:pPr>
            <w:r>
              <w:rPr>
                <w:sz w:val="15"/>
                <w:szCs w:val="15"/>
              </w:rPr>
              <w:t xml:space="preserve">Published 2009, drawing on a literature that predates routine thin-section multidetector CT and modern coaxial and plugged-track techniques, and predates the current era of molecular subtyping that changes why one would biopsy a mass at all. No update interval or expiry is stated</w:t>
            </w:r>
          </w:p>
          <w:p>
            <w:pPr>
              <w:pStyle w:val="ListParagraph"/>
              <w:numPr>
                <w:ilvl w:val="0"/>
                <w:numId w:val="2"/>
              </w:numPr>
              <w:spacing w:after="45"/>
            </w:pPr>
            <w:r>
              <w:rPr>
                <w:sz w:val="15"/>
                <w:szCs w:val="15"/>
              </w:rPr>
              <w:t xml:space="preserve">The one randomised trial underpinning the ultrasound recommendation was unblinded, and the paper reports the result without discussing how unblinding affects a pain endpoint measured at 36.4% versus 47.3%</w:t>
            </w:r>
          </w:p>
          <w:p>
            <w:pPr>
              <w:pStyle w:val="ListParagraph"/>
              <w:numPr>
                <w:ilvl w:val="0"/>
                <w:numId w:val="2"/>
              </w:numPr>
              <w:spacing w:after="45"/>
            </w:pPr>
            <w:r>
              <w:rPr>
                <w:sz w:val="15"/>
                <w:szCs w:val="15"/>
              </w:rPr>
              <w:t xml:space="preserve">No systematic search strategy, no databases, no dates, no inclusion criteria for the literature review, and no formal evidence tables - so the 'formal review and analysis of the recently published world literature' cannot be reproduced or audited</w:t>
            </w:r>
          </w:p>
          <w:p>
            <w:pPr>
              <w:pStyle w:val="ListParagraph"/>
              <w:numPr>
                <w:ilvl w:val="0"/>
                <w:numId w:val="2"/>
              </w:numPr>
              <w:spacing w:after="45"/>
            </w:pPr>
            <w:r>
              <w:rPr>
                <w:sz w:val="15"/>
                <w:szCs w:val="15"/>
              </w:rPr>
              <w:t xml:space="preserve">Conflicts of interest for the five authors are not reported in the available text</w:t>
            </w:r>
          </w:p>
          <w:p>
            <w:pPr>
              <w:pStyle w:val="ListParagraph"/>
              <w:numPr>
                <w:ilvl w:val="0"/>
                <w:numId w:val="2"/>
              </w:numPr>
              <w:spacing w:after="45"/>
            </w:pPr>
            <w:r>
              <w:rPr>
                <w:sz w:val="15"/>
                <w:szCs w:val="15"/>
              </w:rPr>
              <w:t xml:space="preserve">The focal-lesion indication table marks 'other focal lesions' as an indication for biopsy with no stratification by lesion type, size, risk category or whether resection is contemplated - the distinctions on which Jones 2005 and Silva 2008 turn</w:t>
            </w:r>
          </w:p>
        </w:tc>
      </w:tr>
    </w:tbl>
    <w:p>
      <w:pPr>
        <w:spacing w:after="0" w:line="276"/>
      </w:pPr>
      <w:r>
        <w:rPr>
          <w:color w:val="5A6069"/>
          <w:sz w:val="14"/>
          <w:szCs w:val="14"/>
        </w:rPr>
        <w:t xml:space="preserve">Funding: Not stated; an AASLD position paper approved by the association</w:t>
      </w:r>
    </w:p>
    <w:p>
      <w:pPr>
        <w:keepNext/>
        <w:spacing w:after="50" w:before="260"/>
      </w:pPr>
      <w:r>
        <w:rPr>
          <w:rFonts w:ascii="Cambria" w:cs="Cambria" w:eastAsia="Cambria" w:hAnsi="Cambria"/>
          <w:b/>
          <w:bCs/>
          <w:color w:val="17365D"/>
          <w:sz w:val="20"/>
          <w:szCs w:val="20"/>
        </w:rPr>
        <w:t xml:space="preserve">Abscess cancer risk</w:t>
      </w:r>
      <w:r>
        <w:rPr>
          <w:b/>
          <w:bCs/>
          <w:color w:val="176A87"/>
          <w:sz w:val="15"/>
          <w:szCs w:val="15"/>
        </w:rPr>
        <w:t xml:space="preserve">   Registry study</w:t>
      </w:r>
      <w:r>
        <w:rPr>
          <w:color w:val="5A6069"/>
          <w:sz w:val="15"/>
          <w:szCs w:val="15"/>
        </w:rPr>
        <w:t xml:space="preserve">   PMID 22779737</w:t>
      </w:r>
    </w:p>
    <w:p>
      <w:pPr>
        <w:spacing w:after="50" w:line="276"/>
      </w:pPr>
      <w:r>
        <w:rPr>
          <w:color w:val="5A6069"/>
          <w:sz w:val="17"/>
          <w:szCs w:val="17"/>
        </w:rPr>
        <w:t xml:space="preserve">Cancer risk in patients with pyogenic liver abscess: a nationwide cohort study.</w:t>
      </w:r>
    </w:p>
    <w:p>
      <w:pPr>
        <w:spacing w:after="50"/>
      </w:pPr>
      <w:r>
        <w:rPr>
          <w:b/>
          <w:bCs/>
          <w:color w:val="176A87"/>
          <w:sz w:val="16"/>
          <w:szCs w:val="16"/>
        </w:rPr>
        <w:t xml:space="preserve">Population. </w:t>
      </w:r>
      <w:r>
        <w:rPr>
          <w:sz w:val="16"/>
          <w:szCs w:val="16"/>
        </w:rPr>
        <w:t xml:space="preserve">1257 patients with pyogenic liver abscess and no prior cancer; 186 incident cancers over a median follow-up of 3.33 years (s.d. 3.45)</w:t>
      </w:r>
    </w:p>
    <w:p>
      <w:pPr>
        <w:spacing w:after="70"/>
      </w:pPr>
      <w:r>
        <w:rPr>
          <w:b/>
          <w:bCs/>
          <w:color w:val="17365D"/>
          <w:sz w:val="16"/>
          <w:szCs w:val="16"/>
        </w:rPr>
        <w:t xml:space="preserve">Bottom line. </w:t>
      </w:r>
      <w:r>
        <w:rPr>
          <w:sz w:val="16"/>
          <w:szCs w:val="16"/>
        </w:rPr>
        <w:t xml:space="preserve">In 1257 Taiwanese patients with claims-coded pyogenic liver abscess, standardised cancer incidence was 3.8-fold higher overall, 7.9-fold for liver, 34.6-fold for biliary tract and 5.3-fold for colorectal cancer, with risk concentrated in the first 90 days to a year - it establishes that a liver abscess warrants a search for occult hepatobiliary and colorectal malignancy, and it does not establish that abscess causes cancer, since the near-term SIRs of 250-1150 are detection artefacts and the cohort was compared with the general population without adjustment for its 48% diabetes and 8% cirrhosis prevalence.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Microbiological data are deficient; the interaction between Klebsiella pneumoniae or Streptococcus bovis bacteraemia and specific cancers, especially colorectal, could not be investigated</w:t>
            </w:r>
          </w:p>
          <w:p>
            <w:pPr>
              <w:pStyle w:val="ListParagraph"/>
              <w:numPr>
                <w:ilvl w:val="0"/>
                <w:numId w:val="2"/>
              </w:numPr>
              <w:spacing w:after="45"/>
            </w:pPr>
            <w:r>
              <w:rPr>
                <w:sz w:val="15"/>
                <w:szCs w:val="15"/>
              </w:rPr>
              <w:t xml:space="preserve">Pyogenic liver abscess may be insidious with non-specific presentation, so the diagnosis may be difficult and underestimated, and some hepatobiliary cancers may have been misdiagnosed initially as abscess</w:t>
            </w:r>
          </w:p>
          <w:p>
            <w:pPr>
              <w:pStyle w:val="ListParagraph"/>
              <w:numPr>
                <w:ilvl w:val="0"/>
                <w:numId w:val="2"/>
              </w:numPr>
              <w:spacing w:after="45"/>
            </w:pPr>
            <w:r>
              <w:rPr>
                <w:sz w:val="15"/>
                <w:szCs w:val="15"/>
              </w:rPr>
              <w:t xml:space="preserve">Artificial registry bias when establishing the dataset cannot be entirely excluded by screening with ICD-9-CM codes, and incomplete discharge coding may limit investigation of some comorbidities</w:t>
            </w:r>
          </w:p>
          <w:p>
            <w:pPr>
              <w:pStyle w:val="ListParagraph"/>
              <w:numPr>
                <w:ilvl w:val="0"/>
                <w:numId w:val="2"/>
              </w:numPr>
              <w:spacing w:after="45"/>
            </w:pPr>
            <w:r>
              <w:rPr>
                <w:sz w:val="15"/>
                <w:szCs w:val="15"/>
              </w:rPr>
              <w:t xml:space="preserve">The authors acknowledge that the differential early and late risk supports two distinct hypotheses - abscess as the initial manifestation of occult cancer, versus long-term carcinogenesis following abscess - without being able to separate them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entire headline effect is detection, not causation, and the paper half-concedes this without following through. An SIR of 360 for all cancers and 1153 for biliary cancer within the first 90 days to one year cannot be a biological effect of an abscess; it is the result of imaging and endoscoping a patient intensively. The authors note that some hepatobiliary cancers 'may be misdiagnosed initially as PLA' - which is the mechanism, not a footnote. A pathway reading this as 'liver abscess causes cancer' inverts the direction: in a substantial share of cases the cancer caused the abscess, or the abscess was the cancer</w:t>
            </w:r>
          </w:p>
          <w:p>
            <w:pPr>
              <w:pStyle w:val="ListParagraph"/>
              <w:numPr>
                <w:ilvl w:val="0"/>
                <w:numId w:val="2"/>
              </w:numPr>
              <w:spacing w:after="45"/>
            </w:pPr>
            <w:r>
              <w:rPr>
                <w:sz w:val="15"/>
                <w:szCs w:val="15"/>
              </w:rPr>
              <w:t xml:space="preserve">The 90-day minimum follow-up requirement does not solve the reverse-causation problem and may worsen it: it removes patients who died quickly (often from the undiagnosed cancer) while retaining the surviving patients who go on to be diagnosed, so the surviving cohort is enriched for diagnosable cancer</w:t>
            </w:r>
          </w:p>
          <w:p>
            <w:pPr>
              <w:pStyle w:val="ListParagraph"/>
              <w:numPr>
                <w:ilvl w:val="0"/>
                <w:numId w:val="2"/>
              </w:numPr>
              <w:spacing w:after="45"/>
            </w:pPr>
            <w:r>
              <w:rPr>
                <w:sz w:val="15"/>
                <w:szCs w:val="15"/>
              </w:rPr>
              <w:t xml:space="preserve">The expected counts for the rarest outcomes are absurdly small, and the SIRs built on them are unstable. Biliary cancer within one year has an expected count of 0.02 cases, giving an SIR of 1153 with a 95% interval of 694-1801; in women the expected count is 0.01, giving 2086.73 (1077-3645). Reporting a standardised incidence ratio to two decimal places on an expected count of 0.01 is numerically meaningless, and several cells have zero observed events (biliary cancer in viral hepatitis, SIR reported as '0')</w:t>
            </w:r>
          </w:p>
          <w:p>
            <w:pPr>
              <w:pStyle w:val="ListParagraph"/>
              <w:numPr>
                <w:ilvl w:val="0"/>
                <w:numId w:val="2"/>
              </w:numPr>
              <w:spacing w:after="45"/>
            </w:pPr>
            <w:r>
              <w:rPr>
                <w:sz w:val="15"/>
                <w:szCs w:val="15"/>
              </w:rPr>
              <w:t xml:space="preserve">The denominator for every SIR is the 2007 Taiwanese general population adjusted for age and sex only. Liver abscess patients are 47.6% diabetic, 7.8% cirrhotic, 11.0% with chronic kidney disease and heavily skewed to men; none of these is adjusted for in the main comparison. The stratified analyses show cirrhosis alone moving the liver-cancer SIR from 4.21 to 59.77, which demonstrates that the unstratified 7.87 is a confounded average</w:t>
            </w:r>
          </w:p>
          <w:p>
            <w:pPr>
              <w:pStyle w:val="ListParagraph"/>
              <w:numPr>
                <w:ilvl w:val="0"/>
                <w:numId w:val="2"/>
              </w:numPr>
              <w:spacing w:after="45"/>
            </w:pPr>
            <w:r>
              <w:rPr>
                <w:sz w:val="15"/>
                <w:szCs w:val="15"/>
              </w:rPr>
              <w:t xml:space="preserve">Using the 2007 single-year population rate as the expected rate for a cohort accrued and followed 1996-2008 ignores the secular rise in Taiwanese cancer incidence and in diagnostic intensity over that period, biasing SIRs upward for the earlier accrual years</w:t>
            </w:r>
          </w:p>
          <w:p>
            <w:pPr>
              <w:pStyle w:val="ListParagraph"/>
              <w:numPr>
                <w:ilvl w:val="0"/>
                <w:numId w:val="2"/>
              </w:numPr>
              <w:spacing w:after="45"/>
            </w:pPr>
            <w:r>
              <w:rPr>
                <w:sz w:val="15"/>
                <w:szCs w:val="15"/>
              </w:rPr>
              <w:t xml:space="preserve">Exposure is defined purely by ICD-9-CM 572.0 appearing more than twice in claims, with no imaging, no culture, no aspirate and no clinical validation. The authors cite validation studies for diabetes and stroke coding in this database but offer none for liver abscess - the one code the whole study rests on. Nor is it clear whether the two-code requirement selects for larger, more complex or more thoroughly investigated abscesses</w:t>
            </w:r>
          </w:p>
          <w:p>
            <w:pPr>
              <w:pStyle w:val="ListParagraph"/>
              <w:numPr>
                <w:ilvl w:val="0"/>
                <w:numId w:val="2"/>
              </w:numPr>
              <w:spacing w:after="45"/>
            </w:pPr>
            <w:r>
              <w:rPr>
                <w:sz w:val="15"/>
                <w:szCs w:val="15"/>
              </w:rPr>
              <w:t xml:space="preserve">The outcome is also claims-defined, via a catastrophic illness certification that requires cytological or histological evidence - which is a strength for specificity but means cancer ascertainment depends on a patient applying for a co-payment exemption, a process that favours patients already in specialist care</w:t>
            </w:r>
          </w:p>
          <w:p>
            <w:pPr>
              <w:pStyle w:val="ListParagraph"/>
              <w:numPr>
                <w:ilvl w:val="0"/>
                <w:numId w:val="2"/>
              </w:numPr>
              <w:spacing w:after="45"/>
            </w:pPr>
            <w:r>
              <w:rPr>
                <w:sz w:val="15"/>
                <w:szCs w:val="15"/>
              </w:rPr>
              <w:t xml:space="preserve">There is no internal comparator. A matched cohort from the same 1,000,000-person sample - matched on diabetes, cirrhosis, hepatitis and healthcare utilisation - was available in the dataset and was not constructed. Comparing to external national rates instead maximises the apparent effect and prevents any adjustment</w:t>
            </w:r>
          </w:p>
          <w:p>
            <w:pPr>
              <w:pStyle w:val="ListParagraph"/>
              <w:numPr>
                <w:ilvl w:val="0"/>
                <w:numId w:val="2"/>
              </w:numPr>
              <w:spacing w:after="45"/>
            </w:pPr>
            <w:r>
              <w:rPr>
                <w:sz w:val="15"/>
                <w:szCs w:val="15"/>
              </w:rPr>
              <w:t xml:space="preserve">The clinically actionable conclusion ('further surveys should be conducted for the detection of occult cancers') is offered with no yield estimate, no proposed modality, no stratification by the risk factors the paper identifies, and no account of the harms or cost of surveying 1257 patients to find the excess cancers</w:t>
            </w:r>
          </w:p>
          <w:p>
            <w:pPr>
              <w:pStyle w:val="ListParagraph"/>
              <w:numPr>
                <w:ilvl w:val="0"/>
                <w:numId w:val="2"/>
              </w:numPr>
              <w:spacing w:after="45"/>
            </w:pPr>
            <w:r>
              <w:rPr>
                <w:sz w:val="15"/>
                <w:szCs w:val="15"/>
              </w:rPr>
              <w:t xml:space="preserve">The persistent elevation beyond 5 years - SIR 1.52 (1.09-2.05) - is the only estimate consistent with a genuine late effect, and its lower bound is 1.09. This, the most defensible finding in the paper, is given one sentence, while the detection-driven 360-fold figure is in the abstract</w:t>
            </w:r>
          </w:p>
          <w:p>
            <w:pPr>
              <w:pStyle w:val="ListParagraph"/>
              <w:numPr>
                <w:ilvl w:val="0"/>
                <w:numId w:val="2"/>
              </w:numPr>
              <w:spacing w:after="45"/>
            </w:pPr>
            <w:r>
              <w:rPr>
                <w:sz w:val="15"/>
                <w:szCs w:val="15"/>
              </w:rPr>
              <w:t xml:space="preserve">Subgroup SIRs are reported across cancer type, sex, two age bands, five follow-up windows, cirrhosis status, viral hepatitis status and diabetes status - well over a hundred estimates - with no correction for multiplicity and no pre-specification</w:t>
            </w:r>
          </w:p>
          <w:p>
            <w:pPr>
              <w:pStyle w:val="ListParagraph"/>
              <w:numPr>
                <w:ilvl w:val="0"/>
                <w:numId w:val="2"/>
              </w:numPr>
              <w:spacing w:after="45"/>
            </w:pPr>
            <w:r>
              <w:rPr>
                <w:sz w:val="15"/>
                <w:szCs w:val="15"/>
              </w:rPr>
              <w:t xml:space="preserve">Median follow-up is reported as 3.33 years with a standard deviation of 3.45, an incoherent pairing (medians do not have standard deviations) repeated in the abstract and Table 1</w:t>
            </w:r>
          </w:p>
          <w:p>
            <w:pPr>
              <w:pStyle w:val="ListParagraph"/>
              <w:numPr>
                <w:ilvl w:val="0"/>
                <w:numId w:val="2"/>
              </w:numPr>
              <w:spacing w:after="45"/>
            </w:pPr>
            <w:r>
              <w:rPr>
                <w:sz w:val="15"/>
                <w:szCs w:val="15"/>
              </w:rPr>
              <w:t xml:space="preserve">The paper's relevance to an incidental liver mass runs the other way from how it is usually cited: it is evidence that a lesion called an abscess may be a cancer, not that an abscess will become one</w:t>
            </w:r>
          </w:p>
        </w:tc>
      </w:tr>
    </w:tbl>
    <w:p>
      <w:pPr>
        <w:spacing w:after="0" w:line="276"/>
      </w:pPr>
      <w:r>
        <w:rPr>
          <w:color w:val="5A6069"/>
          <w:sz w:val="14"/>
          <w:szCs w:val="14"/>
        </w:rPr>
        <w:t xml:space="preserve">Funding: Declaration of personal and funding interests: None</w:t>
      </w:r>
    </w:p>
    <w:p>
      <w:pPr>
        <w:keepNext/>
        <w:spacing w:after="50" w:before="260"/>
      </w:pPr>
      <w:r>
        <w:rPr>
          <w:rFonts w:ascii="Cambria" w:cs="Cambria" w:eastAsia="Cambria" w:hAnsi="Cambria"/>
          <w:b/>
          <w:bCs/>
          <w:color w:val="17365D"/>
          <w:sz w:val="20"/>
          <w:szCs w:val="20"/>
        </w:rPr>
        <w:t xml:space="preserve">Abscess drainage meta-analysis</w:t>
      </w:r>
      <w:r>
        <w:rPr>
          <w:b/>
          <w:bCs/>
          <w:color w:val="176A87"/>
          <w:sz w:val="15"/>
          <w:szCs w:val="15"/>
        </w:rPr>
        <w:t xml:space="preserve">   Meta-analysis</w:t>
      </w:r>
      <w:r>
        <w:rPr>
          <w:color w:val="5A6069"/>
          <w:sz w:val="15"/>
          <w:szCs w:val="15"/>
        </w:rPr>
        <w:t xml:space="preserve">   PMID 42743010</w:t>
      </w:r>
    </w:p>
    <w:p>
      <w:pPr>
        <w:spacing w:after="50" w:line="276"/>
      </w:pPr>
      <w:r>
        <w:rPr>
          <w:color w:val="5A6069"/>
          <w:sz w:val="17"/>
          <w:szCs w:val="17"/>
        </w:rPr>
        <w:t xml:space="preserve">Percutaneous catheter drainage versus needle aspiration for liver abscess: a systematic review and meta-analysis of efficacy and safety.</w:t>
      </w:r>
    </w:p>
    <w:p>
      <w:pPr>
        <w:spacing w:after="50"/>
      </w:pPr>
      <w:r>
        <w:rPr>
          <w:b/>
          <w:bCs/>
          <w:color w:val="176A87"/>
          <w:sz w:val="16"/>
          <w:szCs w:val="16"/>
        </w:rPr>
        <w:t xml:space="preserve">Population. </w:t>
      </w:r>
      <w:r>
        <w:rPr>
          <w:sz w:val="16"/>
          <w:szCs w:val="16"/>
        </w:rPr>
        <w:t xml:space="preserve">12 RCTs, 1425 patients; 9 of the 12 trials conducted in India, publication years 1998-2023</w:t>
      </w:r>
    </w:p>
    <w:p>
      <w:pPr>
        <w:spacing w:after="70"/>
      </w:pPr>
      <w:r>
        <w:rPr>
          <w:b/>
          <w:bCs/>
          <w:color w:val="17365D"/>
          <w:sz w:val="16"/>
          <w:szCs w:val="16"/>
        </w:rPr>
        <w:t xml:space="preserve">Bottom line. </w:t>
      </w:r>
      <w:r>
        <w:rPr>
          <w:sz w:val="16"/>
          <w:szCs w:val="16"/>
        </w:rPr>
        <w:t xml:space="preserve">Pooling 12 randomised trials and 1425 patients, mostly Indian and mostly with amoebic-predominant abscesses, percutaneous catheter drainage achieved roughly four times the odds of treatment success as needle aspiration (OR 4.12, 95% CI 2.01-8.45) with no detected difference in complications - it establishes catheter drainage as the preferred percutaneous technique for large or complex abscesses, and it does not establish safety equivalence (OR 1.02, CI 0.30-3.50, from 7 trials), nor a benefit in the 5-10 cm subgroup that comprises two thirds of the trials, nor any defined meaning for the 'treatment success' it pooled.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Significant statistical heterogeneity for the success outcome; although subgroup analyses were performed and the direction of effect was consistent, residual heterogeneity likely stems from variation in study protocols, definitions of treatment success, and technical details across trials</w:t>
            </w:r>
          </w:p>
          <w:p>
            <w:pPr>
              <w:pStyle w:val="ListParagraph"/>
              <w:numPr>
                <w:ilvl w:val="0"/>
                <w:numId w:val="2"/>
              </w:numPr>
              <w:spacing w:after="45"/>
            </w:pPr>
            <w:r>
              <w:rPr>
                <w:sz w:val="15"/>
                <w:szCs w:val="15"/>
              </w:rPr>
              <w:t xml:space="preserve">The inherent difficulty of blinding in trials of procedural interventions introduces potential performance bias, although the authors argue the objective nature of the primary outcomes mitigates this</w:t>
            </w:r>
          </w:p>
          <w:p>
            <w:pPr>
              <w:pStyle w:val="ListParagraph"/>
              <w:numPr>
                <w:ilvl w:val="0"/>
                <w:numId w:val="2"/>
              </w:numPr>
              <w:spacing w:after="45"/>
            </w:pPr>
            <w:r>
              <w:rPr>
                <w:sz w:val="15"/>
                <w:szCs w:val="15"/>
              </w:rPr>
              <w:t xml:space="preserve">Publication bias was not detected statistically but cannot be completely ruled out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methods state four databases were searched (PubMed, Embase, Web of Science, Cochrane Library in the abstract; PubMed, Web of Science Core Collection and Cochrane CENTRAL in the methods) and the results state 'our systematic search of the three electronic databases'. Embase is named in the abstract and absent from the methods list and the results - so the reader cannot determine whether the largest biomedical database was searched</w:t>
            </w:r>
          </w:p>
          <w:p>
            <w:pPr>
              <w:pStyle w:val="ListParagraph"/>
              <w:numPr>
                <w:ilvl w:val="0"/>
                <w:numId w:val="2"/>
              </w:numPr>
              <w:spacing w:after="45"/>
            </w:pPr>
            <w:r>
              <w:rPr>
                <w:sz w:val="15"/>
                <w:szCs w:val="15"/>
              </w:rPr>
              <w:t xml:space="preserve">The abstract states 'data were pooled using random-effects models' while the results state that for complications 'no significant heterogeneity was observed (I-squared = 46.1%, p=0.115)' and 'the pooled analysis using a fixed-effects model' was applied. The model used for the safety outcome contradicts the abstract, and an I-squared of 46% is treated as no heterogeneity on the basis of a 50% threshold the paper sets for itself</w:t>
            </w:r>
          </w:p>
          <w:p>
            <w:pPr>
              <w:pStyle w:val="ListParagraph"/>
              <w:numPr>
                <w:ilvl w:val="0"/>
                <w:numId w:val="2"/>
              </w:numPr>
              <w:spacing w:after="45"/>
            </w:pPr>
            <w:r>
              <w:rPr>
                <w:sz w:val="15"/>
                <w:szCs w:val="15"/>
              </w:rPr>
              <w:t xml:space="preserve">The safety conclusion - 'without increasing the risk of procedure-related complications' - rests on 7 of 12 trials and an odds ratio of 1.02 with a 95% interval of 0.30-3.50. That interval permits a 70% reduction or a 3.5-fold increase in complications. This is an uninformative result reported as equivalence, with no equivalence margin, no event counts given in the text and no power consideration</w:t>
            </w:r>
          </w:p>
          <w:p>
            <w:pPr>
              <w:pStyle w:val="ListParagraph"/>
              <w:numPr>
                <w:ilvl w:val="0"/>
                <w:numId w:val="2"/>
              </w:numPr>
              <w:spacing w:after="45"/>
            </w:pPr>
            <w:r>
              <w:rPr>
                <w:sz w:val="15"/>
                <w:szCs w:val="15"/>
              </w:rPr>
              <w:t xml:space="preserve">The pre-specified size subgroup that matters most is the one that fails. Eight of 12 trials studied 5-10 cm abscesses and the paper states the confidence interval for that subgroup crossed the line of no effect, while the &gt;5 cm and &gt;10 cm subgroups (3 trials between them) did not. The abstract instead says 'subgroup analyses by abscess size and etiology confirmed the consistency of this benefit' - which is true only of the direction of point estimates, not of statistical significance, and reverses the clinical reading for the majority of the data</w:t>
            </w:r>
          </w:p>
          <w:p>
            <w:pPr>
              <w:pStyle w:val="ListParagraph"/>
              <w:numPr>
                <w:ilvl w:val="0"/>
                <w:numId w:val="2"/>
              </w:numPr>
              <w:spacing w:after="45"/>
            </w:pPr>
            <w:r>
              <w:rPr>
                <w:sz w:val="15"/>
                <w:szCs w:val="15"/>
              </w:rPr>
              <w:t xml:space="preserve">The size subgroups are not mutually exclusive or coherently defined: '5-10', '&gt;5' and '&gt;10 cm' overlap, so a trial of 5-10 cm abscesses also satisfies &gt;5 cm. Subgroup analysis across overlapping strata double-counts and cannot be interpreted as the paper does</w:t>
            </w:r>
          </w:p>
          <w:p>
            <w:pPr>
              <w:pStyle w:val="ListParagraph"/>
              <w:numPr>
                <w:ilvl w:val="0"/>
                <w:numId w:val="2"/>
              </w:numPr>
              <w:spacing w:after="45"/>
            </w:pPr>
            <w:r>
              <w:rPr>
                <w:sz w:val="15"/>
                <w:szCs w:val="15"/>
              </w:rPr>
              <w:t xml:space="preserve">Nine of 12 trials are Indian and 8 of 12 enrolled mixed amoebic-predominant abscesses treated with chloroquine or metronidazole. The pooled result is therefore principally about amoebic and mixed abscesses in India. Pyogenic abscess - the entity relevant to a Western incidental-liver-lesion pathway - is represented by 3 trials (Abusedera, Yu, Zerem) totalling 212 patients, and no pyogenic-only pooled estimate with its own interval is reported in the text</w:t>
            </w:r>
          </w:p>
          <w:p>
            <w:pPr>
              <w:pStyle w:val="ListParagraph"/>
              <w:numPr>
                <w:ilvl w:val="0"/>
                <w:numId w:val="2"/>
              </w:numPr>
              <w:spacing w:after="45"/>
            </w:pPr>
            <w:r>
              <w:rPr>
                <w:sz w:val="15"/>
                <w:szCs w:val="15"/>
              </w:rPr>
              <w:t xml:space="preserve">'Clinical treatment success' is never defined in the paper. The authors concede that varying definitions of treatment success across trials are a likely source of the 56% heterogeneity, which means the primary outcome of the meta-analysis has no single meaning. An OR of 4.12 on an undefined composite is not a transportable effect size</w:t>
            </w:r>
          </w:p>
          <w:p>
            <w:pPr>
              <w:pStyle w:val="ListParagraph"/>
              <w:numPr>
                <w:ilvl w:val="0"/>
                <w:numId w:val="2"/>
              </w:numPr>
              <w:spacing w:after="45"/>
            </w:pPr>
            <w:r>
              <w:rPr>
                <w:sz w:val="15"/>
                <w:szCs w:val="15"/>
              </w:rPr>
              <w:t xml:space="preserve">Trials span 1998-2023, a 25-year window across which imaging guidance, catheter technology (8F to 14F), antibiotic regimens and the threshold for intervention all changed. No meta-regression by year, catheter size or needle gauge is performed, although Table 1 records all of them</w:t>
            </w:r>
          </w:p>
          <w:p>
            <w:pPr>
              <w:pStyle w:val="ListParagraph"/>
              <w:numPr>
                <w:ilvl w:val="0"/>
                <w:numId w:val="2"/>
              </w:numPr>
              <w:spacing w:after="45"/>
            </w:pPr>
            <w:r>
              <w:rPr>
                <w:sz w:val="15"/>
                <w:szCs w:val="15"/>
              </w:rPr>
              <w:t xml:space="preserve">The largest trial contributes 543 of 1425 patients (38%) and is described in Table 1 as a 'Prospective randomized controlled trial' with 271 versus 272 patients and identical male counts in both arms (241/241) - an improbable exact balance that also appears in several other rows of Table 1 (Surya 44/44, Singh 26/27, Rajagopal 24/24, Kulhari 79/79, Rajak 19/19, Yu 19/19, Zerem 12/12). Perfect or near-perfect sex balance in eight of twelve trials is a pattern that warrants scrutiny of the primary data, and the review performs none</w:t>
            </w:r>
          </w:p>
          <w:p>
            <w:pPr>
              <w:pStyle w:val="ListParagraph"/>
              <w:numPr>
                <w:ilvl w:val="0"/>
                <w:numId w:val="2"/>
              </w:numPr>
              <w:spacing w:after="45"/>
            </w:pPr>
            <w:r>
              <w:rPr>
                <w:sz w:val="15"/>
                <w:szCs w:val="15"/>
              </w:rPr>
              <w:t xml:space="preserve">One included trial (Rajak 1998) enrolled patients aged 2-72 years and another (Singh 2009) aged 3-72, despite an inclusion criterion of age &gt;=18. The eligibility rule was not applied to the included trials</w:t>
            </w:r>
          </w:p>
          <w:p>
            <w:pPr>
              <w:pStyle w:val="ListParagraph"/>
              <w:numPr>
                <w:ilvl w:val="0"/>
                <w:numId w:val="2"/>
              </w:numPr>
              <w:spacing w:after="45"/>
            </w:pPr>
            <w:r>
              <w:rPr>
                <w:sz w:val="15"/>
                <w:szCs w:val="15"/>
              </w:rPr>
              <w:t xml:space="preserve">Risk of bias is described only in prose and in two figures; no trial-level judgements are tabulated, no trial is identified as high risk, and no sensitivity analysis excluding trials at high risk or with unclear allocation concealment was performed, even though the authors state allocation concealment and blinding were frequently unclear</w:t>
            </w:r>
          </w:p>
          <w:p>
            <w:pPr>
              <w:pStyle w:val="ListParagraph"/>
              <w:numPr>
                <w:ilvl w:val="0"/>
                <w:numId w:val="2"/>
              </w:numPr>
              <w:spacing w:after="45"/>
            </w:pPr>
            <w:r>
              <w:rPr>
                <w:sz w:val="15"/>
                <w:szCs w:val="15"/>
              </w:rPr>
              <w:t xml:space="preserve">Needle aspiration protocols differ fundamentally between trials - some single aspiration, some repeated - and the review does not separate them, so part of the apparent PCD advantage may be an artefact of comparing continuous drainage with a single pass in some trials and with repeated passes in others</w:t>
            </w:r>
          </w:p>
          <w:p>
            <w:pPr>
              <w:pStyle w:val="ListParagraph"/>
              <w:numPr>
                <w:ilvl w:val="0"/>
                <w:numId w:val="2"/>
              </w:numPr>
              <w:spacing w:after="45"/>
            </w:pPr>
            <w:r>
              <w:rPr>
                <w:sz w:val="15"/>
                <w:szCs w:val="15"/>
              </w:rPr>
              <w:t xml:space="preserve">No GRADE assessment or certainty rating for either outcome, and no absolute risk difference or number needed to treat, despite an odds ratio of 4.12 being highly baseline-risk dependent</w:t>
            </w:r>
          </w:p>
        </w:tc>
      </w:tr>
    </w:tbl>
    <w:p>
      <w:pPr>
        <w:spacing w:after="0" w:line="276"/>
      </w:pPr>
      <w:r>
        <w:rPr>
          <w:color w:val="5A6069"/>
          <w:sz w:val="14"/>
          <w:szCs w:val="14"/>
        </w:rPr>
        <w:t xml:space="preserve">Funding: No funding statement; the authors declare no conflicts of interest and state the datasets are available on request</w:t>
      </w:r>
    </w:p>
    <w:p>
      <w:pPr>
        <w:keepNext/>
        <w:spacing w:after="50" w:before="260"/>
      </w:pPr>
      <w:r>
        <w:rPr>
          <w:rFonts w:ascii="Cambria" w:cs="Cambria" w:eastAsia="Cambria" w:hAnsi="Cambria"/>
          <w:b/>
          <w:bCs/>
          <w:color w:val="17365D"/>
          <w:sz w:val="20"/>
          <w:szCs w:val="20"/>
        </w:rPr>
        <w:t xml:space="preserve">ACR abdominal CT white paper 2010</w:t>
      </w:r>
      <w:r>
        <w:rPr>
          <w:b/>
          <w:bCs/>
          <w:color w:val="176A87"/>
          <w:sz w:val="15"/>
          <w:szCs w:val="15"/>
        </w:rPr>
        <w:t xml:space="preserve">   Consensus statement</w:t>
      </w:r>
      <w:r>
        <w:rPr>
          <w:color w:val="5A6069"/>
          <w:sz w:val="15"/>
          <w:szCs w:val="15"/>
        </w:rPr>
        <w:t xml:space="preserve">   PMID 20889105</w:t>
      </w:r>
    </w:p>
    <w:p>
      <w:pPr>
        <w:spacing w:after="50" w:line="276"/>
      </w:pPr>
      <w:r>
        <w:rPr>
          <w:color w:val="5A6069"/>
          <w:sz w:val="17"/>
          <w:szCs w:val="17"/>
        </w:rPr>
        <w:t xml:space="preserve">Managing incidental findings on abdominal CT: white paper of the ACR Incidental Findings Committee.</w:t>
      </w:r>
    </w:p>
    <w:p>
      <w:pPr>
        <w:spacing w:after="70"/>
      </w:pPr>
      <w:r>
        <w:rPr>
          <w:b/>
          <w:bCs/>
          <w:color w:val="17365D"/>
          <w:sz w:val="16"/>
          <w:szCs w:val="16"/>
        </w:rPr>
        <w:t xml:space="preserve">Bottom line. </w:t>
      </w:r>
      <w:r>
        <w:rPr>
          <w:sz w:val="16"/>
          <w:szCs w:val="16"/>
        </w:rPr>
        <w:t xml:space="preserve">The founding ACR white paper on abdominal incidental findings, setting out a three-tier liver risk stratification with 0.5 cm, 1.5 cm, 20 HU and 6-month thresholds - it establishes a shared vocabulary and a reproducible decision structure, and it establishes none of its numbers empirically: the committee states its process meets no formal national standard, that cost-effectiveness data are largely lacking, and that academic radiologists may be biased toward imaging overuse such that its own guidance could increase utilisation.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committee states its consensus processes meet ACR policy standards but do not meet any specific formal national standards, and that its product should be termed guidance and recommendations rather than guidelines</w:t>
            </w:r>
          </w:p>
          <w:p>
            <w:pPr>
              <w:pStyle w:val="ListParagraph"/>
              <w:numPr>
                <w:ilvl w:val="0"/>
                <w:numId w:val="2"/>
              </w:numPr>
              <w:spacing w:after="45"/>
            </w:pPr>
            <w:r>
              <w:rPr>
                <w:sz w:val="15"/>
                <w:szCs w:val="15"/>
              </w:rPr>
              <w:t xml:space="preserve">Information about the cost-effectiveness of pursuing incidental findings is stated to be largely lacking, so achieving a consensus of experts supported by available literature is offered as a reasonable interim objective</w:t>
            </w:r>
          </w:p>
          <w:p>
            <w:pPr>
              <w:pStyle w:val="ListParagraph"/>
              <w:numPr>
                <w:ilvl w:val="0"/>
                <w:numId w:val="2"/>
              </w:numPr>
              <w:spacing w:after="45"/>
            </w:pPr>
            <w:r>
              <w:rPr>
                <w:sz w:val="15"/>
                <w:szCs w:val="15"/>
              </w:rPr>
              <w:t xml:space="preserve">For the renal recommendations the committee states plainly that 'no data are yet available to support this approach'; for adrenal masses on low-dose unenhanced CT it states it is not aware of any helpful literature and the recommendations represent consensus based on members' clinical experience</w:t>
            </w:r>
          </w:p>
          <w:p>
            <w:pPr>
              <w:pStyle w:val="ListParagraph"/>
              <w:numPr>
                <w:ilvl w:val="0"/>
                <w:numId w:val="2"/>
              </w:numPr>
              <w:spacing w:after="45"/>
            </w:pPr>
            <w:r>
              <w:rPr>
                <w:sz w:val="15"/>
                <w:szCs w:val="15"/>
              </w:rPr>
              <w:t xml:space="preserve">The committee acknowledges the risk that its own guidance could increase rather than reduce utilisation, and explicitly identifies academic-radiologist bias toward imaging overuse as a reason</w:t>
            </w:r>
          </w:p>
          <w:p>
            <w:pPr>
              <w:pStyle w:val="ListParagraph"/>
              <w:numPr>
                <w:ilvl w:val="0"/>
                <w:numId w:val="2"/>
              </w:numPr>
              <w:spacing w:after="45"/>
            </w:pPr>
            <w:r>
              <w:rPr>
                <w:sz w:val="15"/>
                <w:szCs w:val="15"/>
              </w:rPr>
              <w:t xml:space="preserve">Four organ systems were addressed and others deliberately deferred</w:t>
            </w:r>
          </w:p>
          <w:p>
            <w:pPr>
              <w:pStyle w:val="ListParagraph"/>
              <w:numPr>
                <w:ilvl w:val="0"/>
                <w:numId w:val="2"/>
              </w:numPr>
              <w:spacing w:after="45"/>
            </w:pPr>
            <w:r>
              <w:rPr>
                <w:sz w:val="15"/>
                <w:szCs w:val="15"/>
              </w:rPr>
              <w:t xml:space="preserve">The algorithms are stated to address the most commonly encountered scenarios with exceptions depending on individual presentation, and to be inapplicable in limited life expectancy or severe comorbidity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numerical threshold in the liver algorithm - 0.5 cm, 1.5 cm, 20 HU, 6-month follow-up, 4 cm for FNH-versus-adenoma, age 40 for the low/average risk split - is a consensus number with no derivation, no validation cohort, no sensitivity or specificity, and no citation to a study that tested it. The paper is candid that cost-effectiveness data are lacking, but it does not say that diagnostic-accuracy data for its own cut-points are equally absent</w:t>
            </w:r>
          </w:p>
          <w:p>
            <w:pPr>
              <w:pStyle w:val="ListParagraph"/>
              <w:numPr>
                <w:ilvl w:val="0"/>
                <w:numId w:val="2"/>
              </w:numPr>
              <w:spacing w:after="45"/>
            </w:pPr>
            <w:r>
              <w:rPr>
                <w:sz w:val="15"/>
                <w:szCs w:val="15"/>
              </w:rPr>
              <w:t xml:space="preserve">The 52% background prevalence figure is attributed to a textbook chapter rather than to Karhunen's primary autopsy series, and is presented without its denominator (95 Finnish men aged 35-69 at targeted autopsy). Stripping the source of its population is what converts a pathology observation into a clinical prior, and this white paper is the step at which that happens</w:t>
            </w:r>
          </w:p>
          <w:p>
            <w:pPr>
              <w:pStyle w:val="ListParagraph"/>
              <w:numPr>
                <w:ilvl w:val="0"/>
                <w:numId w:val="2"/>
              </w:numPr>
              <w:spacing w:after="45"/>
            </w:pPr>
            <w:r>
              <w:rPr>
                <w:sz w:val="15"/>
                <w:szCs w:val="15"/>
              </w:rPr>
              <w:t xml:space="preserve">The 36% figure for liver metastases in patients dying with cancer comes from the same single textbook citation and is placed in the same sentence as the 52%, inviting the reader to treat two incommensurable autopsy statistics as a risk comparison</w:t>
            </w:r>
          </w:p>
          <w:p>
            <w:pPr>
              <w:pStyle w:val="ListParagraph"/>
              <w:numPr>
                <w:ilvl w:val="0"/>
                <w:numId w:val="2"/>
              </w:numPr>
              <w:spacing w:after="45"/>
            </w:pPr>
            <w:r>
              <w:rPr>
                <w:sz w:val="15"/>
                <w:szCs w:val="15"/>
              </w:rPr>
              <w:t xml:space="preserve">The three risk tiers were abandoned seven years later in Gore 2017, which merged low and average risk into one category, and the size strata changed from 0.5/1.5 cm to 1/1.5 cm and the follow-up interval from 6 months to 3-6 months. No new evidence is cited in the 2017 revision for any of these changes, which means the 2010 numbers were not evidence-based and neither are their replacements. A pathway citing either document is citing a committee's preference at a point in time</w:t>
            </w:r>
          </w:p>
          <w:p>
            <w:pPr>
              <w:pStyle w:val="ListParagraph"/>
              <w:numPr>
                <w:ilvl w:val="0"/>
                <w:numId w:val="2"/>
              </w:numPr>
              <w:spacing w:after="45"/>
            </w:pPr>
            <w:r>
              <w:rPr>
                <w:sz w:val="15"/>
                <w:szCs w:val="15"/>
              </w:rPr>
              <w:t xml:space="preserve">Age 40 as the boundary between low and average risk is stated without any supporting data, and the 2017 revision retains 40 only as a within-category qualifier - so the same number performs two different structural roles in the two documents</w:t>
            </w:r>
          </w:p>
          <w:p>
            <w:pPr>
              <w:pStyle w:val="ListParagraph"/>
              <w:numPr>
                <w:ilvl w:val="0"/>
                <w:numId w:val="2"/>
              </w:numPr>
              <w:spacing w:after="45"/>
            </w:pPr>
            <w:r>
              <w:rPr>
                <w:sz w:val="15"/>
                <w:szCs w:val="15"/>
              </w:rPr>
              <w:t xml:space="preserve">The biopsy harm figures (morbidity 2.0-4.8%, mortality 0.05%) are an order of magnitude higher for morbidity than the AASLD position paper in this same depot, and are quoted as a range across three references without stating which population or technique produced them</w:t>
            </w:r>
          </w:p>
          <w:p>
            <w:pPr>
              <w:pStyle w:val="ListParagraph"/>
              <w:numPr>
                <w:ilvl w:val="0"/>
                <w:numId w:val="2"/>
              </w:numPr>
              <w:spacing w:after="45"/>
            </w:pPr>
            <w:r>
              <w:rPr>
                <w:sz w:val="15"/>
                <w:szCs w:val="15"/>
              </w:rPr>
              <w:t xml:space="preserve">The committee's own admission of academic overuse bias is the most important sentence in the paper and is never operationalised: no external review by generalists, health economists, primary-care physicians or patients is described, no attempt to calibrate recommendations against measured downstream utilisation, and no plan to audit whether the guidance increased imaging. Having identified the bias, the committee proceeded to write detailed follow-up algorithms anyway</w:t>
            </w:r>
          </w:p>
          <w:p>
            <w:pPr>
              <w:pStyle w:val="ListParagraph"/>
              <w:numPr>
                <w:ilvl w:val="0"/>
                <w:numId w:val="2"/>
              </w:numPr>
              <w:spacing w:after="45"/>
            </w:pPr>
            <w:r>
              <w:rPr>
                <w:sz w:val="15"/>
                <w:szCs w:val="15"/>
              </w:rPr>
              <w:t xml:space="preserve">Participants were recruited from ACR members who were also fellows or members of three radiology societies - a single-discipline panel. Unlike the 2017 liver revision, there is no hepatologist and no surgeon on the liver subcommittee as described in the consensus-process section</w:t>
            </w:r>
          </w:p>
          <w:p>
            <w:pPr>
              <w:pStyle w:val="ListParagraph"/>
              <w:numPr>
                <w:ilvl w:val="0"/>
                <w:numId w:val="2"/>
              </w:numPr>
              <w:spacing w:after="45"/>
            </w:pPr>
            <w:r>
              <w:rPr>
                <w:sz w:val="15"/>
                <w:szCs w:val="15"/>
              </w:rPr>
              <w:t xml:space="preserve">The consensus method is informal and unquantified: iterative circulation and revision with no voting, no Delphi rounds, no agreement thresholds and no record of dissent, except for the reporting-language question where the committee states it could not reach consensus and reports the disagreement openly</w:t>
            </w:r>
          </w:p>
          <w:p>
            <w:pPr>
              <w:pStyle w:val="ListParagraph"/>
              <w:numPr>
                <w:ilvl w:val="0"/>
                <w:numId w:val="2"/>
              </w:numPr>
              <w:spacing w:after="45"/>
            </w:pPr>
            <w:r>
              <w:rPr>
                <w:sz w:val="15"/>
                <w:szCs w:val="15"/>
              </w:rPr>
              <w:t xml:space="preserve">No systematic literature review, no evidence tables, no grading of evidence or strength of recommendation anywhere in the document - the contrast with the GRADE-based EASL guidelines in this depot is total</w:t>
            </w:r>
          </w:p>
          <w:p>
            <w:pPr>
              <w:pStyle w:val="ListParagraph"/>
              <w:numPr>
                <w:ilvl w:val="0"/>
                <w:numId w:val="2"/>
              </w:numPr>
              <w:spacing w:after="45"/>
            </w:pPr>
            <w:r>
              <w:rPr>
                <w:sz w:val="15"/>
                <w:szCs w:val="15"/>
              </w:rPr>
              <w:t xml:space="preserve">The liver flowchart's own footnotes are internally inconsistent with the text: the text defines the three risk tiers with oral contraceptive use under high-risk hepatic risk factors, while footnote 3 adds anabolic steroid use, and footnote 5's benign-features definition permits 'sharp, but irregular margins' while footnote 7's suspicious-features definition lists 'ill-defined margins' - leaving irregular-but-sharp margins to the reader's judgement with no guidance on the distinction</w:t>
            </w:r>
          </w:p>
          <w:p>
            <w:pPr>
              <w:pStyle w:val="ListParagraph"/>
              <w:numPr>
                <w:ilvl w:val="0"/>
                <w:numId w:val="2"/>
              </w:numPr>
              <w:spacing w:after="45"/>
            </w:pPr>
            <w:r>
              <w:rPr>
                <w:sz w:val="15"/>
                <w:szCs w:val="15"/>
              </w:rPr>
              <w:t xml:space="preserve">Disclosures are not reported for the full committee in the available text; the 2017 successor paper shows several liver-subcommittee members with industry relationships</w:t>
            </w:r>
          </w:p>
          <w:p>
            <w:pPr>
              <w:pStyle w:val="ListParagraph"/>
              <w:numPr>
                <w:ilvl w:val="0"/>
                <w:numId w:val="2"/>
              </w:numPr>
              <w:spacing w:after="45"/>
            </w:pPr>
            <w:r>
              <w:rPr>
                <w:sz w:val="15"/>
                <w:szCs w:val="15"/>
              </w:rPr>
              <w:t xml:space="preserve">The 20 HU threshold is given as 'up to about 20 HU' and elsewhere 'more than about 20 HU' - a cut-point qualified by 'about' in a document whose purpose is to standardise, with pseudoenhancement acknowledged as a reason a benign cyst may exceed it and radiologists' discretion invoked to resolve it</w:t>
            </w:r>
          </w:p>
        </w:tc>
      </w:tr>
    </w:tbl>
    <w:p>
      <w:pPr>
        <w:spacing w:after="0" w:line="276"/>
      </w:pPr>
      <w:r>
        <w:rPr>
          <w:color w:val="5A6069"/>
          <w:sz w:val="14"/>
          <w:szCs w:val="14"/>
        </w:rPr>
        <w:t xml:space="preserve">Funding: Not stated. Dr Pickhardt, Dr Berland and Dr Pandharipande disclose industry relationships in the successor 2017 paper; no disclosure block is present in the available text of this document</w:t>
      </w:r>
    </w:p>
    <w:p>
      <w:pPr>
        <w:keepNext/>
        <w:spacing w:after="50" w:before="260"/>
      </w:pPr>
      <w:r>
        <w:rPr>
          <w:rFonts w:ascii="Cambria" w:cs="Cambria" w:eastAsia="Cambria" w:hAnsi="Cambria"/>
          <w:b/>
          <w:bCs/>
          <w:color w:val="17365D"/>
          <w:sz w:val="20"/>
          <w:szCs w:val="20"/>
        </w:rPr>
        <w:t xml:space="preserve">ACR AC liver lesion 2020</w:t>
      </w:r>
      <w:r>
        <w:rPr>
          <w:b/>
          <w:bCs/>
          <w:color w:val="176A87"/>
          <w:sz w:val="15"/>
          <w:szCs w:val="15"/>
        </w:rPr>
        <w:t xml:space="preserve">   Guideline</w:t>
      </w:r>
      <w:r>
        <w:rPr>
          <w:color w:val="5A6069"/>
          <w:sz w:val="15"/>
          <w:szCs w:val="15"/>
        </w:rPr>
        <w:t xml:space="preserve">   PMID 33153555</w:t>
      </w:r>
    </w:p>
    <w:p>
      <w:pPr>
        <w:spacing w:after="50" w:line="276"/>
      </w:pPr>
      <w:r>
        <w:rPr>
          <w:color w:val="5A6069"/>
          <w:sz w:val="17"/>
          <w:szCs w:val="17"/>
        </w:rPr>
        <w:t xml:space="preserve">ACR Appropriateness Criteria liver lesion-initial characterization.</w:t>
      </w:r>
    </w:p>
    <w:p>
      <w:pPr>
        <w:spacing w:after="70"/>
      </w:pPr>
      <w:r>
        <w:rPr>
          <w:b/>
          <w:bCs/>
          <w:color w:val="17365D"/>
          <w:sz w:val="16"/>
          <w:szCs w:val="16"/>
        </w:rPr>
        <w:t xml:space="preserve">Bottom line. </w:t>
      </w:r>
      <w:r>
        <w:rPr>
          <w:sz w:val="16"/>
          <w:szCs w:val="16"/>
        </w:rPr>
        <w:t xml:space="preserve">The ACR Appropriateness Criteria for initial characterisation of a liver lesion, establishing that for an indeterminate lesion over 1 cm contrast-enhanced ultrasound, multiphase CT and contrast-enhanced MRI are equivalent and appropriate first steps regardless of background, that MRI alone is appropriate for a sub-centimetre lesion in a cancer patient, and that biopsy is usually inappropriate in a normal liver - its ratings are panel medians from a RAND/UCLA process whose dispersion and evidence grading are published only on a separate website, its two framing prevalence figures are single-citation numbers from incompatible populations, and the specificity of the modalities it calls equivalent is cited in its own text as ranging from 38% to 82%.</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document states that in instances where evidence is lacking or equivocal, expert opinion may supplement the available evidence to recommend imaging or treatment</w:t>
            </w:r>
          </w:p>
          <w:p>
            <w:pPr>
              <w:pStyle w:val="ListParagraph"/>
              <w:numPr>
                <w:ilvl w:val="0"/>
                <w:numId w:val="2"/>
              </w:numPr>
              <w:spacing w:after="45"/>
            </w:pPr>
            <w:r>
              <w:rPr>
                <w:sz w:val="15"/>
                <w:szCs w:val="15"/>
              </w:rPr>
              <w:t xml:space="preserve">The disclaimer states the criteria are intended to guide rather than dictate, that the complexity and severity of the patient's condition should generally dictate selection, that availability of equipment or personnel may influence selection, and that the ultimate decision must be made by the referring physician and radiologist in light of all circumstances</w:t>
            </w:r>
          </w:p>
          <w:p>
            <w:pPr>
              <w:pStyle w:val="ListParagraph"/>
              <w:numPr>
                <w:ilvl w:val="0"/>
                <w:numId w:val="2"/>
              </w:numPr>
              <w:spacing w:after="45"/>
            </w:pPr>
            <w:r>
              <w:rPr>
                <w:sz w:val="15"/>
                <w:szCs w:val="15"/>
              </w:rPr>
              <w:t xml:space="preserve">For Variant 2 the panel could not agree on ultrasound and states there is insufficient medical literature to conclude whether these patients would benefit, labelling the procedure controversial</w:t>
            </w:r>
          </w:p>
          <w:p>
            <w:pPr>
              <w:pStyle w:val="ListParagraph"/>
              <w:numPr>
                <w:ilvl w:val="0"/>
                <w:numId w:val="2"/>
              </w:numPr>
              <w:spacing w:after="45"/>
            </w:pPr>
            <w:r>
              <w:rPr>
                <w:sz w:val="15"/>
                <w:szCs w:val="15"/>
              </w:rPr>
              <w:t xml:space="preserve">For several procedures in several variants the text states flatly that there is no relevant literature to support use in that clinical scenario - FDG-PET/CT, DOTATATE PET/CT and octreotide SPECT in Variant 1 are each dismissed on that basis</w:t>
            </w:r>
          </w:p>
          <w:p>
            <w:pPr>
              <w:pStyle w:val="ListParagraph"/>
              <w:numPr>
                <w:ilvl w:val="0"/>
                <w:numId w:val="2"/>
              </w:numPr>
              <w:spacing w:after="45"/>
            </w:pPr>
            <w:r>
              <w:rPr>
                <w:sz w:val="15"/>
                <w:szCs w:val="15"/>
              </w:rPr>
              <w:t xml:space="preserve">Evidence tables, the literature search and the strength-of-evidence assessment with final rating-round tabulations are not in the paper and are available only on a separate ACR website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prevalence figures in the Introduction are the familiar denominator problem in its most compressed form. 'At least one lesion seen in up to 15% of patients' is Kaltenbach's hospital ultrasound population counting five pre-specified benign findings of which 80% were focal fatty sparing and simple cysts; 'benign lesions in nearly 30% of patients with primary malignancy' comes from a different population with a different lesion definition. Both are single-citation, single-number claims with no population described, placed in adjacent sentences as if commensurable, in the opening paragraph that frames every rating that follows</w:t>
            </w:r>
          </w:p>
          <w:p>
            <w:pPr>
              <w:pStyle w:val="ListParagraph"/>
              <w:numPr>
                <w:ilvl w:val="0"/>
                <w:numId w:val="2"/>
              </w:numPr>
              <w:spacing w:after="45"/>
            </w:pPr>
            <w:r>
              <w:rPr>
                <w:sz w:val="15"/>
                <w:szCs w:val="15"/>
              </w:rPr>
              <w:t xml:space="preserve">The specificity range cited for contrast-enhanced CT in lesions detected on grayscale ultrasound is 38-82%, and for MRI one cited study gives specificity 43% for an exact diagnosis. A test with specificity that may be below 50% is nonetheless rated Usually Appropriate as an equivalent alternative. The document reports the range and the rating without reconciling them, and a pathway that reads only the rating table never sees the 38%</w:t>
            </w:r>
          </w:p>
          <w:p>
            <w:pPr>
              <w:pStyle w:val="ListParagraph"/>
              <w:numPr>
                <w:ilvl w:val="0"/>
                <w:numId w:val="2"/>
              </w:numPr>
              <w:spacing w:after="45"/>
            </w:pPr>
            <w:r>
              <w:rPr>
                <w:sz w:val="15"/>
                <w:szCs w:val="15"/>
              </w:rPr>
              <w:t xml:space="preserve">Declaring CEUS, multiphase CT and contrast-enhanced MRI 'equivalent alternatives' in Variants 1 and 5 is a strong claim resting on narrative accuracy ranges from different studies in different populations, with no head-to-head data, no pooled estimates and no formal equivalence testing. The ranges actually cited (CECT accuracy 74-95%, definitive diagnosis in 71%) are wide enough to encompass clinically important differences</w:t>
            </w:r>
          </w:p>
          <w:p>
            <w:pPr>
              <w:pStyle w:val="ListParagraph"/>
              <w:numPr>
                <w:ilvl w:val="0"/>
                <w:numId w:val="2"/>
              </w:numPr>
              <w:spacing w:after="45"/>
            </w:pPr>
            <w:r>
              <w:rPr>
                <w:sz w:val="15"/>
                <w:szCs w:val="15"/>
              </w:rPr>
              <w:t xml:space="preserve">The RAND/UCLA method produces a median rating from a panel and the appropriateness category is a function of that median. For Variant 2 the panel's dispersion forced a special 'Disagreement' label with the admission of insufficient literature - which is the honest case. The other seven variants report no dispersion information at all in the paper, so the reader cannot tell which other ratings were near-unanimous and which were marginal. The final rating-round tabulations exist but are on a separate website, not in the publication</w:t>
            </w:r>
          </w:p>
          <w:p>
            <w:pPr>
              <w:pStyle w:val="ListParagraph"/>
              <w:numPr>
                <w:ilvl w:val="0"/>
                <w:numId w:val="2"/>
              </w:numPr>
              <w:spacing w:after="45"/>
            </w:pPr>
            <w:r>
              <w:rPr>
                <w:sz w:val="15"/>
                <w:szCs w:val="15"/>
              </w:rPr>
              <w:t xml:space="preserve">Several procedures are rated Usually Not Appropriate on the explicit basis that 'there is no relevant literature to support the use' - absence of evidence converted into a numerical rating of 1-3. That may be reasonable stewardship but it is not an evidence-based rating, and the document does not distinguish ratings grounded in evidence of no benefit from ratings grounded in no evidence</w:t>
            </w:r>
          </w:p>
          <w:p>
            <w:pPr>
              <w:pStyle w:val="ListParagraph"/>
              <w:numPr>
                <w:ilvl w:val="0"/>
                <w:numId w:val="2"/>
              </w:numPr>
              <w:spacing w:after="45"/>
            </w:pPr>
            <w:r>
              <w:rPr>
                <w:sz w:val="15"/>
                <w:szCs w:val="15"/>
              </w:rPr>
              <w:t xml:space="preserve">The risk categories are redefined relative to the ACR white paper in the same family of documents: low and average risk are merged, and high risk is split into liver disease versus extrahepatic malignancy. The change is stated and justified only as being 'for purposes of increased clarity'. A pathway using both ACR documents therefore has to reconcile two incompatible risk taxonomies from the same organisation</w:t>
            </w:r>
          </w:p>
          <w:p>
            <w:pPr>
              <w:pStyle w:val="ListParagraph"/>
              <w:numPr>
                <w:ilvl w:val="0"/>
                <w:numId w:val="2"/>
              </w:numPr>
              <w:spacing w:after="45"/>
            </w:pPr>
            <w:r>
              <w:rPr>
                <w:sz w:val="15"/>
                <w:szCs w:val="15"/>
              </w:rPr>
              <w:t xml:space="preserve">The 1 cm boundary separating Variants 1-5 from Variants 6-8 is inherited without derivation, and the document offers no accuracy data stratified by size - despite the entire variant structure resting on that cut-point and despite Niekel's meta-analysis showing per-lesion sensitivity for sub-centimetre lesions of 47% for CT and 60% for MRI</w:t>
            </w:r>
          </w:p>
          <w:p>
            <w:pPr>
              <w:pStyle w:val="ListParagraph"/>
              <w:numPr>
                <w:ilvl w:val="0"/>
                <w:numId w:val="2"/>
              </w:numPr>
              <w:spacing w:after="45"/>
            </w:pPr>
            <w:r>
              <w:rPr>
                <w:sz w:val="15"/>
                <w:szCs w:val="15"/>
              </w:rPr>
              <w:t xml:space="preserve">Biopsy drifts from Usually Not Appropriate to May Be Appropriate across variants with no quantified harm or yield anywhere in the document - no complication rate, no diagnostic yield, no seeding risk - so the pathway is given a direction of travel with no magnitudes to weigh</w:t>
            </w:r>
          </w:p>
          <w:p>
            <w:pPr>
              <w:pStyle w:val="ListParagraph"/>
              <w:numPr>
                <w:ilvl w:val="0"/>
                <w:numId w:val="2"/>
              </w:numPr>
              <w:spacing w:after="45"/>
            </w:pPr>
            <w:r>
              <w:rPr>
                <w:sz w:val="15"/>
                <w:szCs w:val="15"/>
              </w:rPr>
              <w:t xml:space="preserve">No GRADE certainty rating is attached to any individual recommendation in the published text, despite GRADE being named in the abstract as one of the methodologies. The strength-of-evidence assessment is on the website; what the reader of the paper gets is an appropriateness category</w:t>
            </w:r>
          </w:p>
          <w:p>
            <w:pPr>
              <w:pStyle w:val="ListParagraph"/>
              <w:numPr>
                <w:ilvl w:val="0"/>
                <w:numId w:val="2"/>
              </w:numPr>
              <w:spacing w:after="45"/>
            </w:pPr>
            <w:r>
              <w:rPr>
                <w:sz w:val="15"/>
                <w:szCs w:val="15"/>
              </w:rPr>
              <w:t xml:space="preserve">The panel is 18 members, predominantly radiologists, with single representatives from the AGA, the American College of Surgeons and the American College of Physicians. No hepatologist appears in the author affiliations as such, no pathologist, no patient representative and no health economist, in a document that ranks relative radiation level and therefore implicitly trades harm against yield</w:t>
            </w:r>
          </w:p>
          <w:p>
            <w:pPr>
              <w:pStyle w:val="ListParagraph"/>
              <w:numPr>
                <w:ilvl w:val="0"/>
                <w:numId w:val="2"/>
              </w:numPr>
              <w:spacing w:after="45"/>
            </w:pPr>
            <w:r>
              <w:rPr>
                <w:sz w:val="15"/>
                <w:szCs w:val="15"/>
              </w:rPr>
              <w:t xml:space="preserve">The relative radiation level scale is given in ordinal pictograms with dose ranges but no attempt to integrate radiation harm with diagnostic benefit; CT with contrast multiphase is 1-10 mSv and is repeatedly rated equivalent to a zero-dose alternative without the equivalence being qualified by that difference</w:t>
            </w:r>
          </w:p>
          <w:p>
            <w:pPr>
              <w:pStyle w:val="ListParagraph"/>
              <w:numPr>
                <w:ilvl w:val="0"/>
                <w:numId w:val="2"/>
              </w:numPr>
              <w:spacing w:after="45"/>
            </w:pPr>
            <w:r>
              <w:rPr>
                <w:sz w:val="15"/>
                <w:szCs w:val="15"/>
              </w:rPr>
              <w:t xml:space="preserve">Panel members declare industry relationships including grants from NIDDK, NCI and nine pharmaceutical companies plus Siemens Healthineers, personal fees from MedPace, ICON and Corcept (Dr Bashir), and advisory board attendance for Perspectum Diagnostics (Dr Horowitz)</w:t>
            </w:r>
          </w:p>
          <w:p>
            <w:pPr>
              <w:pStyle w:val="ListParagraph"/>
              <w:numPr>
                <w:ilvl w:val="0"/>
                <w:numId w:val="2"/>
              </w:numPr>
              <w:spacing w:after="45"/>
            </w:pPr>
            <w:r>
              <w:rPr>
                <w:sz w:val="15"/>
                <w:szCs w:val="15"/>
              </w:rPr>
              <w:t xml:space="preserve">The document is reviewed annually in principle but carries no expiry date in the text, and its evidence base closes before the CEUS LI-RADS validation work and the 2022 IPD meta-analysis that are also in this depot</w:t>
            </w:r>
          </w:p>
        </w:tc>
      </w:tr>
    </w:tbl>
    <w:p>
      <w:pPr>
        <w:spacing w:after="0" w:line="276"/>
      </w:pPr>
      <w:r>
        <w:rPr>
          <w:color w:val="5A6069"/>
          <w:sz w:val="14"/>
          <w:szCs w:val="14"/>
        </w:rPr>
        <w:t xml:space="preserve">Funding: Not stated; an ACR document. Dr Bashir reports grants from NIDDK, NCI, Carmot, Corcept, CymaBay, Diabetes &amp; Endocrinology Consultants, Madrigal, Metacrine, NGM Biopharmaceuticals, Pinnacle Clinical Research, Prosciento and Siemens Healthineers and personal fees from MedPace, ICON and Corcept; Dr Horowitz reports an advisory board event for Perspectum Diagnostics; other authors report no relevant conflict</w:t>
      </w:r>
    </w:p>
    <w:p>
      <w:pPr>
        <w:keepNext/>
        <w:spacing w:after="50" w:before="260"/>
      </w:pPr>
      <w:r>
        <w:rPr>
          <w:rFonts w:ascii="Cambria" w:cs="Cambria" w:eastAsia="Cambria" w:hAnsi="Cambria"/>
          <w:b/>
          <w:bCs/>
          <w:color w:val="17365D"/>
          <w:sz w:val="20"/>
          <w:szCs w:val="20"/>
        </w:rPr>
        <w:t xml:space="preserve">ACR liver white paper 2017</w:t>
      </w:r>
      <w:r>
        <w:rPr>
          <w:b/>
          <w:bCs/>
          <w:color w:val="176A87"/>
          <w:sz w:val="15"/>
          <w:szCs w:val="15"/>
        </w:rPr>
        <w:t xml:space="preserve">   Consensus statement</w:t>
      </w:r>
      <w:r>
        <w:rPr>
          <w:color w:val="5A6069"/>
          <w:sz w:val="15"/>
          <w:szCs w:val="15"/>
        </w:rPr>
        <w:t xml:space="preserve">   PMID 28927870</w:t>
      </w:r>
    </w:p>
    <w:p>
      <w:pPr>
        <w:spacing w:after="50" w:line="276"/>
      </w:pPr>
      <w:r>
        <w:rPr>
          <w:color w:val="5A6069"/>
          <w:sz w:val="17"/>
          <w:szCs w:val="17"/>
        </w:rPr>
        <w:t xml:space="preserve">Management of incidental liver lesions on CT: a white paper of the ACR Incidental Findings Committee.</w:t>
      </w:r>
    </w:p>
    <w:p>
      <w:pPr>
        <w:spacing w:after="70"/>
      </w:pPr>
      <w:r>
        <w:rPr>
          <w:b/>
          <w:bCs/>
          <w:color w:val="17365D"/>
          <w:sz w:val="16"/>
          <w:szCs w:val="16"/>
        </w:rPr>
        <w:t xml:space="preserve">Bottom line. </w:t>
      </w:r>
      <w:r>
        <w:rPr>
          <w:sz w:val="16"/>
          <w:szCs w:val="16"/>
        </w:rPr>
        <w:t xml:space="preserve">The ACR Incidental Findings Committee algorithm for incidental liver lesions on CT, establishing a two-tier risk stratification with 1 cm, 1.5 cm and 20 HU thresholds, no workup for sub-centimetre lesions in low-risk patients or for any lesion with distinctly benign features, and prompt MRI otherwise - it establishes a usable and widely adopted decision structure, and it establishes none of its numbers empirically: the opening '30% of individuals older than 40' rests on a block citation of nineteen incompatible studies, four thresholds changed from the 2010 version with no new evidence, and the committee states its own process meets no formal national standard and should not be read as standard of care.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committee states its consensus processes meet ACR policy standards but do NOT meet any specific formal national standards, that its product is not ACR Practice Guidelines or ACR Appropriateness Criteria policy, and that it should be termed 'guidance' and 'recommendations' rather than 'guidelines'</w:t>
            </w:r>
          </w:p>
          <w:p>
            <w:pPr>
              <w:pStyle w:val="ListParagraph"/>
              <w:numPr>
                <w:ilvl w:val="0"/>
                <w:numId w:val="2"/>
              </w:numPr>
              <w:spacing w:after="45"/>
            </w:pPr>
            <w:r>
              <w:rPr>
                <w:sz w:val="15"/>
                <w:szCs w:val="15"/>
              </w:rPr>
              <w:t xml:space="preserve">The algorithm content 'must be viewed as recommendations and should not be considered as standard of care', and radiologists should feel comfortable deviating from it in circumstances it does not represent</w:t>
            </w:r>
          </w:p>
          <w:p>
            <w:pPr>
              <w:pStyle w:val="ListParagraph"/>
              <w:numPr>
                <w:ilvl w:val="0"/>
                <w:numId w:val="2"/>
              </w:numPr>
              <w:spacing w:after="45"/>
            </w:pPr>
            <w:r>
              <w:rPr>
                <w:sz w:val="15"/>
                <w:szCs w:val="15"/>
              </w:rPr>
              <w:t xml:space="preserve">The algorithm addresses most but not all pathologies and clinical scenarios, and was explicitly not designed for hepatic infection or abscess</w:t>
            </w:r>
          </w:p>
          <w:p>
            <w:pPr>
              <w:pStyle w:val="ListParagraph"/>
              <w:numPr>
                <w:ilvl w:val="0"/>
                <w:numId w:val="2"/>
              </w:numPr>
              <w:spacing w:after="45"/>
            </w:pPr>
            <w:r>
              <w:rPr>
                <w:sz w:val="15"/>
                <w:szCs w:val="15"/>
              </w:rPr>
              <w:t xml:space="preserve">Recommendations draw from published evidence and expert opinion and were finalised by informal iterative consensus</w:t>
            </w:r>
          </w:p>
          <w:p>
            <w:pPr>
              <w:pStyle w:val="ListParagraph"/>
              <w:numPr>
                <w:ilvl w:val="0"/>
                <w:numId w:val="2"/>
              </w:numPr>
              <w:spacing w:after="45"/>
            </w:pPr>
            <w:r>
              <w:rPr>
                <w:sz w:val="15"/>
                <w:szCs w:val="15"/>
              </w:rPr>
              <w:t xml:space="preserve">Growth was deliberately not incorporated because thresholds vary by risk category and imaging features</w:t>
            </w:r>
          </w:p>
          <w:p>
            <w:pPr>
              <w:pStyle w:val="ListParagraph"/>
              <w:numPr>
                <w:ilvl w:val="0"/>
                <w:numId w:val="2"/>
              </w:numPr>
              <w:spacing w:after="45"/>
            </w:pPr>
            <w:r>
              <w:rPr>
                <w:sz w:val="15"/>
                <w:szCs w:val="15"/>
              </w:rPr>
              <w:t xml:space="preserve">The committee notes that overdiagnosis of benign or indolent lesions places patients at risk for dangerous and expensive follow-up care, and that benign incidental lesions are common even in patients with malignancy or cirrhosis, making management difficult in the absence of guidance</w:t>
            </w:r>
          </w:p>
          <w:p>
            <w:pPr>
              <w:pStyle w:val="ListParagraph"/>
              <w:numPr>
                <w:ilvl w:val="0"/>
                <w:numId w:val="2"/>
              </w:numPr>
              <w:spacing w:after="45"/>
            </w:pPr>
            <w:r>
              <w:rPr>
                <w:sz w:val="15"/>
                <w:szCs w:val="15"/>
              </w:rPr>
              <w:t xml:space="preserve">Detection and characterisation of small liver lesions is acknowledged to be challenging when aggressive dose-reduction techniques have been used</w:t>
            </w:r>
          </w:p>
          <w:p>
            <w:pPr>
              <w:pStyle w:val="ListParagraph"/>
              <w:numPr>
                <w:ilvl w:val="0"/>
                <w:numId w:val="2"/>
              </w:numPr>
              <w:spacing w:after="45"/>
            </w:pPr>
            <w:r>
              <w:rPr>
                <w:sz w:val="15"/>
                <w:szCs w:val="15"/>
              </w:rPr>
              <w:t xml:space="preserve">Low density is noted not to be definitive for a simple cyst in certain cancer patients, since metastases from ovarian cancer and GIST can be cystic</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'30% of individuals older than 40' figure that opens the paper is supported by a block citation of nineteen references with no indication of which contributes what. Those nineteen include an ultrasound series of 45,319 German hospital patients, a cancer-surveillance CT series, CT colonography screening cohorts, lumbar spine MRI series, emergency abdominal CT reviews and a renal-colic series - populations with incompatible denominators and incompatible lesion definitions. There is no pooled estimate behind the 30%; it is a round number standing in for a literature that ranges from under 4% to 52% depending on what was counted and how hard anyone looked. This is the single most consequential unsourced figure a pathway inherits from this document</w:t>
            </w:r>
          </w:p>
          <w:p>
            <w:pPr>
              <w:pStyle w:val="ListParagraph"/>
              <w:numPr>
                <w:ilvl w:val="0"/>
                <w:numId w:val="2"/>
              </w:numPr>
              <w:spacing w:after="45"/>
            </w:pPr>
            <w:r>
              <w:rPr>
                <w:sz w:val="15"/>
                <w:szCs w:val="15"/>
              </w:rPr>
              <w:t xml:space="preserve">Every threshold is a consensus number with no derivation and no validation: 1 cm, 1.5 cm, 3 cm, 20 HU, 3-6 months, 1 year of stability. No sensitivity, specificity, negative predictive value or decision-analytic justification is offered for any of them, and no cohort is cited in which any threshold was tested</w:t>
            </w:r>
          </w:p>
          <w:p>
            <w:pPr>
              <w:pStyle w:val="ListParagraph"/>
              <w:numPr>
                <w:ilvl w:val="0"/>
                <w:numId w:val="2"/>
              </w:numPr>
              <w:spacing w:after="45"/>
            </w:pPr>
            <w:r>
              <w:rPr>
                <w:sz w:val="15"/>
                <w:szCs w:val="15"/>
              </w:rPr>
              <w:t xml:space="preserve">The thresholds changed from the 2010 white paper without new evidence and without acknowledgement of the change. The three risk tiers became two, the small-lesion stratum moved from 0.5 cm to 1 cm, the follow-up interval moved from 6 months to 3-6 months, and the FNH-versus-adenoma concern moved from 4 cm to 3 cm. Four numbers in the same algorithm shifted in seven years with no cited justification, which is direct evidence that they are conventions rather than findings - and the Liver Subcommittee was chaired by the same radiologist on both occasions</w:t>
            </w:r>
          </w:p>
          <w:p>
            <w:pPr>
              <w:pStyle w:val="ListParagraph"/>
              <w:numPr>
                <w:ilvl w:val="0"/>
                <w:numId w:val="2"/>
              </w:numPr>
              <w:spacing w:after="45"/>
            </w:pPr>
            <w:r>
              <w:rPr>
                <w:sz w:val="15"/>
                <w:szCs w:val="15"/>
              </w:rPr>
              <w:t xml:space="preserve">'Benign features' and 'suspicious features' are defined by lists of qualitative descriptors with no interobserver agreement data anywhere. Sharp versus ill-defined margin, homogeneous versus heterogeneous density, thick versus thin septa, and the judgement of whether pseudoenhancement is present are all reader calls on which the entire algorithm pivots, and the document reports no reproducibility for any of them</w:t>
            </w:r>
          </w:p>
          <w:p>
            <w:pPr>
              <w:pStyle w:val="ListParagraph"/>
              <w:numPr>
                <w:ilvl w:val="0"/>
                <w:numId w:val="2"/>
              </w:numPr>
              <w:spacing w:after="45"/>
            </w:pPr>
            <w:r>
              <w:rPr>
                <w:sz w:val="15"/>
                <w:szCs w:val="15"/>
              </w:rPr>
              <w:t xml:space="preserve">The 20 HU rule is self-undermining: a benign cyst may exceed it when pseudoenhancement is present, so 'radiologists' discretion is necessary', and the document separately notes that in lesions under 1 cm an accurate density measurement may not be attainable. The threshold is therefore unreliable precisely in the small lesions that make up most of the caseload</w:t>
            </w:r>
          </w:p>
          <w:p>
            <w:pPr>
              <w:pStyle w:val="ListParagraph"/>
              <w:numPr>
                <w:ilvl w:val="0"/>
                <w:numId w:val="2"/>
              </w:numPr>
              <w:spacing w:after="45"/>
            </w:pPr>
            <w:r>
              <w:rPr>
                <w:sz w:val="15"/>
                <w:szCs w:val="15"/>
              </w:rPr>
              <w:t xml:space="preserve">Biopsy morbidity is given as 'about 0.5%', an order of magnitude lower than the 2.0-4.8% in the committee's own 2010 white paper, with no explanation for the revision and the same kind of three-reference citation. A pathway reading the 2017 document gets a biopsy risk roughly eight times lower than from the 2010 one</w:t>
            </w:r>
          </w:p>
          <w:p>
            <w:pPr>
              <w:pStyle w:val="ListParagraph"/>
              <w:numPr>
                <w:ilvl w:val="0"/>
                <w:numId w:val="2"/>
              </w:numPr>
              <w:spacing w:after="45"/>
            </w:pPr>
            <w:r>
              <w:rPr>
                <w:sz w:val="15"/>
                <w:szCs w:val="15"/>
              </w:rPr>
              <w:t xml:space="preserve">Risk categorisation collapses enormously different hazards into one 'high risk' bucket: a patient with treated breast cancer, a patient with compensated hepatitis C cirrhosis and a bodybuilder using anabolic steroids are managed identically although their lesion differential and malignancy prevalence differ by orders of magnitude. The algorithm's output is therefore the same for populations with very different post-test probabilities</w:t>
            </w:r>
          </w:p>
          <w:p>
            <w:pPr>
              <w:pStyle w:val="ListParagraph"/>
              <w:numPr>
                <w:ilvl w:val="0"/>
                <w:numId w:val="2"/>
              </w:numPr>
              <w:spacing w:after="45"/>
            </w:pPr>
            <w:r>
              <w:rPr>
                <w:sz w:val="15"/>
                <w:szCs w:val="15"/>
              </w:rPr>
              <w:t xml:space="preserve">Growth was deliberately excluded from the algorithm, yet the text asserts that absence of growth over a year 'strongly favours' benignity and then concedes in the Lesion Growth Pattern section that both benign and malignant lesions can grow. The most informative single variable is left outside the structured pathway and reinserted as narrative advice</w:t>
            </w:r>
          </w:p>
          <w:p>
            <w:pPr>
              <w:pStyle w:val="ListParagraph"/>
              <w:numPr>
                <w:ilvl w:val="0"/>
                <w:numId w:val="2"/>
              </w:numPr>
              <w:spacing w:after="45"/>
            </w:pPr>
            <w:r>
              <w:rPr>
                <w:sz w:val="15"/>
                <w:szCs w:val="15"/>
              </w:rPr>
              <w:t xml:space="preserve">The algorithm is predicated on knowing the patient's clinical history - the document says it is critical - but offers no guidance for the common situation in which the radiologist does not have it, which is the default in emergency and screening settings that supply much of the 30% figure</w:t>
            </w:r>
          </w:p>
          <w:p>
            <w:pPr>
              <w:pStyle w:val="ListParagraph"/>
              <w:numPr>
                <w:ilvl w:val="0"/>
                <w:numId w:val="2"/>
              </w:numPr>
              <w:spacing w:after="45"/>
            </w:pPr>
            <w:r>
              <w:rPr>
                <w:sz w:val="15"/>
                <w:szCs w:val="15"/>
              </w:rPr>
              <w:t xml:space="preserve">No systematic review, no search strategy, no evidence tables, no grading of evidence or recommendation strength anywhere; the committee is explicit that this is informal iterative consensus and not a guideline, a disclaimer that routinely falls away when the algorithm is reproduced in local pathways</w:t>
            </w:r>
          </w:p>
          <w:p>
            <w:pPr>
              <w:pStyle w:val="ListParagraph"/>
              <w:numPr>
                <w:ilvl w:val="0"/>
                <w:numId w:val="2"/>
              </w:numPr>
              <w:spacing w:after="45"/>
            </w:pPr>
            <w:r>
              <w:rPr>
                <w:sz w:val="15"/>
                <w:szCs w:val="15"/>
              </w:rPr>
              <w:t xml:space="preserve">Panel is six radiologists plus one hepatologist and one hepatobiliary surgeon, with no pathologist, no primary-care physician, no health economist and no patient representative, on a document whose stated purpose includes limiting cost and overdiagnosis. The 2010 predecessor's striking admission that academic radiologists may be biased toward imaging overuse is not repeated here</w:t>
            </w:r>
          </w:p>
          <w:p>
            <w:pPr>
              <w:pStyle w:val="ListParagraph"/>
              <w:numPr>
                <w:ilvl w:val="0"/>
                <w:numId w:val="2"/>
              </w:numPr>
              <w:spacing w:after="45"/>
            </w:pPr>
            <w:r>
              <w:rPr>
                <w:sz w:val="15"/>
                <w:szCs w:val="15"/>
              </w:rPr>
              <w:t xml:space="preserve">Three of nine authors declare industry relationships, including a cofounder of a CT colonography company with personal fees from a contrast manufacturer, in a document recommending MRI over CT and specifying contrast-agent choice</w:t>
            </w:r>
          </w:p>
          <w:p>
            <w:pPr>
              <w:pStyle w:val="ListParagraph"/>
              <w:numPr>
                <w:ilvl w:val="0"/>
                <w:numId w:val="2"/>
              </w:numPr>
              <w:spacing w:after="45"/>
            </w:pPr>
            <w:r>
              <w:rPr>
                <w:sz w:val="15"/>
                <w:szCs w:val="15"/>
              </w:rPr>
              <w:t xml:space="preserve">The recommendation to eliminate the unenhanced CT phase 'whenever possible' sits uneasily with the algorithm's own dependence on noncontrast attenuation thresholds (&lt;=20 HU on noncontrast and/or portal venous phase) for establishing benignity</w:t>
            </w:r>
          </w:p>
          <w:p>
            <w:pPr>
              <w:pStyle w:val="ListParagraph"/>
              <w:numPr>
                <w:ilvl w:val="0"/>
                <w:numId w:val="2"/>
              </w:numPr>
              <w:spacing w:after="45"/>
            </w:pPr>
            <w:r>
              <w:rPr>
                <w:sz w:val="15"/>
                <w:szCs w:val="15"/>
              </w:rPr>
              <w:t xml:space="preserve">No expiry date, no update interval and no mechanism for revision stated, in a document that is itself a seven-year revision of its predecessor</w:t>
            </w:r>
          </w:p>
        </w:tc>
      </w:tr>
    </w:tbl>
    <w:p>
      <w:pPr>
        <w:spacing w:after="0" w:line="276"/>
      </w:pPr>
      <w:r>
        <w:rPr>
          <w:color w:val="5A6069"/>
          <w:sz w:val="14"/>
          <w:szCs w:val="14"/>
        </w:rPr>
        <w:t xml:space="preserve">Funding: Not stated. Dr Pickhardt is a cofounder of VirtuoCTC, has received personal fees from Check-Cap and Bracco, and holds shares in Cellectar, Elucent and SHINE; Dr Berland has received personal fees from Nuance Communications; Dr Pandharipande has received a research grant from the Medical Imaging and Technology Alliance. Endorsed by the Society of Abdominal Radiology and the Society of Computed Body Tomography and Magnetic Resonance</w:t>
      </w:r>
    </w:p>
    <w:p>
      <w:pPr>
        <w:keepNext/>
        <w:spacing w:after="50" w:before="260"/>
      </w:pPr>
      <w:r>
        <w:rPr>
          <w:rFonts w:ascii="Cambria" w:cs="Cambria" w:eastAsia="Cambria" w:hAnsi="Cambria"/>
          <w:b/>
          <w:bCs/>
          <w:color w:val="17365D"/>
          <w:sz w:val="20"/>
          <w:szCs w:val="20"/>
        </w:rPr>
        <w:t xml:space="preserve">Biliary cystadenoma series</w:t>
      </w:r>
      <w:r>
        <w:rPr>
          <w:b/>
          <w:bCs/>
          <w:color w:val="176A87"/>
          <w:sz w:val="15"/>
          <w:szCs w:val="15"/>
        </w:rPr>
        <w:t xml:space="preserve">   Case series</w:t>
      </w:r>
      <w:r>
        <w:rPr>
          <w:color w:val="5A6069"/>
          <w:sz w:val="15"/>
          <w:szCs w:val="15"/>
        </w:rPr>
        <w:t xml:space="preserve">   PMID 29121977</w:t>
      </w:r>
    </w:p>
    <w:p>
      <w:pPr>
        <w:spacing w:after="50" w:line="276"/>
      </w:pPr>
      <w:r>
        <w:rPr>
          <w:color w:val="5A6069"/>
          <w:sz w:val="17"/>
          <w:szCs w:val="17"/>
        </w:rPr>
        <w:t xml:space="preserve">Intrahepatic biliary cystadenoma mimicking hydatid cyst of liver: a clinicopathologic study of six cases.</w:t>
      </w:r>
    </w:p>
    <w:p>
      <w:pPr>
        <w:spacing w:after="50"/>
      </w:pPr>
      <w:r>
        <w:rPr>
          <w:b/>
          <w:bCs/>
          <w:color w:val="176A87"/>
          <w:sz w:val="16"/>
          <w:szCs w:val="16"/>
        </w:rPr>
        <w:t xml:space="preserve">Population. </w:t>
      </w:r>
      <w:r>
        <w:rPr>
          <w:sz w:val="16"/>
          <w:szCs w:val="16"/>
        </w:rPr>
        <w:t xml:space="preserve">6 patients (5 women, 1 man), ages 28-60 years, mean 45 and median 43</w:t>
      </w:r>
    </w:p>
    <w:p>
      <w:pPr>
        <w:spacing w:after="70"/>
      </w:pPr>
      <w:r>
        <w:rPr>
          <w:b/>
          <w:bCs/>
          <w:color w:val="17365D"/>
          <w:sz w:val="16"/>
          <w:szCs w:val="16"/>
        </w:rPr>
        <w:t xml:space="preserve">Bottom line. </w:t>
      </w:r>
      <w:r>
        <w:rPr>
          <w:sz w:val="16"/>
          <w:szCs w:val="16"/>
        </w:rPr>
        <w:t xml:space="preserve">Six resected intrahepatic biliary cystadenomas from one Karachi hospital over seven years, all mistaken preoperatively for simple or hydatid cysts, with recurrence in three of the five patients followed - it establishes that a mucinous cystic neoplasm can be indistinguishable from hydatid disease on clinical and radiological grounds and that incomplete excision is followed by recurrence, and it establishes no prevalence, no diagnostic accuracy for the septation sign, and no evidence for the 20% malignant transformation figure it cites to justify radical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w:t>
            </w:r>
          </w:p>
          <w:p>
            <w:pPr>
              <w:pStyle w:val="ListParagraph"/>
              <w:numPr>
                <w:ilvl w:val="0"/>
                <w:numId w:val="2"/>
              </w:numPr>
              <w:spacing w:after="45"/>
            </w:pPr>
            <w:r>
              <w:rPr>
                <w:sz w:val="15"/>
                <w:szCs w:val="15"/>
              </w:rPr>
              <w:t xml:space="preserve">The authors concede there is currently no specific diagnostic method for preoperative diagnosis and that the preoperative diagnostic rate remains quite low even with enhanced CT</w:t>
            </w:r>
          </w:p>
          <w:p>
            <w:pPr>
              <w:pStyle w:val="ListParagraph"/>
              <w:numPr>
                <w:ilvl w:val="0"/>
                <w:numId w:val="2"/>
              </w:numPr>
              <w:spacing w:after="45"/>
            </w:pPr>
            <w:r>
              <w:rPr>
                <w:sz w:val="15"/>
                <w:szCs w:val="15"/>
              </w:rPr>
              <w:t xml:space="preserve">They state that radiological films were not available for correlation in two of the six cases</w:t>
            </w:r>
          </w:p>
          <w:p>
            <w:pPr>
              <w:pStyle w:val="ListParagraph"/>
              <w:numPr>
                <w:ilvl w:val="0"/>
                <w:numId w:val="2"/>
              </w:numPr>
              <w:spacing w:after="45"/>
            </w:pPr>
            <w:r>
              <w:rPr>
                <w:sz w:val="15"/>
                <w:szCs w:val="15"/>
              </w:rPr>
              <w:t xml:space="preserve">They acknowledge that surgical expertise for liver resection is very limited in their setting and that the high recurrence rate in their series reflects incomplete excision from both incorrect preoperative diagnosis and lack of liver surgical expertise</w:t>
            </w:r>
          </w:p>
          <w:p>
            <w:pPr>
              <w:pStyle w:val="ListParagraph"/>
              <w:numPr>
                <w:ilvl w:val="0"/>
                <w:numId w:val="2"/>
              </w:numPr>
              <w:spacing w:after="45"/>
            </w:pPr>
            <w:r>
              <w:rPr>
                <w:sz w:val="15"/>
                <w:szCs w:val="15"/>
              </w:rPr>
              <w:t xml:space="preserve">They note the WHO has renamed these lesions mucinous cystic neoplasms but that the terminology and epithelial phenotype remain controversial, and that tumours without ovarian stroma in males may belong to a different entity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Six cases from one hospital's pathology files over seven years. There is no denominator of any kind: not the number of liver cysts resected, not the number of hydatid cysts operated, not the number of cystic lesions imaged. The series can therefore say nothing about how often a cystic liver lesion is a cystadenoma, which is the only question a pathway asks. The recurrence 'rate' of 3/6 or 3/5 is a proportion of a convenience sample of six</w:t>
            </w:r>
          </w:p>
          <w:p>
            <w:pPr>
              <w:pStyle w:val="ListParagraph"/>
              <w:numPr>
                <w:ilvl w:val="0"/>
                <w:numId w:val="2"/>
              </w:numPr>
              <w:spacing w:after="45"/>
            </w:pPr>
            <w:r>
              <w:rPr>
                <w:sz w:val="15"/>
                <w:szCs w:val="15"/>
              </w:rPr>
              <w:t xml:space="preserve">Case selection is on the outcome: these are the cases a pathologist labelled cystadenoma. Cystadenomas misread as hydatid or simple cyst at pathology, or never sent for pathology because they were aspirated and deflated, are invisible to this design - which is precisely the failure mode the paper is about</w:t>
            </w:r>
          </w:p>
          <w:p>
            <w:pPr>
              <w:pStyle w:val="ListParagraph"/>
              <w:numPr>
                <w:ilvl w:val="0"/>
                <w:numId w:val="2"/>
              </w:numPr>
              <w:spacing w:after="45"/>
            </w:pPr>
            <w:r>
              <w:rPr>
                <w:sz w:val="15"/>
                <w:szCs w:val="15"/>
              </w:rPr>
              <w:t xml:space="preserve">The central diagnostic recommendation - that internal septations on preoperative CT are highly suggestive - is contradicted by the paper's own figure legend for case 3, which states the lesion had no internal septations and that this favoured cystadenoma. The feature is simultaneously offered as the diagnostic clue and, in one of the four cases with imaging, recorded as absent. No sensitivity, specificity or interobserver data exist for it in this paper or in the single reference cited</w:t>
            </w:r>
          </w:p>
          <w:p>
            <w:pPr>
              <w:pStyle w:val="ListParagraph"/>
              <w:numPr>
                <w:ilvl w:val="0"/>
                <w:numId w:val="2"/>
              </w:numPr>
              <w:spacing w:after="45"/>
            </w:pPr>
            <w:r>
              <w:rPr>
                <w:sz w:val="15"/>
                <w:szCs w:val="15"/>
              </w:rPr>
              <w:t xml:space="preserve">Recurrence ascertainment is incomplete and the two statements of it differ: the abstract says three cases recurred, the discussion says three of the five with follow-up. Two patients were lost to follow-up, one of them after a recurrence was already documented and surgery scheduled, so the true recurrence proportion is unknown and could be as high as 5/6</w:t>
            </w:r>
          </w:p>
          <w:p>
            <w:pPr>
              <w:pStyle w:val="ListParagraph"/>
              <w:numPr>
                <w:ilvl w:val="0"/>
                <w:numId w:val="2"/>
              </w:numPr>
              <w:spacing w:after="45"/>
            </w:pPr>
            <w:r>
              <w:rPr>
                <w:sz w:val="15"/>
                <w:szCs w:val="15"/>
              </w:rPr>
              <w:t xml:space="preserve">Follow-up is non-systematic - 'medical records, hospital discharge summaries, and by telephone inquiry' - with no defined interval, no imaging protocol and no minimum duration. Case 4's recurrence was detected at a few months and case 2's at nearly 5 years, so the detection of recurrence depends entirely on whether and when someone rescanned</w:t>
            </w:r>
          </w:p>
          <w:p>
            <w:pPr>
              <w:pStyle w:val="ListParagraph"/>
              <w:numPr>
                <w:ilvl w:val="0"/>
                <w:numId w:val="2"/>
              </w:numPr>
              <w:spacing w:after="45"/>
            </w:pPr>
            <w:r>
              <w:rPr>
                <w:sz w:val="15"/>
                <w:szCs w:val="15"/>
              </w:rPr>
              <w:t xml:space="preserve">The 20% malignant transformation figure after incomplete excision - the number that drives the paper's call for aggressive radical resection - is quoted from one reference with no denominator, no study design and no confidence interval, and no malignancy or even dysplasia was observed in any of the six cases here. The series provides no evidence for the risk it invokes to justify its recommendation</w:t>
            </w:r>
          </w:p>
          <w:p>
            <w:pPr>
              <w:pStyle w:val="ListParagraph"/>
              <w:numPr>
                <w:ilvl w:val="0"/>
                <w:numId w:val="2"/>
              </w:numPr>
              <w:spacing w:after="45"/>
            </w:pPr>
            <w:r>
              <w:rPr>
                <w:sz w:val="15"/>
                <w:szCs w:val="15"/>
              </w:rPr>
              <w:t xml:space="preserve">Margin status, the variable on which the entire recurrence argument turns, could not be assessed in at least three of six cases because specimens arrived in pieces and all arrived opened. The claim that recurrence is due to incomplete excision is therefore inferred rather than demonstrated</w:t>
            </w:r>
          </w:p>
          <w:p>
            <w:pPr>
              <w:pStyle w:val="ListParagraph"/>
              <w:numPr>
                <w:ilvl w:val="0"/>
                <w:numId w:val="2"/>
              </w:numPr>
              <w:spacing w:after="45"/>
            </w:pPr>
            <w:r>
              <w:rPr>
                <w:sz w:val="15"/>
                <w:szCs w:val="15"/>
              </w:rPr>
              <w:t xml:space="preserve">The two pathologists who reviewed the slides are two of the authors and are not independent of the original reports; no second-opinion review, no blinding and no interobserver agreement</w:t>
            </w:r>
          </w:p>
          <w:p>
            <w:pPr>
              <w:pStyle w:val="ListParagraph"/>
              <w:numPr>
                <w:ilvl w:val="0"/>
                <w:numId w:val="2"/>
              </w:numPr>
              <w:spacing w:after="45"/>
            </w:pPr>
            <w:r>
              <w:rPr>
                <w:sz w:val="15"/>
                <w:szCs w:val="15"/>
              </w:rPr>
              <w:t xml:space="preserve">The series is from a hydatid-endemic, resource-limited setting with acknowledged scarcity of hepatobiliary surgical expertise. Its recurrence rate is a function of local surgical capability as much as of tumour biology, which the authors state plainly - so the recommendation for 'an aggressive surgical approach' is being drawn from a series whose poor outcomes the authors attribute to surgical inexperience</w:t>
            </w:r>
          </w:p>
          <w:p>
            <w:pPr>
              <w:pStyle w:val="ListParagraph"/>
              <w:numPr>
                <w:ilvl w:val="0"/>
                <w:numId w:val="2"/>
              </w:numPr>
              <w:spacing w:after="45"/>
            </w:pPr>
            <w:r>
              <w:rPr>
                <w:sz w:val="15"/>
                <w:szCs w:val="15"/>
              </w:rPr>
              <w:t xml:space="preserve">Ethics approval was waived on the stated ground that the study 'did not involve actual patients, patients' images, or videos', which is inaccurate for a paper containing six patients' CT images and clinical narratives</w:t>
            </w:r>
          </w:p>
          <w:p>
            <w:pPr>
              <w:pStyle w:val="ListParagraph"/>
              <w:numPr>
                <w:ilvl w:val="0"/>
                <w:numId w:val="2"/>
              </w:numPr>
              <w:spacing w:after="45"/>
            </w:pPr>
            <w:r>
              <w:rPr>
                <w:sz w:val="15"/>
                <w:szCs w:val="15"/>
              </w:rPr>
              <w:t xml:space="preserve">The single male case lacked ovarian-type stroma, the defining feature, and had fibrinopurulent exudate - raising the possibility it was a different entity altogether. The authors discuss this classification problem and still count the case in the series of six</w:t>
            </w:r>
          </w:p>
          <w:p>
            <w:pPr>
              <w:pStyle w:val="ListParagraph"/>
              <w:numPr>
                <w:ilvl w:val="0"/>
                <w:numId w:val="2"/>
              </w:numPr>
              <w:spacing w:after="45"/>
            </w:pPr>
            <w:r>
              <w:rPr>
                <w:sz w:val="15"/>
                <w:szCs w:val="15"/>
              </w:rPr>
              <w:t xml:space="preserve">No treatment comparison of any kind: enucleation, segmental resection and radical resection are all discussed with citations but the six cases provide no basis to prefer one</w:t>
            </w:r>
          </w:p>
        </w:tc>
      </w:tr>
    </w:tbl>
    <w:p>
      <w:pPr>
        <w:spacing w:after="0" w:line="276"/>
      </w:pPr>
      <w:r>
        <w:rPr>
          <w:color w:val="5A6069"/>
          <w:sz w:val="14"/>
          <w:szCs w:val="14"/>
        </w:rPr>
        <w:t xml:space="preserve">Funding: No financial support was provided for this study; authors declare no competing interests</w:t>
      </w:r>
    </w:p>
    <w:p>
      <w:pPr>
        <w:keepNext/>
        <w:spacing w:after="50" w:before="260"/>
      </w:pPr>
      <w:r>
        <w:rPr>
          <w:rFonts w:ascii="Cambria" w:cs="Cambria" w:eastAsia="Cambria" w:hAnsi="Cambria"/>
          <w:b/>
          <w:bCs/>
          <w:color w:val="17365D"/>
          <w:sz w:val="20"/>
          <w:szCs w:val="20"/>
        </w:rPr>
        <w:t xml:space="preserve">CEUS LI-RADS meta</w:t>
      </w:r>
      <w:r>
        <w:rPr>
          <w:b/>
          <w:bCs/>
          <w:color w:val="176A87"/>
          <w:sz w:val="15"/>
          <w:szCs w:val="15"/>
        </w:rPr>
        <w:t xml:space="preserve">   Meta-analysis</w:t>
      </w:r>
      <w:r>
        <w:rPr>
          <w:color w:val="5A6069"/>
          <w:sz w:val="15"/>
          <w:szCs w:val="15"/>
        </w:rPr>
        <w:t xml:space="preserve">   PMID 35164930</w:t>
      </w:r>
    </w:p>
    <w:p>
      <w:pPr>
        <w:spacing w:after="50" w:line="276"/>
      </w:pPr>
      <w:r>
        <w:rPr>
          <w:color w:val="5A6069"/>
          <w:sz w:val="17"/>
          <w:szCs w:val="17"/>
        </w:rPr>
        <w:t xml:space="preserve">Risk stratification for hepatocellular carcinoma of contrast-enhanced ultrasound Liver Imaging Reporting and Data System (LI-RADS) and the diagnostic performance of LR-5 and LR-M: a systematic review and meta-analysis.</w:t>
      </w:r>
    </w:p>
    <w:p>
      <w:pPr>
        <w:spacing w:after="50"/>
      </w:pPr>
      <w:r>
        <w:rPr>
          <w:b/>
          <w:bCs/>
          <w:color w:val="176A87"/>
          <w:sz w:val="16"/>
          <w:szCs w:val="16"/>
        </w:rPr>
        <w:t xml:space="preserve">Population. </w:t>
      </w:r>
      <w:r>
        <w:rPr>
          <w:sz w:val="16"/>
          <w:szCs w:val="16"/>
        </w:rPr>
        <w:t xml:space="preserve">10 included studies (1 prospective, 9 retrospective), 5543 patients with 6124 lesions including 4492 HCCs, 476 non-HCC malignancies and 1156 benign lesions</w:t>
      </w:r>
    </w:p>
    <w:p>
      <w:pPr>
        <w:spacing w:after="70"/>
      </w:pPr>
      <w:r>
        <w:rPr>
          <w:b/>
          <w:bCs/>
          <w:color w:val="17365D"/>
          <w:sz w:val="16"/>
          <w:szCs w:val="16"/>
        </w:rPr>
        <w:t xml:space="preserve">Bottom line. </w:t>
      </w:r>
      <w:r>
        <w:rPr>
          <w:sz w:val="16"/>
          <w:szCs w:val="16"/>
        </w:rPr>
        <w:t xml:space="preserve">Pooling 6124 lesions from 10 mostly retrospective, mostly Asian CEUS studies in high-risk patients, the HCC proportion rises from 2% at LR-2 to 97% at LR-5 with LR-3 only about 21% and LR-M 44% HCC - it establishes that CEUS LR-3 carries a lower HCC risk than the figure on which current management guidance was built, and it does not establish a stable estimate for any category, given I-squared values of 83-98%, near-total dependence on two Chinese HBV cohorts, and an unreconciled region effect.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 the paper has no section acknowledging its own limitations, and the discussion closes with the conclusion restated</w:t>
            </w:r>
          </w:p>
          <w:p>
            <w:pPr>
              <w:pStyle w:val="ListParagraph"/>
              <w:numPr>
                <w:ilvl w:val="0"/>
                <w:numId w:val="2"/>
              </w:numPr>
              <w:spacing w:after="45"/>
            </w:pPr>
            <w:r>
              <w:rPr>
                <w:sz w:val="15"/>
                <w:szCs w:val="15"/>
              </w:rPr>
              <w:t xml:space="preserve">The authors do note that reasons for the lower LR-3 HCC risk in Asian populations 'requires further study to confirm', speculating about hepatitis B as the dominant risk factor</w:t>
            </w:r>
          </w:p>
          <w:p>
            <w:pPr>
              <w:pStyle w:val="ListParagraph"/>
              <w:numPr>
                <w:ilvl w:val="0"/>
                <w:numId w:val="2"/>
              </w:numPr>
              <w:spacing w:after="45"/>
            </w:pPr>
            <w:r>
              <w:rPr>
                <w:sz w:val="15"/>
                <w:szCs w:val="15"/>
              </w:rPr>
              <w:t xml:space="preserve">They note the revision of CEUS LR-M criteria needs more evidence-based studies</w:t>
            </w:r>
          </w:p>
          <w:p>
            <w:pPr>
              <w:pStyle w:val="ListParagraph"/>
              <w:numPr>
                <w:ilvl w:val="0"/>
                <w:numId w:val="2"/>
              </w:numPr>
              <w:spacing w:after="45"/>
            </w:pPr>
            <w:r>
              <w:rPr>
                <w:sz w:val="15"/>
                <w:szCs w:val="15"/>
              </w:rPr>
              <w:t xml:space="preserve">They note that the significance of LR-M for diagnosing overall malignancy and the key indicators still need further exploration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Ten studies, of which one is prospective and one (Stepan et al.) is a conference abstract published only as a journal supplement page with no patient number, age or sex reported. Two studies - Zheng (2020 observations) and Li (1366 observations) - contribute 55% of all lesions, so the pooled estimates are effectively those two Chinese cohorts</w:t>
            </w:r>
          </w:p>
          <w:p>
            <w:pPr>
              <w:pStyle w:val="ListParagraph"/>
              <w:numPr>
                <w:ilvl w:val="0"/>
                <w:numId w:val="2"/>
              </w:numPr>
              <w:spacing w:after="45"/>
            </w:pPr>
            <w:r>
              <w:rPr>
                <w:sz w:val="15"/>
                <w:szCs w:val="15"/>
              </w:rPr>
              <w:t xml:space="preserve">The denominator is patients at high risk for HCC, overwhelmingly with hepatitis B (the two dominant studies are HBV cohorts). Every proportion is a positive predictive value under that prevalence and cannot be carried into a non-cirrhotic incidental lesion. The paper itself demonstrates the prevalence sensitivity by showing the LR-3 HCC proportion moving from 14% to 33% between Asian and non-Asian populations, then does not draw the obvious inference about transportability</w:t>
            </w:r>
          </w:p>
          <w:p>
            <w:pPr>
              <w:pStyle w:val="ListParagraph"/>
              <w:numPr>
                <w:ilvl w:val="0"/>
                <w:numId w:val="2"/>
              </w:numPr>
              <w:spacing w:after="45"/>
            </w:pPr>
            <w:r>
              <w:rPr>
                <w:sz w:val="15"/>
                <w:szCs w:val="15"/>
              </w:rPr>
              <w:t xml:space="preserve">Heterogeneity is extreme and unaddressed: I-squared 86% for LR-3, 89% for LR-4, 92% for LR-M, and 95-98% for LR-5 sensitivity, specificity and accuracy. Pooling an accuracy estimate with I-squared 98% produces a number with no population referent, and the paper reports it to two decimal places (0.82) and uses it in its conclusion</w:t>
            </w:r>
          </w:p>
          <w:p>
            <w:pPr>
              <w:pStyle w:val="ListParagraph"/>
              <w:numPr>
                <w:ilvl w:val="0"/>
                <w:numId w:val="2"/>
              </w:numPr>
              <w:spacing w:after="45"/>
            </w:pPr>
            <w:r>
              <w:rPr>
                <w:sz w:val="15"/>
                <w:szCs w:val="15"/>
              </w:rPr>
              <w:t xml:space="preserve">Table 3 and the results text disagree on LR-M accuracy (0.91 vs 90%) and badly on LR-M DOR (50.9, 95% CI 19.90-130.43 vs 45.7, 95% CI 22.1-94.5). One of these pairs is wrong and the paper does not say which</w:t>
            </w:r>
          </w:p>
          <w:p>
            <w:pPr>
              <w:pStyle w:val="ListParagraph"/>
              <w:numPr>
                <w:ilvl w:val="0"/>
                <w:numId w:val="2"/>
              </w:numPr>
              <w:spacing w:after="45"/>
            </w:pPr>
            <w:r>
              <w:rPr>
                <w:sz w:val="15"/>
                <w:szCs w:val="15"/>
              </w:rPr>
              <w:t xml:space="preserve">The paper's most actionable claim - that multidisciplinary discussion may be unnecessary for CEUS LR-3 - rests on a point estimate of 21% (95% CI 13-33%) whose upper bound is a one-in-three chance of HCC, and on a meta-regression showing the estimate depends on region and version. A 13-33% interval does not license dropping a safeguard, and the authors offer no decision-analytic basis for the claim</w:t>
            </w:r>
          </w:p>
          <w:p>
            <w:pPr>
              <w:pStyle w:val="ListParagraph"/>
              <w:numPr>
                <w:ilvl w:val="0"/>
                <w:numId w:val="2"/>
              </w:numPr>
              <w:spacing w:after="45"/>
            </w:pPr>
            <w:r>
              <w:rPr>
                <w:sz w:val="15"/>
                <w:szCs w:val="15"/>
              </w:rPr>
              <w:t xml:space="preserve">The v2016-versus-v2017 difference in LR-3 HCC proportion (46% vs 15%) occurs even though the authors state the LR-3 criteria did not change between versions. That is a signal that the difference is confounded by which populations adopted which version, not a version effect - the authors say as much and then still report it as a version comparison</w:t>
            </w:r>
          </w:p>
          <w:p>
            <w:pPr>
              <w:pStyle w:val="ListParagraph"/>
              <w:numPr>
                <w:ilvl w:val="0"/>
                <w:numId w:val="2"/>
              </w:numPr>
              <w:spacing w:after="45"/>
            </w:pPr>
            <w:r>
              <w:rPr>
                <w:sz w:val="15"/>
                <w:szCs w:val="15"/>
              </w:rPr>
              <w:t xml:space="preserve">Averaging data across readers within a study ('if more than one data set was available, the data were averaged') destroys all information about interobserver agreement in a modality where category assignment is known to be only fairly reproducible</w:t>
            </w:r>
          </w:p>
          <w:p>
            <w:pPr>
              <w:pStyle w:val="ListParagraph"/>
              <w:numPr>
                <w:ilvl w:val="0"/>
                <w:numId w:val="2"/>
              </w:numPr>
              <w:spacing w:after="45"/>
            </w:pPr>
            <w:r>
              <w:rPr>
                <w:sz w:val="15"/>
                <w:szCs w:val="15"/>
              </w:rPr>
              <w:t xml:space="preserve">Reference standard is mixed within and across studies, and the meta-regression shows it matters: LR-5 specificity 87% with pathology versus 96% with a composite standard. Composite standards incorporate imaging into the reference, inflating apparent specificity. The pooled 95% specificity therefore sits closer to the inflated end, and the paper presents it as the headline</w:t>
            </w:r>
          </w:p>
          <w:p>
            <w:pPr>
              <w:pStyle w:val="ListParagraph"/>
              <w:numPr>
                <w:ilvl w:val="0"/>
                <w:numId w:val="2"/>
              </w:numPr>
              <w:spacing w:after="45"/>
            </w:pPr>
            <w:r>
              <w:rPr>
                <w:sz w:val="15"/>
                <w:szCs w:val="15"/>
              </w:rPr>
              <w:t xml:space="preserve">Only English-language publications were eligible, in a field where much of the CEUS literature is Chinese-language - an odd restriction given that the authors' own meta-regression identifies region as the dominant source of heterogeneity</w:t>
            </w:r>
          </w:p>
          <w:p>
            <w:pPr>
              <w:pStyle w:val="ListParagraph"/>
              <w:numPr>
                <w:ilvl w:val="0"/>
                <w:numId w:val="2"/>
              </w:numPr>
              <w:spacing w:after="45"/>
            </w:pPr>
            <w:r>
              <w:rPr>
                <w:sz w:val="15"/>
                <w:szCs w:val="15"/>
              </w:rPr>
              <w:t xml:space="preserve">Publication bias was not assessed at all, on the authority of a guidance document; no funnel plot, no Egger test, no discussion of small-study effects in a literature dominated by two large cohorts and eight small ones</w:t>
            </w:r>
          </w:p>
          <w:p>
            <w:pPr>
              <w:pStyle w:val="ListParagraph"/>
              <w:numPr>
                <w:ilvl w:val="0"/>
                <w:numId w:val="2"/>
              </w:numPr>
              <w:spacing w:after="45"/>
            </w:pPr>
            <w:r>
              <w:rPr>
                <w:sz w:val="15"/>
                <w:szCs w:val="15"/>
              </w:rPr>
              <w:t xml:space="preserve">The study overlaps heavily with Zhou et al. 2022 from the same Tianjin department, published two months later in Frontiers in Oncology, with shared authors (Qin, Zhou, Ding, Chen, Jing), overlapping included studies and the same funding. A pathway citing both as independent corroboration is double-counting one body of work</w:t>
            </w:r>
          </w:p>
          <w:p>
            <w:pPr>
              <w:pStyle w:val="ListParagraph"/>
              <w:numPr>
                <w:ilvl w:val="0"/>
                <w:numId w:val="2"/>
              </w:numPr>
              <w:spacing w:after="45"/>
            </w:pPr>
            <w:r>
              <w:rPr>
                <w:sz w:val="15"/>
                <w:szCs w:val="15"/>
              </w:rPr>
              <w:t xml:space="preserve">QUADAS-2 results are relegated to supplementary material and no sensitivity analysis by risk of bias is performed, despite the reference-standard domain demonstrably driving the specificity estimate</w:t>
            </w:r>
          </w:p>
          <w:p>
            <w:pPr>
              <w:pStyle w:val="ListParagraph"/>
              <w:numPr>
                <w:ilvl w:val="0"/>
                <w:numId w:val="2"/>
              </w:numPr>
              <w:spacing w:after="45"/>
            </w:pPr>
            <w:r>
              <w:rPr>
                <w:sz w:val="15"/>
                <w:szCs w:val="15"/>
              </w:rPr>
              <w:t xml:space="preserve">Table 1's study characteristics contain an error of provenance - Ghiuchici et al. 2021 is listed as 'Korea' when the study is Romanian (Timisoara) - which raises doubt about the region variable on which the headline meta-regression depends</w:t>
            </w:r>
          </w:p>
        </w:tc>
      </w:tr>
    </w:tbl>
    <w:p>
      <w:pPr>
        <w:spacing w:after="0" w:line="276"/>
      </w:pPr>
      <w:r>
        <w:rPr>
          <w:color w:val="5A6069"/>
          <w:sz w:val="14"/>
          <w:szCs w:val="14"/>
        </w:rPr>
        <w:t xml:space="preserve">Funding: Supported by Tianjin Municipal Health Commission (grant nos ZD20014, MS20017, KJ20170, NQ20033) and Tianjin Key Medical Discipline (Specialty) Construction Project</w:t>
      </w:r>
    </w:p>
    <w:p>
      <w:pPr>
        <w:keepNext/>
        <w:spacing w:after="50" w:before="260"/>
      </w:pPr>
      <w:r>
        <w:rPr>
          <w:rFonts w:ascii="Cambria" w:cs="Cambria" w:eastAsia="Cambria" w:hAnsi="Cambria"/>
          <w:b/>
          <w:bCs/>
          <w:color w:val="17365D"/>
          <w:sz w:val="20"/>
          <w:szCs w:val="20"/>
        </w:rPr>
        <w:t xml:space="preserve">CEUS LR-M meta</w:t>
      </w:r>
      <w:r>
        <w:rPr>
          <w:b/>
          <w:bCs/>
          <w:color w:val="176A87"/>
          <w:sz w:val="15"/>
          <w:szCs w:val="15"/>
        </w:rPr>
        <w:t xml:space="preserve">   Meta-analysis</w:t>
      </w:r>
      <w:r>
        <w:rPr>
          <w:color w:val="5A6069"/>
          <w:sz w:val="15"/>
          <w:szCs w:val="15"/>
        </w:rPr>
        <w:t xml:space="preserve">   PMID 34289649</w:t>
      </w:r>
    </w:p>
    <w:p>
      <w:pPr>
        <w:spacing w:after="50" w:line="276"/>
      </w:pPr>
      <w:r>
        <w:rPr>
          <w:color w:val="5A6069"/>
          <w:sz w:val="17"/>
          <w:szCs w:val="17"/>
        </w:rPr>
        <w:t xml:space="preserve">Contrast-enhanced ultrasound Liver Imaging Reporting and Data System category M: a systematic review and meta-analysis.</w:t>
      </w:r>
    </w:p>
    <w:p>
      <w:pPr>
        <w:spacing w:after="50"/>
      </w:pPr>
      <w:r>
        <w:rPr>
          <w:b/>
          <w:bCs/>
          <w:color w:val="176A87"/>
          <w:sz w:val="16"/>
          <w:szCs w:val="16"/>
        </w:rPr>
        <w:t xml:space="preserve">Population. </w:t>
      </w:r>
      <w:r>
        <w:rPr>
          <w:sz w:val="16"/>
          <w:szCs w:val="16"/>
        </w:rPr>
        <w:t xml:space="preserve">12 studies (10 articles, 2 conference abstracts) with 5728 observations, of which 1046 were LR-M; 7 articles for the imaging-feature analysis</w:t>
      </w:r>
    </w:p>
    <w:p>
      <w:pPr>
        <w:spacing w:after="70"/>
      </w:pPr>
      <w:r>
        <w:rPr>
          <w:b/>
          <w:bCs/>
          <w:color w:val="17365D"/>
          <w:sz w:val="16"/>
          <w:szCs w:val="16"/>
        </w:rPr>
        <w:t xml:space="preserve">Bottom line. </w:t>
      </w:r>
      <w:r>
        <w:rPr>
          <w:sz w:val="16"/>
          <w:szCs w:val="16"/>
        </w:rPr>
        <w:t xml:space="preserve">Pooling 1046 CEUS LR-M observations from 12 studies in high-risk patients, roughly 54% were HCC and 40% non-HCC malignancy, with early washout the commonest feature of non-HCC malignancy at 79% - it establishes that a CEUS LR-M call is a call of malignancy rather than of non-HCC malignancy, and it does not establish the oft-quoted '94% malignant' figure, which is the arithmetic sum of two separately pooled proportions with no confidence interval.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Substantial heterogeneity potentially limiting general applicability of the summary estimates; meta-regression was performed but the authors state the issue remained a concern</w:t>
            </w:r>
          </w:p>
          <w:p>
            <w:pPr>
              <w:pStyle w:val="ListParagraph"/>
              <w:numPr>
                <w:ilvl w:val="0"/>
                <w:numId w:val="2"/>
              </w:numPr>
              <w:spacing w:after="45"/>
            </w:pPr>
            <w:r>
              <w:rPr>
                <w:sz w:val="15"/>
                <w:szCs w:val="15"/>
              </w:rPr>
              <w:t xml:space="preserve">A limited number of prospective studies were available, which the authors call a risk of selection bias and a major methodological limitation</w:t>
            </w:r>
          </w:p>
          <w:p>
            <w:pPr>
              <w:pStyle w:val="ListParagraph"/>
              <w:numPr>
                <w:ilvl w:val="0"/>
                <w:numId w:val="2"/>
              </w:numPr>
              <w:spacing w:after="45"/>
            </w:pPr>
            <w:r>
              <w:rPr>
                <w:sz w:val="15"/>
                <w:szCs w:val="15"/>
              </w:rPr>
              <w:t xml:space="preserve">Subgroup analyses by observation size, presence of cirrhosis, or aetiology of underlying liver disease were impossible because of incomplete reporting and data unavailability</w:t>
            </w:r>
          </w:p>
          <w:p>
            <w:pPr>
              <w:pStyle w:val="ListParagraph"/>
              <w:numPr>
                <w:ilvl w:val="0"/>
                <w:numId w:val="2"/>
              </w:numPr>
              <w:spacing w:after="45"/>
            </w:pPr>
            <w:r>
              <w:rPr>
                <w:sz w:val="15"/>
                <w:szCs w:val="15"/>
              </w:rPr>
              <w:t xml:space="preserve">Only English-language studies were included, so eligible non-English studies may have been omitted</w:t>
            </w:r>
          </w:p>
          <w:p>
            <w:pPr>
              <w:pStyle w:val="ListParagraph"/>
              <w:numPr>
                <w:ilvl w:val="0"/>
                <w:numId w:val="2"/>
              </w:numPr>
              <w:spacing w:after="45"/>
            </w:pPr>
            <w:r>
              <w:rPr>
                <w:sz w:val="15"/>
                <w:szCs w:val="15"/>
              </w:rPr>
              <w:t xml:space="preserve">The authors note that classifying atypical HCC as LR-M may not be clinically problematic because LI-RADS recommends biopsy of such lesions - an argument that mitigates rather than removes the finding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number is not a pooled estimate. '94% of CEUS LR-M lesions were malignancies' is 54% plus 40%, two independently pooled random-effects proportions from samples with different heterogeneity (I-squared 84% and 88%) added together. The correct figure from the raw counts is 1011/1046 = 96.7%; the correct pooled figure was never computed; and no interval is attached to the 94% anywhere in the paper, including in the abstract, the Key Points, the conclusion and the title-page summary where it appears four times</w:t>
            </w:r>
          </w:p>
          <w:p>
            <w:pPr>
              <w:pStyle w:val="ListParagraph"/>
              <w:numPr>
                <w:ilvl w:val="0"/>
                <w:numId w:val="2"/>
              </w:numPr>
              <w:spacing w:after="45"/>
            </w:pPr>
            <w:r>
              <w:rPr>
                <w:sz w:val="15"/>
                <w:szCs w:val="15"/>
              </w:rPr>
              <w:t xml:space="preserve">Removing one case-control study moves the HCC proportion from 54% to 59% and halves I-squared from 84% to 44%. A single study with that much leverage means the primary analysis is driven by study design, not biology, and the authors report the sensitivity analysis in a supplementary figure while keeping 54% as the headline</w:t>
            </w:r>
          </w:p>
          <w:p>
            <w:pPr>
              <w:pStyle w:val="ListParagraph"/>
              <w:numPr>
                <w:ilvl w:val="0"/>
                <w:numId w:val="2"/>
              </w:numPr>
              <w:spacing w:after="45"/>
            </w:pPr>
            <w:r>
              <w:rPr>
                <w:sz w:val="15"/>
                <w:szCs w:val="15"/>
              </w:rPr>
              <w:t xml:space="preserve">The Chen et al. case-control study contributes 138 of 1046 LR-M observations, all 100 of its non-HCC malignancies being intrahepatic cholangiocarcinoma selected by design. A case-control diagnostic study fixes the malignancy mix by investigator choice, so including it does not estimate a proportion of anything</w:t>
            </w:r>
          </w:p>
          <w:p>
            <w:pPr>
              <w:pStyle w:val="ListParagraph"/>
              <w:numPr>
                <w:ilvl w:val="0"/>
                <w:numId w:val="2"/>
              </w:numPr>
              <w:spacing w:after="45"/>
            </w:pPr>
            <w:r>
              <w:rPr>
                <w:sz w:val="15"/>
                <w:szCs w:val="15"/>
              </w:rPr>
              <w:t xml:space="preserve">The forest plot for marked washout reports Makoyeva et al. as 0.28 (95% CI 0.10-1.53). A proportion cannot exceed 1.0; this is an impossible confidence interval printed in a published figure, and it sits inside the pooled 42% estimate that the paper reports as a finding</w:t>
            </w:r>
          </w:p>
          <w:p>
            <w:pPr>
              <w:pStyle w:val="ListParagraph"/>
              <w:numPr>
                <w:ilvl w:val="0"/>
                <w:numId w:val="2"/>
              </w:numPr>
              <w:spacing w:after="45"/>
            </w:pPr>
            <w:r>
              <w:rPr>
                <w:sz w:val="15"/>
                <w:szCs w:val="15"/>
              </w:rPr>
              <w:t xml:space="preserve">Two of the 12 studies are conference abstracts (Lyshchik, Ding) contributing 11 and 68 LR-M observations with no peer-reviewed methods; Ding reports no sex distribution and both are among the studies the authors mark at high or unclear risk for flow and timing</w:t>
            </w:r>
          </w:p>
          <w:p>
            <w:pPr>
              <w:pStyle w:val="ListParagraph"/>
              <w:numPr>
                <w:ilvl w:val="0"/>
                <w:numId w:val="2"/>
              </w:numPr>
              <w:spacing w:after="45"/>
            </w:pPr>
            <w:r>
              <w:rPr>
                <w:sz w:val="15"/>
                <w:szCs w:val="15"/>
              </w:rPr>
              <w:t xml:space="preserve">Three of the 12 studies (Li, Zhou, Ding) specify none of their non-HCC malignancy diagnoses - 134 of 432 non-HCC malignancies, 31% of the numerator for the key estimate, are uncharacterised. Likewise 27 of 35 benign LR-M lesions are unspecified. The paper's central claim about what LR-M contains therefore has a third of its contents unknown</w:t>
            </w:r>
          </w:p>
          <w:p>
            <w:pPr>
              <w:pStyle w:val="ListParagraph"/>
              <w:numPr>
                <w:ilvl w:val="0"/>
                <w:numId w:val="2"/>
              </w:numPr>
              <w:spacing w:after="45"/>
            </w:pPr>
            <w:r>
              <w:rPr>
                <w:sz w:val="15"/>
                <w:szCs w:val="15"/>
              </w:rPr>
              <w:t xml:space="preserve">Zhou et al. is classified as prospective here and the single prospective design subgroup (3 studies) shows no difference from retrospective - but with only 3 prospective studies the design meta-regression has essentially no power, and a non-significant p=0.735 is reported as though it were evidence of no difference</w:t>
            </w:r>
          </w:p>
          <w:p>
            <w:pPr>
              <w:pStyle w:val="ListParagraph"/>
              <w:numPr>
                <w:ilvl w:val="0"/>
                <w:numId w:val="2"/>
              </w:numPr>
              <w:spacing w:after="45"/>
            </w:pPr>
            <w:r>
              <w:rPr>
                <w:sz w:val="15"/>
                <w:szCs w:val="15"/>
              </w:rPr>
              <w:t xml:space="preserve">Nation of publication and dominant aetiology return identical point estimates, identical intervals and identical p-values (0.035) in the meta-regression table, because they are the same variable entered twice. The paper reports them as two independent significant moderators, which inflates the apparent number of explanatory findings</w:t>
            </w:r>
          </w:p>
          <w:p>
            <w:pPr>
              <w:pStyle w:val="ListParagraph"/>
              <w:numPr>
                <w:ilvl w:val="0"/>
                <w:numId w:val="2"/>
              </w:numPr>
              <w:spacing w:after="45"/>
            </w:pPr>
            <w:r>
              <w:rPr>
                <w:sz w:val="15"/>
                <w:szCs w:val="15"/>
              </w:rPr>
              <w:t xml:space="preserve">The denominator for every estimate is observations in patients at high risk for HCC, mostly HBV-related. The paper's own meta-regression shows the non-HCC malignancy proportion nearly doubling between Asian and Western populations, which is a direct demonstration that these proportions are prevalence-dependent and cannot be applied to a lesion found incidentally in a normal liver</w:t>
            </w:r>
          </w:p>
          <w:p>
            <w:pPr>
              <w:pStyle w:val="ListParagraph"/>
              <w:numPr>
                <w:ilvl w:val="0"/>
                <w:numId w:val="2"/>
              </w:numPr>
              <w:spacing w:after="45"/>
            </w:pPr>
            <w:r>
              <w:rPr>
                <w:sz w:val="15"/>
                <w:szCs w:val="15"/>
              </w:rPr>
              <w:t xml:space="preserve">Heterogeneity for the imaging features is 88-95%, yet the frequencies (79%, 42%, 30%) are quoted as feature characteristics. The marked-washout estimate ranges across contributing studies from 13% to 81% - a sixfold spread - and is pooled to 42% (21-64), an interval too wide to distinguish a feature that is usually present from one that is usually absent</w:t>
            </w:r>
          </w:p>
          <w:p>
            <w:pPr>
              <w:pStyle w:val="ListParagraph"/>
              <w:numPr>
                <w:ilvl w:val="0"/>
                <w:numId w:val="2"/>
              </w:numPr>
              <w:spacing w:after="45"/>
            </w:pPr>
            <w:r>
              <w:rPr>
                <w:sz w:val="15"/>
                <w:szCs w:val="15"/>
              </w:rPr>
              <w:t xml:space="preserve">Flow and timing was at high or unclear risk of bias in 75% of studies, meaning the interval between CEUS and the reference standard was unknown or inconsistent in most of the dataset. A lesion's category and its final diagnosis may be separated by an unknown time during which it changed, and no sensitivity analysis by this domain was done; the QUADAS-2 covariate entered into meta-regression was patient selection only</w:t>
            </w:r>
          </w:p>
          <w:p>
            <w:pPr>
              <w:pStyle w:val="ListParagraph"/>
              <w:numPr>
                <w:ilvl w:val="0"/>
                <w:numId w:val="2"/>
              </w:numPr>
              <w:spacing w:after="45"/>
            </w:pPr>
            <w:r>
              <w:rPr>
                <w:sz w:val="15"/>
                <w:szCs w:val="15"/>
              </w:rPr>
              <w:t xml:space="preserve">Only English-language studies, in a literature where the majority of CEUS LR-M observations come from Chinese centres - the same inconsistency as in Qin et al., and the two reviews share 8 of their included studies while being published five months apart, so they are not independent</w:t>
            </w:r>
          </w:p>
          <w:p>
            <w:pPr>
              <w:pStyle w:val="ListParagraph"/>
              <w:numPr>
                <w:ilvl w:val="0"/>
                <w:numId w:val="2"/>
              </w:numPr>
              <w:spacing w:after="45"/>
            </w:pPr>
            <w:r>
              <w:rPr>
                <w:sz w:val="15"/>
                <w:szCs w:val="15"/>
              </w:rPr>
              <w:t xml:space="preserve">The comparison to CT/MRI LR-M (54% vs 22-36% HCC) is across reviews with different inclusion criteria, different reference standards and different populations - an indirect comparison presented without any formal test or caution</w:t>
            </w:r>
          </w:p>
        </w:tc>
      </w:tr>
    </w:tbl>
    <w:p>
      <w:pPr>
        <w:spacing w:after="0" w:line="276"/>
      </w:pPr>
      <w:r>
        <w:rPr>
          <w:color w:val="5A6069"/>
          <w:sz w:val="14"/>
          <w:szCs w:val="14"/>
        </w:rPr>
        <w:t xml:space="preserve">Funding: No potential conflict of interest reported; no funding statement</w:t>
      </w:r>
    </w:p>
    <w:p>
      <w:pPr>
        <w:keepNext/>
        <w:spacing w:after="50" w:before="260"/>
      </w:pPr>
      <w:r>
        <w:rPr>
          <w:rFonts w:ascii="Cambria" w:cs="Cambria" w:eastAsia="Cambria" w:hAnsi="Cambria"/>
          <w:b/>
          <w:bCs/>
          <w:color w:val="17365D"/>
          <w:sz w:val="20"/>
          <w:szCs w:val="20"/>
        </w:rPr>
        <w:t xml:space="preserve">CEUS versus CT/MRI LI-RADS</w:t>
      </w:r>
      <w:r>
        <w:rPr>
          <w:b/>
          <w:bCs/>
          <w:color w:val="176A87"/>
          <w:sz w:val="15"/>
          <w:szCs w:val="15"/>
        </w:rPr>
        <w:t xml:space="preserve">   Meta-analysis</w:t>
      </w:r>
      <w:r>
        <w:rPr>
          <w:color w:val="5A6069"/>
          <w:sz w:val="15"/>
          <w:szCs w:val="15"/>
        </w:rPr>
        <w:t xml:space="preserve">   PMID 35425706</w:t>
      </w:r>
    </w:p>
    <w:p>
      <w:pPr>
        <w:spacing w:after="50" w:line="276"/>
      </w:pPr>
      <w:r>
        <w:rPr>
          <w:color w:val="5A6069"/>
          <w:sz w:val="17"/>
          <w:szCs w:val="17"/>
        </w:rPr>
        <w:t xml:space="preserve">Risk stratification and distribution of hepatocellular carcinomas in CEUS and CT/MRI LI-RADS: a meta-analysis.</w:t>
      </w:r>
    </w:p>
    <w:p>
      <w:pPr>
        <w:spacing w:after="50"/>
      </w:pPr>
      <w:r>
        <w:rPr>
          <w:b/>
          <w:bCs/>
          <w:color w:val="176A87"/>
          <w:sz w:val="16"/>
          <w:szCs w:val="16"/>
        </w:rPr>
        <w:t xml:space="preserve">Population. </w:t>
      </w:r>
      <w:r>
        <w:rPr>
          <w:sz w:val="16"/>
          <w:szCs w:val="16"/>
        </w:rPr>
        <w:t xml:space="preserve">43 studies included; 15 CEUS studies with 6573 patients and 7234 lesions (5387 HCC, 624 non-HCC malignancy, 1223 benign) and 30 CT/MRI studies with 5274 patients and 6522 lesions (4554 HCC, 481 non-HCC malignancy, 1487 benign)</w:t>
      </w:r>
    </w:p>
    <w:p>
      <w:pPr>
        <w:spacing w:after="70"/>
      </w:pPr>
      <w:r>
        <w:rPr>
          <w:b/>
          <w:bCs/>
          <w:color w:val="17365D"/>
          <w:sz w:val="16"/>
          <w:szCs w:val="16"/>
        </w:rPr>
        <w:t xml:space="preserve">Bottom line. </w:t>
      </w:r>
      <w:r>
        <w:rPr>
          <w:sz w:val="16"/>
          <w:szCs w:val="16"/>
        </w:rPr>
        <w:t xml:space="preserve">Pooling 43 studies in high-risk patients, corresponding CEUS and CT/MRI LI-RADS categories carry similar HCC risk except LR-3 (21% vs 35%) and LR-M (56% vs 33% HCC), and LR-5 performs equivalently in both systems - it establishes that the two systems are not interchangeable at LR-3 and LR-M, and it cannot establish anything reliable about LR-M specificity or accuracy, because those table rows are duplicated from the LR-5 analysis.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Few paired studies were available, so the central CEUS-versus-CT/MRI comparison is mostly indirect, between different study populations rather than within patients</w:t>
            </w:r>
          </w:p>
          <w:p>
            <w:pPr>
              <w:pStyle w:val="ListParagraph"/>
              <w:numPr>
                <w:ilvl w:val="0"/>
                <w:numId w:val="2"/>
              </w:numPr>
              <w:spacing w:after="45"/>
            </w:pPr>
            <w:r>
              <w:rPr>
                <w:sz w:val="15"/>
                <w:szCs w:val="15"/>
              </w:rPr>
              <w:t xml:space="preserve">The heterogeneity of the distribution and diagnostic performance of HCC could not be well explained by meta-regression</w:t>
            </w:r>
          </w:p>
          <w:p>
            <w:pPr>
              <w:pStyle w:val="ListParagraph"/>
              <w:numPr>
                <w:ilvl w:val="0"/>
                <w:numId w:val="2"/>
              </w:numPr>
              <w:spacing w:after="45"/>
            </w:pPr>
            <w:r>
              <w:rPr>
                <w:sz w:val="15"/>
                <w:szCs w:val="15"/>
              </w:rPr>
              <w:t xml:space="preserve">The effect of tumour size on LI-RADS classification was not explored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Table 4 (LR-M for non-HCC malignancy) reproduces the specificity, accuracy, I-squared and p-value rows of Table 3 (LR-5 for HCC) verbatim: specificity 92% vs 92% with I-squared 75 and 86 and p=0.96, accuracy 78% vs 76% with I-squared 90 and 93 and p=0.54. It is not credible that two different index tests for two different targets produced identical estimates to the percentage point and identical I-squared values. The LR-M specificity and accuracy figures are a copy error, which means the paper's own table cannot support any statement about LR-M specificity - yet the abstract and conclusion both trade on LR-M performance</w:t>
            </w:r>
          </w:p>
          <w:p>
            <w:pPr>
              <w:pStyle w:val="ListParagraph"/>
              <w:numPr>
                <w:ilvl w:val="0"/>
                <w:numId w:val="2"/>
              </w:numPr>
              <w:spacing w:after="45"/>
            </w:pPr>
            <w:r>
              <w:rPr>
                <w:sz w:val="15"/>
                <w:szCs w:val="15"/>
              </w:rPr>
              <w:t xml:space="preserve">The meta-regression reports CEUS LR-M sensitivity for non-HCC malignancy as 60.0% with pathology and 69.0% with a composite standard, both far below the pooled 83% reported in Table 4 and the abstract. Two incompatible sets of numbers for the same quantity appear in the same paper, and neither is reconciled</w:t>
            </w:r>
          </w:p>
          <w:p>
            <w:pPr>
              <w:pStyle w:val="ListParagraph"/>
              <w:numPr>
                <w:ilvl w:val="0"/>
                <w:numId w:val="2"/>
              </w:numPr>
              <w:spacing w:after="45"/>
            </w:pPr>
            <w:r>
              <w:rPr>
                <w:sz w:val="15"/>
                <w:szCs w:val="15"/>
              </w:rPr>
              <w:t xml:space="preserve">'A total of 43 studies were included' but 15 CEUS plus 30 CT/MRI studies is 45. Two studies presumably contributed to both arms, which would make the headline CEUS-versus-CT/MRI comparison partly within-study and partly between-study, but the paper never identifies them or accounts for the correlation</w:t>
            </w:r>
          </w:p>
          <w:p>
            <w:pPr>
              <w:pStyle w:val="ListParagraph"/>
              <w:numPr>
                <w:ilvl w:val="0"/>
                <w:numId w:val="2"/>
              </w:numPr>
              <w:spacing w:after="45"/>
            </w:pPr>
            <w:r>
              <w:rPr>
                <w:sz w:val="15"/>
                <w:szCs w:val="15"/>
              </w:rPr>
              <w:t xml:space="preserve">The first HIGHLIGHTS bullet reads 'CEUS LR-3 has a lower proportion of HCCs than CT/MRI LR-M' where the body of the paper compares LR-3 with LR-3. A reader taking the highlights at face value imports a comparison the study never made</w:t>
            </w:r>
          </w:p>
          <w:p>
            <w:pPr>
              <w:pStyle w:val="ListParagraph"/>
              <w:numPr>
                <w:ilvl w:val="0"/>
                <w:numId w:val="2"/>
              </w:numPr>
              <w:spacing w:after="45"/>
            </w:pPr>
            <w:r>
              <w:rPr>
                <w:sz w:val="15"/>
                <w:szCs w:val="15"/>
              </w:rPr>
              <w:t xml:space="preserve">The denominator throughout is lesions in patients at high risk for HCC - cirrhosis or chronic hepatitis B - with SonoVue. Every proportion is a positive predictive value under high HCC prevalence. The paper's own meta-regression shows the LR-3 HCC proportion moving from 14% to 32% by region, which is a demonstration that these figures are population artefacts, yet the conclusions are stated as properties of the categories</w:t>
            </w:r>
          </w:p>
          <w:p>
            <w:pPr>
              <w:pStyle w:val="ListParagraph"/>
              <w:numPr>
                <w:ilvl w:val="0"/>
                <w:numId w:val="2"/>
              </w:numPr>
              <w:spacing w:after="45"/>
            </w:pPr>
            <w:r>
              <w:rPr>
                <w:sz w:val="15"/>
                <w:szCs w:val="15"/>
              </w:rPr>
              <w:t xml:space="preserve">The CEUS-versus-CT/MRI comparison that the paper exists to make is acknowledged as mostly indirect because few paired studies exist. Comparing proportions across populations with different HCC prevalence, different aetiology and different reference standards, then attaching p-values to the differences, is a between-study comparison dressed as a head-to-head test - the significant LR-3 (p=0.02) and LR-M (p=0.01) differences are the most likely casualties</w:t>
            </w:r>
          </w:p>
          <w:p>
            <w:pPr>
              <w:pStyle w:val="ListParagraph"/>
              <w:numPr>
                <w:ilvl w:val="0"/>
                <w:numId w:val="2"/>
              </w:numPr>
              <w:spacing w:after="45"/>
            </w:pPr>
            <w:r>
              <w:rPr>
                <w:sz w:val="15"/>
                <w:szCs w:val="15"/>
              </w:rPr>
              <w:t xml:space="preserve">Heterogeneity of 78-93% for the proportions and 75-96% for the performance estimates, which the authors concede meta-regression could not explain. A DOR pooled with I-squared 96% (CEUS LR-M, 36.5, 95% CI 16.6-80.0) has no interpretable referent</w:t>
            </w:r>
          </w:p>
          <w:p>
            <w:pPr>
              <w:pStyle w:val="ListParagraph"/>
              <w:numPr>
                <w:ilvl w:val="0"/>
                <w:numId w:val="2"/>
              </w:numPr>
              <w:spacing w:after="45"/>
            </w:pPr>
            <w:r>
              <w:rPr>
                <w:sz w:val="15"/>
                <w:szCs w:val="15"/>
              </w:rPr>
              <w:t xml:space="preserve">The reference-standard meta-regression result is the opposite of the usual direction and is left unexamined: CT/MRI LR-4 and LR-5 contained FEWER HCCs when pathology was the standard (63.4% vs 81.2%; 92.3% vs 97%). Composite standards that confirm HCC by LR-5 appearance on another modality are incorporation bias, and this result quantifies it - roughly 5 to 18 percentage points of the headline LR-5 and LR-4 figures. The paper reports it and then uses the pooled (inflated) values in its conclusions</w:t>
            </w:r>
          </w:p>
          <w:p>
            <w:pPr>
              <w:pStyle w:val="ListParagraph"/>
              <w:numPr>
                <w:ilvl w:val="0"/>
                <w:numId w:val="2"/>
              </w:numPr>
              <w:spacing w:after="45"/>
            </w:pPr>
            <w:r>
              <w:rPr>
                <w:sz w:val="15"/>
                <w:szCs w:val="15"/>
              </w:rPr>
              <w:t xml:space="preserve">The v2017-versus-v2018 difference for CT/MRI LR-M HCC proportion is 6% versus 42.2% (p=0.04), a sevenfold swing attributed to a version change. Pooling across versions when the version effect is that large makes the single pooled LR-M estimate of 33% an average over incompatible definitions</w:t>
            </w:r>
          </w:p>
          <w:p>
            <w:pPr>
              <w:pStyle w:val="ListParagraph"/>
              <w:numPr>
                <w:ilvl w:val="0"/>
                <w:numId w:val="2"/>
              </w:numPr>
              <w:spacing w:after="45"/>
            </w:pPr>
            <w:r>
              <w:rPr>
                <w:sz w:val="15"/>
                <w:szCs w:val="15"/>
              </w:rPr>
              <w:t xml:space="preserve">Substantial overlap with Qin et al. 2022 from the same department, same funding grants, overlapping authors (Zhou, Qin, Ding, Chen, Jing) and overlapping included CEUS studies, published two months apart. The two papers report different CEUS LR-M HCC proportions (56% here, 44% in Qin) from largely the same primary literature without either acknowledging the other's estimate. A pathway citing both as corroborating evidence is counting one dataset twice and importing an unexplained 12-point discrepancy</w:t>
            </w:r>
          </w:p>
          <w:p>
            <w:pPr>
              <w:pStyle w:val="ListParagraph"/>
              <w:numPr>
                <w:ilvl w:val="0"/>
                <w:numId w:val="2"/>
              </w:numPr>
              <w:spacing w:after="45"/>
            </w:pPr>
            <w:r>
              <w:rPr>
                <w:sz w:val="15"/>
                <w:szCs w:val="15"/>
              </w:rPr>
              <w:t xml:space="preserve">Data from multiple readers within a study were averaged, discarding interobserver variability, and the authors state 'no discrepancy was found' between the two data extractors - an implausible claim across 43 studies that suggests extraction was not genuinely independent</w:t>
            </w:r>
          </w:p>
          <w:p>
            <w:pPr>
              <w:pStyle w:val="ListParagraph"/>
              <w:numPr>
                <w:ilvl w:val="0"/>
                <w:numId w:val="2"/>
              </w:numPr>
              <w:spacing w:after="45"/>
            </w:pPr>
            <w:r>
              <w:rPr>
                <w:sz w:val="15"/>
                <w:szCs w:val="15"/>
              </w:rPr>
              <w:t xml:space="preserve">English-only inclusion, publication bias not assessed by any method, QUADAS-2 results confined to supplementary material with no sensitivity analysis by risk of bias</w:t>
            </w:r>
          </w:p>
          <w:p>
            <w:pPr>
              <w:pStyle w:val="ListParagraph"/>
              <w:numPr>
                <w:ilvl w:val="0"/>
                <w:numId w:val="2"/>
              </w:numPr>
              <w:spacing w:after="45"/>
            </w:pPr>
            <w:r>
              <w:rPr>
                <w:sz w:val="15"/>
                <w:szCs w:val="15"/>
              </w:rPr>
              <w:t xml:space="preserve">Non-HCC malignancy numerators are small for several categories (CEUS LR-TIV 3% of 100 observations, CT/MRI LR-TIV 22% of 102) yet are reported as proportions with intervals and compared with p-values</w:t>
            </w:r>
          </w:p>
        </w:tc>
      </w:tr>
    </w:tbl>
    <w:p>
      <w:pPr>
        <w:spacing w:after="0" w:line="276"/>
      </w:pPr>
      <w:r>
        <w:rPr>
          <w:color w:val="5A6069"/>
          <w:sz w:val="14"/>
          <w:szCs w:val="14"/>
        </w:rPr>
        <w:t xml:space="preserve">Funding: Supported by the Tianjin Health and Health Committee (MS20017, KJ20170, ZD20014, NQ20033) and the Tianjin Key Medical Discipline (Specialty) Construction Project; authors declare no commercial or financial conflict of interest</w:t>
      </w:r>
    </w:p>
    <w:p>
      <w:pPr>
        <w:keepNext/>
        <w:spacing w:after="50" w:before="260"/>
      </w:pPr>
      <w:r>
        <w:rPr>
          <w:rFonts w:ascii="Cambria" w:cs="Cambria" w:eastAsia="Cambria" w:hAnsi="Cambria"/>
          <w:b/>
          <w:bCs/>
          <w:color w:val="17365D"/>
          <w:sz w:val="20"/>
          <w:szCs w:val="20"/>
        </w:rPr>
        <w:t xml:space="preserve">Cillo 2019</w:t>
      </w:r>
      <w:r>
        <w:rPr>
          <w:b/>
          <w:bCs/>
          <w:color w:val="176A87"/>
          <w:sz w:val="15"/>
          <w:szCs w:val="15"/>
        </w:rPr>
        <w:t xml:space="preserve">   Review</w:t>
      </w:r>
      <w:r>
        <w:rPr>
          <w:color w:val="5A6069"/>
          <w:sz w:val="15"/>
          <w:szCs w:val="15"/>
        </w:rPr>
        <w:t xml:space="preserve">   PMID 30843343</w:t>
      </w:r>
    </w:p>
    <w:p>
      <w:pPr>
        <w:spacing w:after="50" w:line="276"/>
      </w:pPr>
      <w:r>
        <w:rPr>
          <w:color w:val="5A6069"/>
          <w:sz w:val="17"/>
          <w:szCs w:val="17"/>
        </w:rPr>
        <w:t xml:space="preserve">Surgery for cholangiocarcinoma.</w:t>
      </w:r>
    </w:p>
    <w:p>
      <w:pPr>
        <w:spacing w:after="70"/>
      </w:pPr>
      <w:r>
        <w:rPr>
          <w:b/>
          <w:bCs/>
          <w:color w:val="17365D"/>
          <w:sz w:val="16"/>
          <w:szCs w:val="16"/>
        </w:rPr>
        <w:t xml:space="preserve">Bottom line. </w:t>
      </w:r>
      <w:r>
        <w:rPr>
          <w:sz w:val="16"/>
          <w:szCs w:val="16"/>
        </w:rPr>
        <w:t xml:space="preserve">A narrative review by European hepatobiliary surgeons establishing that resection offers about 30% 5-year survival in perihilar and intrahepatic cholangiocarcinoma, that no imaging feature is unique to iCCA, that preoperative biopsy is to be avoided for fear of seeding at the stated cost of 15% of resections proving benign, and that all imaging must precede biliary drainage - it does not establish any of these claims systematically, having no search strategy, no quality appraisal, no quantified seeding risk, and survival comparisons drawn entirely from uncontrolled surgical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 narrative review</w:t>
            </w:r>
          </w:p>
          <w:p>
            <w:pPr>
              <w:pStyle w:val="ListParagraph"/>
              <w:numPr>
                <w:ilvl w:val="0"/>
                <w:numId w:val="2"/>
              </w:numPr>
              <w:spacing w:after="45"/>
            </w:pPr>
            <w:r>
              <w:rPr>
                <w:sz w:val="15"/>
                <w:szCs w:val="15"/>
              </w:rPr>
              <w:t xml:space="preserve">The authors repeatedly flag the thinness of the evidence they are summarising: studies comparing imaging modalities are described as sparse; several RCTs of adjuvant systemic chemotherapy for biliary cancer are said to have found conflicting results; adjuvant chemotherapy is described as of limited value so far</w:t>
            </w:r>
          </w:p>
          <w:p>
            <w:pPr>
              <w:pStyle w:val="ListParagraph"/>
              <w:numPr>
                <w:ilvl w:val="0"/>
                <w:numId w:val="2"/>
              </w:numPr>
              <w:spacing w:after="45"/>
            </w:pPr>
            <w:r>
              <w:rPr>
                <w:sz w:val="15"/>
                <w:szCs w:val="15"/>
              </w:rPr>
              <w:t xml:space="preserve">They state that the favourable transplant results in very early iCCA apply only to a small proportion of patients, and that the promising hepatic arterial infusion results have never been directly compared with systemic therapy</w:t>
            </w:r>
          </w:p>
          <w:p>
            <w:pPr>
              <w:pStyle w:val="ListParagraph"/>
              <w:numPr>
                <w:ilvl w:val="0"/>
                <w:numId w:val="2"/>
              </w:numPr>
              <w:spacing w:after="45"/>
            </w:pPr>
            <w:r>
              <w:rPr>
                <w:sz w:val="15"/>
                <w:szCs w:val="15"/>
              </w:rPr>
              <w:t xml:space="preserve">They call for predictive models of survival with and without resection against postoperative mortality risk, conceding that resection is technically feasible in patients for whom a small survival benefit may not justify the operative risk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search strategy, no databases, no date limits, no eligibility criteria, no quality appraisal of any cited study and no reporting standard. The reader cannot tell what was excluded, and every numerical claim is a single-source citation chosen by the authors</w:t>
            </w:r>
          </w:p>
          <w:p>
            <w:pPr>
              <w:pStyle w:val="ListParagraph"/>
              <w:numPr>
                <w:ilvl w:val="0"/>
                <w:numId w:val="2"/>
              </w:numPr>
              <w:spacing w:after="45"/>
            </w:pPr>
            <w:r>
              <w:rPr>
                <w:sz w:val="15"/>
                <w:szCs w:val="15"/>
              </w:rPr>
              <w:t xml:space="preserve">The 15% benign-on-final-pathology figure for resected apparent pCCA - the paper's own quantification of the harm of its no-biopsy policy - is cited to one reference, with no denominator, no interval and no indication of the era or centre. A major hepatobiliary resection in 15% of patients who turn out not to have cancer is a consequential number to rest on a single citation, and the review states it twice without revisiting it</w:t>
            </w:r>
          </w:p>
          <w:p>
            <w:pPr>
              <w:pStyle w:val="ListParagraph"/>
              <w:numPr>
                <w:ilvl w:val="0"/>
                <w:numId w:val="2"/>
              </w:numPr>
              <w:spacing w:after="45"/>
            </w:pPr>
            <w:r>
              <w:rPr>
                <w:sz w:val="15"/>
                <w:szCs w:val="15"/>
              </w:rPr>
              <w:t xml:space="preserve">The biopsy recommendation is asymmetric in its evidentiary standard. Seeding and tract recurrence are asserted as reasons to avoid biopsy with no rate, no denominator and no citation to a quantified series anywhere in the biopsy discussion, while the competing harm (15% unnecessary major resections) is given a number. A pathway reading this inherits an absolute prohibition supported by narrative and a quantified harm it is told to accept</w:t>
            </w:r>
          </w:p>
          <w:p>
            <w:pPr>
              <w:pStyle w:val="ListParagraph"/>
              <w:numPr>
                <w:ilvl w:val="0"/>
                <w:numId w:val="2"/>
              </w:numPr>
              <w:spacing w:after="45"/>
            </w:pPr>
            <w:r>
              <w:rPr>
                <w:sz w:val="15"/>
                <w:szCs w:val="15"/>
              </w:rPr>
              <w:t xml:space="preserve">Every survival figure is from uncontrolled surgical series. 'Five-year survival up to 60% after R0 resection' versus 'less than 10% after R1' is a comparison of patients in whom a clear margin was achievable against patients in whom it was not - which is a measure of tumour extent, not of the operation. The review presents it as the rationale for aggressive surgery without noting the confounding</w:t>
            </w:r>
          </w:p>
          <w:p>
            <w:pPr>
              <w:pStyle w:val="ListParagraph"/>
              <w:numPr>
                <w:ilvl w:val="0"/>
                <w:numId w:val="2"/>
              </w:numPr>
              <w:spacing w:after="45"/>
            </w:pPr>
            <w:r>
              <w:rPr>
                <w:sz w:val="15"/>
                <w:szCs w:val="15"/>
              </w:rPr>
              <w:t xml:space="preserve">The transplant figures for very early iCCA (5-year OS 65%) come from highly selected patients with well-differentiated tumours under 2 cm; the authors say so, and then the number enters the literature detached from that selection. Twelve patients transplanted after neoadjuvant chemotherapy with 25% recurrence within a year is reported as a potential expansion of indications</w:t>
            </w:r>
          </w:p>
          <w:p>
            <w:pPr>
              <w:pStyle w:val="ListParagraph"/>
              <w:numPr>
                <w:ilvl w:val="0"/>
                <w:numId w:val="2"/>
              </w:numPr>
              <w:spacing w:after="45"/>
            </w:pPr>
            <w:r>
              <w:rPr>
                <w:sz w:val="15"/>
                <w:szCs w:val="15"/>
              </w:rPr>
              <w:t xml:space="preserve">The hepatic arterial infusion comparison (median OS 31 vs 18 months) is explicitly non-randomised - 'no direct comparison has been performed' - with the comparator being patients who received systemic therapy alone, i.e. those not selected for an invasive pump procedure. The 20% 5-year survival is quoted in the same sentence as 'promising'</w:t>
            </w:r>
          </w:p>
          <w:p>
            <w:pPr>
              <w:pStyle w:val="ListParagraph"/>
              <w:numPr>
                <w:ilvl w:val="0"/>
                <w:numId w:val="2"/>
              </w:numPr>
              <w:spacing w:after="45"/>
            </w:pPr>
            <w:r>
              <w:rPr>
                <w:sz w:val="15"/>
                <w:szCs w:val="15"/>
              </w:rPr>
              <w:t xml:space="preserve">The review is authored entirely by hepatobiliary and transplant surgeons from high-volume European centres, with no radiologist, pathologist, oncologist or hepatologist co-author, on a paper that makes imaging recommendations (which modality, which phases, when to use PET), pathology recommendations (immunohistochemistry cannot distinguish iCCA from metastases) and medical-oncology recommendations (adjuvant therapy of limited value). The conclusion that patients 'should be treated only in experienced centres after referral prior to drainage' is a referral recommendation written by the recipients of referrals</w:t>
            </w:r>
          </w:p>
          <w:p>
            <w:pPr>
              <w:pStyle w:val="ListParagraph"/>
              <w:numPr>
                <w:ilvl w:val="0"/>
                <w:numId w:val="2"/>
              </w:numPr>
              <w:spacing w:after="45"/>
            </w:pPr>
            <w:r>
              <w:rPr>
                <w:sz w:val="15"/>
                <w:szCs w:val="15"/>
              </w:rPr>
              <w:t xml:space="preserve">No conflict-of-interest statement is present in the available text</w:t>
            </w:r>
          </w:p>
          <w:p>
            <w:pPr>
              <w:pStyle w:val="ListParagraph"/>
              <w:numPr>
                <w:ilvl w:val="0"/>
                <w:numId w:val="2"/>
              </w:numPr>
              <w:spacing w:after="45"/>
            </w:pPr>
            <w:r>
              <w:rPr>
                <w:sz w:val="15"/>
                <w:szCs w:val="15"/>
              </w:rPr>
              <w:t xml:space="preserve">The pCCA diagnostic criterion 'CA 19-9 elevated above 100 U/mL' is offered as one of four alternative confirmatory criteria with no sensitivity or specificity, in a paper that two sections later notes CA 19-9 rises with biliary obstruction and is unsynthesisable in 10% of patients - so the same marker is a diagnostic criterion and an unreliable test in one document</w:t>
            </w:r>
          </w:p>
          <w:p>
            <w:pPr>
              <w:pStyle w:val="ListParagraph"/>
              <w:numPr>
                <w:ilvl w:val="0"/>
                <w:numId w:val="2"/>
              </w:numPr>
              <w:spacing w:after="45"/>
            </w:pPr>
            <w:r>
              <w:rPr>
                <w:sz w:val="15"/>
                <w:szCs w:val="15"/>
              </w:rPr>
              <w:t xml:space="preserve">The statement that no imaging feature is unique to iCCA is the single most important sentence in the review for an incidental-mass pathway, and it is reported as one cited MRI study with no accuracy figures, no reader numbers and no reference standard. The practical consequence - that a peripherally enhancing mass in a non-cirrhotic liver cannot be called iCCA or metastasis or HCC on imaging alone - is left for the reader to draw</w:t>
            </w:r>
          </w:p>
          <w:p>
            <w:pPr>
              <w:pStyle w:val="ListParagraph"/>
              <w:numPr>
                <w:ilvl w:val="0"/>
                <w:numId w:val="2"/>
              </w:numPr>
              <w:spacing w:after="45"/>
            </w:pPr>
            <w:r>
              <w:rPr>
                <w:sz w:val="15"/>
                <w:szCs w:val="15"/>
              </w:rPr>
              <w:t xml:space="preserve">PET-CT is rejected on a 10% yield for occult metastases with 'low sensitivity and specificity', but neither figure is given, and the same 10% yield is described two pages earlier as a reason PET 'may be justified' in selected patients - the same number supports opposite recommendations in the two tumour sections</w:t>
            </w:r>
          </w:p>
          <w:p>
            <w:pPr>
              <w:pStyle w:val="ListParagraph"/>
              <w:numPr>
                <w:ilvl w:val="0"/>
                <w:numId w:val="2"/>
              </w:numPr>
              <w:spacing w:after="45"/>
            </w:pPr>
            <w:r>
              <w:rPr>
                <w:sz w:val="15"/>
                <w:szCs w:val="15"/>
              </w:rPr>
              <w:t xml:space="preserve">Recurrence data are reported from small studies without pooling (19% simultaneous intra- and extrahepatic recurrence from one series of unstated size, 54% versus 33% intrahepatic-only recurrence before and after 24 months from a 189-patient series), and 'small studies have reported favourable outcomes after resection of recurrence in selected patients' is reported without any number at all</w:t>
            </w:r>
          </w:p>
          <w:p>
            <w:pPr>
              <w:pStyle w:val="ListParagraph"/>
              <w:numPr>
                <w:ilvl w:val="0"/>
                <w:numId w:val="2"/>
              </w:numPr>
              <w:spacing w:after="45"/>
            </w:pPr>
            <w:r>
              <w:rPr>
                <w:sz w:val="15"/>
                <w:szCs w:val="15"/>
              </w:rPr>
              <w:t xml:space="preserve">The Key Points box asserts that multiple tumours and positive lymph nodes 'do not preclude 5-year survival after resection', which is true of any poor prognostic factor and is not a statement about expected benefit; it is the kind of formulation that justifies operating in patients the authors' own Future Research section says may not benefit</w:t>
            </w:r>
          </w:p>
        </w:tc>
      </w:tr>
    </w:tbl>
    <w:p>
      <w:pPr>
        <w:spacing w:after="0" w:line="276"/>
      </w:pPr>
      <w:r>
        <w:rPr>
          <w:color w:val="5A6069"/>
          <w:sz w:val="14"/>
          <w:szCs w:val="14"/>
        </w:rPr>
        <w:t xml:space="preserve">Funding: Not stated in the available text; no conflict-of-interest statement located</w:t>
      </w:r>
    </w:p>
    <w:p>
      <w:pPr>
        <w:keepNext/>
        <w:spacing w:after="50" w:before="260"/>
      </w:pPr>
      <w:r>
        <w:rPr>
          <w:rFonts w:ascii="Cambria" w:cs="Cambria" w:eastAsia="Cambria" w:hAnsi="Cambria"/>
          <w:b/>
          <w:bCs/>
          <w:color w:val="17365D"/>
          <w:sz w:val="20"/>
          <w:szCs w:val="20"/>
        </w:rPr>
        <w:t xml:space="preserve">CRLM imaging meta-analysis</w:t>
      </w:r>
      <w:r>
        <w:rPr>
          <w:b/>
          <w:bCs/>
          <w:color w:val="176A87"/>
          <w:sz w:val="15"/>
          <w:szCs w:val="15"/>
        </w:rPr>
        <w:t xml:space="preserve">   Meta-analysis</w:t>
      </w:r>
      <w:r>
        <w:rPr>
          <w:color w:val="5A6069"/>
          <w:sz w:val="15"/>
          <w:szCs w:val="15"/>
        </w:rPr>
        <w:t xml:space="preserve">   PMID 20829538</w:t>
      </w:r>
    </w:p>
    <w:p>
      <w:pPr>
        <w:spacing w:after="50" w:line="276"/>
      </w:pPr>
      <w:r>
        <w:rPr>
          <w:color w:val="5A6069"/>
          <w:sz w:val="17"/>
          <w:szCs w:val="17"/>
        </w:rPr>
        <w:t xml:space="preserve">Diagnostic imaging of colorectal liver metastases with CT, MR imaging, FDG PET, and/or FDG PET/CT: a meta-analysis of prospective studies including patients who have not previously undergone treatment.</w:t>
      </w:r>
    </w:p>
    <w:p>
      <w:pPr>
        <w:spacing w:after="50"/>
      </w:pPr>
      <w:r>
        <w:rPr>
          <w:b/>
          <w:bCs/>
          <w:color w:val="176A87"/>
          <w:sz w:val="16"/>
          <w:szCs w:val="16"/>
        </w:rPr>
        <w:t xml:space="preserve">Population. </w:t>
      </w:r>
      <w:r>
        <w:rPr>
          <w:sz w:val="16"/>
          <w:szCs w:val="16"/>
        </w:rPr>
        <w:t xml:space="preserve">39 articles, 3391 patients (1863 male, 1317 female); mean age 61.4 years, range 20-93</w:t>
      </w:r>
    </w:p>
    <w:p>
      <w:pPr>
        <w:spacing w:after="70"/>
      </w:pPr>
      <w:r>
        <w:rPr>
          <w:b/>
          <w:bCs/>
          <w:color w:val="17365D"/>
          <w:sz w:val="16"/>
          <w:szCs w:val="16"/>
        </w:rPr>
        <w:t xml:space="preserve">Bottom line. </w:t>
      </w:r>
      <w:r>
        <w:rPr>
          <w:sz w:val="16"/>
          <w:szCs w:val="16"/>
        </w:rPr>
        <w:t xml:space="preserve">Pooling 39 prospective studies of 3391 treatment-naive colorectal cancer patients, MRI, CT and FDG PET detect 74-81% of liver metastases per lesion with MRI better than CT only below 10 mm - it establishes that no modality finds every metastasis in a staging population and that liver-specific contrast and multidetector CT add nothing measurable, and it establishes nothing about how any modality performs on a low-prevalence incidental lesion.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Both patients suspected of having and patients known to have metastases were pooled even though the two populations have inherently different diagnostic thresholds; a known metastasis lowers the threshold for calling a second lesion positive, and inadequate reporting made subgroup analysis impossible. The same applies to synchronous vs metachronous lesions</w:t>
            </w:r>
          </w:p>
          <w:p>
            <w:pPr>
              <w:pStyle w:val="ListParagraph"/>
              <w:numPr>
                <w:ilvl w:val="0"/>
                <w:numId w:val="2"/>
              </w:numPr>
              <w:spacing w:after="45"/>
            </w:pPr>
            <w:r>
              <w:rPr>
                <w:sz w:val="15"/>
                <w:szCs w:val="15"/>
              </w:rPr>
              <w:t xml:space="preserve">A composite reference standard (intraoperative palpation, intraoperative ultrasound, histopathology, follow-up) was unavoidable; restricting to intraoperative plus histopathology alone would have left only one eligible study, and even then selection bias would prevent extrapolation to the general colorectal cancer population</w:t>
            </w:r>
          </w:p>
          <w:p>
            <w:pPr>
              <w:pStyle w:val="ListParagraph"/>
              <w:numPr>
                <w:ilvl w:val="0"/>
                <w:numId w:val="2"/>
              </w:numPr>
              <w:spacing w:after="45"/>
            </w:pPr>
            <w:r>
              <w:rPr>
                <w:sz w:val="15"/>
                <w:szCs w:val="15"/>
              </w:rPr>
              <w:t xml:space="preserve">Because an independent reference standard is used in most patients, such studies are always level 4 evidence by Centre for Evidence-based Medicine criteria</w:t>
            </w:r>
          </w:p>
          <w:p>
            <w:pPr>
              <w:pStyle w:val="ListParagraph"/>
              <w:numPr>
                <w:ilvl w:val="0"/>
                <w:numId w:val="2"/>
              </w:numPr>
              <w:spacing w:after="45"/>
            </w:pPr>
            <w:r>
              <w:rPr>
                <w:sz w:val="15"/>
                <w:szCs w:val="15"/>
              </w:rPr>
              <w:t xml:space="preserve">No study performed complete staging (lung, extrahepatic and liver together), even among the PET/CT studies</w:t>
            </w:r>
          </w:p>
          <w:p>
            <w:pPr>
              <w:pStyle w:val="ListParagraph"/>
              <w:numPr>
                <w:ilvl w:val="0"/>
                <w:numId w:val="2"/>
              </w:numPr>
              <w:spacing w:after="45"/>
            </w:pPr>
            <w:r>
              <w:rPr>
                <w:sz w:val="15"/>
                <w:szCs w:val="15"/>
              </w:rPr>
              <w:t xml:space="preserve">FDG PET and PET/CT data were scarce because most recent studies measured change in clinical management rather than diagnostic performance</w:t>
            </w:r>
          </w:p>
          <w:p>
            <w:pPr>
              <w:pStyle w:val="ListParagraph"/>
              <w:numPr>
                <w:ilvl w:val="0"/>
                <w:numId w:val="2"/>
              </w:numPr>
              <w:spacing w:after="45"/>
            </w:pPr>
            <w:r>
              <w:rPr>
                <w:sz w:val="15"/>
                <w:szCs w:val="15"/>
              </w:rPr>
              <w:t xml:space="preserve">Publication bias could not be excluded; authors were not contacted for unpublished per-patient or per-lesion data because authors are often unwilling to provide it</w:t>
            </w:r>
          </w:p>
          <w:p>
            <w:pPr>
              <w:pStyle w:val="ListParagraph"/>
              <w:numPr>
                <w:ilvl w:val="0"/>
                <w:numId w:val="2"/>
              </w:numPr>
              <w:spacing w:after="45"/>
            </w:pPr>
            <w:r>
              <w:rPr>
                <w:sz w:val="15"/>
                <w:szCs w:val="15"/>
              </w:rPr>
              <w:t xml:space="preserve">Considerable heterogeneity in sensitivity and specificity across studies, driven by study design, patient characteristics, technical aspects and data reporting; random-effects models were used but heterogeneity remains a concern that influences certainty of conclusions</w:t>
            </w:r>
          </w:p>
          <w:p>
            <w:pPr>
              <w:pStyle w:val="ListParagraph"/>
              <w:numPr>
                <w:ilvl w:val="0"/>
                <w:numId w:val="2"/>
              </w:numPr>
              <w:spacing w:after="45"/>
            </w:pPr>
            <w:r>
              <w:rPr>
                <w:sz w:val="15"/>
                <w:szCs w:val="15"/>
              </w:rPr>
              <w:t xml:space="preserve">Reference test details were too poorly described to permit subgroup analysis of different reference standards</w:t>
            </w:r>
          </w:p>
          <w:p>
            <w:pPr>
              <w:pStyle w:val="ListParagraph"/>
              <w:numPr>
                <w:ilvl w:val="0"/>
                <w:numId w:val="2"/>
              </w:numPr>
              <w:spacing w:after="45"/>
            </w:pPr>
            <w:r>
              <w:rPr>
                <w:sz w:val="15"/>
                <w:szCs w:val="15"/>
              </w:rPr>
              <w:t xml:space="preserve">Observers were not blinded to authors, affiliation or journal during data extraction</w:t>
            </w:r>
          </w:p>
          <w:p>
            <w:pPr>
              <w:pStyle w:val="ListParagraph"/>
              <w:numPr>
                <w:ilvl w:val="0"/>
                <w:numId w:val="2"/>
              </w:numPr>
              <w:spacing w:after="45"/>
            </w:pPr>
            <w:r>
              <w:rPr>
                <w:sz w:val="15"/>
                <w:szCs w:val="15"/>
              </w:rPr>
              <w:t xml:space="preserve">Follow-up scheme was clearly described in only one of the 39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reports two different sets of per-patient sensitivities and never reconciles them: the abstract and Table 4 give CT 83.6%, MRI 88.2%, FDG PET 94.1%, while the 'Advances in Knowledge' box gives 81.2%, 93.4% and 94.2%. The p=.025 CT-vs-PET comparison is quoted from the first set and the MRI superiority impression from the second</w:t>
            </w:r>
          </w:p>
          <w:p>
            <w:pPr>
              <w:pStyle w:val="ListParagraph"/>
              <w:numPr>
                <w:ilvl w:val="0"/>
                <w:numId w:val="2"/>
              </w:numPr>
              <w:spacing w:after="45"/>
            </w:pPr>
            <w:r>
              <w:rPr>
                <w:sz w:val="15"/>
                <w:szCs w:val="15"/>
              </w:rPr>
              <w:t xml:space="preserve">Table 5 labels the small-lesion subgroup as '&lt;1 mm' where the text and the rest of the paper mean &lt;10 mm. A pathway reading the table alone would import a nonsensical threshold</w:t>
            </w:r>
          </w:p>
          <w:p>
            <w:pPr>
              <w:pStyle w:val="ListParagraph"/>
              <w:numPr>
                <w:ilvl w:val="0"/>
                <w:numId w:val="2"/>
              </w:numPr>
              <w:spacing w:after="45"/>
            </w:pPr>
            <w:r>
              <w:rPr>
                <w:sz w:val="15"/>
                <w:szCs w:val="15"/>
              </w:rPr>
              <w:t xml:space="preserve">This is a meta-analysis of *patients with histologically proven colorectal cancer being staged for liver metastases*. The denominator is a cancer-staging population with a high pre-test probability. Its sensitivities cannot be transported to an incidentally detected lesion in a normal liver, where prevalence is low and positive predictive value collapses - the paper reports no predictive values at all, only sensitivity and specificity</w:t>
            </w:r>
          </w:p>
          <w:p>
            <w:pPr>
              <w:pStyle w:val="ListParagraph"/>
              <w:numPr>
                <w:ilvl w:val="0"/>
                <w:numId w:val="2"/>
              </w:numPr>
              <w:spacing w:after="45"/>
            </w:pPr>
            <w:r>
              <w:rPr>
                <w:sz w:val="15"/>
                <w:szCs w:val="15"/>
              </w:rPr>
              <w:t xml:space="preserve">Per-patient sensitivity is the figure that gets quoted (94.1% for PET) and is the one the authors themselves say 'probably leads to overestimation'; the per-lesion figures that matter for deciding whether a resection is complete are 74-81%, meaning one lesion in four to five is missed by every modality</w:t>
            </w:r>
          </w:p>
          <w:p>
            <w:pPr>
              <w:pStyle w:val="ListParagraph"/>
              <w:numPr>
                <w:ilvl w:val="0"/>
                <w:numId w:val="2"/>
              </w:numPr>
              <w:spacing w:after="45"/>
            </w:pPr>
            <w:r>
              <w:rPr>
                <w:sz w:val="15"/>
                <w:szCs w:val="15"/>
              </w:rPr>
              <w:t xml:space="preserve">The confidence intervals on the headline per-patient numbers are enormous and are usually dropped when cited: CT 66.9-92.8% and MRI 64.8-96.8%. A 95% interval spanning 65% to 97% does not support ranking modalities, yet the paper's 'Implications for Patient Care' box declares MRI the preferred first-line modality</w:t>
            </w:r>
          </w:p>
          <w:p>
            <w:pPr>
              <w:pStyle w:val="ListParagraph"/>
              <w:numPr>
                <w:ilvl w:val="0"/>
                <w:numId w:val="2"/>
              </w:numPr>
              <w:spacing w:after="45"/>
            </w:pPr>
            <w:r>
              <w:rPr>
                <w:sz w:val="15"/>
                <w:szCs w:val="15"/>
              </w:rPr>
              <w:t xml:space="preserve">The modality comparison is largely between studies rather than within patients. Only the &lt;10 mm and &gt;=10 mm subgroups used head-to-head comparison studies (5 CT and 8 MRI data sets). Everywhere else CT and MRI estimates come from different populations with different prevalences, and the authors note interstudy variability explains the CT-MRI differences they do find</w:t>
            </w:r>
          </w:p>
          <w:p>
            <w:pPr>
              <w:pStyle w:val="ListParagraph"/>
              <w:numPr>
                <w:ilvl w:val="0"/>
                <w:numId w:val="2"/>
              </w:numPr>
              <w:spacing w:after="45"/>
            </w:pPr>
            <w:r>
              <w:rPr>
                <w:sz w:val="15"/>
                <w:szCs w:val="15"/>
              </w:rPr>
              <w:t xml:space="preserve">Multiple data sets were extracted from single studies (61 MRI data sets from 18 studies, 38 CT data sets from 25 studies) - readers and techniques were each counted as separate data sets. The adjustment was to add 'the same number for each study' in the random-effects subject statement, which is not a standard clustering correction and is never validated or compared with alternatives</w:t>
            </w:r>
          </w:p>
          <w:p>
            <w:pPr>
              <w:pStyle w:val="ListParagraph"/>
              <w:numPr>
                <w:ilvl w:val="0"/>
                <w:numId w:val="2"/>
              </w:numPr>
              <w:spacing w:after="45"/>
            </w:pPr>
            <w:r>
              <w:rPr>
                <w:sz w:val="15"/>
                <w:szCs w:val="15"/>
              </w:rPr>
              <w:t xml:space="preserve">Verification is differential and incorporation bias is structural: in 23 of 39 studies follow-up imaging was part of the reference standard, so a lesion seen on the index CT or MRI and still seen later is confirmed by the index test's own modality. The authors state investigators are 'never blinded to earlier test results' because patient care takes priority - i.e. review bias is built into every included study by design</w:t>
            </w:r>
          </w:p>
          <w:p>
            <w:pPr>
              <w:pStyle w:val="ListParagraph"/>
              <w:numPr>
                <w:ilvl w:val="0"/>
                <w:numId w:val="2"/>
              </w:numPr>
              <w:spacing w:after="45"/>
            </w:pPr>
            <w:r>
              <w:rPr>
                <w:sz w:val="15"/>
                <w:szCs w:val="15"/>
              </w:rPr>
              <w:t xml:space="preserve">'Prospective' here means the index test was planned before the reference test, not that patients were consecutively enrolled with a pre-specified protocol. Table 2 shows the basis of patient selection was 'Unknown' in 19 of 39 studies, and QUADAS found the largest variation in exactly this domain. The restriction to prospective studies therefore buys less internal validity than the title implies</w:t>
            </w:r>
          </w:p>
          <w:p>
            <w:pPr>
              <w:pStyle w:val="ListParagraph"/>
              <w:numPr>
                <w:ilvl w:val="0"/>
                <w:numId w:val="2"/>
              </w:numPr>
              <w:spacing w:after="45"/>
            </w:pPr>
            <w:r>
              <w:rPr>
                <w:sz w:val="15"/>
                <w:szCs w:val="15"/>
              </w:rPr>
              <w:t xml:space="preserve">Restricting to treatment-naive patients, while methodologically clean, selects for patients proceeding toward resection, who are by definition those whose disease looked resectable on the index imaging - a selection on the index test result</w:t>
            </w:r>
          </w:p>
          <w:p>
            <w:pPr>
              <w:pStyle w:val="ListParagraph"/>
              <w:numPr>
                <w:ilvl w:val="0"/>
                <w:numId w:val="2"/>
              </w:numPr>
              <w:spacing w:after="45"/>
            </w:pPr>
            <w:r>
              <w:rPr>
                <w:sz w:val="15"/>
                <w:szCs w:val="15"/>
              </w:rPr>
              <w:t xml:space="preserve">Three negative findings that should restrain equipment and protocol claims are reported and then not carried into the conclusions: multidetector CT was no better than single-section, dual-phase no better than portal-phase alone, and liver-specific contrast agents gave no benefit. The paper instead concludes MRI is preferred, resting on a date-of-publication subgroup (post-2004) that is confounded with every other secular change in practice</w:t>
            </w:r>
          </w:p>
          <w:p>
            <w:pPr>
              <w:pStyle w:val="ListParagraph"/>
              <w:numPr>
                <w:ilvl w:val="0"/>
                <w:numId w:val="2"/>
              </w:numPr>
              <w:spacing w:after="45"/>
            </w:pPr>
            <w:r>
              <w:rPr>
                <w:sz w:val="15"/>
                <w:szCs w:val="15"/>
              </w:rPr>
              <w:t xml:space="preserve">No GRADE or equivalent certainty rating, and no sensitivity analysis excluding the studies at highest risk of bias</w:t>
            </w:r>
          </w:p>
        </w:tc>
      </w:tr>
    </w:tbl>
    <w:p>
      <w:pPr>
        <w:spacing w:after="0" w:line="276"/>
      </w:pPr>
      <w:r>
        <w:rPr>
          <w:color w:val="5A6069"/>
          <w:sz w:val="14"/>
          <w:szCs w:val="14"/>
        </w:rPr>
        <w:t xml:space="preserve">Funding: Authors stated no financial relationship to disclose</w:t>
      </w:r>
    </w:p>
    <w:p>
      <w:pPr>
        <w:keepNext/>
        <w:spacing w:after="50" w:before="260"/>
      </w:pPr>
      <w:r>
        <w:rPr>
          <w:rFonts w:ascii="Cambria" w:cs="Cambria" w:eastAsia="Cambria" w:hAnsi="Cambria"/>
          <w:b/>
          <w:bCs/>
          <w:color w:val="17365D"/>
          <w:sz w:val="20"/>
          <w:szCs w:val="20"/>
        </w:rPr>
        <w:t xml:space="preserve">EASL benign tumours 2016</w:t>
      </w:r>
      <w:r>
        <w:rPr>
          <w:b/>
          <w:bCs/>
          <w:color w:val="176A87"/>
          <w:sz w:val="15"/>
          <w:szCs w:val="15"/>
        </w:rPr>
        <w:t xml:space="preserve">   Guideline</w:t>
      </w:r>
      <w:r>
        <w:rPr>
          <w:color w:val="5A6069"/>
          <w:sz w:val="15"/>
          <w:szCs w:val="15"/>
        </w:rPr>
        <w:t xml:space="preserve">   PMID 27085809</w:t>
      </w:r>
    </w:p>
    <w:p>
      <w:pPr>
        <w:spacing w:after="50" w:line="276"/>
      </w:pPr>
      <w:r>
        <w:rPr>
          <w:color w:val="5A6069"/>
          <w:sz w:val="17"/>
          <w:szCs w:val="17"/>
        </w:rPr>
        <w:t xml:space="preserve">EASL Clinical Practice Guidelines on the management of benign liver tumours.</w:t>
      </w:r>
    </w:p>
    <w:p>
      <w:pPr>
        <w:spacing w:after="70"/>
      </w:pPr>
      <w:r>
        <w:rPr>
          <w:b/>
          <w:bCs/>
          <w:color w:val="17365D"/>
          <w:sz w:val="16"/>
          <w:szCs w:val="16"/>
        </w:rPr>
        <w:t xml:space="preserve">Bottom line. </w:t>
      </w:r>
      <w:r>
        <w:rPr>
          <w:sz w:val="16"/>
          <w:szCs w:val="16"/>
        </w:rPr>
        <w:t xml:space="preserve">The EASL guideline on benign liver tumours, establishing conservative management for typical haemangioma and FNH, lifestyle change for all hepatocellular adenoma, resection for any HCA in a man or with proven beta-catenin mutation, and resection in women at 5 cm or on growth - every one of its recommendations rests on evidence level II-2, II-3 or III with no randomised or controlled data anywhere, the 5 cm and male-sex rules are weak recommendations from uncontrolled series, and it requires a beta-catenin diagnosis it states no imaging technique can make.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guideline's own grading is its statement of limitation: not one recommendation in the document rests on evidence level I or II-1, i.e. there is no randomised or non-randomised controlled trial evidence anywhere</w:t>
            </w:r>
          </w:p>
          <w:p>
            <w:pPr>
              <w:pStyle w:val="ListParagraph"/>
              <w:numPr>
                <w:ilvl w:val="0"/>
                <w:numId w:val="2"/>
              </w:numPr>
              <w:spacing w:after="45"/>
            </w:pPr>
            <w:r>
              <w:rPr>
                <w:sz w:val="15"/>
                <w:szCs w:val="15"/>
              </w:rPr>
              <w:t xml:space="preserve">Incidence and prevalence data for HCA are stated not to be well established</w:t>
            </w:r>
          </w:p>
          <w:p>
            <w:pPr>
              <w:pStyle w:val="ListParagraph"/>
              <w:numPr>
                <w:ilvl w:val="0"/>
                <w:numId w:val="2"/>
              </w:numPr>
              <w:spacing w:after="45"/>
            </w:pPr>
            <w:r>
              <w:rPr>
                <w:sz w:val="15"/>
                <w:szCs w:val="15"/>
              </w:rPr>
              <w:t xml:space="preserve">The 30-40 fold increase in HCA incidence with long-term oral contraceptive use is described as 'assumed'</w:t>
            </w:r>
          </w:p>
          <w:p>
            <w:pPr>
              <w:pStyle w:val="ListParagraph"/>
              <w:numPr>
                <w:ilvl w:val="0"/>
                <w:numId w:val="2"/>
              </w:numPr>
              <w:spacing w:after="45"/>
            </w:pPr>
            <w:r>
              <w:rPr>
                <w:sz w:val="15"/>
                <w:szCs w:val="15"/>
              </w:rPr>
              <w:t xml:space="preserve">Imaging cannot identify beta-catenin-activated HCA or distinguish it from unclassified HCA or HCC by any technique - the subtype with the highest malignant potential is radiologically invisible as a subtype</w:t>
            </w:r>
          </w:p>
          <w:p>
            <w:pPr>
              <w:pStyle w:val="ListParagraph"/>
              <w:numPr>
                <w:ilvl w:val="0"/>
                <w:numId w:val="2"/>
              </w:numPr>
              <w:spacing w:after="45"/>
            </w:pPr>
            <w:r>
              <w:rPr>
                <w:sz w:val="15"/>
                <w:szCs w:val="15"/>
              </w:rPr>
              <w:t xml:space="preserve">Precise counting of HCA by imaging is acknowledged as challenging, which is why the adenomatosis terminology was abandoned</w:t>
            </w:r>
          </w:p>
          <w:p>
            <w:pPr>
              <w:pStyle w:val="ListParagraph"/>
              <w:numPr>
                <w:ilvl w:val="0"/>
                <w:numId w:val="2"/>
              </w:numPr>
              <w:spacing w:after="45"/>
            </w:pPr>
            <w:r>
              <w:rPr>
                <w:sz w:val="15"/>
                <w:szCs w:val="15"/>
              </w:rPr>
              <w:t xml:space="preserve">No data support elective caesarean section for adenomas under 5 cm</w:t>
            </w:r>
          </w:p>
          <w:p>
            <w:pPr>
              <w:pStyle w:val="ListParagraph"/>
              <w:numPr>
                <w:ilvl w:val="0"/>
                <w:numId w:val="2"/>
              </w:numPr>
              <w:spacing w:after="45"/>
            </w:pPr>
            <w:r>
              <w:rPr>
                <w:sz w:val="15"/>
                <w:szCs w:val="15"/>
              </w:rPr>
              <w:t xml:space="preserve">The guideline states that if significant doubt remains, biopsy or resection may be appropriate, but these are invasive procedures associated with risk and should only be pursued after consideration by an experienced MDT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prevalence figures are presented as ranges spanning two orders of magnitude - haemangioma 0.4-20%, FNH 0.4-3% at autopsy versus 0.03% clinically - and the guideline does not resolve them or explain what drives the spread. A pathway that quotes '5% of people have a haemangioma' is selecting one point from a 50-fold range whose extremes come from autopsy and imaging series that counted different things, exactly the denominator problem that runs through this depot</w:t>
            </w:r>
          </w:p>
          <w:p>
            <w:pPr>
              <w:pStyle w:val="ListParagraph"/>
              <w:numPr>
                <w:ilvl w:val="0"/>
                <w:numId w:val="2"/>
              </w:numPr>
              <w:spacing w:after="45"/>
            </w:pPr>
            <w:r>
              <w:rPr>
                <w:sz w:val="15"/>
                <w:szCs w:val="15"/>
              </w:rPr>
              <w:t xml:space="preserve">The HCA prevalence of 0.001-0.004% is cited from two references and is three to four orders of magnitude below the 0.04% that Kaltenbach reports in the same depot from 45,319 ultrasound examinations. Neither figure is reconciled against the other anywhere, and both appear in current practice documents</w:t>
            </w:r>
          </w:p>
          <w:p>
            <w:pPr>
              <w:pStyle w:val="ListParagraph"/>
              <w:numPr>
                <w:ilvl w:val="0"/>
                <w:numId w:val="2"/>
              </w:numPr>
              <w:spacing w:after="45"/>
            </w:pPr>
            <w:r>
              <w:rPr>
                <w:sz w:val="15"/>
                <w:szCs w:val="15"/>
              </w:rPr>
              <w:t xml:space="preserve">The 5 cm resection threshold for women - the single most consequential number in the guideline - carries evidence level II-3 (multiple time series or dramatic uncontrolled experiments) and recommendation strength 2 (weak). There is no cohort in which 5 cm was derived as a cut-point, no comparison of outcomes above and below it, and no stated bleeding or malignancy risk at 4 cm versus 6 cm. The number is a convention</w:t>
            </w:r>
          </w:p>
          <w:p>
            <w:pPr>
              <w:pStyle w:val="ListParagraph"/>
              <w:numPr>
                <w:ilvl w:val="0"/>
                <w:numId w:val="2"/>
              </w:numPr>
              <w:spacing w:after="45"/>
            </w:pPr>
            <w:r>
              <w:rPr>
                <w:sz w:val="15"/>
                <w:szCs w:val="15"/>
              </w:rPr>
              <w:t xml:space="preserve">The rule that all HCAs in men be resected irrespective of size is also II-3 / weak, and rests on the observation that male HCA is over-represented among malignant transformations in surgical series - a denominator problem, since male HCA is rare and surgical series are enriched for resected (hence suspicious) lesions. No absolute risk is given for a small HCA in a man, so the pathway cannot compare the risk of the tumour with the risk of the hepatectomy</w:t>
            </w:r>
          </w:p>
          <w:p>
            <w:pPr>
              <w:pStyle w:val="ListParagraph"/>
              <w:numPr>
                <w:ilvl w:val="0"/>
                <w:numId w:val="2"/>
              </w:numPr>
              <w:spacing w:after="45"/>
            </w:pPr>
            <w:r>
              <w:rPr>
                <w:sz w:val="15"/>
                <w:szCs w:val="15"/>
              </w:rPr>
              <w:t xml:space="preserve">The guideline simultaneously requires that beta-catenin mutation trigger resection and states that beta-catenin-activated HCA cannot be identified by any imaging technique. Proving the mutation therefore requires biopsy of a lesion for which biopsy is discouraged, and the guideline does not address how the recommendation is to be operationalised - a circularity a pathway will have to resolve for itself</w:t>
            </w:r>
          </w:p>
          <w:p>
            <w:pPr>
              <w:pStyle w:val="ListParagraph"/>
              <w:numPr>
                <w:ilvl w:val="0"/>
                <w:numId w:val="2"/>
              </w:numPr>
              <w:spacing w:after="45"/>
            </w:pPr>
            <w:r>
              <w:rPr>
                <w:sz w:val="15"/>
                <w:szCs w:val="15"/>
              </w:rPr>
              <w:t xml:space="preserve">The MRI subtyping claim ('up to 80%') is graded II-2 / strong, the strongest recommendation grade in the document, on the basis of a point estimate at the top of an unstated range. Kim 2023 in this same depot shows the specificity of the key hepatobiliary-phase feature falling to 65% once H-HCA and I-HCA are excluded, i.e. precisely in the subtypes the guideline admits MRI cannot characterise</w:t>
            </w:r>
          </w:p>
          <w:p>
            <w:pPr>
              <w:pStyle w:val="ListParagraph"/>
              <w:numPr>
                <w:ilvl w:val="0"/>
                <w:numId w:val="2"/>
              </w:numPr>
              <w:spacing w:after="45"/>
            </w:pPr>
            <w:r>
              <w:rPr>
                <w:sz w:val="15"/>
                <w:szCs w:val="15"/>
              </w:rPr>
              <w:t xml:space="preserve">No search strategy, no databases, no dates, no screening, no evidence tables and no systematic review underlie any of the recommendations. The GRADE labels are applied to a literature assembled by unstated means, which gives the appearance of systematic grading without the substance of a systematic review</w:t>
            </w:r>
          </w:p>
          <w:p>
            <w:pPr>
              <w:pStyle w:val="ListParagraph"/>
              <w:numPr>
                <w:ilvl w:val="0"/>
                <w:numId w:val="2"/>
              </w:numPr>
              <w:spacing w:after="45"/>
            </w:pPr>
            <w:r>
              <w:rPr>
                <w:sz w:val="15"/>
                <w:szCs w:val="15"/>
              </w:rPr>
              <w:t xml:space="preserve">The panel is seven people, with no reported voting, no agreement thresholds, no Delphi process, no external review and no patient involvement. Dissent, if any, is invisible</w:t>
            </w:r>
          </w:p>
          <w:p>
            <w:pPr>
              <w:pStyle w:val="ListParagraph"/>
              <w:numPr>
                <w:ilvl w:val="0"/>
                <w:numId w:val="2"/>
              </w:numPr>
              <w:spacing w:after="45"/>
            </w:pPr>
            <w:r>
              <w:rPr>
                <w:sz w:val="15"/>
                <w:szCs w:val="15"/>
              </w:rPr>
              <w:t xml:space="preserve">Several recommendations rest on evidence level III (expert opinion and descriptive epidemiology) while carrying recommendation strength 1 (strong) - MDT referral for atypical FNH and for complicated haemangioma. Strong recommendations from expert opinion are a GRADE discordance the document does not justify</w:t>
            </w:r>
          </w:p>
          <w:p>
            <w:pPr>
              <w:pStyle w:val="ListParagraph"/>
              <w:numPr>
                <w:ilvl w:val="0"/>
                <w:numId w:val="2"/>
              </w:numPr>
              <w:spacing w:after="45"/>
            </w:pPr>
            <w:r>
              <w:rPr>
                <w:sz w:val="15"/>
                <w:szCs w:val="15"/>
              </w:rPr>
              <w:t xml:space="preserve">The '6 months of observation after lifestyle change' interval, the '1 year then annual' surveillance schedule for sub-5 cm HCA in women, the 'every 6-12 weeks' ultrasound in pregnancy, and the glycogen-storage-disease schedule of annual then biannual ultrasound are all single numbers with no derivation, no comparison of intervals and no evidence of benefit from surveillance at any frequency</w:t>
            </w:r>
          </w:p>
          <w:p>
            <w:pPr>
              <w:pStyle w:val="ListParagraph"/>
              <w:numPr>
                <w:ilvl w:val="0"/>
                <w:numId w:val="2"/>
              </w:numPr>
              <w:spacing w:after="45"/>
            </w:pPr>
            <w:r>
              <w:rPr>
                <w:sz w:val="15"/>
                <w:szCs w:val="15"/>
              </w:rPr>
              <w:t xml:space="preserve">The claim that risk in multiple HCA is driven by the size of the largest nodule rather than by number is graded only through its citations to retrospective surgical series, and sits uneasily with the finding, in the same paragraph, that microscopic adenomatous foci escape detection in up to 20% of resected livers</w:t>
            </w:r>
          </w:p>
          <w:p>
            <w:pPr>
              <w:pStyle w:val="ListParagraph"/>
              <w:numPr>
                <w:ilvl w:val="0"/>
                <w:numId w:val="2"/>
              </w:numPr>
              <w:spacing w:after="45"/>
            </w:pPr>
            <w:r>
              <w:rPr>
                <w:sz w:val="15"/>
                <w:szCs w:val="15"/>
              </w:rPr>
              <w:t xml:space="preserve">The chairman declares financial support from BMS and Gilead and advisory roles with eleven companies; the relevance to benign tumours is limited but the document carries no managed-conflict statement or recusal policy</w:t>
            </w:r>
          </w:p>
          <w:p>
            <w:pPr>
              <w:pStyle w:val="ListParagraph"/>
              <w:numPr>
                <w:ilvl w:val="0"/>
                <w:numId w:val="2"/>
              </w:numPr>
              <w:spacing w:after="45"/>
            </w:pPr>
            <w:r>
              <w:rPr>
                <w:sz w:val="15"/>
                <w:szCs w:val="15"/>
              </w:rPr>
              <w:t xml:space="preserve">Published 2016 with no expiry date, no update interval and no living-guideline mechanism, and predating the 2017 eight-subtype molecular classification that the HCA literature now uses - so its four-subtype framework is already superseded</w:t>
            </w:r>
          </w:p>
        </w:tc>
      </w:tr>
    </w:tbl>
    <w:p>
      <w:pPr>
        <w:spacing w:after="0" w:line="276"/>
      </w:pPr>
      <w:r>
        <w:rPr>
          <w:color w:val="5A6069"/>
          <w:sz w:val="14"/>
          <w:szCs w:val="14"/>
        </w:rPr>
        <w:t xml:space="preserve">Funding: Not stated. Panel chair M. Colombo declares financial support from BMS and Gilead Science and advisory roles with Merck, Roche, Novartis, Bayer, BMS, Gilead, Tibotec, Vertex, Janssen Cilag, Achillion, Lundbeck, GSK, GenSpera, AbbVie, Alfa Wassermann and Jennerex</w:t>
      </w:r>
    </w:p>
    <w:p>
      <w:pPr>
        <w:keepNext/>
        <w:spacing w:after="50" w:before="260"/>
      </w:pPr>
      <w:r>
        <w:rPr>
          <w:rFonts w:ascii="Cambria" w:cs="Cambria" w:eastAsia="Cambria" w:hAnsi="Cambria"/>
          <w:b/>
          <w:bCs/>
          <w:color w:val="17365D"/>
          <w:sz w:val="20"/>
          <w:szCs w:val="20"/>
        </w:rPr>
        <w:t xml:space="preserve">EASL vascular liver 2015</w:t>
      </w:r>
      <w:r>
        <w:rPr>
          <w:b/>
          <w:bCs/>
          <w:color w:val="176A87"/>
          <w:sz w:val="15"/>
          <w:szCs w:val="15"/>
        </w:rPr>
        <w:t xml:space="preserve">   Guideline</w:t>
      </w:r>
      <w:r>
        <w:rPr>
          <w:color w:val="5A6069"/>
          <w:sz w:val="15"/>
          <w:szCs w:val="15"/>
        </w:rPr>
        <w:t xml:space="preserve">   PMID 26516032</w:t>
      </w:r>
    </w:p>
    <w:p>
      <w:pPr>
        <w:spacing w:after="50" w:line="276"/>
      </w:pPr>
      <w:r>
        <w:rPr>
          <w:color w:val="5A6069"/>
          <w:sz w:val="17"/>
          <w:szCs w:val="17"/>
        </w:rPr>
        <w:t xml:space="preserve">EASL Clinical Practice Guidelines: vascular diseases of the liver.</w:t>
      </w:r>
    </w:p>
    <w:p>
      <w:pPr>
        <w:spacing w:after="70"/>
      </w:pPr>
      <w:r>
        <w:rPr>
          <w:b/>
          <w:bCs/>
          <w:color w:val="17365D"/>
          <w:sz w:val="16"/>
          <w:szCs w:val="16"/>
        </w:rPr>
        <w:t xml:space="preserve">Bottom line. </w:t>
      </w:r>
      <w:r>
        <w:rPr>
          <w:sz w:val="16"/>
          <w:szCs w:val="16"/>
        </w:rPr>
        <w:t xml:space="preserve">The EASL guideline on vascular liver diseases, establishing that 60-80% of Budd-Chiari patients harbour multiple small hypervascular benign nodules in a non-cirrhotic liver, that HCC nonetheless arises in about 4% by 5 years, and that the HCC criteria validated in cirrhosis do not apply to these nodules - it is the document that should stop a pathway calling multiple hypervascular non-cirrhotic nodules FNH without excluding outflow obstruction, and it does not establish the inverse probability a radiologist actually needs, nor any validated biopsy trigger, resting as it does on a PubMed-only search built around one 2012 conference agenda with committee opinion where evidence was absent.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states that advances in knowledge of vascular liver disorders are hampered by the small number of cases and a limited number of studies assessing natural history, pathophysiology or therapy</w:t>
            </w:r>
          </w:p>
          <w:p>
            <w:pPr>
              <w:pStyle w:val="ListParagraph"/>
              <w:numPr>
                <w:ilvl w:val="0"/>
                <w:numId w:val="2"/>
              </w:numPr>
              <w:spacing w:after="45"/>
            </w:pPr>
            <w:r>
              <w:rPr>
                <w:sz w:val="15"/>
                <w:szCs w:val="15"/>
              </w:rPr>
              <w:t xml:space="preserve">It states explicitly that where no clear evidence existed, recommendations were based on the agreed opinions of the writing committee members</w:t>
            </w:r>
          </w:p>
          <w:p>
            <w:pPr>
              <w:pStyle w:val="ListParagraph"/>
              <w:numPr>
                <w:ilvl w:val="0"/>
                <w:numId w:val="2"/>
              </w:numPr>
              <w:spacing w:after="45"/>
            </w:pPr>
            <w:r>
              <w:rPr>
                <w:sz w:val="15"/>
                <w:szCs w:val="15"/>
              </w:rPr>
              <w:t xml:space="preserve">It states it will not cover all possible vascular disorders of the liver and is based mainly on one 2012 conference's agenda</w:t>
            </w:r>
          </w:p>
          <w:p>
            <w:pPr>
              <w:pStyle w:val="ListParagraph"/>
              <w:numPr>
                <w:ilvl w:val="0"/>
                <w:numId w:val="2"/>
              </w:numPr>
              <w:spacing w:after="45"/>
            </w:pPr>
            <w:r>
              <w:rPr>
                <w:sz w:val="15"/>
                <w:szCs w:val="15"/>
              </w:rPr>
              <w:t xml:space="preserve">It concedes that characterisation of BCS nodules cannot rely on the HCC criteria validated in cirrhosis, and that the only formal recommendation is multidisciplinary surveillance</w:t>
            </w:r>
          </w:p>
          <w:p>
            <w:pPr>
              <w:pStyle w:val="ListParagraph"/>
              <w:numPr>
                <w:ilvl w:val="0"/>
                <w:numId w:val="2"/>
              </w:numPr>
              <w:spacing w:after="45"/>
            </w:pPr>
            <w:r>
              <w:rPr>
                <w:sz w:val="15"/>
                <w:szCs w:val="15"/>
              </w:rPr>
              <w:t xml:space="preserve">It states the role of factor V Leiden and prothrombin gene variants in BCS and PVT remains unresolved, and that no single diagnostic test exists for INCPH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For an incidental liver mass pathway, the load-bearing figure is that 60-80% of Budd-Chiari patients have multiple hypervascular nodules under 4 cm in a non-cirrhotic liver - the exact appearance that triggers a confident diagnosis of FNH or multifocal FNH-like lesions. The guideline reports this as a prevalence within BCS and never addresses the inverse question a radiologist faces: given multiple hypervascular nodules in a non-cirrhotic liver, what is the probability of underlying vascular disease? That conditional is absent, and the 60-80% range is given with no denominator, no source cohort and no citation in the sentence itself</w:t>
            </w:r>
          </w:p>
          <w:p>
            <w:pPr>
              <w:pStyle w:val="ListParagraph"/>
              <w:numPr>
                <w:ilvl w:val="0"/>
                <w:numId w:val="2"/>
              </w:numPr>
              <w:spacing w:after="45"/>
            </w:pPr>
            <w:r>
              <w:rPr>
                <w:sz w:val="15"/>
                <w:szCs w:val="15"/>
              </w:rPr>
              <w:t xml:space="preserve">The 4% cumulative HCC incidence at a median 5 years in BCS is a single cited figure with no confidence interval, no denominator and no competing-risk treatment in a population whose mortality from portal hypertension is substantial. Cumulative incidence without accounting for the competing risk of death from liver failure overstates or understates the clinically relevant risk depending on direction, and the guideline does neither</w:t>
            </w:r>
          </w:p>
          <w:p>
            <w:pPr>
              <w:pStyle w:val="ListParagraph"/>
              <w:numPr>
                <w:ilvl w:val="0"/>
                <w:numId w:val="2"/>
              </w:numPr>
              <w:spacing w:after="45"/>
            </w:pPr>
            <w:r>
              <w:rPr>
                <w:sz w:val="15"/>
                <w:szCs w:val="15"/>
              </w:rPr>
              <w:t xml:space="preserve">The biopsy criteria for a BCS nodule - three or fewer nodules, 3 cm or larger, heterogeneity or venous-phase washout, change on two consecutive studies, or rising AFP - come from one cited source and are offered as suggestions in the same paragraph that states the only formal recommendation is surveillance. A pathway inherits five specific triggers with no sensitivity, specificity or validation, immediately qualified by a statement that none of the established criteria apply in this setting</w:t>
            </w:r>
          </w:p>
          <w:p>
            <w:pPr>
              <w:pStyle w:val="ListParagraph"/>
              <w:numPr>
                <w:ilvl w:val="0"/>
                <w:numId w:val="2"/>
              </w:numPr>
              <w:spacing w:after="45"/>
            </w:pPr>
            <w:r>
              <w:rPr>
                <w:sz w:val="15"/>
                <w:szCs w:val="15"/>
              </w:rPr>
              <w:t xml:space="preserve">The A1 grade attached to 'screen patients with BCS for HCC' is the strongest grade in the document and is attached to a recommendation with no stated screening modality, no interval, no evidence of mortality benefit from screening in this population, and an underlying 4% cumulative incidence derived from one study. No screening trial in BCS exists, so the A cannot refer to the screening question</w:t>
            </w:r>
          </w:p>
          <w:p>
            <w:pPr>
              <w:pStyle w:val="ListParagraph"/>
              <w:numPr>
                <w:ilvl w:val="0"/>
                <w:numId w:val="2"/>
              </w:numPr>
              <w:spacing w:after="45"/>
            </w:pPr>
            <w:r>
              <w:rPr>
                <w:sz w:val="15"/>
                <w:szCs w:val="15"/>
              </w:rPr>
              <w:t xml:space="preserve">The guideline is built on the agenda of a single 2012 monothematic conference and states openly that it will not cover all vascular disorders - so the omissions are a function of what was discussed in Tallinn rather than of what a clinician encounters. Porto-sinusoidal vascular disorder, the entity that the 2026 multisociety consensus in this depot was written to define, appears here only as 'idiopathic non-cirrhotic portal hypertension' with the acknowledgement that no single diagnostic test exists</w:t>
            </w:r>
          </w:p>
          <w:p>
            <w:pPr>
              <w:pStyle w:val="ListParagraph"/>
              <w:numPr>
                <w:ilvl w:val="0"/>
                <w:numId w:val="2"/>
              </w:numPr>
              <w:spacing w:after="45"/>
            </w:pPr>
            <w:r>
              <w:rPr>
                <w:sz w:val="15"/>
                <w:szCs w:val="15"/>
              </w:rPr>
              <w:t xml:space="preserve">PubMed only, with no search string, no date limits, no screening process, no yield and no evidence tables. As with the companion benign-tumours guideline, GRADE labels are applied to a literature assembled by unstated means</w:t>
            </w:r>
          </w:p>
          <w:p>
            <w:pPr>
              <w:pStyle w:val="ListParagraph"/>
              <w:numPr>
                <w:ilvl w:val="0"/>
                <w:numId w:val="2"/>
              </w:numPr>
              <w:spacing w:after="45"/>
            </w:pPr>
            <w:r>
              <w:rPr>
                <w:sz w:val="15"/>
                <w:szCs w:val="15"/>
              </w:rPr>
              <w:t xml:space="preserve">Prevalence figures for aetiological factors are pooled from heterogeneous sources and reported as single percentages without intervals - MPN 40.9%, JAK2V617F 41.1%, thrombophilia in Western INCPH 40%, FVL in BCS with an explicitly unresolved role. These are the figures that drive a thrombophilia workup after an incidental nodule finding, and none carries an uncertainty estimate</w:t>
            </w:r>
          </w:p>
          <w:p>
            <w:pPr>
              <w:pStyle w:val="ListParagraph"/>
              <w:numPr>
                <w:ilvl w:val="0"/>
                <w:numId w:val="2"/>
              </w:numPr>
              <w:spacing w:after="45"/>
            </w:pPr>
            <w:r>
              <w:rPr>
                <w:sz w:val="15"/>
                <w:szCs w:val="15"/>
              </w:rPr>
              <w:t xml:space="preserve">Doppler sensitivity for BCS is given as 'more than 75%' with no specificity, no interval, no reference standard and no operator-experience stratification, while the next sentence makes the recommendation conditional on an experienced sonographer being available - so the stated performance applies only under a condition the guideline cannot assume</w:t>
            </w:r>
          </w:p>
          <w:p>
            <w:pPr>
              <w:pStyle w:val="ListParagraph"/>
              <w:numPr>
                <w:ilvl w:val="0"/>
                <w:numId w:val="2"/>
              </w:numPr>
              <w:spacing w:after="45"/>
            </w:pPr>
            <w:r>
              <w:rPr>
                <w:sz w:val="15"/>
                <w:szCs w:val="15"/>
              </w:rPr>
              <w:t xml:space="preserve">The statement that INCPH patients are 'often radiologically misclassified as cirrhotic' is the most practically important warning in the document for anyone reading a nodular liver, and it is given without a misclassification rate</w:t>
            </w:r>
          </w:p>
          <w:p>
            <w:pPr>
              <w:pStyle w:val="ListParagraph"/>
              <w:numPr>
                <w:ilvl w:val="0"/>
                <w:numId w:val="2"/>
              </w:numPr>
              <w:spacing w:after="45"/>
            </w:pPr>
            <w:r>
              <w:rPr>
                <w:sz w:val="15"/>
                <w:szCs w:val="15"/>
              </w:rPr>
              <w:t xml:space="preserve">Recommendations are presented as numbered blocks in the published text without the specific evidence grade adjacent to every clinical statement in the narrative, so a reader extracting a claim from the body text cannot always tell whether it was graded at all</w:t>
            </w:r>
          </w:p>
          <w:p>
            <w:pPr>
              <w:pStyle w:val="ListParagraph"/>
              <w:numPr>
                <w:ilvl w:val="0"/>
                <w:numId w:val="2"/>
              </w:numPr>
              <w:spacing w:after="45"/>
            </w:pPr>
            <w:r>
              <w:rPr>
                <w:sz w:val="15"/>
                <w:szCs w:val="15"/>
              </w:rPr>
              <w:t xml:space="preserve">No expiry date, no update interval and no living mechanism; published 2016 on a 2012 conference, meaning the evidence base is up to a decade older than a 2026 pathway citing it, in a field the guideline itself says is changing rapidly</w:t>
            </w:r>
          </w:p>
          <w:p>
            <w:pPr>
              <w:pStyle w:val="ListParagraph"/>
              <w:numPr>
                <w:ilvl w:val="0"/>
                <w:numId w:val="2"/>
              </w:numPr>
              <w:spacing w:after="45"/>
            </w:pPr>
            <w:r>
              <w:rPr>
                <w:sz w:val="15"/>
                <w:szCs w:val="15"/>
              </w:rPr>
              <w:t xml:space="preserve">Writing committee composition, voting procedure, agreement thresholds, external review and conflict-of-interest management are not described in the available text</w:t>
            </w:r>
          </w:p>
        </w:tc>
      </w:tr>
    </w:tbl>
    <w:p>
      <w:pPr>
        <w:spacing w:after="0" w:line="276"/>
      </w:pPr>
      <w:r>
        <w:rPr>
          <w:color w:val="5A6069"/>
          <w:sz w:val="14"/>
          <w:szCs w:val="14"/>
        </w:rPr>
        <w:t xml:space="preserve">Funding: Not stated; developed under EASL auspices following the June 2012 EASL monothematic conference in Tallinn</w:t>
      </w:r>
    </w:p>
    <w:p>
      <w:pPr>
        <w:keepNext/>
        <w:spacing w:after="50" w:before="260"/>
      </w:pPr>
      <w:r>
        <w:rPr>
          <w:rFonts w:ascii="Cambria" w:cs="Cambria" w:eastAsia="Cambria" w:hAnsi="Cambria"/>
          <w:b/>
          <w:bCs/>
          <w:color w:val="17365D"/>
          <w:sz w:val="20"/>
          <w:szCs w:val="20"/>
        </w:rPr>
        <w:t xml:space="preserve">EUS-FNB adverse events meta-analysis</w:t>
      </w:r>
      <w:r>
        <w:rPr>
          <w:b/>
          <w:bCs/>
          <w:color w:val="176A87"/>
          <w:sz w:val="15"/>
          <w:szCs w:val="15"/>
        </w:rPr>
        <w:t xml:space="preserve">   Meta-analysis</w:t>
      </w:r>
      <w:r>
        <w:rPr>
          <w:color w:val="5A6069"/>
          <w:sz w:val="15"/>
          <w:szCs w:val="15"/>
        </w:rPr>
        <w:t xml:space="preserve">   PMID 39789825</w:t>
      </w:r>
    </w:p>
    <w:p>
      <w:pPr>
        <w:spacing w:after="50" w:line="276"/>
      </w:pPr>
      <w:r>
        <w:rPr>
          <w:color w:val="5A6069"/>
          <w:sz w:val="17"/>
          <w:szCs w:val="17"/>
        </w:rPr>
        <w:t xml:space="preserve">Adverse events of 20-22G second-generation endoscopic ultrasound-guided fine-needle biopsy needles for solid lesions in the upper gastrointestinal tract and adjacent organs: systematic review and meta-analysis.</w:t>
      </w:r>
    </w:p>
    <w:p>
      <w:pPr>
        <w:spacing w:after="50"/>
      </w:pPr>
      <w:r>
        <w:rPr>
          <w:b/>
          <w:bCs/>
          <w:color w:val="176A87"/>
          <w:sz w:val="16"/>
          <w:szCs w:val="16"/>
        </w:rPr>
        <w:t xml:space="preserve">Population. </w:t>
      </w:r>
      <w:r>
        <w:rPr>
          <w:sz w:val="16"/>
          <w:szCs w:val="16"/>
        </w:rPr>
        <w:t xml:space="preserve">99 studies, 9303 patients, 166 adverse events; the liver subgroup is 4 studies with 133 patients</w:t>
      </w:r>
    </w:p>
    <w:p>
      <w:pPr>
        <w:spacing w:after="70"/>
      </w:pPr>
      <w:r>
        <w:rPr>
          <w:b/>
          <w:bCs/>
          <w:color w:val="17365D"/>
          <w:sz w:val="16"/>
          <w:szCs w:val="16"/>
        </w:rPr>
        <w:t xml:space="preserve">Bottom line. </w:t>
      </w:r>
      <w:r>
        <w:rPr>
          <w:sz w:val="16"/>
          <w:szCs w:val="16"/>
        </w:rPr>
        <w:t xml:space="preserve">Pooling 99 studies and 9303 patients, 20-22G second-generation EUS-FNB carried an overall adverse event rate of 1.8%, mostly mild bleeding and pancreatitis, but 14.0% (95% CI 7.7-24.0%) at the liver - it establishes that EUS-FNB of a liver lesion carries a materially higher complication rate than of the pancreas, and it does not establish a usable liver figure, resting on 133 patients and 18 events of which 13 were abdominal pain and one was a death the abstract denies occurred.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consensus exists on the definition, classification or grading of endoscopic adverse events, and descriptions in the source literature are often neither comprehensive nor detailed</w:t>
            </w:r>
          </w:p>
          <w:p>
            <w:pPr>
              <w:pStyle w:val="ListParagraph"/>
              <w:numPr>
                <w:ilvl w:val="0"/>
                <w:numId w:val="2"/>
              </w:numPr>
              <w:spacing w:after="45"/>
            </w:pPr>
            <w:r>
              <w:rPr>
                <w:sz w:val="15"/>
                <w:szCs w:val="15"/>
              </w:rPr>
              <w:t xml:space="preserve">Reporting of adverse events was a minor component of the reviewed articles, hindering reliable data for subgroup comparison</w:t>
            </w:r>
          </w:p>
          <w:p>
            <w:pPr>
              <w:pStyle w:val="ListParagraph"/>
              <w:numPr>
                <w:ilvl w:val="0"/>
                <w:numId w:val="2"/>
              </w:numPr>
              <w:spacing w:after="45"/>
            </w:pPr>
            <w:r>
              <w:rPr>
                <w:sz w:val="15"/>
                <w:szCs w:val="15"/>
              </w:rPr>
              <w:t xml:space="preserve">Baseline patient characteristics were not accounted for - age, sex, comorbidities including compensated cirrhosis and end-stage renal disease, and anticoagulant use</w:t>
            </w:r>
          </w:p>
          <w:p>
            <w:pPr>
              <w:pStyle w:val="ListParagraph"/>
              <w:numPr>
                <w:ilvl w:val="0"/>
                <w:numId w:val="2"/>
              </w:numPr>
              <w:spacing w:after="45"/>
            </w:pPr>
            <w:r>
              <w:rPr>
                <w:sz w:val="15"/>
                <w:szCs w:val="15"/>
              </w:rPr>
              <w:t xml:space="preserve">Tumour characteristics not considered - size, vascularity, presence of a cystic component</w:t>
            </w:r>
          </w:p>
          <w:p>
            <w:pPr>
              <w:pStyle w:val="ListParagraph"/>
              <w:numPr>
                <w:ilvl w:val="0"/>
                <w:numId w:val="2"/>
              </w:numPr>
              <w:spacing w:after="45"/>
            </w:pPr>
            <w:r>
              <w:rPr>
                <w:sz w:val="15"/>
                <w:szCs w:val="15"/>
              </w:rPr>
              <w:t xml:space="preserve">Technical factors not evaluated - sampling route, technique (slow-pull or negative pressure), number of needle passes</w:t>
            </w:r>
          </w:p>
          <w:p>
            <w:pPr>
              <w:pStyle w:val="ListParagraph"/>
              <w:numPr>
                <w:ilvl w:val="0"/>
                <w:numId w:val="2"/>
              </w:numPr>
              <w:spacing w:after="45"/>
            </w:pPr>
            <w:r>
              <w:rPr>
                <w:sz w:val="15"/>
                <w:szCs w:val="15"/>
              </w:rPr>
              <w:t xml:space="preserve">The authors note it is challenging to analyse the correlation between patient characteristics and AEs because most studies do not report such information, and that vascular-rich tumours and cirrhosis are identified as risk factors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abstract concludes 'no associated deaths' while the results report, in the liver subgroup, 'one [patient] with suspected death from discontinuation of anticoagulants'. A death is counted in the numerator of the liver AE rate and then denied in the conclusion. For a pathway considering EUS-FNB of a liver lesion, this is the single most consequential sentence in the paper and it contradicts the data two pages earlier</w:t>
            </w:r>
          </w:p>
          <w:p>
            <w:pPr>
              <w:pStyle w:val="ListParagraph"/>
              <w:numPr>
                <w:ilvl w:val="0"/>
                <w:numId w:val="2"/>
              </w:numPr>
              <w:spacing w:after="45"/>
            </w:pPr>
            <w:r>
              <w:rPr>
                <w:sz w:val="15"/>
                <w:szCs w:val="15"/>
              </w:rPr>
              <w:t xml:space="preserve">The liver figure a pathway would actually use - 14.0% - rests on 133 patients in 4 studies with 18 events, and has a 95% confidence interval of 7.7-24.0%. Thirteen of the 18 events are abdominal pain. The clinically serious events are 3 bleeds and 1 death in 133 patients, i.e. 3%, which the paper never states as a figure. Both the alarming headline (14%) and the reassuring headline (1.8% overall) are therefore misleading in opposite directions, and neither is the number that matters</w:t>
            </w:r>
          </w:p>
          <w:p>
            <w:pPr>
              <w:pStyle w:val="ListParagraph"/>
              <w:numPr>
                <w:ilvl w:val="0"/>
                <w:numId w:val="2"/>
              </w:numPr>
              <w:spacing w:after="45"/>
            </w:pPr>
            <w:r>
              <w:rPr>
                <w:sz w:val="15"/>
                <w:szCs w:val="15"/>
              </w:rPr>
              <w:t xml:space="preserve">The 'bleeding being the most common AE at 44.0%' in the abstract is a proportion of adverse events, not of patients. The per-patient rate is 0.8%. The abstract gives 1.8% and 44.0% in the same sentence with no indication that the denominators differ by a factor of 56, which invites a reader to conclude that 44% of patients bleed</w:t>
            </w:r>
          </w:p>
          <w:p>
            <w:pPr>
              <w:pStyle w:val="ListParagraph"/>
              <w:numPr>
                <w:ilvl w:val="0"/>
                <w:numId w:val="2"/>
              </w:numPr>
              <w:spacing w:after="45"/>
            </w:pPr>
            <w:r>
              <w:rPr>
                <w:sz w:val="15"/>
                <w:szCs w:val="15"/>
              </w:rPr>
              <w:t xml:space="preserve">The denominator is overwhelmingly pancreatic and submucosal: 9303 patients of whom only 133 (1.4%) had liver puncture. A meta-analysis whose title and conclusion are about safety of EUS-FNB is 98.6% about other organs, and the organ with the highest event rate is the one with the least data</w:t>
            </w:r>
          </w:p>
          <w:p>
            <w:pPr>
              <w:pStyle w:val="ListParagraph"/>
              <w:numPr>
                <w:ilvl w:val="0"/>
                <w:numId w:val="2"/>
              </w:numPr>
              <w:spacing w:after="45"/>
            </w:pPr>
            <w:r>
              <w:rPr>
                <w:sz w:val="15"/>
                <w:szCs w:val="15"/>
              </w:rPr>
              <w:t xml:space="preserve">The arithmetic does not reconcile. Ninety-nine studies are claimed, but the subgroup analysis counts 31 prospective plus 55 retrospective (86), the RCT count is given as 10 in one place and 13 in another, and the reported study-type breakdown elsewhere in the text names 'four liver biopsy studies' and '11' submucosal studies against 'eleven studies ... in a total of 516 patients'. No PRISMA counts are reconcilable from the text supplied</w:t>
            </w:r>
          </w:p>
          <w:p>
            <w:pPr>
              <w:pStyle w:val="ListParagraph"/>
              <w:numPr>
                <w:ilvl w:val="0"/>
                <w:numId w:val="2"/>
              </w:numPr>
              <w:spacing w:after="45"/>
            </w:pPr>
            <w:r>
              <w:rPr>
                <w:sz w:val="15"/>
                <w:szCs w:val="15"/>
              </w:rPr>
              <w:t xml:space="preserve">'P = 0.0.043' is printed in the results for the prospective-versus-retrospective comparison - a typographical failure in the paper's only significant moderator analysis. The finding itself (prospective rates 60% higher than retrospective) is the clearest evidence in the paper that the overall 1.8% is an underestimate from retrospective under-ascertainment, and the conclusion does not incorporate it</w:t>
            </w:r>
          </w:p>
          <w:p>
            <w:pPr>
              <w:pStyle w:val="ListParagraph"/>
              <w:numPr>
                <w:ilvl w:val="0"/>
                <w:numId w:val="2"/>
              </w:numPr>
              <w:spacing w:after="45"/>
            </w:pPr>
            <w:r>
              <w:rPr>
                <w:sz w:val="15"/>
                <w:szCs w:val="15"/>
              </w:rPr>
              <w:t xml:space="preserve">The conclusion that EUS-FNB 'is a safe procedure with a relatively low risk' is drawn from a pooled rate dominated by retrospective studies which the paper's own subgroup analysis shows report significantly fewer events. The authors' prior FNA review gave 0.98%; this FNB figure is 1.8%, i.e. roughly double, a comparison the paper makes in the introduction and omits from the conclusion</w:t>
            </w:r>
          </w:p>
          <w:p>
            <w:pPr>
              <w:pStyle w:val="ListParagraph"/>
              <w:numPr>
                <w:ilvl w:val="0"/>
                <w:numId w:val="2"/>
              </w:numPr>
              <w:spacing w:after="45"/>
            </w:pPr>
            <w:r>
              <w:rPr>
                <w:sz w:val="15"/>
                <w:szCs w:val="15"/>
              </w:rPr>
              <w:t xml:space="preserve">No risk-of-bias assessment of any kind is described in the available text - no QUADAS, no Newcastle-Ottawa, no Cochrane RoB for the RCT subset - and no sensitivity analysis by study quality, despite pooling RCTs with retrospective series</w:t>
            </w:r>
          </w:p>
          <w:p>
            <w:pPr>
              <w:pStyle w:val="ListParagraph"/>
              <w:numPr>
                <w:ilvl w:val="0"/>
                <w:numId w:val="2"/>
              </w:numPr>
              <w:spacing w:after="45"/>
            </w:pPr>
            <w:r>
              <w:rPr>
                <w:sz w:val="15"/>
                <w:szCs w:val="15"/>
              </w:rPr>
              <w:t xml:space="preserve">Heterogeneity statistics are absent for the pooled rates. A proportion pooled across 99 studies with event counts as low as zero needs an I-squared and a model justification; none is reported for the overall estimate, only confidence intervals</w:t>
            </w:r>
          </w:p>
          <w:p>
            <w:pPr>
              <w:pStyle w:val="ListParagraph"/>
              <w:numPr>
                <w:ilvl w:val="0"/>
                <w:numId w:val="2"/>
              </w:numPr>
              <w:spacing w:after="45"/>
            </w:pPr>
            <w:r>
              <w:rPr>
                <w:sz w:val="15"/>
                <w:szCs w:val="15"/>
              </w:rPr>
              <w:t xml:space="preserve">The claim that no needle-tract implantation was reported is used to reassure, but the authors themselves note implantation is 'infrequent and delayed' and that the included studies document only short-term AEs. Absence of a long-latency outcome in studies with short follow-up is not evidence of its absence, and no follow-up duration is reported for any subgroup</w:t>
            </w:r>
          </w:p>
          <w:p>
            <w:pPr>
              <w:pStyle w:val="ListParagraph"/>
              <w:numPr>
                <w:ilvl w:val="0"/>
                <w:numId w:val="2"/>
              </w:numPr>
              <w:spacing w:after="45"/>
            </w:pPr>
            <w:r>
              <w:rPr>
                <w:sz w:val="15"/>
                <w:szCs w:val="15"/>
              </w:rPr>
              <w:t xml:space="preserve">The two factors the discussion names as risk factors for AEs - vascular-rich tumours and cirrhosis - are precisely the characteristics of the patients in whom a liver lesion would be biopsied, and are also the variables the paper concedes it could not analyse. The 14% liver rate may therefore be either an over- or under-estimate for a cirrhotic patient with a hypervascular lesion, and the direction is unknown</w:t>
            </w:r>
          </w:p>
          <w:p>
            <w:pPr>
              <w:pStyle w:val="ListParagraph"/>
              <w:numPr>
                <w:ilvl w:val="0"/>
                <w:numId w:val="2"/>
              </w:numPr>
              <w:spacing w:after="45"/>
            </w:pPr>
            <w:r>
              <w:rPr>
                <w:sz w:val="15"/>
                <w:szCs w:val="15"/>
              </w:rPr>
              <w:t xml:space="preserve">The three negative subgroup findings (needle type, needle diameter, prospective versus retrospective within the pancreas) are all reported as 'no significant difference' on the basis of p-values alone, with no equivalence margin and no power calculation, so absence of evidence is being read as evidence of absence</w:t>
            </w:r>
          </w:p>
          <w:p>
            <w:pPr>
              <w:pStyle w:val="ListParagraph"/>
              <w:numPr>
                <w:ilvl w:val="0"/>
                <w:numId w:val="2"/>
              </w:numPr>
              <w:spacing w:after="45"/>
            </w:pPr>
            <w:r>
              <w:rPr>
                <w:sz w:val="15"/>
                <w:szCs w:val="15"/>
              </w:rPr>
              <w:t xml:space="preserve">Publication bias is not assessed - no funnel plot, no Egger test - in a safety literature where adverse events are a secondary outcome that goes unreported in studies designed for diagnostic yield, which the authors concede is exactly what happened</w:t>
            </w:r>
          </w:p>
        </w:tc>
      </w:tr>
    </w:tbl>
    <w:p>
      <w:pPr>
        <w:spacing w:after="0" w:line="276"/>
      </w:pPr>
      <w:r>
        <w:rPr>
          <w:color w:val="5A6069"/>
          <w:sz w:val="14"/>
          <w:szCs w:val="14"/>
        </w:rPr>
        <w:t xml:space="preserve">Funding: Not stated in the available text; no conflict of interest statement located</w:t>
      </w:r>
    </w:p>
    <w:p>
      <w:pPr>
        <w:keepNext/>
        <w:spacing w:after="50" w:before="260"/>
      </w:pPr>
      <w:r>
        <w:rPr>
          <w:rFonts w:ascii="Cambria" w:cs="Cambria" w:eastAsia="Cambria" w:hAnsi="Cambria"/>
          <w:b/>
          <w:bCs/>
          <w:color w:val="17365D"/>
          <w:sz w:val="20"/>
          <w:szCs w:val="20"/>
        </w:rPr>
        <w:t xml:space="preserve">HBP adenoma subtypes</w:t>
      </w:r>
      <w:r>
        <w:rPr>
          <w:b/>
          <w:bCs/>
          <w:color w:val="176A87"/>
          <w:sz w:val="15"/>
          <w:szCs w:val="15"/>
        </w:rPr>
        <w:t xml:space="preserve">   Meta-analysis</w:t>
      </w:r>
      <w:r>
        <w:rPr>
          <w:color w:val="5A6069"/>
          <w:sz w:val="15"/>
          <w:szCs w:val="15"/>
        </w:rPr>
        <w:t xml:space="preserve">   PMID 35920706</w:t>
      </w:r>
    </w:p>
    <w:p>
      <w:pPr>
        <w:spacing w:after="50" w:line="276"/>
      </w:pPr>
      <w:r>
        <w:rPr>
          <w:color w:val="5A6069"/>
          <w:sz w:val="17"/>
          <w:szCs w:val="17"/>
        </w:rPr>
        <w:t xml:space="preserve">Hepatic adenoma subtypes on hepatobiliary phase of gadoxetic acid-enhanced MRI: systematic review and meta-analysis.</w:t>
      </w:r>
    </w:p>
    <w:p>
      <w:pPr>
        <w:spacing w:after="50"/>
      </w:pPr>
      <w:r>
        <w:rPr>
          <w:b/>
          <w:bCs/>
          <w:color w:val="176A87"/>
          <w:sz w:val="16"/>
          <w:szCs w:val="16"/>
        </w:rPr>
        <w:t xml:space="preserve">Population. </w:t>
      </w:r>
      <w:r>
        <w:rPr>
          <w:sz w:val="16"/>
          <w:szCs w:val="16"/>
        </w:rPr>
        <w:t xml:space="preserve">28 studies (12 original investigations, 16 case reports or case series), 364 patients with 410 HCAs (112 H-HCA, 203 I-HCA, 33 B-HCA, 62 U-HCA); 4 studies with 150 FNHs and 137 HCAs for the diagnostic-performance analysis</w:t>
      </w:r>
    </w:p>
    <w:p>
      <w:pPr>
        <w:spacing w:after="70"/>
      </w:pPr>
      <w:r>
        <w:rPr>
          <w:b/>
          <w:bCs/>
          <w:color w:val="17365D"/>
          <w:sz w:val="16"/>
          <w:szCs w:val="16"/>
        </w:rPr>
        <w:t xml:space="preserve">Bottom line. </w:t>
      </w:r>
      <w:r>
        <w:rPr>
          <w:sz w:val="16"/>
          <w:szCs w:val="16"/>
        </w:rPr>
        <w:t xml:space="preserve">Pooling 410 subtyped adenomas from 12 cohort studies and 16 case reports, HBP iso- or hyperintensity occurs in 0% of HNF1A-inactivated but 59% (95% CI 26-88%) of beta-catenin-activated adenomas, and specificity for FNH falls from 89% to 65% once H-HCA and I-HCA are excluded - it establishes that HBP signal alone cannot be used to call a lesion FNH, and it does not establish a reliable proportion for any individual subtype, resting as it does on 33 B-HCAs drawn largely from case reports.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Despite 28 articles, the study may be underpowered for some comparisons - the authors name B-HCA vs I-HCA specifically - reflecting the rarity of some subtypes</w:t>
            </w:r>
          </w:p>
          <w:p>
            <w:pPr>
              <w:pStyle w:val="ListParagraph"/>
              <w:numPr>
                <w:ilvl w:val="0"/>
                <w:numId w:val="2"/>
              </w:numPr>
              <w:spacing w:after="45"/>
            </w:pPr>
            <w:r>
              <w:rPr>
                <w:sz w:val="15"/>
                <w:szCs w:val="15"/>
              </w:rPr>
              <w:t xml:space="preserve">All 16 case reports and case series were judged high risk of bias in the patient selection domain, and some original investigations also had high risk of bias or high applicability concern</w:t>
            </w:r>
          </w:p>
          <w:p>
            <w:pPr>
              <w:pStyle w:val="ListParagraph"/>
              <w:numPr>
                <w:ilvl w:val="0"/>
                <w:numId w:val="2"/>
              </w:numPr>
              <w:spacing w:after="45"/>
            </w:pPr>
            <w:r>
              <w:rPr>
                <w:sz w:val="15"/>
                <w:szCs w:val="15"/>
              </w:rPr>
              <w:t xml:space="preserve">The outcome was a dichotomous qualitative assessment of HBP signal, which may be affected by lesion size and internal heterogeneity; only one of 28 articles stated how heterogeneous lesions were classified (iso-/hyperintense if present in at least 25% of the lesion), and the reference tissue for the qualitative comparison was unspecified in 12 of 28 articles</w:t>
            </w:r>
          </w:p>
          <w:p>
            <w:pPr>
              <w:pStyle w:val="ListParagraph"/>
              <w:numPr>
                <w:ilvl w:val="0"/>
                <w:numId w:val="2"/>
              </w:numPr>
              <w:spacing w:after="45"/>
            </w:pPr>
            <w:r>
              <w:rPr>
                <w:sz w:val="15"/>
                <w:szCs w:val="15"/>
              </w:rPr>
              <w:t xml:space="preserve">Cited external evidence that enhancement pattern matters and was not captured: 93% of FNHs show homogeneous HBP hyperintensity whereas 70% of HBP iso-/hyperintense HCAs are heterogeneous, and apparent HBP iso-/hyperintensity may not reflect true uptake when background liver is steatotic</w:t>
            </w:r>
          </w:p>
          <w:p>
            <w:pPr>
              <w:pStyle w:val="ListParagraph"/>
              <w:numPr>
                <w:ilvl w:val="0"/>
                <w:numId w:val="2"/>
              </w:numPr>
              <w:spacing w:after="45"/>
            </w:pPr>
            <w:r>
              <w:rPr>
                <w:sz w:val="15"/>
                <w:szCs w:val="15"/>
              </w:rPr>
              <w:t xml:space="preserve">Additional subtypes from the 2017 classification (exon 3-mutated B-HCA, exon 7/8-mutated B-HCA, sonic hedgehog HCA) were not evaluated because of a paucity of literature</w:t>
            </w:r>
          </w:p>
          <w:p>
            <w:pPr>
              <w:pStyle w:val="ListParagraph"/>
              <w:numPr>
                <w:ilvl w:val="0"/>
                <w:numId w:val="2"/>
              </w:numPr>
              <w:spacing w:after="45"/>
            </w:pPr>
            <w:r>
              <w:rPr>
                <w:sz w:val="15"/>
                <w:szCs w:val="15"/>
              </w:rPr>
              <w:t xml:space="preserve">Four of the 12 original investigations had high risk of bias from a case-control design for FNH-versus-HCA differentiation; one incorporated the index test into the FNH reference standard; one established some FNH diagnoses by MRI stability despite HCA also being capable of stability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Sixteen of 28 included studies are case reports and case series, and they are the dominant source of the B-HCA signal. A case report of a beta-catenin adenoma gets written precisely because it was HBP hyperintense and therefore surprised someone; pooling such reports with cohort data does not estimate a proportion, it estimates reportability. The 59% for B-HCA is the output of that circularity, and the authors' own sensitivity analysis excluding case reports is absent</w:t>
            </w:r>
          </w:p>
          <w:p>
            <w:pPr>
              <w:pStyle w:val="ListParagraph"/>
              <w:numPr>
                <w:ilvl w:val="0"/>
                <w:numId w:val="2"/>
              </w:numPr>
              <w:spacing w:after="45"/>
            </w:pPr>
            <w:r>
              <w:rPr>
                <w:sz w:val="15"/>
                <w:szCs w:val="15"/>
              </w:rPr>
              <w:t xml:space="preserve">The B-HCA estimate rests on 33 lesions spread across studies, with a 95% interval of 26-88%. A pathway cannot act differently at 26% than at 88%, so the interval, not the point estimate, is the finding - yet the abstract, the Key Finding box, the Clinical Impact box and the conclusion all repeat '59%'</w:t>
            </w:r>
          </w:p>
          <w:p>
            <w:pPr>
              <w:pStyle w:val="ListParagraph"/>
              <w:numPr>
                <w:ilvl w:val="0"/>
                <w:numId w:val="2"/>
              </w:numPr>
              <w:spacing w:after="45"/>
            </w:pPr>
            <w:r>
              <w:rPr>
                <w:sz w:val="15"/>
                <w:szCs w:val="15"/>
              </w:rPr>
              <w:t xml:space="preserve">A sensitivity of 99% with a 95% CI of 57-100% is not a measurement. The lower bound is barely better than a coin toss, and it is reported four separate times in the paper as '99%' without the interval. The same applies to the 99% (53-100%) for B-HCA/U-HCA</w:t>
            </w:r>
          </w:p>
          <w:p>
            <w:pPr>
              <w:pStyle w:val="ListParagraph"/>
              <w:numPr>
                <w:ilvl w:val="0"/>
                <w:numId w:val="2"/>
              </w:numPr>
              <w:spacing w:after="45"/>
            </w:pPr>
            <w:r>
              <w:rPr>
                <w:sz w:val="15"/>
                <w:szCs w:val="15"/>
              </w:rPr>
              <w:t xml:space="preserve">The entire secondary objective rests on 4 studies, all drawn from the primary set, and the authors' own QUADAS-2 assessment marks all four as high risk of bias for patient selection because they are case-control in design. Case-control diagnostic studies fix the ratio of FNH to HCA by investigator choice, so the specificity figures of 89% and 65% are functions of the sampling and not of the test</w:t>
            </w:r>
          </w:p>
          <w:p>
            <w:pPr>
              <w:pStyle w:val="ListParagraph"/>
              <w:numPr>
                <w:ilvl w:val="0"/>
                <w:numId w:val="2"/>
              </w:numPr>
              <w:spacing w:after="45"/>
            </w:pPr>
            <w:r>
              <w:rPr>
                <w:sz w:val="15"/>
                <w:szCs w:val="15"/>
              </w:rPr>
              <w:t xml:space="preserve">The specificity drop from 89% to 65% is produced by *removing* H-HCA and I-HCA from the comparison - i.e. by changing the spectrum of the disease group, not by any change in the test. The paper frames this as revealing the true specificity, but it is the specificity against an artificially enriched population that would arise only after conventional MRI has already excluded the two subtypes with characteristic features. The pathway-relevant question - specificity in an unselected lesion before subtyping - is 89%, and the paper does not say so plainly</w:t>
            </w:r>
          </w:p>
          <w:p>
            <w:pPr>
              <w:pStyle w:val="ListParagraph"/>
              <w:numPr>
                <w:ilvl w:val="0"/>
                <w:numId w:val="2"/>
              </w:numPr>
              <w:spacing w:after="45"/>
            </w:pPr>
            <w:r>
              <w:rPr>
                <w:sz w:val="15"/>
                <w:szCs w:val="15"/>
              </w:rPr>
              <w:t xml:space="preserve">The B-HCA-versus-I-HCA pairwise comparison came out at exactly the Bonferroni threshold (p=.008) and is marked non-significant. Since I-HCA is the commonest subtype (203 of 410 lesions) and also carries beta-catenin mutations in 10-20% of cases, the failure to separate it from B-HCA undermines the clinical use of HBP signal as a malignancy surrogate - a conclusion the paper gestures at but does not draw</w:t>
            </w:r>
          </w:p>
          <w:p>
            <w:pPr>
              <w:pStyle w:val="ListParagraph"/>
              <w:numPr>
                <w:ilvl w:val="0"/>
                <w:numId w:val="2"/>
              </w:numPr>
              <w:spacing w:after="45"/>
            </w:pPr>
            <w:r>
              <w:rPr>
                <w:sz w:val="15"/>
                <w:szCs w:val="15"/>
              </w:rPr>
              <w:t xml:space="preserve">Heterogeneity was substantial where it matters most: I-squared 83% for I-HCA and 74% overall. With 12 cohort studies and 16 case reports, no metaregression on study type was performed, so the contribution of the case-report literature to that heterogeneity is unquantified</w:t>
            </w:r>
          </w:p>
          <w:p>
            <w:pPr>
              <w:pStyle w:val="ListParagraph"/>
              <w:numPr>
                <w:ilvl w:val="0"/>
                <w:numId w:val="2"/>
              </w:numPr>
              <w:spacing w:after="45"/>
            </w:pPr>
            <w:r>
              <w:rPr>
                <w:sz w:val="15"/>
                <w:szCs w:val="15"/>
              </w:rPr>
              <w:t xml:space="preserve">The outcome is operator-dependent and inconsistently defined across studies: the reference tissue was unspecified in 12 of 28 articles, only 1 of 28 defined how to score a heterogeneous lesion, and no interobserver agreement is reported anywhere. Pooling a binary read whose definition varies by study produces a number with no fixed meaning</w:t>
            </w:r>
          </w:p>
          <w:p>
            <w:pPr>
              <w:pStyle w:val="ListParagraph"/>
              <w:numPr>
                <w:ilvl w:val="0"/>
                <w:numId w:val="2"/>
              </w:numPr>
              <w:spacing w:after="45"/>
            </w:pPr>
            <w:r>
              <w:rPr>
                <w:sz w:val="15"/>
                <w:szCs w:val="15"/>
              </w:rPr>
              <w:t xml:space="preserve">Three of the included studies also performed quantitative HBP assessment and the authors acknowledge an external finding that 70% of HBP-positive HCAs are heterogeneous while 93% of FNHs are homogeneous - i.e. the feature that would fix the specificity problem was available and excluded by the protocol's dichotomous outcome definition</w:t>
            </w:r>
          </w:p>
          <w:p>
            <w:pPr>
              <w:pStyle w:val="ListParagraph"/>
              <w:numPr>
                <w:ilvl w:val="0"/>
                <w:numId w:val="2"/>
              </w:numPr>
              <w:spacing w:after="45"/>
            </w:pPr>
            <w:r>
              <w:rPr>
                <w:sz w:val="15"/>
                <w:szCs w:val="15"/>
              </w:rPr>
              <w:t xml:space="preserve">The subtype denominators are discordant with the subtype epidemiology the paper itself quotes in its introduction (H-HCA 30-40%, I-HCA 40-55%, B-HCA 10-20%, U-HCA 5-10%): the included sample is 27% H-HCA, 50% I-HCA, 8% B-HCA, 15% U-HCA. B-HCA is under-represented relative to its expected frequency even before considering the case-report enrichment, so the overall 14% figure is not a population-weighted estimate</w:t>
            </w:r>
          </w:p>
          <w:p>
            <w:pPr>
              <w:pStyle w:val="ListParagraph"/>
              <w:numPr>
                <w:ilvl w:val="0"/>
                <w:numId w:val="2"/>
              </w:numPr>
              <w:spacing w:after="45"/>
            </w:pPr>
            <w:r>
              <w:rPr>
                <w:sz w:val="15"/>
                <w:szCs w:val="15"/>
              </w:rPr>
              <w:t xml:space="preserve">One included study (Agarwal) contributed 24 I-HCAs of which 17 were never biopsied - they were called I-HCA because they looked identical on the same gadoxetic acid MRI being evaluated. That is direct incorporation bias in the largest I-HCA contributor after Auer, flagged in QUADAS-2 but retained in the pooled estimate with no sensitivity analysis</w:t>
            </w:r>
          </w:p>
          <w:p>
            <w:pPr>
              <w:pStyle w:val="ListParagraph"/>
              <w:numPr>
                <w:ilvl w:val="0"/>
                <w:numId w:val="2"/>
              </w:numPr>
              <w:spacing w:after="45"/>
            </w:pPr>
            <w:r>
              <w:rPr>
                <w:sz w:val="15"/>
                <w:szCs w:val="15"/>
              </w:rPr>
              <w:t xml:space="preserve">Senior author declares consultancy to Bayer Healthcare, the manufacturer of gadoxetic acid (Eovist/Primovist), in a paper whose conclusion restricts the clinical use of that agent - a conflict that cuts against the finding and so is less troubling, but it is unmentioned in the discussion</w:t>
            </w:r>
          </w:p>
        </w:tc>
      </w:tr>
    </w:tbl>
    <w:p>
      <w:pPr>
        <w:spacing w:after="0" w:line="276"/>
      </w:pPr>
      <w:r>
        <w:rPr>
          <w:color w:val="5A6069"/>
          <w:sz w:val="14"/>
          <w:szCs w:val="14"/>
        </w:rPr>
        <w:t xml:space="preserve">Funding: Supported in part by NIH/National Cancer Institute Cancer Center Support Grant P30 CA008748. R.K. Do is a consultant to Bayer Healthcare and GE Healthcare; other authors declare no relevant disclosures</w:t>
      </w:r>
    </w:p>
    <w:p>
      <w:pPr>
        <w:keepNext/>
        <w:spacing w:after="50" w:before="260"/>
      </w:pPr>
      <w:r>
        <w:rPr>
          <w:rFonts w:ascii="Cambria" w:cs="Cambria" w:eastAsia="Cambria" w:hAnsi="Cambria"/>
          <w:b/>
          <w:bCs/>
          <w:color w:val="17365D"/>
          <w:sz w:val="20"/>
          <w:szCs w:val="20"/>
        </w:rPr>
        <w:t xml:space="preserve">HCC seeding meta-analysis</w:t>
      </w:r>
      <w:r>
        <w:rPr>
          <w:b/>
          <w:bCs/>
          <w:color w:val="176A87"/>
          <w:sz w:val="15"/>
          <w:szCs w:val="15"/>
        </w:rPr>
        <w:t xml:space="preserve">   Meta-analysis</w:t>
      </w:r>
      <w:r>
        <w:rPr>
          <w:color w:val="5A6069"/>
          <w:sz w:val="15"/>
          <w:szCs w:val="15"/>
        </w:rPr>
        <w:t xml:space="preserve">   PMID 18669577</w:t>
      </w:r>
    </w:p>
    <w:p>
      <w:pPr>
        <w:spacing w:after="50" w:line="276"/>
      </w:pPr>
      <w:r>
        <w:rPr>
          <w:color w:val="5A6069"/>
          <w:sz w:val="17"/>
          <w:szCs w:val="17"/>
        </w:rPr>
        <w:t xml:space="preserve">Needle track seeding following biopsy of liver lesions in the diagnosis of hepatocellular cancer: a systematic review and meta-analysis.</w:t>
      </w:r>
    </w:p>
    <w:p>
      <w:pPr>
        <w:spacing w:after="50"/>
      </w:pPr>
      <w:r>
        <w:rPr>
          <w:b/>
          <w:bCs/>
          <w:color w:val="176A87"/>
          <w:sz w:val="16"/>
          <w:szCs w:val="16"/>
        </w:rPr>
        <w:t xml:space="preserve">Population. </w:t>
      </w:r>
      <w:r>
        <w:rPr>
          <w:sz w:val="16"/>
          <w:szCs w:val="16"/>
        </w:rPr>
        <w:t xml:space="preserve">8 studies, 1340 patients with HCC, 26 seeding events; median follow-up 17 months</w:t>
      </w:r>
    </w:p>
    <w:p>
      <w:pPr>
        <w:spacing w:after="70"/>
      </w:pPr>
      <w:r>
        <w:rPr>
          <w:b/>
          <w:bCs/>
          <w:color w:val="17365D"/>
          <w:sz w:val="16"/>
          <w:szCs w:val="16"/>
        </w:rPr>
        <w:t xml:space="preserve">Bottom line. </w:t>
      </w:r>
      <w:r>
        <w:rPr>
          <w:sz w:val="16"/>
          <w:szCs w:val="16"/>
        </w:rPr>
        <w:t xml:space="preserve">Pooling 1340 biopsied patients with proven HCC across eight observational studies, needle-track seeding occurred in 2.7% (95% CI 1.8-4.0%) or 0.9% per patient-year and never demonstrably affected survival - it establishes an order of magnitude for the risk, around 1 in 37 patients, and it does not establish a reliable figure, since seven of eight studies were retrospective, the largest prospective study found zero events, follow-up was shorter than the median time to seeding in several series, and the abstract misstates the units by a factor of 100.</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Comparative long-term survival data between patients with and without seeding were unavailable and would have benefited the meta-analysis</w:t>
            </w:r>
          </w:p>
          <w:p>
            <w:pPr>
              <w:pStyle w:val="ListParagraph"/>
              <w:numPr>
                <w:ilvl w:val="0"/>
                <w:numId w:val="2"/>
              </w:numPr>
              <w:spacing w:after="45"/>
            </w:pPr>
            <w:r>
              <w:rPr>
                <w:sz w:val="15"/>
                <w:szCs w:val="15"/>
              </w:rPr>
              <w:t xml:space="preserve">Needle biopsy techniques varied between included studies, as did the completeness with which all seedings were detected, although all diagnosed seedings were histologically confirmed</w:t>
            </w:r>
          </w:p>
          <w:p>
            <w:pPr>
              <w:pStyle w:val="ListParagraph"/>
              <w:numPr>
                <w:ilvl w:val="0"/>
                <w:numId w:val="2"/>
              </w:numPr>
              <w:spacing w:after="45"/>
            </w:pPr>
            <w:r>
              <w:rPr>
                <w:sz w:val="15"/>
                <w:szCs w:val="15"/>
              </w:rPr>
              <w:t xml:space="preserve">Fine-needle aspiration is highly operator-dependent and requires close clinico-pathological correlation; false negatives from inadequate sampling and from mistaking HCC for regenerative or dysplastic nodules occurred in the included series</w:t>
            </w:r>
          </w:p>
          <w:p>
            <w:pPr>
              <w:pStyle w:val="ListParagraph"/>
              <w:numPr>
                <w:ilvl w:val="0"/>
                <w:numId w:val="2"/>
              </w:numPr>
              <w:spacing w:after="45"/>
            </w:pPr>
            <w:r>
              <w:rPr>
                <w:sz w:val="15"/>
                <w:szCs w:val="15"/>
              </w:rPr>
              <w:t xml:space="preserve">In some included studies biopsy appears to have been performed despite the diagnosis being obvious from imaging and alpha-fetoprotein, so the diagnostic role of biopsy over imaging plus AFP cannot be ascertained from these retrospective studies</w:t>
            </w:r>
          </w:p>
          <w:p>
            <w:pPr>
              <w:pStyle w:val="ListParagraph"/>
              <w:numPr>
                <w:ilvl w:val="0"/>
                <w:numId w:val="2"/>
              </w:numPr>
              <w:spacing w:after="45"/>
            </w:pPr>
            <w:r>
              <w:rPr>
                <w:sz w:val="15"/>
                <w:szCs w:val="15"/>
              </w:rPr>
              <w:t xml:space="preserve">The claim that a coaxial technique prevents seeding, although plausible, could only be proven by a well-designed prospective randomised controlled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units are wrong throughout and the error is in the abstract. The pooled estimate is reported as '0.027 (95% CI 0.018 to 0.040)' described as 'a patient with seeding per 100 patients', then converted in the conclusions to '2.7% overall'. If 0.027 were per 100 patients the rate would be 0.027%; the figure is in fact a proportion, 2.7%. The same confusion recurs for the per-year figure ('0.009 per 100 patients per year' = 0.9% per year). A pathway reading the abstract literally would misstate the risk by a factor of 100</w:t>
            </w:r>
          </w:p>
          <w:p>
            <w:pPr>
              <w:pStyle w:val="ListParagraph"/>
              <w:numPr>
                <w:ilvl w:val="0"/>
                <w:numId w:val="2"/>
              </w:numPr>
              <w:spacing w:after="45"/>
            </w:pPr>
            <w:r>
              <w:rPr>
                <w:sz w:val="15"/>
                <w:szCs w:val="15"/>
              </w:rPr>
              <w:t xml:space="preserve">Seven of eight studies are retrospective, and the only prospective study reported zero events in 239 patients - the single largest and methodologically strongest contribution pulls the estimate down, while the highest rate (5.8%) comes from the smallest series (59 patients) in which one seeded lesion was over 10 cm with grossly elevated AFP (so biopsy was unnecessary) and another also received intralesional alcohol, an acknowledged confounder. The pooled 2.7% is an average over studies that were asking different questions of different patients</w:t>
            </w:r>
          </w:p>
          <w:p>
            <w:pPr>
              <w:pStyle w:val="ListParagraph"/>
              <w:numPr>
                <w:ilvl w:val="0"/>
                <w:numId w:val="2"/>
              </w:numPr>
              <w:spacing w:after="45"/>
            </w:pPr>
            <w:r>
              <w:rPr>
                <w:sz w:val="15"/>
                <w:szCs w:val="15"/>
              </w:rPr>
              <w:t xml:space="preserve">Ascertainment of the outcome is a direct function of follow-up duration, which varied from a median of 14 months to 44 months across studies, against a median time-to-seeding of 17 months and a reported range out to 4 years. Maturen's zero-event study used a 30-day minimum follow-up threshold and a mean of 410 days; a study that stops looking before the median event time cannot contribute a meaningful zero. Pooling these as if they measured the same quantity guarantees underestimation, and the paper's homogeneity test (p=0.684) is reassuring only because low-power studies with few events cannot be distinguished from each other</w:t>
            </w:r>
          </w:p>
          <w:p>
            <w:pPr>
              <w:pStyle w:val="ListParagraph"/>
              <w:numPr>
                <w:ilvl w:val="0"/>
                <w:numId w:val="2"/>
              </w:numPr>
              <w:spacing w:after="45"/>
            </w:pPr>
            <w:r>
              <w:rPr>
                <w:sz w:val="15"/>
                <w:szCs w:val="15"/>
              </w:rPr>
              <w:t xml:space="preserve">Zero events were handled by two approaches - excluding the study or substituting 0.5 - and the paper reports only that this 'did not make a difference to the overall estimates'. With 2 of 8 studies at zero and 26 events in total, continuity-correction choice is not a minor sensitivity analysis and the alternative results are never shown</w:t>
            </w:r>
          </w:p>
          <w:p>
            <w:pPr>
              <w:pStyle w:val="ListParagraph"/>
              <w:numPr>
                <w:ilvl w:val="0"/>
                <w:numId w:val="2"/>
              </w:numPr>
              <w:spacing w:after="45"/>
            </w:pPr>
            <w:r>
              <w:rPr>
                <w:sz w:val="15"/>
                <w:szCs w:val="15"/>
              </w:rPr>
              <w:t xml:space="preserve">The denominator is patients with histologically proven HCC who were biopsied. It excludes by construction anyone whose biopsy was non-diagnostic and who was therefore never confirmed, and anyone whose seeding was discovered after they had been removed from a transplant list and lost to hepatobiliary follow-up. The striking claim that 'no patient who developed seeding subsequently underwent liver transplantation' is reported as reassurance when it is equally consistent with seeding having disqualified those patients from transplant - the paper does not distinguish the two readings</w:t>
            </w:r>
          </w:p>
          <w:p>
            <w:pPr>
              <w:pStyle w:val="ListParagraph"/>
              <w:numPr>
                <w:ilvl w:val="0"/>
                <w:numId w:val="2"/>
              </w:numPr>
              <w:spacing w:after="45"/>
            </w:pPr>
            <w:r>
              <w:rPr>
                <w:sz w:val="15"/>
                <w:szCs w:val="15"/>
              </w:rPr>
              <w:t xml:space="preserve">The claim that seeding never affected survival rests on narrative citation of individual series with no survival analysis, no comparator and, as the authors concede, no comparative survival data at all. With 26 events spread across eight series there is no power to detect a survival effect, so 'did not impact survival' means 'was not shown to impact survival'</w:t>
            </w:r>
          </w:p>
          <w:p>
            <w:pPr>
              <w:pStyle w:val="ListParagraph"/>
              <w:numPr>
                <w:ilvl w:val="0"/>
                <w:numId w:val="2"/>
              </w:numPr>
              <w:spacing w:after="45"/>
            </w:pPr>
            <w:r>
              <w:rPr>
                <w:sz w:val="15"/>
                <w:szCs w:val="15"/>
              </w:rPr>
              <w:t xml:space="preserve">The paper's own framing - 2.7% seeding risk against 10-20% one-year post-transplant mortality - compares a complication rate with a mortality rate from a different procedure in a different population, as though they were commensurable. Needle-track seeding does not substitute for transplant mortality; the correct comparator would be the harm from a false-positive or false-negative imaging diagnosis, which the paper quantifies for neither</w:t>
            </w:r>
          </w:p>
          <w:p>
            <w:pPr>
              <w:pStyle w:val="ListParagraph"/>
              <w:numPr>
                <w:ilvl w:val="0"/>
                <w:numId w:val="2"/>
              </w:numPr>
              <w:spacing w:after="45"/>
            </w:pPr>
            <w:r>
              <w:rPr>
                <w:sz w:val="15"/>
                <w:szCs w:val="15"/>
              </w:rPr>
              <w:t xml:space="preserve">The diagnostic-performance figures that would justify biopsy at all come from a single included study and are misreported in the discussion as 'nodules with diameters of 2 mm or less' where the methods and the source say 2 cm. The adjacent sentence cites a median time to seeding of '17 months.5-48', a corrupted reference marker printed inside a numerical result</w:t>
            </w:r>
          </w:p>
          <w:p>
            <w:pPr>
              <w:pStyle w:val="ListParagraph"/>
              <w:numPr>
                <w:ilvl w:val="0"/>
                <w:numId w:val="2"/>
              </w:numPr>
              <w:spacing w:after="45"/>
            </w:pPr>
            <w:r>
              <w:rPr>
                <w:sz w:val="15"/>
                <w:szCs w:val="15"/>
              </w:rPr>
              <w:t xml:space="preserve">Quality assessment was narrative: the first three authors reviewed the eight papers and assessed design, outcome measures, potential biases and case mix, but no instrument (QUADAS, Newcastle-Ottawa) was applied, no per-study risk-of-bias judgement is reported and no sensitivity analysis by quality was performed</w:t>
            </w:r>
          </w:p>
          <w:p>
            <w:pPr>
              <w:pStyle w:val="ListParagraph"/>
              <w:numPr>
                <w:ilvl w:val="0"/>
                <w:numId w:val="2"/>
              </w:numPr>
              <w:spacing w:after="45"/>
            </w:pPr>
            <w:r>
              <w:rPr>
                <w:sz w:val="15"/>
                <w:szCs w:val="15"/>
              </w:rPr>
              <w:t xml:space="preserve">No funnel plot, no Egger test, no assessment of publication bias of any kind in a literature where a seeding event is publishable and a negative series is not, and where the authors explicitly did not search for unpublished material</w:t>
            </w:r>
          </w:p>
          <w:p>
            <w:pPr>
              <w:pStyle w:val="ListParagraph"/>
              <w:numPr>
                <w:ilvl w:val="0"/>
                <w:numId w:val="2"/>
              </w:numPr>
              <w:spacing w:after="45"/>
            </w:pPr>
            <w:r>
              <w:rPr>
                <w:sz w:val="15"/>
                <w:szCs w:val="15"/>
              </w:rPr>
              <w:t xml:space="preserve">Needle gauge, number of passes and amount of normal parenchyma traversed are named in the introduction as determinants of seeding risk, and then not analysed - no subgroup or meta-regression by any of them, despite Huang's series containing an internal comparison (Vim Silverman 4/126 = 3.2% vs Tru-cut 5/329 = 1.5%) that the review quotes without pooling</w:t>
            </w:r>
          </w:p>
          <w:p>
            <w:pPr>
              <w:pStyle w:val="ListParagraph"/>
              <w:numPr>
                <w:ilvl w:val="0"/>
                <w:numId w:val="2"/>
              </w:numPr>
              <w:spacing w:after="45"/>
            </w:pPr>
            <w:r>
              <w:rPr>
                <w:sz w:val="15"/>
                <w:szCs w:val="15"/>
              </w:rPr>
              <w:t xml:space="preserve">Search was limited to PubMed, EMBASE and NCBI to March 2007, supplemented by 'general Internet searches' and the authors' personal paper collections - a non-reproducible component of the search strategy</w:t>
            </w:r>
          </w:p>
          <w:p>
            <w:pPr>
              <w:pStyle w:val="ListParagraph"/>
              <w:numPr>
                <w:ilvl w:val="0"/>
                <w:numId w:val="2"/>
              </w:numPr>
              <w:spacing w:after="45"/>
            </w:pPr>
            <w:r>
              <w:rPr>
                <w:sz w:val="15"/>
                <w:szCs w:val="15"/>
              </w:rPr>
              <w:t xml:space="preserve">Single-centre authorship from a liver transplant unit with an institutional interest in the biopsy question; competing interests declared as none</w:t>
            </w:r>
          </w:p>
        </w:tc>
      </w:tr>
    </w:tbl>
    <w:p>
      <w:pPr>
        <w:spacing w:after="0" w:line="276"/>
      </w:pPr>
      <w:r>
        <w:rPr>
          <w:color w:val="5A6069"/>
          <w:sz w:val="14"/>
          <w:szCs w:val="14"/>
        </w:rPr>
        <w:t xml:space="preserve">Funding: Not stated; competing interests declared as none. Acknowledgement to a librarian for search assistance</w:t>
      </w:r>
    </w:p>
    <w:p>
      <w:pPr>
        <w:keepNext/>
        <w:spacing w:after="50" w:before="260"/>
      </w:pPr>
      <w:r>
        <w:rPr>
          <w:rFonts w:ascii="Cambria" w:cs="Cambria" w:eastAsia="Cambria" w:hAnsi="Cambria"/>
          <w:b/>
          <w:bCs/>
          <w:color w:val="17365D"/>
          <w:sz w:val="20"/>
          <w:szCs w:val="20"/>
        </w:rPr>
        <w:t xml:space="preserve">Jones 1992</w:t>
      </w:r>
      <w:r>
        <w:rPr>
          <w:b/>
          <w:bCs/>
          <w:color w:val="176A87"/>
          <w:sz w:val="15"/>
          <w:szCs w:val="15"/>
        </w:rPr>
        <w:t xml:space="preserve">   Retrospective cohort</w:t>
      </w:r>
      <w:r>
        <w:rPr>
          <w:color w:val="5A6069"/>
          <w:sz w:val="15"/>
          <w:szCs w:val="15"/>
        </w:rPr>
        <w:t xml:space="preserve">   PMID 1738990</w:t>
      </w:r>
    </w:p>
    <w:p>
      <w:pPr>
        <w:spacing w:after="50" w:line="276"/>
      </w:pPr>
      <w:r>
        <w:rPr>
          <w:color w:val="5A6069"/>
          <w:sz w:val="17"/>
          <w:szCs w:val="17"/>
        </w:rPr>
        <w:t xml:space="preserve">The frequency and significance of small (&lt;=15 mm) hepatic lesions detected by CT.</w:t>
      </w:r>
    </w:p>
    <w:p>
      <w:pPr>
        <w:spacing w:after="50"/>
      </w:pPr>
      <w:r>
        <w:rPr>
          <w:b/>
          <w:bCs/>
          <w:color w:val="176A87"/>
          <w:sz w:val="16"/>
          <w:szCs w:val="16"/>
        </w:rPr>
        <w:t xml:space="preserve">Population. </w:t>
      </w:r>
      <w:r>
        <w:rPr>
          <w:sz w:val="16"/>
          <w:szCs w:val="16"/>
        </w:rPr>
        <w:t xml:space="preserve">1454 consecutive outpatient CT examinations; 254 patients (17%) with lesions &lt;=15 mm, of whom 209 had known cancer and 45 did not</w:t>
      </w:r>
    </w:p>
    <w:p>
      <w:pPr>
        <w:spacing w:after="70"/>
      </w:pPr>
      <w:r>
        <w:rPr>
          <w:b/>
          <w:bCs/>
          <w:color w:val="17365D"/>
          <w:sz w:val="16"/>
          <w:szCs w:val="16"/>
        </w:rPr>
        <w:t xml:space="preserve">Bottom line. </w:t>
      </w:r>
      <w:r>
        <w:rPr>
          <w:sz w:val="16"/>
          <w:szCs w:val="16"/>
        </w:rPr>
        <w:t xml:space="preserve">Among outpatients undergoing contrast CT at a cancer-heavy tertiary centre in 1989-90, 17% had a hepatic lesion 15 mm or smaller and roughly half of those were probably benign even with known cancer - it establishes that small lesions are common and often benign in a cancer-surveillance population, and establishes nothing about prevalence or probability in an unselected or truly incidental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Lack of pathological proof in the majority; benignity was defined by imaging or CT stability, with biopsy of all small lesions achieved in only three patients</w:t>
            </w:r>
          </w:p>
          <w:p>
            <w:pPr>
              <w:pStyle w:val="ListParagraph"/>
              <w:numPr>
                <w:ilvl w:val="0"/>
                <w:numId w:val="2"/>
              </w:numPr>
              <w:spacing w:after="45"/>
            </w:pPr>
            <w:r>
              <w:rPr>
                <w:sz w:val="15"/>
                <w:szCs w:val="15"/>
              </w:rPr>
              <w:t xml:space="preserve">In patients with multiple lesions, progression of one lesion classified the patient as malignant, leaving the nature of the remaining lesions unproven</w:t>
            </w:r>
          </w:p>
          <w:p>
            <w:pPr>
              <w:pStyle w:val="ListParagraph"/>
              <w:numPr>
                <w:ilvl w:val="0"/>
                <w:numId w:val="2"/>
              </w:numPr>
              <w:spacing w:after="45"/>
            </w:pPr>
            <w:r>
              <w:rPr>
                <w:sz w:val="15"/>
                <w:szCs w:val="15"/>
              </w:rPr>
              <w:t xml:space="preserve">Patients with cancer and 6-12 month stability may harbour stable or slow-growing metastases; six of 29 such patients (21%) had interval chemotherapy or immunotherapy that may have produced apparent stability and overestimated benignity</w:t>
            </w:r>
          </w:p>
          <w:p>
            <w:pPr>
              <w:pStyle w:val="ListParagraph"/>
              <w:numPr>
                <w:ilvl w:val="0"/>
                <w:numId w:val="2"/>
              </w:numPr>
              <w:spacing w:after="45"/>
            </w:pPr>
            <w:r>
              <w:rPr>
                <w:sz w:val="15"/>
                <w:szCs w:val="15"/>
              </w:rPr>
              <w:t xml:space="preserve">Technical variation between serial scans (contrast dose, volume, rate, agent) could not be guaranteed, making comparison less sensitive; significant technical variation affected 8 of 99 patients classified as stable</w:t>
            </w:r>
          </w:p>
          <w:p>
            <w:pPr>
              <w:pStyle w:val="ListParagraph"/>
              <w:numPr>
                <w:ilvl w:val="0"/>
                <w:numId w:val="2"/>
              </w:numPr>
              <w:spacing w:after="45"/>
            </w:pPr>
            <w:r>
              <w:rPr>
                <w:sz w:val="15"/>
                <w:szCs w:val="15"/>
              </w:rPr>
              <w:t xml:space="preserve">Volume averaging, slice-location differences and respiratory excursion could cause lesions to be missed</w:t>
            </w:r>
          </w:p>
          <w:p>
            <w:pPr>
              <w:pStyle w:val="ListParagraph"/>
              <w:numPr>
                <w:ilvl w:val="0"/>
                <w:numId w:val="2"/>
              </w:numPr>
              <w:spacing w:after="45"/>
            </w:pPr>
            <w:r>
              <w:rPr>
                <w:sz w:val="15"/>
                <w:szCs w:val="15"/>
              </w:rPr>
              <w:t xml:space="preserve">No attempt was made to characterise lesions by margin or density because partial-volume effects dominate at this size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1454 *contrast-enhanced abdominal CT examinations in outpatients at a tertiary referral centre*, 82% of whom had a known cancer or prior hepatic metastases. This is not a general population and not an incidental-finding population - these scans were ordered to look for metastases. The 17% figure is a case-mix artefact and should never be quoted alongside Karhunen's autopsy 52% or Kaltenbach's ultrasound 15% as if the three measured the same thing</w:t>
            </w:r>
          </w:p>
          <w:p>
            <w:pPr>
              <w:pStyle w:val="ListParagraph"/>
              <w:numPr>
                <w:ilvl w:val="0"/>
                <w:numId w:val="2"/>
              </w:numPr>
              <w:spacing w:after="45"/>
            </w:pPr>
            <w:r>
              <w:rPr>
                <w:sz w:val="15"/>
                <w:szCs w:val="15"/>
              </w:rPr>
              <w:t xml:space="preserve">The '17%' and the '51% benign' share a denominator problem in opposite directions: 17% is per-examination among cancer-surveillance outpatients, while 51% is per-patient among those with lesions, with 27% simply unclassified and dropped from neither numerator nor denominator cleanly</w:t>
            </w:r>
          </w:p>
          <w:p>
            <w:pPr>
              <w:pStyle w:val="ListParagraph"/>
              <w:numPr>
                <w:ilvl w:val="0"/>
                <w:numId w:val="2"/>
              </w:numPr>
              <w:spacing w:after="45"/>
            </w:pPr>
            <w:r>
              <w:rPr>
                <w:sz w:val="15"/>
                <w:szCs w:val="15"/>
              </w:rPr>
              <w:t xml:space="preserve">The reassuring claim that no patient without known malignancy had a malignant lesion is built on 45 patients of whom 23 had inadequate or no follow-up and none had biopsy. The paper itself calls the group 'small'; the effective denominator is 22, which cannot exclude a malignancy rate of 10% or more</w:t>
            </w:r>
          </w:p>
          <w:p>
            <w:pPr>
              <w:pStyle w:val="ListParagraph"/>
              <w:numPr>
                <w:ilvl w:val="0"/>
                <w:numId w:val="2"/>
              </w:numPr>
              <w:spacing w:after="45"/>
            </w:pPr>
            <w:r>
              <w:rPr>
                <w:sz w:val="15"/>
                <w:szCs w:val="15"/>
              </w:rPr>
              <w:t xml:space="preserve">15 mm is a threshold chosen to match the technology of 1989-90: 10-mm contiguous non-helical sections on a single scanner. Both the detection threshold and the lesion spectrum differ from modern thin-section multidetector CT, so the 17% cannot be transported forward, and the authors do not attempt to say in which direction it would move</w:t>
            </w:r>
          </w:p>
          <w:p>
            <w:pPr>
              <w:pStyle w:val="ListParagraph"/>
              <w:numPr>
                <w:ilvl w:val="0"/>
                <w:numId w:val="2"/>
              </w:numPr>
              <w:spacing w:after="45"/>
            </w:pPr>
            <w:r>
              <w:rPr>
                <w:sz w:val="15"/>
                <w:szCs w:val="15"/>
              </w:rPr>
              <w:t xml:space="preserve">Verification is differential and informative: lesions that grew were verified by growth, lesions that did not grow were verified by not growing, and lesions never followed were called indeterminate. There is no independent reference standard anywhere in the study, so benign and malignant are defined by the index test's own behaviour</w:t>
            </w:r>
          </w:p>
          <w:p>
            <w:pPr>
              <w:pStyle w:val="ListParagraph"/>
              <w:numPr>
                <w:ilvl w:val="0"/>
                <w:numId w:val="2"/>
              </w:numPr>
              <w:spacing w:after="45"/>
            </w:pPr>
            <w:r>
              <w:rPr>
                <w:sz w:val="15"/>
                <w:szCs w:val="15"/>
              </w:rPr>
              <w:t xml:space="preserve">Interval cytotoxic therapy in part of the stability group means some 'benign' lesions were treated metastases - the authors flag this for 6 patients but do not report treatment exposure across the whole &gt;=12-month group</w:t>
            </w:r>
          </w:p>
          <w:p>
            <w:pPr>
              <w:pStyle w:val="ListParagraph"/>
              <w:numPr>
                <w:ilvl w:val="0"/>
                <w:numId w:val="2"/>
              </w:numPr>
              <w:spacing w:after="45"/>
            </w:pPr>
            <w:r>
              <w:rPr>
                <w:sz w:val="15"/>
                <w:szCs w:val="15"/>
              </w:rPr>
              <w:t xml:space="preserve">Retrospective single-centre single-scanner design, no second reader, no measure of interobserver agreement for detecting sub-15 mm lesions, which is precisely where reader variability is greatest</w:t>
            </w:r>
          </w:p>
          <w:p>
            <w:pPr>
              <w:pStyle w:val="ListParagraph"/>
              <w:numPr>
                <w:ilvl w:val="0"/>
                <w:numId w:val="2"/>
              </w:numPr>
              <w:spacing w:after="45"/>
            </w:pPr>
            <w:r>
              <w:rPr>
                <w:sz w:val="15"/>
                <w:szCs w:val="15"/>
              </w:rPr>
              <w:t xml:space="preserve">Chi-squared tests across number-of-lesion strata with no adjustment for the correlation between lesion number and tumour burden, so the 'number of lesions predicts malignancy' gradient is confounded by stage</w:t>
            </w:r>
          </w:p>
        </w:tc>
      </w:tr>
    </w:tbl>
    <w:p>
      <w:pPr>
        <w:spacing w:after="0" w:line="276"/>
      </w:pPr>
      <w:r>
        <w:rPr>
          <w:color w:val="5A6069"/>
          <w:sz w:val="14"/>
          <w:szCs w:val="14"/>
        </w:rPr>
        <w:t xml:space="preserve">Funding: Not stated</w:t>
      </w:r>
    </w:p>
    <w:p>
      <w:pPr>
        <w:keepNext/>
        <w:spacing w:after="50" w:before="260"/>
      </w:pPr>
      <w:r>
        <w:rPr>
          <w:rFonts w:ascii="Cambria" w:cs="Cambria" w:eastAsia="Cambria" w:hAnsi="Cambria"/>
          <w:b/>
          <w:bCs/>
          <w:color w:val="17365D"/>
          <w:sz w:val="20"/>
          <w:szCs w:val="20"/>
        </w:rPr>
        <w:t xml:space="preserve">Jones 2005 CRLM biopsy</w:t>
      </w:r>
      <w:r>
        <w:rPr>
          <w:b/>
          <w:bCs/>
          <w:color w:val="176A87"/>
          <w:sz w:val="15"/>
          <w:szCs w:val="15"/>
        </w:rPr>
        <w:t xml:space="preserve">   Retrospective cohort</w:t>
      </w:r>
      <w:r>
        <w:rPr>
          <w:color w:val="5A6069"/>
          <w:sz w:val="15"/>
          <w:szCs w:val="15"/>
        </w:rPr>
        <w:t xml:space="preserve">   PMID 15997444</w:t>
      </w:r>
    </w:p>
    <w:p>
      <w:pPr>
        <w:spacing w:after="50" w:line="276"/>
      </w:pPr>
      <w:r>
        <w:rPr>
          <w:color w:val="5A6069"/>
          <w:sz w:val="17"/>
          <w:szCs w:val="17"/>
        </w:rPr>
        <w:t xml:space="preserve">Biopsy of resectable colorectal liver metastases causes tumour dissemination and adversely affects survival after liver resection.</w:t>
      </w:r>
    </w:p>
    <w:p>
      <w:pPr>
        <w:spacing w:after="50"/>
      </w:pPr>
      <w:r>
        <w:rPr>
          <w:b/>
          <w:bCs/>
          <w:color w:val="176A87"/>
          <w:sz w:val="16"/>
          <w:szCs w:val="16"/>
        </w:rPr>
        <w:t xml:space="preserve">Population. </w:t>
      </w:r>
      <w:r>
        <w:rPr>
          <w:sz w:val="16"/>
          <w:szCs w:val="16"/>
        </w:rPr>
        <w:t xml:space="preserve">598 patients resected with curative intent for colorectal metastases (from 925 liver resections); 90 biopsied before referral, 508 not biopsied</w:t>
      </w:r>
    </w:p>
    <w:p>
      <w:pPr>
        <w:spacing w:after="70"/>
      </w:pPr>
      <w:r>
        <w:rPr>
          <w:b/>
          <w:bCs/>
          <w:color w:val="17365D"/>
          <w:sz w:val="16"/>
          <w:szCs w:val="16"/>
        </w:rPr>
        <w:t xml:space="preserve">Bottom line. </w:t>
      </w:r>
      <w:r>
        <w:rPr>
          <w:sz w:val="16"/>
          <w:szCs w:val="16"/>
        </w:rPr>
        <w:t xml:space="preserve">In 598 patients resected for colorectal liver metastases at one specialist centre, those biopsied before referral had needle-track deposits in 19% and a 14% lower 4-year survival - it establishes that preoperative biopsy of resectable colorectal metastases is associated with worse outcome and that inadvertent resection of benign disease is rare (1.2%) in expert hands, and it cannot establish causation, since the biopsied group was referred from elsewhere, had 61% versus 26% synchronous disease, and the adjusted analysis is reported only as a p-value from the wrong statistical test.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 the paper has no section acknowledging its own limitations</w:t>
            </w:r>
          </w:p>
          <w:p>
            <w:pPr>
              <w:pStyle w:val="ListParagraph"/>
              <w:numPr>
                <w:ilvl w:val="0"/>
                <w:numId w:val="2"/>
              </w:numPr>
              <w:spacing w:after="45"/>
            </w:pPr>
            <w:r>
              <w:rPr>
                <w:sz w:val="15"/>
                <w:szCs w:val="15"/>
              </w:rPr>
              <w:t xml:space="preserve">The only concession to confounding is a single sentence conceding the higher proportion of synchronous tumours in the biopsied group, immediately dismissed on the grounds that synchronicity did not affect survival within the non-biopsied group</w:t>
            </w:r>
          </w:p>
          <w:p>
            <w:pPr>
              <w:pStyle w:val="ListParagraph"/>
              <w:numPr>
                <w:ilvl w:val="0"/>
                <w:numId w:val="2"/>
              </w:numPr>
              <w:spacing w:after="45"/>
            </w:pPr>
            <w:r>
              <w:rPr>
                <w:sz w:val="15"/>
                <w:szCs w:val="15"/>
              </w:rPr>
              <w:t xml:space="preserve">The authors note that neither of two comparable prior series was able to demonstrate an effect of biopsy on long-term survival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exposure is not randomised and is not even a decision made at this centre - every biopsy happened at a referring hospital before referral. Group 1 is therefore defined by having been managed elsewhere by clinicians who thought biopsy was needed, which is a proxy for diagnostic uncertainty, more advanced or atypical disease, and a different referral pathway. The paper tests biopsy and measures referral route</w:t>
            </w:r>
          </w:p>
          <w:p>
            <w:pPr>
              <w:pStyle w:val="ListParagraph"/>
              <w:numPr>
                <w:ilvl w:val="0"/>
                <w:numId w:val="2"/>
              </w:numPr>
              <w:spacing w:after="45"/>
            </w:pPr>
            <w:r>
              <w:rPr>
                <w:sz w:val="15"/>
                <w:szCs w:val="15"/>
              </w:rPr>
              <w:t xml:space="preserve">The one large baseline imbalance is in the variable most strongly linked to prognosis: 61% of biopsied patients had synchronous disease versus 26% of non-biopsied, p&lt;0.001. The authors dismiss this by showing synchronicity did not predict survival within group 2 only - a subgroup in which synchronous patients are, by construction, those who did not get biopsied, i.e. the ones whose diagnosis was obvious. That is not a valid adjustment, and no multivariable model including synchronicity is shown</w:t>
            </w:r>
          </w:p>
          <w:p>
            <w:pPr>
              <w:pStyle w:val="ListParagraph"/>
              <w:numPr>
                <w:ilvl w:val="0"/>
                <w:numId w:val="2"/>
              </w:numPr>
              <w:spacing w:after="45"/>
            </w:pPr>
            <w:r>
              <w:rPr>
                <w:sz w:val="15"/>
                <w:szCs w:val="15"/>
              </w:rPr>
              <w:t xml:space="preserve">The claimed independent effect of biopsy is attributed to 'Cox's proportional hazard model' in the methods but reported in the results as 'P = 0.001, Student's t test'. No hazard ratio, no confidence interval and no covariate list appear anywhere. The central inferential claim of the paper is unverifiable from the paper</w:t>
            </w:r>
          </w:p>
          <w:p>
            <w:pPr>
              <w:pStyle w:val="ListParagraph"/>
              <w:numPr>
                <w:ilvl w:val="0"/>
                <w:numId w:val="2"/>
              </w:numPr>
              <w:spacing w:after="45"/>
            </w:pPr>
            <w:r>
              <w:rPr>
                <w:sz w:val="15"/>
                <w:szCs w:val="15"/>
              </w:rPr>
              <w:t xml:space="preserve">The denominator for the survival comparison is 598 patients who all underwent curative-intent resection and all had histologically confirmed metastases. Conditioning on resection removes everyone whose biopsy-track deposit or disseminated disease made them inoperable - the very harm the paper attributes to biopsy. If biopsy causes dissemination, the patients most harmed never reach the denominator, and the direction this bias pushes the survival estimate is not discussed</w:t>
            </w:r>
          </w:p>
          <w:p>
            <w:pPr>
              <w:pStyle w:val="ListParagraph"/>
              <w:numPr>
                <w:ilvl w:val="0"/>
                <w:numId w:val="2"/>
              </w:numPr>
              <w:spacing w:after="45"/>
            </w:pPr>
            <w:r>
              <w:rPr>
                <w:sz w:val="15"/>
                <w:szCs w:val="15"/>
              </w:rPr>
              <w:t xml:space="preserve">A 14.2% absolute difference with a 95% CI of 2.0-26.4% is reported alongside a declaration that the study provides 'overwhelming support' for the hypothesis. An interval whose lower bound is 2% does not support that language, and the paper's title states causation ('causes tumour dissemination and adversely affects survival') from an unadjusted observational comparison</w:t>
            </w:r>
          </w:p>
          <w:p>
            <w:pPr>
              <w:pStyle w:val="ListParagraph"/>
              <w:numPr>
                <w:ilvl w:val="0"/>
                <w:numId w:val="2"/>
              </w:numPr>
              <w:spacing w:after="45"/>
            </w:pPr>
            <w:r>
              <w:rPr>
                <w:sz w:val="15"/>
                <w:szCs w:val="15"/>
              </w:rPr>
              <w:t xml:space="preserve">Needle-track deposits were 'specifically sought at the time of surgery' in a centre whose surgeons held a strong prior against biopsy, and the deposit definition required localisation to the biopsy site - a judgement made by the same unblinded surgeons. Ascertainment of the exposure's signature harm was neither blinded nor independently adjudicated</w:t>
            </w:r>
          </w:p>
          <w:p>
            <w:pPr>
              <w:pStyle w:val="ListParagraph"/>
              <w:numPr>
                <w:ilvl w:val="0"/>
                <w:numId w:val="2"/>
              </w:numPr>
              <w:spacing w:after="45"/>
            </w:pPr>
            <w:r>
              <w:rPr>
                <w:sz w:val="15"/>
                <w:szCs w:val="15"/>
              </w:rPr>
              <w:t xml:space="preserve">Nineteen percent is far higher than the 1-3% needle-track rates reported for percutaneous biopsy generally, and sits alongside an unexplained equivalence between open and percutaneous biopsy (22% vs 15%). That open biopsy at colorectal resection produces as many 'needle-track' deposits as a percutaneous needle suggests the lesions being counted include peritoneal implantation from the laparotomy itself, which is a different mechanism from needle tracking</w:t>
            </w:r>
          </w:p>
          <w:p>
            <w:pPr>
              <w:pStyle w:val="ListParagraph"/>
              <w:numPr>
                <w:ilvl w:val="0"/>
                <w:numId w:val="2"/>
              </w:numPr>
              <w:spacing w:after="45"/>
            </w:pPr>
            <w:r>
              <w:rPr>
                <w:sz w:val="15"/>
                <w:szCs w:val="15"/>
              </w:rPr>
              <w:t xml:space="preserve">Eighteen years of accrual (1986-2003) with imaging that changed from CT and CT arteriography to routine MRI during the study, and with the biopsied patients concentrated in the earlier era by the nature of referral practice. Era is an uncontrolled confounder for both staging accuracy and chemotherapy availability, and no analysis by period is presented</w:t>
            </w:r>
          </w:p>
          <w:p>
            <w:pPr>
              <w:pStyle w:val="ListParagraph"/>
              <w:numPr>
                <w:ilvl w:val="0"/>
                <w:numId w:val="2"/>
              </w:numPr>
              <w:spacing w:after="45"/>
            </w:pPr>
            <w:r>
              <w:rPr>
                <w:sz w:val="15"/>
                <w:szCs w:val="15"/>
              </w:rPr>
              <w:t xml:space="preserve">The 1.2% inadvertent benign resection rate - the counterweight that makes forgoing biopsy acceptable - is computed as 6/514 using a denominator of non-biopsied patients plus a quantity that does not match the 508 reported in the main comparison, and rests on six events. All six were benign cysts or haemangiomas in a unit with intraoperative ultrasound and a specialist hepatobiliary surgeon; it cannot be transported to a general surgical setting</w:t>
            </w:r>
          </w:p>
          <w:p>
            <w:pPr>
              <w:pStyle w:val="ListParagraph"/>
              <w:numPr>
                <w:ilvl w:val="0"/>
                <w:numId w:val="2"/>
              </w:numPr>
              <w:spacing w:after="45"/>
            </w:pPr>
            <w:r>
              <w:rPr>
                <w:sz w:val="15"/>
                <w:szCs w:val="15"/>
              </w:rPr>
              <w:t xml:space="preserve">Survival is reported as 4-year overall survival only, with no disease-free survival despite a section heading promising it, no recurrence pattern, and no cause-specific analysis. If biopsy causes peritoneal dissemination, the mechanism predicts a specific recurrence pattern that the data could have tested and did not</w:t>
            </w:r>
          </w:p>
          <w:p>
            <w:pPr>
              <w:pStyle w:val="ListParagraph"/>
              <w:numPr>
                <w:ilvl w:val="0"/>
                <w:numId w:val="2"/>
              </w:numPr>
              <w:spacing w:after="45"/>
            </w:pPr>
            <w:r>
              <w:rPr>
                <w:sz w:val="15"/>
                <w:szCs w:val="15"/>
              </w:rPr>
              <w:t xml:space="preserve">Perioperative outcomes are reported with means and s.e.m. for skewed variables (length of stay 11(8) vs 11(3) days) and significance tested by Student's t test; chi-squared is used for cells containing single events (1 vs 8 perioperative deaths)</w:t>
            </w:r>
          </w:p>
          <w:p>
            <w:pPr>
              <w:pStyle w:val="ListParagraph"/>
              <w:numPr>
                <w:ilvl w:val="0"/>
                <w:numId w:val="2"/>
              </w:numPr>
              <w:spacing w:after="45"/>
            </w:pPr>
            <w:r>
              <w:rPr>
                <w:sz w:val="15"/>
                <w:szCs w:val="15"/>
              </w:rPr>
              <w:t xml:space="preserve">Single centre, single surgical team, retrospective analysis of a prospective database, no sample size calculation, no correction for multiple comparisons across 10 baseline and 5 outcome comparisons</w:t>
            </w:r>
          </w:p>
        </w:tc>
      </w:tr>
    </w:tbl>
    <w:p>
      <w:pPr>
        <w:spacing w:after="0" w:line="276"/>
      </w:pPr>
      <w:r>
        <w:rPr>
          <w:color w:val="5A6069"/>
          <w:sz w:val="14"/>
          <w:szCs w:val="14"/>
        </w:rPr>
        <w:t xml:space="preserve">Funding: Not stated; acknowledgement of a named data collector only</w:t>
      </w:r>
    </w:p>
    <w:p>
      <w:pPr>
        <w:keepNext/>
        <w:spacing w:after="50" w:before="260"/>
      </w:pPr>
      <w:r>
        <w:rPr>
          <w:rFonts w:ascii="Cambria" w:cs="Cambria" w:eastAsia="Cambria" w:hAnsi="Cambria"/>
          <w:b/>
          <w:bCs/>
          <w:color w:val="17365D"/>
          <w:sz w:val="20"/>
          <w:szCs w:val="20"/>
        </w:rPr>
        <w:t xml:space="preserve">Kaltenbach 2016</w:t>
      </w:r>
      <w:r>
        <w:rPr>
          <w:b/>
          <w:bCs/>
          <w:color w:val="176A87"/>
          <w:sz w:val="15"/>
          <w:szCs w:val="15"/>
        </w:rPr>
        <w:t xml:space="preserve">   Retrospective cohort</w:t>
      </w:r>
      <w:r>
        <w:rPr>
          <w:color w:val="5A6069"/>
          <w:sz w:val="15"/>
          <w:szCs w:val="15"/>
        </w:rPr>
        <w:t xml:space="preserve">   PMID 26830608</w:t>
      </w:r>
    </w:p>
    <w:p>
      <w:pPr>
        <w:spacing w:after="50" w:line="276"/>
      </w:pPr>
      <w:r>
        <w:rPr>
          <w:color w:val="5A6069"/>
          <w:sz w:val="17"/>
          <w:szCs w:val="17"/>
        </w:rPr>
        <w:t xml:space="preserve">Prevalence of benign focal liver lesions: ultrasound investigation of 45,319 hospital patients.</w:t>
      </w:r>
    </w:p>
    <w:p>
      <w:pPr>
        <w:spacing w:after="50"/>
      </w:pPr>
      <w:r>
        <w:rPr>
          <w:b/>
          <w:bCs/>
          <w:color w:val="176A87"/>
          <w:sz w:val="16"/>
          <w:szCs w:val="16"/>
        </w:rPr>
        <w:t xml:space="preserve">Population. </w:t>
      </w:r>
      <w:r>
        <w:rPr>
          <w:sz w:val="16"/>
          <w:szCs w:val="16"/>
        </w:rPr>
        <w:t xml:space="preserve">45,319 patients (21,988 women, 23,331 men), mean age 56 +/- 18.1 years (range 4 months to 105 years); 6851 (15.1%) with at least one lesion of interest</w:t>
      </w:r>
    </w:p>
    <w:p>
      <w:pPr>
        <w:spacing w:after="70"/>
      </w:pPr>
      <w:r>
        <w:rPr>
          <w:b/>
          <w:bCs/>
          <w:color w:val="17365D"/>
          <w:sz w:val="16"/>
          <w:szCs w:val="16"/>
        </w:rPr>
        <w:t xml:space="preserve">Bottom line. </w:t>
      </w:r>
      <w:r>
        <w:rPr>
          <w:sz w:val="16"/>
          <w:szCs w:val="16"/>
        </w:rPr>
        <w:t xml:space="preserve">In 45,319 ultrasound examinations at one German university hospital, 15.1% had at least one of five pre-specified benign findings - but four fifths of that figure is focal fatty sparing and simple cysts, malignant lesions were never counted, and FNH (0.18%) and adenoma (0.04%) came in roughly tenfold below every prior series; it establishes that cysts, fatty sparing and haemangiomas dominate benign sonographic findings in a hospital population, and does not establish a general-population prevalence or any probability of malignancy.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so genotypic subtyping of adenoma - which the authors note has transformed understanding of the entity - cannot be captured</w:t>
            </w:r>
          </w:p>
          <w:p>
            <w:pPr>
              <w:pStyle w:val="ListParagraph"/>
              <w:numPr>
                <w:ilvl w:val="0"/>
                <w:numId w:val="2"/>
              </w:numPr>
              <w:spacing w:after="45"/>
            </w:pPr>
            <w:r>
              <w:rPr>
                <w:sz w:val="15"/>
                <w:szCs w:val="15"/>
              </w:rPr>
              <w:t xml:space="preserve">The authors attribute their markedly lower FNH and adenoma prevalences to the size and age structure of the study population and to improved differentiation by modern ultrasound equipment, i.e. they concede the figures are equipment- and population-dependent</w:t>
            </w:r>
          </w:p>
          <w:p>
            <w:pPr>
              <w:pStyle w:val="ListParagraph"/>
              <w:numPr>
                <w:ilvl w:val="0"/>
                <w:numId w:val="2"/>
              </w:numPr>
              <w:spacing w:after="45"/>
            </w:pPr>
            <w:r>
              <w:rPr>
                <w:sz w:val="15"/>
                <w:szCs w:val="15"/>
              </w:rPr>
              <w:t xml:space="preserve">Study results across the literature are acknowledged as difficult to compare because of differences in population selection, sample size and diagnostic method (US, CT, MRI or autopsy), which is offered as the explanation for published haemangioma ranges of 0.1-20% and cyst ranges of 0.06-17.8%</w:t>
            </w:r>
          </w:p>
          <w:p>
            <w:pPr>
              <w:pStyle w:val="ListParagraph"/>
              <w:numPr>
                <w:ilvl w:val="0"/>
                <w:numId w:val="2"/>
              </w:numPr>
              <w:spacing w:after="45"/>
            </w:pPr>
            <w:r>
              <w:rPr>
                <w:sz w:val="15"/>
                <w:szCs w:val="15"/>
              </w:rPr>
              <w:t xml:space="preserve">No comparison was possible with other studies on the age, sex or size distribution of adenoma because no comparable ultrasound series exists</w:t>
            </w:r>
          </w:p>
          <w:p>
            <w:pPr>
              <w:pStyle w:val="ListParagraph"/>
              <w:numPr>
                <w:ilvl w:val="0"/>
                <w:numId w:val="2"/>
              </w:numPr>
              <w:spacing w:after="45"/>
            </w:pPr>
            <w:r>
              <w:rPr>
                <w:sz w:val="15"/>
                <w:szCs w:val="15"/>
              </w:rPr>
              <w:t xml:space="preserve">Lower focal fatty sparing than Kratzer et al is ascribed to a higher rate of prior cholecystectomy in a hospital population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45,319 *examinations performed in a German university hospital ultrasound unit over 11 years*, mixing 55.1% inpatients and 44.9% outpatients referred for 'a variety of diseases'. A tertiary hospital ultrasound population is sicker, older and more liver-disease-enriched than the general population, so 15.1% is not a population prevalence - yet the title's 'hospital patients' is routinely dropped when the figure is quoted</w:t>
            </w:r>
          </w:p>
          <w:p>
            <w:pPr>
              <w:pStyle w:val="ListParagraph"/>
              <w:numPr>
                <w:ilvl w:val="0"/>
                <w:numId w:val="2"/>
              </w:numPr>
              <w:spacing w:after="45"/>
            </w:pPr>
            <w:r>
              <w:rPr>
                <w:sz w:val="15"/>
                <w:szCs w:val="15"/>
              </w:rPr>
              <w:t xml:space="preserve">The denominator is also patients, not people: anyone scanned repeatedly over 11 years could in principle be counted more than once, and the paper never states whether records were de-duplicated by patient identifier</w:t>
            </w:r>
          </w:p>
          <w:p>
            <w:pPr>
              <w:pStyle w:val="ListParagraph"/>
              <w:numPr>
                <w:ilvl w:val="0"/>
                <w:numId w:val="2"/>
              </w:numPr>
              <w:spacing w:after="45"/>
            </w:pPr>
            <w:r>
              <w:rPr>
                <w:sz w:val="15"/>
                <w:szCs w:val="15"/>
              </w:rPr>
              <w:t xml:space="preserve">The numerator excludes malignancy entirely. Metastases, HCC, cholangiocarcinoma, abscess and biliary hamartomas were never counted, so this study cannot speak to the pre-test probability of malignancy in an incidental lesion - which is the only question a pathway asks. Citing 15.1% to reassure a patient conflates 'prevalence of five specific benign findings' with 'probability that this lesion is benign'</w:t>
            </w:r>
          </w:p>
          <w:p>
            <w:pPr>
              <w:pStyle w:val="ListParagraph"/>
              <w:numPr>
                <w:ilvl w:val="0"/>
                <w:numId w:val="2"/>
              </w:numPr>
              <w:spacing w:after="45"/>
            </w:pPr>
            <w:r>
              <w:rPr>
                <w:sz w:val="15"/>
                <w:szCs w:val="15"/>
              </w:rPr>
              <w:t xml:space="preserve">Two of the five entities are not lesions at all. Focal fatty sparing (6.3%) is a pseudolesion and simple cysts (5.8%) are not tumours; together they are 80% of the 15.1%. The prevalence of a solid benign tumour is 3.6% + 0.18% + 0.04%, under 4%, which is a different clinical message</w:t>
            </w:r>
          </w:p>
          <w:p>
            <w:pPr>
              <w:pStyle w:val="ListParagraph"/>
              <w:numPr>
                <w:ilvl w:val="0"/>
                <w:numId w:val="2"/>
              </w:numPr>
              <w:spacing w:after="45"/>
            </w:pPr>
            <w:r>
              <w:rPr>
                <w:sz w:val="15"/>
                <w:szCs w:val="15"/>
              </w:rPr>
              <w:t xml:space="preserve">The paper contradicts itself on two headline numbers: the abstract says at least one lesion in 15.1% (n=6839) and haemangioma in 3.3% (n=1640), while the results and Table 3 say n=6851 and 3.62%. Neither the 12-patient nor the 0.3-percentage-point discrepancy is acknowledged, and 1640/45,319 = 3.62%, so the abstract's 3.3% is simply wrong</w:t>
            </w:r>
          </w:p>
          <w:p>
            <w:pPr>
              <w:pStyle w:val="ListParagraph"/>
              <w:numPr>
                <w:ilvl w:val="0"/>
                <w:numId w:val="2"/>
              </w:numPr>
              <w:spacing w:after="45"/>
            </w:pPr>
            <w:r>
              <w:rPr>
                <w:sz w:val="15"/>
                <w:szCs w:val="15"/>
              </w:rPr>
              <w:t xml:space="preserve">Ascertainment is asymmetric by design: FNH and adenoma required confirmation by CEUS, MRI or histology, while cysts, haemangiomas and fatty sparing were accepted on B-mode and Doppler criteria alone. Requiring a second test only for the rare entities will drive their counts down relative to the common ones, which is the most likely explanation for FNH and adenoma coming in an order of magnitude below every prior series - an explanation the authors do not consider, preferring population age and equipment quality</w:t>
            </w:r>
          </w:p>
          <w:p>
            <w:pPr>
              <w:pStyle w:val="ListParagraph"/>
              <w:numPr>
                <w:ilvl w:val="0"/>
                <w:numId w:val="2"/>
              </w:numPr>
              <w:spacing w:after="45"/>
            </w:pPr>
            <w:r>
              <w:rPr>
                <w:sz w:val="15"/>
                <w:szCs w:val="15"/>
              </w:rPr>
              <w:t xml:space="preserve">No confidence intervals anywhere. The adenoma estimate is 19 events, where the 95% interval is roughly 0.024-0.063%; the FNH estimate is 81 events. The paper states these to two decimal places as though precise</w:t>
            </w:r>
          </w:p>
          <w:p>
            <w:pPr>
              <w:pStyle w:val="ListParagraph"/>
              <w:numPr>
                <w:ilvl w:val="0"/>
                <w:numId w:val="2"/>
              </w:numPr>
              <w:spacing w:after="45"/>
            </w:pPr>
            <w:r>
              <w:rPr>
                <w:sz w:val="15"/>
                <w:szCs w:val="15"/>
              </w:rPr>
              <w:t xml:space="preserve">Operator-dependence is unquantified: 'experienced physicians' across five scanner models (Philips HDI 3000, HDI 5000, IU22, Toshiba Aplio 500, Siemens Acuson S3000) over 11 years, with no interobserver agreement, no blinding, and no reference standard for the three entities accepted on B-mode alone</w:t>
            </w:r>
          </w:p>
          <w:p>
            <w:pPr>
              <w:pStyle w:val="ListParagraph"/>
              <w:numPr>
                <w:ilvl w:val="0"/>
                <w:numId w:val="2"/>
              </w:numPr>
              <w:spacing w:after="45"/>
            </w:pPr>
            <w:r>
              <w:rPr>
                <w:sz w:val="15"/>
                <w:szCs w:val="15"/>
              </w:rPr>
              <w:t xml:space="preserve">Mean FNH size is reported as 51.6 mm (SD 29.5) and mean adenoma size 39.0 mm (SD 27.5) - far larger than typical incidental lesions. If only large FNH and adenomas were detected and confirmed, the prevalence estimate is of large lesions, and the conclusion that 'the finding of a FNH or an adenoma is rarely a random discovery' is partly a restatement of the detection threshold</w:t>
            </w:r>
          </w:p>
          <w:p>
            <w:pPr>
              <w:pStyle w:val="ListParagraph"/>
              <w:numPr>
                <w:ilvl w:val="0"/>
                <w:numId w:val="2"/>
              </w:numPr>
              <w:spacing w:after="45"/>
            </w:pPr>
            <w:r>
              <w:rPr>
                <w:sz w:val="15"/>
                <w:szCs w:val="15"/>
              </w:rPr>
              <w:t xml:space="preserve">Patients with polycystic liver disease were excluded, which lowers the cyst count, while patients with hepatic steatosis - the precondition for focal fatty sparing - were retained; the composition of the 15.1% therefore depends on two opposite selection decisions</w:t>
            </w:r>
          </w:p>
        </w:tc>
      </w:tr>
    </w:tbl>
    <w:p>
      <w:pPr>
        <w:spacing w:after="0" w:line="276"/>
      </w:pPr>
      <w:r>
        <w:rPr>
          <w:color w:val="5A6069"/>
          <w:sz w:val="14"/>
          <w:szCs w:val="14"/>
        </w:rPr>
        <w:t xml:space="preserve">Funding: Not stated; open access publication fees covered under a Springer open-access agreement. Ethics approval 377/13, University of Ulm</w:t>
      </w:r>
    </w:p>
    <w:p>
      <w:pPr>
        <w:keepNext/>
        <w:spacing w:after="50" w:before="260"/>
      </w:pPr>
      <w:r>
        <w:rPr>
          <w:rFonts w:ascii="Cambria" w:cs="Cambria" w:eastAsia="Cambria" w:hAnsi="Cambria"/>
          <w:b/>
          <w:bCs/>
          <w:color w:val="17365D"/>
          <w:sz w:val="20"/>
          <w:szCs w:val="20"/>
        </w:rPr>
        <w:t xml:space="preserve">Karhunen 1986</w:t>
      </w:r>
      <w:r>
        <w:rPr>
          <w:b/>
          <w:bCs/>
          <w:color w:val="176A87"/>
          <w:sz w:val="15"/>
          <w:szCs w:val="15"/>
        </w:rPr>
        <w:t xml:space="preserve">   Case series</w:t>
      </w:r>
      <w:r>
        <w:rPr>
          <w:color w:val="5A6069"/>
          <w:sz w:val="15"/>
          <w:szCs w:val="15"/>
        </w:rPr>
        <w:t xml:space="preserve">   PMID 3950039</w:t>
      </w:r>
    </w:p>
    <w:p>
      <w:pPr>
        <w:spacing w:after="50" w:line="276"/>
      </w:pPr>
      <w:r>
        <w:rPr>
          <w:color w:val="5A6069"/>
          <w:sz w:val="17"/>
          <w:szCs w:val="17"/>
        </w:rPr>
        <w:t xml:space="preserve">Benign hepatic tumours and tumour like conditions in men.</w:t>
      </w:r>
    </w:p>
    <w:p>
      <w:pPr>
        <w:spacing w:after="50"/>
      </w:pPr>
      <w:r>
        <w:rPr>
          <w:b/>
          <w:bCs/>
          <w:color w:val="176A87"/>
          <w:sz w:val="16"/>
          <w:szCs w:val="16"/>
        </w:rPr>
        <w:t xml:space="preserve">Population. </w:t>
      </w:r>
      <w:r>
        <w:rPr>
          <w:sz w:val="16"/>
          <w:szCs w:val="16"/>
        </w:rPr>
        <w:t xml:space="preserve">95 consecutive medicolegal autopsies, all men aged 35-69</w:t>
      </w:r>
    </w:p>
    <w:p>
      <w:pPr>
        <w:spacing w:after="70"/>
      </w:pPr>
      <w:r>
        <w:rPr>
          <w:b/>
          <w:bCs/>
          <w:color w:val="17365D"/>
          <w:sz w:val="16"/>
          <w:szCs w:val="16"/>
        </w:rPr>
        <w:t xml:space="preserve">Bottom line. </w:t>
      </w:r>
      <w:r>
        <w:rPr>
          <w:sz w:val="16"/>
          <w:szCs w:val="16"/>
        </w:rPr>
        <w:t xml:space="preserve">In 95 forensic autopsies of Finnish men aged 35-69, half had a benign hepatic lesion, but almost all were millimetre-scale bile duct microhamartomas and small haemangiomas - this establishes that tiny benign lesions are ubiquitous at targeted pathology, and does not establish any prevalence relevant to a radiologically detected incidental mass.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 attributes the much higher rates than prior literature (haemangioma 0.35-7%, bile duct tumours 0.6-2.8%, FNH 1-2%) to detection: small lesions are overlooked at routine non-targeted autopsy, so the 52% reflects search intensity as much as biology</w:t>
            </w:r>
          </w:p>
          <w:p>
            <w:pPr>
              <w:pStyle w:val="ListParagraph"/>
              <w:numPr>
                <w:ilvl w:val="0"/>
                <w:numId w:val="2"/>
              </w:numPr>
              <w:spacing w:after="45"/>
            </w:pPr>
            <w:r>
              <w:rPr>
                <w:sz w:val="15"/>
                <w:szCs w:val="15"/>
              </w:rPr>
              <w:t xml:space="preserve">Lesion sizes were far smaller than in surgical series (FNH 0.8 cm here vs 5.6 cm reported by Gold et al; adenoma 0.6 cm vs 7.5 cm), implicitly conceding these are not the lesions clinicians see</w:t>
            </w:r>
          </w:p>
          <w:p>
            <w:pPr>
              <w:pStyle w:val="ListParagraph"/>
              <w:numPr>
                <w:ilvl w:val="0"/>
                <w:numId w:val="2"/>
              </w:numPr>
              <w:spacing w:after="45"/>
            </w:pPr>
            <w:r>
              <w:rPr>
                <w:sz w:val="15"/>
                <w:szCs w:val="15"/>
              </w:rPr>
              <w:t xml:space="preserve">Drug history was unavailable for the peliosis case and no hospitalisation records were obtainable</w:t>
            </w:r>
          </w:p>
          <w:p>
            <w:pPr>
              <w:pStyle w:val="ListParagraph"/>
              <w:numPr>
                <w:ilvl w:val="0"/>
                <w:numId w:val="2"/>
              </w:numPr>
              <w:spacing w:after="45"/>
            </w:pPr>
            <w:r>
              <w:rPr>
                <w:sz w:val="15"/>
                <w:szCs w:val="15"/>
              </w:rPr>
              <w:t xml:space="preserve">No patient had a history of sex hormone treatment, limiting inference about hormonal aetiology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95 forensic autopsies in Finnish men only - no women, no one under 35 or over 69. Any pathway quoting '52% prevalence of benign liver lesions' as a general-population figure is extrapolating from 95 dead Finnish men to a mixed-sex clinic population</w:t>
            </w:r>
          </w:p>
          <w:p>
            <w:pPr>
              <w:pStyle w:val="ListParagraph"/>
              <w:numPr>
                <w:ilvl w:val="0"/>
                <w:numId w:val="2"/>
              </w:numPr>
              <w:spacing w:after="45"/>
            </w:pPr>
            <w:r>
              <w:rPr>
                <w:sz w:val="15"/>
                <w:szCs w:val="15"/>
              </w:rPr>
              <w:t xml:space="preserve">The population is selected for violent, unexpected or intoxication-related death: 49.5% cardiovascular, 15.8% alcohol/drug intoxication, 17.9% other violent death, and only 1% neoplastic. This is systematically younger, more male and more alcohol-exposed than a radiology population, and the near-absence of cancer deaths means the metastasis denominator is meaningless</w:t>
            </w:r>
          </w:p>
          <w:p>
            <w:pPr>
              <w:pStyle w:val="ListParagraph"/>
              <w:numPr>
                <w:ilvl w:val="0"/>
                <w:numId w:val="2"/>
              </w:numPr>
              <w:spacing w:after="45"/>
            </w:pPr>
            <w:r>
              <w:rPr>
                <w:sz w:val="15"/>
                <w:szCs w:val="15"/>
              </w:rPr>
              <w:t xml:space="preserve">The 52% is dominated by lesions that are radiologically invisible: 26 bile duct tumours with a mean diameter of 1.3 mm and 19 haemangiomas with a mean of 5.2 mm. Nothing at 1.3 mm can be seen on CT, so this figure cannot be used to set a prior probability for an incidentally imaged mass</w:t>
            </w:r>
          </w:p>
          <w:p>
            <w:pPr>
              <w:pStyle w:val="ListParagraph"/>
              <w:numPr>
                <w:ilvl w:val="0"/>
                <w:numId w:val="2"/>
              </w:numPr>
              <w:spacing w:after="45"/>
            </w:pPr>
            <w:r>
              <w:rPr>
                <w:sz w:val="15"/>
                <w:szCs w:val="15"/>
              </w:rPr>
              <w:t xml:space="preserve">Microhamartomas and bile duct adenomas - biologically distinct entities, one a ductal plate malformation and one a neoplasm - were deliberately pooled into 'bile duct tumours', inflating the single largest contributor to the 52%</w:t>
            </w:r>
          </w:p>
          <w:p>
            <w:pPr>
              <w:pStyle w:val="ListParagraph"/>
              <w:numPr>
                <w:ilvl w:val="0"/>
                <w:numId w:val="2"/>
              </w:numPr>
              <w:spacing w:after="45"/>
            </w:pPr>
            <w:r>
              <w:rPr>
                <w:sz w:val="15"/>
                <w:szCs w:val="15"/>
              </w:rPr>
              <w:t xml:space="preserve">Single observer, single centre, no second reader, no blinding for the targeted blocks (only the 285 routine blocks were read blind to the suspect-lesion results), and the targeted blocks are where almost everything was found</w:t>
            </w:r>
          </w:p>
          <w:p>
            <w:pPr>
              <w:pStyle w:val="ListParagraph"/>
              <w:numPr>
                <w:ilvl w:val="0"/>
                <w:numId w:val="2"/>
              </w:numPr>
              <w:spacing w:after="45"/>
            </w:pPr>
            <w:r>
              <w:rPr>
                <w:sz w:val="15"/>
                <w:szCs w:val="15"/>
              </w:rPr>
              <w:t xml:space="preserve">Numerators are tiny for the lesions clinicians actually worry about: n=1 adenoma, n=3 FNH, n=1 peliosis. The confidence interval around a 1/95 estimate spans roughly 0-6%, which the paper never states</w:t>
            </w:r>
          </w:p>
          <w:p>
            <w:pPr>
              <w:pStyle w:val="ListParagraph"/>
              <w:numPr>
                <w:ilvl w:val="0"/>
                <w:numId w:val="2"/>
              </w:numPr>
              <w:spacing w:after="45"/>
            </w:pPr>
            <w:r>
              <w:rPr>
                <w:sz w:val="15"/>
                <w:szCs w:val="15"/>
              </w:rPr>
              <w:t xml:space="preserve">The statistics are two-tailed t-tests on separate variances across seven lesion types with no correction for multiplicity, yet p-values are reported to three decimals</w:t>
            </w:r>
          </w:p>
          <w:p>
            <w:pPr>
              <w:pStyle w:val="ListParagraph"/>
              <w:numPr>
                <w:ilvl w:val="0"/>
                <w:numId w:val="2"/>
              </w:numPr>
              <w:spacing w:after="45"/>
            </w:pPr>
            <w:r>
              <w:rPr>
                <w:sz w:val="15"/>
                <w:szCs w:val="15"/>
              </w:rPr>
              <w:t xml:space="preserve">Funded by the Finnish Foundation of Alcohol Studies, in a series where 15.8% of deaths were alcohol-related - the sampling frame and the funder's interest coincide</w:t>
            </w:r>
          </w:p>
        </w:tc>
      </w:tr>
    </w:tbl>
    <w:p>
      <w:pPr>
        <w:spacing w:after="0" w:line="276"/>
      </w:pPr>
      <w:r>
        <w:rPr>
          <w:color w:val="5A6069"/>
          <w:sz w:val="14"/>
          <w:szCs w:val="14"/>
        </w:rPr>
        <w:t xml:space="preserve">Funding: Supported by a grant from the Finnish Foundation of Alcohol Studies</w:t>
      </w:r>
    </w:p>
    <w:p>
      <w:pPr>
        <w:keepNext/>
        <w:spacing w:after="50" w:before="260"/>
      </w:pPr>
      <w:r>
        <w:rPr>
          <w:rFonts w:ascii="Cambria" w:cs="Cambria" w:eastAsia="Cambria" w:hAnsi="Cambria"/>
          <w:b/>
          <w:bCs/>
          <w:color w:val="17365D"/>
          <w:sz w:val="20"/>
          <w:szCs w:val="20"/>
        </w:rPr>
        <w:t xml:space="preserve">Kono 2024 CEUS validation</w:t>
      </w:r>
      <w:r>
        <w:rPr>
          <w:b/>
          <w:bCs/>
          <w:color w:val="176A87"/>
          <w:sz w:val="15"/>
          <w:szCs w:val="15"/>
        </w:rPr>
        <w:t xml:space="preserve">   Prospective cohort</w:t>
      </w:r>
      <w:r>
        <w:rPr>
          <w:color w:val="5A6069"/>
          <w:sz w:val="15"/>
          <w:szCs w:val="15"/>
        </w:rPr>
        <w:t xml:space="preserve">   PMID 38860996</w:t>
      </w:r>
    </w:p>
    <w:p>
      <w:pPr>
        <w:spacing w:after="50" w:line="276"/>
      </w:pPr>
      <w:r>
        <w:rPr>
          <w:color w:val="5A6069"/>
          <w:sz w:val="17"/>
          <w:szCs w:val="17"/>
        </w:rPr>
        <w:t xml:space="preserve">Clinical impact of CEUS on non-characterizable observations and observations with intermediate probability of malignancy on CT/MRI in patients at risk for HCC.</w:t>
      </w:r>
    </w:p>
    <w:p>
      <w:pPr>
        <w:spacing w:after="50"/>
      </w:pPr>
      <w:r>
        <w:rPr>
          <w:b/>
          <w:bCs/>
          <w:color w:val="176A87"/>
          <w:sz w:val="16"/>
          <w:szCs w:val="16"/>
        </w:rPr>
        <w:t xml:space="preserve">Population. </w:t>
      </w:r>
      <w:r>
        <w:rPr>
          <w:sz w:val="16"/>
          <w:szCs w:val="16"/>
        </w:rPr>
        <w:t xml:space="preserve">75 observations in 68 patients (54 LR-3, 21 LR-NC), drawn from 646 enrolled patients</w:t>
      </w:r>
    </w:p>
    <w:p>
      <w:pPr>
        <w:spacing w:after="70"/>
      </w:pPr>
      <w:r>
        <w:rPr>
          <w:b/>
          <w:bCs/>
          <w:color w:val="17365D"/>
          <w:sz w:val="16"/>
          <w:szCs w:val="16"/>
        </w:rPr>
        <w:t xml:space="preserve">Bottom line. </w:t>
      </w:r>
      <w:r>
        <w:rPr>
          <w:sz w:val="16"/>
          <w:szCs w:val="16"/>
        </w:rPr>
        <w:t xml:space="preserve">In a prospective multicentre cohort of 75 CT/MRI-indeterminate observations in 68 patients who were 97% cirrhotic, CEUS resolved a third of them and changed management correctly in 24 of 25 cases - it establishes, in patients at risk for HCC and with readers who could see the prior CT/MRI, that CEUS is a reasonable next step for an LR-3 or LR-NC nodule; it does not establish any performance figure with usable precision (the 100% PPV and NPV rest on 7, 7, 6 and 1 observations), and it licenses nothing at all about an incidental mass in a non-cirrhotic liver.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most important limitation stated is the composite imaging-and-histology reference standard; the authors argue histology for every HCC is no longer standard of care and so is practically impossible to obtain</w:t>
            </w:r>
          </w:p>
          <w:p>
            <w:pPr>
              <w:pStyle w:val="ListParagraph"/>
              <w:numPr>
                <w:ilvl w:val="0"/>
                <w:numId w:val="2"/>
              </w:numPr>
              <w:spacing w:after="45"/>
            </w:pPr>
            <w:r>
              <w:rPr>
                <w:sz w:val="15"/>
                <w:szCs w:val="15"/>
              </w:rPr>
              <w:t xml:space="preserve">Observations with persistent CT/MRI LR-3 at 1-year follow-up were counted as non-malignant, but the authors acknowledge that the growth rate of some well-differentiated HCC means 1 year may not be long enough to exclude malignancy, and conversely that nodules called non-malignant may transform later</w:t>
            </w:r>
          </w:p>
          <w:p>
            <w:pPr>
              <w:pStyle w:val="ListParagraph"/>
              <w:numPr>
                <w:ilvl w:val="0"/>
                <w:numId w:val="2"/>
              </w:numPr>
              <w:spacing w:after="45"/>
            </w:pPr>
            <w:r>
              <w:rPr>
                <w:sz w:val="15"/>
                <w:szCs w:val="15"/>
              </w:rPr>
              <w:t xml:space="preserve">CEUS readers were not blinded to the CT/MRI images or results in most cases, as in routine practice where CT/MRI guides the CEUS examination, which the authors argue increases clinical applicability</w:t>
            </w:r>
          </w:p>
          <w:p>
            <w:pPr>
              <w:pStyle w:val="ListParagraph"/>
              <w:numPr>
                <w:ilvl w:val="0"/>
                <w:numId w:val="2"/>
              </w:numPr>
              <w:spacing w:after="45"/>
            </w:pPr>
            <w:r>
              <w:rPr>
                <w:sz w:val="15"/>
                <w:szCs w:val="15"/>
              </w:rPr>
              <w:t xml:space="preserve">Despite the prospective multicentre design, the relatively small sample size of 75 liver lesions in this sub-analysis may affect generalisability and statistical power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population is 97.1% cirrhotic patients at risk for HCC, 23.5% with a personal history of HCC, enrolled because they already had a focal liver lesion on surveillance. This licenses nothing about an incidental mass in a normal liver. The study's own numbers make the point: at this prevalence, CT/MRI LR-3 carried a 26% HCC risk - in a non-cirrhotic liver the same imaging appearance carries a far lower risk and CEUS LR-5 would no longer have a 100% positive predictive value</w:t>
            </w:r>
          </w:p>
          <w:p>
            <w:pPr>
              <w:pStyle w:val="ListParagraph"/>
              <w:numPr>
                <w:ilvl w:val="0"/>
                <w:numId w:val="2"/>
              </w:numPr>
              <w:spacing w:after="45"/>
            </w:pPr>
            <w:r>
              <w:rPr>
                <w:sz w:val="15"/>
                <w:szCs w:val="15"/>
              </w:rPr>
              <w:t xml:space="preserve">The headline 'PPV 100%, NPV 100%' figures come from 7, 7, 1 and 6 observations respectively. A PPV of 7/7 has an exact 95% confidence interval of roughly 59-100%; an NPV of 1/1 is uninformative. No confidence interval appears anywhere in the paper for any of these proportions, and they are stated as '100%' in the abstract, results, discussion and conclusion</w:t>
            </w:r>
          </w:p>
          <w:p>
            <w:pPr>
              <w:pStyle w:val="ListParagraph"/>
              <w:numPr>
                <w:ilvl w:val="0"/>
                <w:numId w:val="2"/>
              </w:numPr>
              <w:spacing w:after="45"/>
            </w:pPr>
            <w:r>
              <w:rPr>
                <w:sz w:val="15"/>
                <w:szCs w:val="15"/>
              </w:rPr>
              <w:t xml:space="preserve">The denominator shrinks from 646 enrolled patients to 68, and from an unstated number of observations to 75, by a selection that is partly on the reference standard: observations that were LR-4 on 1-year follow-up were excluded for uncertainty, and LR-M/LR-TIV without histology were excluded. Excluding the hardest cases from a study of how to resolve hard cases inflates the apparent resolution rate, and the paper reports no flow diagram or count of exclusions</w:t>
            </w:r>
          </w:p>
          <w:p>
            <w:pPr>
              <w:pStyle w:val="ListParagraph"/>
              <w:numPr>
                <w:ilvl w:val="0"/>
                <w:numId w:val="2"/>
              </w:numPr>
              <w:spacing w:after="45"/>
            </w:pPr>
            <w:r>
              <w:rPr>
                <w:sz w:val="15"/>
                <w:szCs w:val="15"/>
              </w:rPr>
              <w:t xml:space="preserve">Readers were not blinded to the CT/MRI result. Since the index test is a subjective category assignment and the comparator is the CT/MRI category being superseded, unblinding allows the CEUS reader to move a lesion in the direction clinical suspicion already points. The authors defend this as clinical realism, which it is, but it means the study measures the performance of CEUS-plus-prior-knowledge, not of CEUS</w:t>
            </w:r>
          </w:p>
          <w:p>
            <w:pPr>
              <w:pStyle w:val="ListParagraph"/>
              <w:numPr>
                <w:ilvl w:val="0"/>
                <w:numId w:val="2"/>
              </w:numPr>
              <w:spacing w:after="45"/>
            </w:pPr>
            <w:r>
              <w:rPr>
                <w:sz w:val="15"/>
                <w:szCs w:val="15"/>
              </w:rPr>
              <w:t xml:space="preserve">The reference standard is CT/MRI follow-up in 54 of 75 observations (72%) - the same modality whose indeterminacy CEUS is being credited with resolving. A lesion downgraded by CEUS and then confirmed benign by stable CT/MRI is confirmed by the test that could not characterise it in the first place. This is incorporation bias in the direction of the study's conclusion, and the single incorrect re-categorisation was itself resolved by follow-up MRI rather than the recommended biopsy</w:t>
            </w:r>
          </w:p>
          <w:p>
            <w:pPr>
              <w:pStyle w:val="ListParagraph"/>
              <w:numPr>
                <w:ilvl w:val="0"/>
                <w:numId w:val="2"/>
              </w:numPr>
              <w:spacing w:after="45"/>
            </w:pPr>
            <w:r>
              <w:rPr>
                <w:sz w:val="15"/>
                <w:szCs w:val="15"/>
              </w:rPr>
              <w:t xml:space="preserve">Counting a persistently LR-3 observation at 1 year as 'non-malignant' is a definitional choice that assigns the ambiguous cases to the benign column. The authors flag it; the arithmetic consequence - that the 72.2% non-malignant rate in LR-3 includes nodules of genuinely unknown status - is not quantified</w:t>
            </w:r>
          </w:p>
          <w:p>
            <w:pPr>
              <w:pStyle w:val="ListParagraph"/>
              <w:numPr>
                <w:ilvl w:val="0"/>
                <w:numId w:val="2"/>
              </w:numPr>
              <w:spacing w:after="45"/>
            </w:pPr>
            <w:r>
              <w:rPr>
                <w:sz w:val="15"/>
                <w:szCs w:val="15"/>
              </w:rPr>
              <w:t xml:space="preserve">'Management recommendation changed in 33.3% and was correct in 96%' conflates two different things. Of the 25 changes, 21 were to a definitive category and 4 prompted a biopsy or workup; the 96% correctness is computed over all 25 including those where 'correct' means 'biopsy was appropriately recommended'. The clinically useful figure - follow-up imaging genuinely avoided - is 21/75 (28%), i.e. CEUS left 72% of indeterminate observations still indeterminate</w:t>
            </w:r>
          </w:p>
          <w:p>
            <w:pPr>
              <w:pStyle w:val="ListParagraph"/>
              <w:numPr>
                <w:ilvl w:val="0"/>
                <w:numId w:val="2"/>
              </w:numPr>
              <w:spacing w:after="45"/>
            </w:pPr>
            <w:r>
              <w:rPr>
                <w:sz w:val="15"/>
                <w:szCs w:val="15"/>
              </w:rPr>
              <w:t xml:space="preserve">Three of 75 observations became LR-NC on CEUS, a fact reported only in passing. CEUS therefore created new non-characterizable observations in the LR-3 group while eliminating them in the LR-NC group, and the net effect on the volume of unresolved findings is never computed</w:t>
            </w:r>
          </w:p>
          <w:p>
            <w:pPr>
              <w:pStyle w:val="ListParagraph"/>
              <w:numPr>
                <w:ilvl w:val="0"/>
                <w:numId w:val="2"/>
              </w:numPr>
              <w:spacing w:after="45"/>
            </w:pPr>
            <w:r>
              <w:rPr>
                <w:sz w:val="15"/>
                <w:szCs w:val="15"/>
              </w:rPr>
              <w:t xml:space="preserve">This is a sub-analysis of a trial designed and powered for a different question (validation of CEUS LI-RADS overall, reported separately in Hepatology 2024). The subgroup was not the basis of the sample size calculation, no power analysis is given for it, and the authors acknowledge the sample size limits generalisability - yet the conclusion is a practice recommendation that 'CEUS should be strongly considered as an appropriate next step'</w:t>
            </w:r>
          </w:p>
          <w:p>
            <w:pPr>
              <w:pStyle w:val="ListParagraph"/>
              <w:numPr>
                <w:ilvl w:val="0"/>
                <w:numId w:val="2"/>
              </w:numPr>
              <w:spacing w:after="45"/>
            </w:pPr>
            <w:r>
              <w:rPr>
                <w:sz w:val="15"/>
                <w:szCs w:val="15"/>
              </w:rPr>
              <w:t xml:space="preserve">Eleven academic and non-academic sites with CEUS examiners of 3-25 years' experience, on-site application support, educational materials and a pictorial essay from the ACR working group. This is a best-case operator environment; no interobserver agreement is reported and no estimate is offered of how the result would degrade in a centre without that support</w:t>
            </w:r>
          </w:p>
          <w:p>
            <w:pPr>
              <w:pStyle w:val="ListParagraph"/>
              <w:numPr>
                <w:ilvl w:val="0"/>
                <w:numId w:val="2"/>
              </w:numPr>
              <w:spacing w:after="45"/>
            </w:pPr>
            <w:r>
              <w:rPr>
                <w:sz w:val="15"/>
                <w:szCs w:val="15"/>
              </w:rPr>
              <w:t xml:space="preserve">Funded in part by Bracco Diagnostics, the manufacturer of the contrast agent used (Lumason/SonoVue), in a study concluding that the agent should be used more. Sixteen of the 18 authors declare relationships with ultrasound-equipment or contrast manufacturers, including Bracco advisory board membership, consulting agreements and research support for the senior and corresponding authors. The comparator - repeat CT/MRI - is the product the funder does not sell</w:t>
            </w:r>
          </w:p>
          <w:p>
            <w:pPr>
              <w:pStyle w:val="ListParagraph"/>
              <w:numPr>
                <w:ilvl w:val="0"/>
                <w:numId w:val="2"/>
              </w:numPr>
              <w:spacing w:after="45"/>
            </w:pPr>
            <w:r>
              <w:rPr>
                <w:sz w:val="15"/>
                <w:szCs w:val="15"/>
              </w:rPr>
              <w:t xml:space="preserve">Cirrhosis was biopsy-proven in only 7.4% of the cohort, so the defining inclusion characteristic is itself largely a clinical-radiological judgement</w:t>
            </w:r>
          </w:p>
        </w:tc>
      </w:tr>
    </w:tbl>
    <w:p>
      <w:pPr>
        <w:spacing w:after="0" w:line="276"/>
      </w:pPr>
      <w:r>
        <w:rPr>
          <w:color w:val="5A6069"/>
          <w:sz w:val="14"/>
          <w:szCs w:val="14"/>
        </w:rPr>
        <w:t xml:space="preserve">Funding: NIH/NCI R01 CA215520 and Bracco Diagnostics; A. Singal's research supported in part by NCI U01 CA283935. Extensive author disclosures with Bracco, GE HealthCare, Philips, Siemens, Canon, Samsung, Lantheus and others</w:t>
      </w:r>
    </w:p>
    <w:p>
      <w:pPr>
        <w:keepNext/>
        <w:spacing w:after="50" w:before="260"/>
      </w:pPr>
      <w:r>
        <w:rPr>
          <w:rFonts w:ascii="Cambria" w:cs="Cambria" w:eastAsia="Cambria" w:hAnsi="Cambria"/>
          <w:b/>
          <w:bCs/>
          <w:color w:val="17365D"/>
          <w:sz w:val="20"/>
          <w:szCs w:val="20"/>
        </w:rPr>
        <w:t xml:space="preserve">LI-RADS accuracy review</w:t>
      </w:r>
      <w:r>
        <w:rPr>
          <w:b/>
          <w:bCs/>
          <w:color w:val="176A87"/>
          <w:sz w:val="15"/>
          <w:szCs w:val="15"/>
        </w:rPr>
        <w:t xml:space="preserve">   Systematic review</w:t>
      </w:r>
      <w:r>
        <w:rPr>
          <w:color w:val="5A6069"/>
          <w:sz w:val="15"/>
          <w:szCs w:val="15"/>
        </w:rPr>
        <w:t xml:space="preserve">   PMID 30445016</w:t>
      </w:r>
    </w:p>
    <w:p>
      <w:pPr>
        <w:spacing w:after="50" w:line="276"/>
      </w:pPr>
      <w:r>
        <w:rPr>
          <w:color w:val="5A6069"/>
          <w:sz w:val="17"/>
          <w:szCs w:val="17"/>
        </w:rPr>
        <w:t xml:space="preserve">Accuracy of the Liver Imaging Reporting and Data System in computed tomography and magnetic resonance image analysis of hepatocellular carcinoma or overall malignancy-a systematic review.</w:t>
      </w:r>
    </w:p>
    <w:p>
      <w:pPr>
        <w:spacing w:after="50"/>
      </w:pPr>
      <w:r>
        <w:rPr>
          <w:b/>
          <w:bCs/>
          <w:color w:val="176A87"/>
          <w:sz w:val="16"/>
          <w:szCs w:val="16"/>
        </w:rPr>
        <w:t xml:space="preserve">Population. </w:t>
      </w:r>
      <w:r>
        <w:rPr>
          <w:sz w:val="16"/>
          <w:szCs w:val="16"/>
        </w:rPr>
        <w:t xml:space="preserve">17 studies (all retrospective), 2760 patients, 3556 observations, 2482 HCCs and 217 non-HCC malignancies; 14 studies contributed overall-malignancy data</w:t>
      </w:r>
    </w:p>
    <w:p>
      <w:pPr>
        <w:spacing w:after="70"/>
      </w:pPr>
      <w:r>
        <w:rPr>
          <w:b/>
          <w:bCs/>
          <w:color w:val="17365D"/>
          <w:sz w:val="16"/>
          <w:szCs w:val="16"/>
        </w:rPr>
        <w:t xml:space="preserve">Bottom line. </w:t>
      </w:r>
      <w:r>
        <w:rPr>
          <w:sz w:val="16"/>
          <w:szCs w:val="16"/>
        </w:rPr>
        <w:t xml:space="preserve">Pooling 3556 observations from 17 retrospective studies in high-risk patients, the percentage of HCC rises monotonically from 13% at LR-2 to 94% at LR-5, with LR-M 93% malignant but only 36% HCC - it establishes that CT/MRI LI-RADS stratifies HCC probability as intended within a high-risk population, and it does not establish any probability outside that population, nor a reliable LR-2 estimate, which the authors themselves label provisional and at high risk of bias.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17 included studies were retrospective; the authors state the lack of prospective studies is a limitation of the dataset and that prospectively following all LI-RADS observations with a combined pathology and composite reference standard may be the most ethically acceptable future design</w:t>
            </w:r>
          </w:p>
          <w:p>
            <w:pPr>
              <w:pStyle w:val="ListParagraph"/>
              <w:numPr>
                <w:ilvl w:val="0"/>
                <w:numId w:val="2"/>
              </w:numPr>
              <w:spacing w:after="45"/>
            </w:pPr>
            <w:r>
              <w:rPr>
                <w:sz w:val="15"/>
                <w:szCs w:val="15"/>
              </w:rPr>
              <w:t xml:space="preserve">The authors state explicitly that the 13% HCC probability for LR-2 should be considered provisional and at high risk of bias, from selection and/or verification bias, and that some LR-2 observations may have been benign at imaging and later transformed</w:t>
            </w:r>
          </w:p>
          <w:p>
            <w:pPr>
              <w:pStyle w:val="ListParagraph"/>
              <w:numPr>
                <w:ilvl w:val="0"/>
                <w:numId w:val="2"/>
              </w:numPr>
              <w:spacing w:after="45"/>
            </w:pPr>
            <w:r>
              <w:rPr>
                <w:sz w:val="15"/>
                <w:szCs w:val="15"/>
              </w:rPr>
              <w:t xml:space="preserve">Limited ability to evaluate relevant variables in meta-regression because of incomplete primary-study reporting (cirrhosis aetiology and Child-Pugh inconsistently given) or mixed methods (extracellular and hepatobiliary agents pooled); 6 of 17 studies were excluded from meta-regression for this reason, which could itself introduce bias</w:t>
            </w:r>
          </w:p>
          <w:p>
            <w:pPr>
              <w:pStyle w:val="ListParagraph"/>
              <w:numPr>
                <w:ilvl w:val="0"/>
                <w:numId w:val="2"/>
              </w:numPr>
              <w:spacing w:after="45"/>
            </w:pPr>
            <w:r>
              <w:rPr>
                <w:sz w:val="15"/>
                <w:szCs w:val="15"/>
              </w:rPr>
              <w:t xml:space="preserve">Only one study used CT alone, so no CT-versus-MRI comparison was possible; whether lesions were detected at antecedent ultrasound was unreported or unclear in 15 of 17 studies</w:t>
            </w:r>
          </w:p>
          <w:p>
            <w:pPr>
              <w:pStyle w:val="ListParagraph"/>
              <w:numPr>
                <w:ilvl w:val="0"/>
                <w:numId w:val="2"/>
              </w:numPr>
              <w:spacing w:after="45"/>
            </w:pPr>
            <w:r>
              <w:rPr>
                <w:sz w:val="15"/>
                <w:szCs w:val="15"/>
              </w:rPr>
              <w:t xml:space="preserve">Lesion size, individual major and ancillary features, and modality differences could not be assessed with study-level data; the authors recommend an individual participant data meta-analysis instead</w:t>
            </w:r>
          </w:p>
          <w:p>
            <w:pPr>
              <w:pStyle w:val="ListParagraph"/>
              <w:numPr>
                <w:ilvl w:val="0"/>
                <w:numId w:val="2"/>
              </w:numPr>
              <w:spacing w:after="45"/>
            </w:pPr>
            <w:r>
              <w:rPr>
                <w:sz w:val="15"/>
                <w:szCs w:val="15"/>
              </w:rPr>
              <w:t xml:space="preserve">Too few v2017 studies to compare v2014 with v2017</w:t>
            </w:r>
          </w:p>
          <w:p>
            <w:pPr>
              <w:pStyle w:val="ListParagraph"/>
              <w:numPr>
                <w:ilvl w:val="0"/>
                <w:numId w:val="2"/>
              </w:numPr>
              <w:spacing w:after="45"/>
            </w:pPr>
            <w:r>
              <w:rPr>
                <w:sz w:val="15"/>
                <w:szCs w:val="15"/>
              </w:rPr>
              <w:t xml:space="preserve">Exclusion of previously treated observations means results may not generalise to all liver observations</w:t>
            </w:r>
          </w:p>
          <w:p>
            <w:pPr>
              <w:pStyle w:val="ListParagraph"/>
              <w:numPr>
                <w:ilvl w:val="0"/>
                <w:numId w:val="2"/>
              </w:numPr>
              <w:spacing w:after="45"/>
            </w:pPr>
            <w:r>
              <w:rPr>
                <w:sz w:val="15"/>
                <w:szCs w:val="15"/>
              </w:rPr>
              <w:t xml:space="preserve">LI-RADS v2018 was published after the study was completed, changing threshold growth, eliminating LR-5us and reclassifying 10-19 mm arterial-phase hyperenhancing observations</w:t>
            </w:r>
          </w:p>
          <w:p>
            <w:pPr>
              <w:pStyle w:val="ListParagraph"/>
              <w:numPr>
                <w:ilvl w:val="0"/>
                <w:numId w:val="2"/>
              </w:numPr>
              <w:spacing w:after="45"/>
            </w:pPr>
            <w:r>
              <w:rPr>
                <w:sz w:val="15"/>
                <w:szCs w:val="15"/>
              </w:rPr>
              <w:t xml:space="preserve">Variability was highest in the categories with the largest HCC percentages, suggesting between-study variability exceeded within-study sampling error; forest plots showed several outliers, possibly from exclusion of benign observations in some studies or differing composite reference standards</w:t>
            </w:r>
          </w:p>
          <w:p>
            <w:pPr>
              <w:pStyle w:val="ListParagraph"/>
              <w:numPr>
                <w:ilvl w:val="0"/>
                <w:numId w:val="2"/>
              </w:numPr>
              <w:spacing w:after="45"/>
            </w:pPr>
            <w:r>
              <w:rPr>
                <w:sz w:val="15"/>
                <w:szCs w:val="15"/>
              </w:rPr>
              <w:t xml:space="preserve">Defining clinical management of these observations was beyond the scope of the study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observations in *patients already defined as high risk for HCC* - cirrhosis, chronic hepatitis B, or current/prior HCC - imaged with full multiphase protocols at mostly academic centres. Every percentage in this paper is a positive predictive value conditioned on that prevalence. Applied to an incidentally detected lesion in a normal liver, where HCC prevalence is orders of magnitude lower, all of these figures fall sharply. The paper says nothing about non-high-risk patients, and a pathway that imports '38% of LR-3 are HCC' into a non-cirrhotic setting is making a prevalence error, not a reading error</w:t>
            </w:r>
          </w:p>
          <w:p>
            <w:pPr>
              <w:pStyle w:val="ListParagraph"/>
              <w:numPr>
                <w:ilvl w:val="0"/>
                <w:numId w:val="2"/>
              </w:numPr>
              <w:spacing w:after="45"/>
            </w:pPr>
            <w:r>
              <w:rPr>
                <w:sz w:val="15"/>
                <w:szCs w:val="15"/>
              </w:rPr>
              <w:t xml:space="preserve">The paper contradicts itself on variability in the discussion: the Results state LR-3 was among the most variable categories for overall malignancy (I-squared 46%) and the Discussion asserts 'variability between studies for LR-2 and LR-3 was lower than for higher LI-RADS categories'. Both statements are used to support different arguments in the same paper</w:t>
            </w:r>
          </w:p>
          <w:p>
            <w:pPr>
              <w:pStyle w:val="ListParagraph"/>
              <w:numPr>
                <w:ilvl w:val="0"/>
                <w:numId w:val="2"/>
              </w:numPr>
              <w:spacing w:after="45"/>
            </w:pPr>
            <w:r>
              <w:rPr>
                <w:sz w:val="15"/>
                <w:szCs w:val="15"/>
              </w:rPr>
              <w:t xml:space="preserve">LR-TIV is pooled at 92% overall malignancy when every contributing study reported 100%. The authors label this 'statistical noise' in a table footnote, which is an admission that random-effects pooling of proportions near a boundary produces estimates outside the range of the input data. The same mechanism silently affects the LR-5 (97%) and LR-M (93%) estimates and is never examined there</w:t>
            </w:r>
          </w:p>
          <w:p>
            <w:pPr>
              <w:pStyle w:val="ListParagraph"/>
              <w:numPr>
                <w:ilvl w:val="0"/>
                <w:numId w:val="2"/>
              </w:numPr>
              <w:spacing w:after="45"/>
            </w:pPr>
            <w:r>
              <w:rPr>
                <w:sz w:val="15"/>
                <w:szCs w:val="15"/>
              </w:rPr>
              <w:t xml:space="preserve">The LR-2 figure that drives the paper's most consequential recommendation - that current 'return to surveillance' guidance for LR-2 may need revision and biopsy considered - rests on 223 observations for HCC and 162 for overall malignancy, with a 95% interval of 8-22%, and the authors themselves call it provisional and at high risk of bias. Two paragraphs later they nonetheless recommend reconsidering management. A pathway should not inherit that recommendation</w:t>
            </w:r>
          </w:p>
          <w:p>
            <w:pPr>
              <w:pStyle w:val="ListParagraph"/>
              <w:numPr>
                <w:ilvl w:val="0"/>
                <w:numId w:val="2"/>
              </w:numPr>
              <w:spacing w:after="45"/>
            </w:pPr>
            <w:r>
              <w:rPr>
                <w:sz w:val="15"/>
                <w:szCs w:val="15"/>
              </w:rPr>
              <w:t xml:space="preserve">Verification bias is not merely possible but structural and bidirectional. For the lower categories, studies relying on pathology alone sampled only the lesions someone chose to biopsy, which enriches malignancy; for the higher categories, composite imaging criteria confirm HCC partly by LR-5 appearance on another modality, which is incorporation bias. The meta-regression result that high-risk-of-bias studies reported a *lower* LR-M HCC percentage is left unexplained ('it is unclear why'), which means the direction of the bias is unknown</w:t>
            </w:r>
          </w:p>
          <w:p>
            <w:pPr>
              <w:pStyle w:val="ListParagraph"/>
              <w:numPr>
                <w:ilvl w:val="0"/>
                <w:numId w:val="2"/>
              </w:numPr>
              <w:spacing w:after="45"/>
            </w:pPr>
            <w:r>
              <w:rPr>
                <w:sz w:val="15"/>
                <w:szCs w:val="15"/>
              </w:rPr>
              <w:t xml:space="preserve">The composite reference standard the review required (12 months stability for benignity) is less stringent than that used by 5 of the 8 studies that had one (18 months), so the pooled estimates mix benignity thresholds. The authors use this to explain away a discordant prior study (Ronot) but do not propagate it as uncertainty in their own estimates</w:t>
            </w:r>
          </w:p>
          <w:p>
            <w:pPr>
              <w:pStyle w:val="ListParagraph"/>
              <w:numPr>
                <w:ilvl w:val="0"/>
                <w:numId w:val="2"/>
              </w:numPr>
              <w:spacing w:after="45"/>
            </w:pPr>
            <w:r>
              <w:rPr>
                <w:sz w:val="15"/>
                <w:szCs w:val="15"/>
              </w:rPr>
              <w:t xml:space="preserve">Two of the 17 included studies are conference abstracts with unclear risk of bias across all four QUADAS-2 domains; they contributed 131 and 192 observations respectively - together about 9% of the dataset - with no peer-reviewed methods</w:t>
            </w:r>
          </w:p>
          <w:p>
            <w:pPr>
              <w:pStyle w:val="ListParagraph"/>
              <w:numPr>
                <w:ilvl w:val="0"/>
                <w:numId w:val="2"/>
              </w:numPr>
              <w:spacing w:after="45"/>
            </w:pPr>
            <w:r>
              <w:rPr>
                <w:sz w:val="15"/>
                <w:szCs w:val="15"/>
              </w:rPr>
              <w:t xml:space="preserve">Study designs were mixed, including case-control studies that fix the HCC-to-benign ratio by investigator choice. The paper acknowledges this could introduce bias and recommends cohort designs in future, but performs no sensitivity analysis excluding the case-control studies</w:t>
            </w:r>
          </w:p>
          <w:p>
            <w:pPr>
              <w:pStyle w:val="ListParagraph"/>
              <w:numPr>
                <w:ilvl w:val="0"/>
                <w:numId w:val="2"/>
              </w:numPr>
              <w:spacing w:after="45"/>
            </w:pPr>
            <w:r>
              <w:rPr>
                <w:sz w:val="15"/>
                <w:szCs w:val="15"/>
              </w:rPr>
              <w:t xml:space="preserve">Data from multiple readers or from CT and MRI within a study were averaged into a single estimate, which discards reader disagreement entirely. No interobserver agreement is reported for any category, although category assignment is the index test</w:t>
            </w:r>
          </w:p>
          <w:p>
            <w:pPr>
              <w:pStyle w:val="ListParagraph"/>
              <w:numPr>
                <w:ilvl w:val="0"/>
                <w:numId w:val="2"/>
              </w:numPr>
              <w:spacing w:after="45"/>
            </w:pPr>
            <w:r>
              <w:rPr>
                <w:sz w:val="15"/>
                <w:szCs w:val="15"/>
              </w:rPr>
              <w:t xml:space="preserve">Non-HCC malignancy data came from only 14 of 17 studies, so the HCC and overall-malignancy denominators differ in every row of the summary table (e.g. LR-5: 1705 vs 1423 observations) and the two columns are not directly comparable, a point made only in a table footnote</w:t>
            </w:r>
          </w:p>
          <w:p>
            <w:pPr>
              <w:pStyle w:val="ListParagraph"/>
              <w:numPr>
                <w:ilvl w:val="0"/>
                <w:numId w:val="2"/>
              </w:numPr>
              <w:spacing w:after="45"/>
            </w:pPr>
            <w:r>
              <w:rPr>
                <w:sz w:val="15"/>
                <w:szCs w:val="15"/>
              </w:rPr>
              <w:t xml:space="preserve">Observations treated before the index test were excluded, which removes the population in which indeterminate categories are most common in practice</w:t>
            </w:r>
          </w:p>
          <w:p>
            <w:pPr>
              <w:pStyle w:val="ListParagraph"/>
              <w:numPr>
                <w:ilvl w:val="0"/>
                <w:numId w:val="2"/>
              </w:numPr>
              <w:spacing w:after="45"/>
            </w:pPr>
            <w:r>
              <w:rPr>
                <w:sz w:val="15"/>
                <w:szCs w:val="15"/>
              </w:rPr>
              <w:t xml:space="preserve">The LI-RADS versions studied (v2014, v2017) were both superseded by v2018 before publication, and the authors could not compare versions. Several included criteria - threshold growth, LR-5us - no longer exist, so the mapping from these numbers to a current LI-RADS report is approximate and unquantified</w:t>
            </w:r>
          </w:p>
          <w:p>
            <w:pPr>
              <w:pStyle w:val="ListParagraph"/>
              <w:numPr>
                <w:ilvl w:val="0"/>
                <w:numId w:val="2"/>
              </w:numPr>
              <w:spacing w:after="45"/>
            </w:pPr>
            <w:r>
              <w:rPr>
                <w:sz w:val="15"/>
                <w:szCs w:val="15"/>
              </w:rPr>
              <w:t xml:space="preserve">The depot filename attributes this paper to 'Anon'; it is van der Pol and colleagues, and the first-author overlap with the 2022 IPD meta-analysis in the same depot means the two are not independent sources</w:t>
            </w:r>
          </w:p>
        </w:tc>
      </w:tr>
    </w:tbl>
    <w:p>
      <w:pPr>
        <w:spacing w:after="0" w:line="276"/>
      </w:pPr>
      <w:r>
        <w:rPr>
          <w:color w:val="5A6069"/>
          <w:sz w:val="14"/>
          <w:szCs w:val="14"/>
        </w:rPr>
        <w:t xml:space="preserve">Funding: Not stated in the available text</w:t>
      </w:r>
    </w:p>
    <w:p>
      <w:pPr>
        <w:keepNext/>
        <w:spacing w:after="50" w:before="260"/>
      </w:pPr>
      <w:r>
        <w:rPr>
          <w:rFonts w:ascii="Cambria" w:cs="Cambria" w:eastAsia="Cambria" w:hAnsi="Cambria"/>
          <w:b/>
          <w:bCs/>
          <w:color w:val="17365D"/>
          <w:sz w:val="20"/>
          <w:szCs w:val="20"/>
        </w:rPr>
        <w:t xml:space="preserve">LI-RADS features IPD meta-analysis</w:t>
      </w:r>
      <w:r>
        <w:rPr>
          <w:b/>
          <w:bCs/>
          <w:color w:val="176A87"/>
          <w:sz w:val="15"/>
          <w:szCs w:val="15"/>
        </w:rPr>
        <w:t xml:space="preserve">   Meta-analysis</w:t>
      </w:r>
      <w:r>
        <w:rPr>
          <w:color w:val="5A6069"/>
          <w:sz w:val="15"/>
          <w:szCs w:val="15"/>
        </w:rPr>
        <w:t xml:space="preserve">   PMID 34783596</w:t>
      </w:r>
    </w:p>
    <w:p>
      <w:pPr>
        <w:spacing w:after="50" w:line="276"/>
      </w:pPr>
      <w:r>
        <w:rPr>
          <w:color w:val="5A6069"/>
          <w:sz w:val="17"/>
          <w:szCs w:val="17"/>
        </w:rPr>
        <w:t xml:space="preserve">CT/MRI and CEUS LI-RADS major features association with hepatocellular carcinoma: individual patient data meta-analysis.</w:t>
      </w:r>
    </w:p>
    <w:p>
      <w:pPr>
        <w:spacing w:after="50"/>
      </w:pPr>
      <w:r>
        <w:rPr>
          <w:b/>
          <w:bCs/>
          <w:color w:val="176A87"/>
          <w:sz w:val="16"/>
          <w:szCs w:val="16"/>
        </w:rPr>
        <w:t xml:space="preserve">Population. </w:t>
      </w:r>
      <w:r>
        <w:rPr>
          <w:sz w:val="16"/>
          <w:szCs w:val="16"/>
        </w:rPr>
        <w:t xml:space="preserve">32 studies (28 articles, 4 conference abstracts); 1170 CT observations in 812 patients from 6 studies, 3341 MRI observations in 2639 patients from 17 studies, 853 CEUS observations in 833 patients from 6 studies; 813 observations had both CT and MRI</w:t>
      </w:r>
    </w:p>
    <w:p>
      <w:pPr>
        <w:spacing w:after="70"/>
      </w:pPr>
      <w:r>
        <w:rPr>
          <w:b/>
          <w:bCs/>
          <w:color w:val="17365D"/>
          <w:sz w:val="16"/>
          <w:szCs w:val="16"/>
        </w:rPr>
        <w:t xml:space="preserve">Bottom line. </w:t>
      </w:r>
      <w:r>
        <w:rPr>
          <w:sz w:val="16"/>
          <w:szCs w:val="16"/>
        </w:rPr>
        <w:t xml:space="preserve">Pooling observation-level data on 5364 observations from 32 studies in high-risk patients, washout and arterial phase hyperenhancement are the features that carry LI-RADS, enhancing capsule contributes weakly and threshold growth not at all - it establishes that the major features are not equivalent and should not be weighted equally, and it does not establish stable effect sizes for any of them, given odds ratios that invert direction between analysis cohorts and a threshold-growth result reported with two different intervals in one paper.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Less than half of the eligible data sets were made available, which precluded more detailed analysis; the authors recommend clinicians continue to use the current version of LI-RADS until a future iteration is released</w:t>
            </w:r>
          </w:p>
          <w:p>
            <w:pPr>
              <w:pStyle w:val="ListParagraph"/>
              <w:numPr>
                <w:ilvl w:val="0"/>
                <w:numId w:val="2"/>
              </w:numPr>
              <w:spacing w:after="45"/>
            </w:pPr>
            <w:r>
              <w:rPr>
                <w:sz w:val="15"/>
                <w:szCs w:val="15"/>
              </w:rPr>
              <w:t xml:space="preserve">Threshold growth was not reported for most observations, and it remains unclear whether its predictive value would differ at centres that routinely repeat CT/MRI within 6-month intervals</w:t>
            </w:r>
          </w:p>
          <w:p>
            <w:pPr>
              <w:pStyle w:val="ListParagraph"/>
              <w:numPr>
                <w:ilvl w:val="0"/>
                <w:numId w:val="2"/>
              </w:numPr>
              <w:spacing w:after="45"/>
            </w:pPr>
            <w:r>
              <w:rPr>
                <w:sz w:val="15"/>
                <w:szCs w:val="15"/>
              </w:rPr>
              <w:t xml:space="preserve">Ancillary features were not included because they were incompletely reported in most studies</w:t>
            </w:r>
          </w:p>
          <w:p>
            <w:pPr>
              <w:pStyle w:val="ListParagraph"/>
              <w:numPr>
                <w:ilvl w:val="0"/>
                <w:numId w:val="2"/>
              </w:numPr>
              <w:spacing w:after="45"/>
            </w:pPr>
            <w:r>
              <w:rPr>
                <w:sz w:val="15"/>
                <w:szCs w:val="15"/>
              </w:rPr>
              <w:t xml:space="preserve">Extracellular versus hepatobiliary contrast agents could not be compared, because only one study made a direct within-observation comparison and the dataset was skewed toward extracellular agents</w:t>
            </w:r>
          </w:p>
          <w:p>
            <w:pPr>
              <w:pStyle w:val="ListParagraph"/>
              <w:numPr>
                <w:ilvl w:val="0"/>
                <w:numId w:val="2"/>
              </w:numPr>
              <w:spacing w:after="45"/>
            </w:pPr>
            <w:r>
              <w:rPr>
                <w:sz w:val="15"/>
                <w:szCs w:val="15"/>
              </w:rPr>
              <w:t xml:space="preserve">Only 12 months of stability was required to establish benignity; a longer interval would have been more specific at the expense of sensitivity</w:t>
            </w:r>
          </w:p>
          <w:p>
            <w:pPr>
              <w:pStyle w:val="ListParagraph"/>
              <w:numPr>
                <w:ilvl w:val="0"/>
                <w:numId w:val="2"/>
              </w:numPr>
              <w:spacing w:after="45"/>
            </w:pPr>
            <w:r>
              <w:rPr>
                <w:sz w:val="15"/>
                <w:szCs w:val="15"/>
              </w:rPr>
              <w:t xml:space="preserve">Prolonged interval between index test and reference standard was frequent, although the optimal interval remains uncertain; verification bias from sampling only a subset of observations is another frequent source, since lower-risk observations are less likely to have histological proof</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abstract and Table 3 report threshold growth as OR 1.6 (0.8-3.4), p=.19, while the Discussion reports the same quantity as OR 1.6 (0.7-3.6), p=.07. The paper's single most quoted conclusion - that threshold growth has no association with HCC - is supported by two different confidence intervals and two p-values straddling a conventional threshold, in the same article. A correction notice on the paper ('An earlier incorrect version appeared online. This article was corrected on February 2, 2023') indicates the numbers were not stable at publication</w:t>
            </w:r>
          </w:p>
          <w:p>
            <w:pPr>
              <w:pStyle w:val="ListParagraph"/>
              <w:numPr>
                <w:ilvl w:val="0"/>
                <w:numId w:val="2"/>
              </w:numPr>
              <w:spacing w:after="45"/>
            </w:pPr>
            <w:r>
              <w:rPr>
                <w:sz w:val="15"/>
                <w:szCs w:val="15"/>
              </w:rPr>
              <w:t xml:space="preserve">The odds ratios are wildly unstable across the three analysis cohorts, and the paper reports whichever is largest. Nonrim APHE is OR 3.4 at n=452, 14.5 at n=3547 and 10.3 at n=4434. Size &gt;=20 mm is OR 9.7 (p=.01) at n=452, then 0.7 (p=.07) at n=3547, then 1.6 (p=.06) at n=4434 - the point estimate moves from a nearly tenfold increase in odds to a decrease and back. The CT-versus-MRI size comparisons invert similarly (&lt;10 mm: 3.9, then 0.9, then 1.2; &gt;=20 mm: 0.1, then 6.2, then 3.1). Estimates that flip direction with cohort selection are not measuring a stable association, and the authors explain this only as 'interstudy variability'</w:t>
            </w:r>
          </w:p>
          <w:p>
            <w:pPr>
              <w:pStyle w:val="ListParagraph"/>
              <w:numPr>
                <w:ilvl w:val="0"/>
                <w:numId w:val="2"/>
              </w:numPr>
              <w:spacing w:after="45"/>
            </w:pPr>
            <w:r>
              <w:rPr>
                <w:sz w:val="15"/>
                <w:szCs w:val="15"/>
              </w:rPr>
              <w:t xml:space="preserve">Enhancing capsule reaches significance in exactly one of three cohorts - OR 2.0 (p=.09) at n=452, 1.3 (p=.08) at n=3547, 2.4 (p=.03) at n=4434. The abstract reports only the significant version. The cohort in which it becomes significant is the largest precisely because it relaxes the requirement that all features be reported, so the significant result comes from the most selectively reported data</w:t>
            </w:r>
          </w:p>
          <w:p>
            <w:pPr>
              <w:pStyle w:val="ListParagraph"/>
              <w:numPr>
                <w:ilvl w:val="0"/>
                <w:numId w:val="2"/>
              </w:numPr>
              <w:spacing w:after="45"/>
            </w:pPr>
            <w:r>
              <w:rPr>
                <w:sz w:val="15"/>
                <w:szCs w:val="15"/>
              </w:rPr>
              <w:t xml:space="preserve">The p-values do not correspond to the confidence intervals. OR 13.2 with a 95% CI of 9.0-19.2 is reported as p=.01, and OR 2.4 with CI 1.7-3.5 also as p=.03; an interval excluding 1.0 by that margin corresponds to p values many orders of magnitude smaller. The p-values appear to be floored or mis-transcribed, which means the paper's inferential statements cannot be checked against its own estimates</w:t>
            </w:r>
          </w:p>
          <w:p>
            <w:pPr>
              <w:pStyle w:val="ListParagraph"/>
              <w:numPr>
                <w:ilvl w:val="0"/>
                <w:numId w:val="2"/>
              </w:numPr>
              <w:spacing w:after="45"/>
            </w:pPr>
            <w:r>
              <w:rPr>
                <w:sz w:val="15"/>
                <w:szCs w:val="15"/>
              </w:rPr>
              <w:t xml:space="preserve">Only 32 of 81 eligible studies contributed data - 40% - and participation was by author willingness. Which studies share data is not random: authors with clean, complete, favourable datasets are likelier to agree. The IPD design buys granularity at the cost of a severe and unmeasured selection on study provenance, and the paper's own list of non-responders is relegated to an online appendix</w:t>
            </w:r>
          </w:p>
          <w:p>
            <w:pPr>
              <w:pStyle w:val="ListParagraph"/>
              <w:numPr>
                <w:ilvl w:val="0"/>
                <w:numId w:val="2"/>
              </w:numPr>
              <w:spacing w:after="45"/>
            </w:pPr>
            <w:r>
              <w:rPr>
                <w:sz w:val="15"/>
                <w:szCs w:val="15"/>
              </w:rPr>
              <w:t xml:space="preserve">78% of studies were at high risk of bias, and the CEUS sensitivity analysis - the arm whose conclusions are newest and least corroborated - could not be performed at all because only 2 CEUS studies were at low risk and the model would not converge. Every CEUS conclusion in the paper therefore rests on data the authors could not stress-test</w:t>
            </w:r>
          </w:p>
          <w:p>
            <w:pPr>
              <w:pStyle w:val="ListParagraph"/>
              <w:numPr>
                <w:ilvl w:val="0"/>
                <w:numId w:val="2"/>
              </w:numPr>
              <w:spacing w:after="45"/>
            </w:pPr>
            <w:r>
              <w:rPr>
                <w:sz w:val="15"/>
                <w:szCs w:val="15"/>
              </w:rPr>
              <w:t xml:space="preserve">CEUS rests on 853 observations from 6 studies, with each feature's OR estimated from a subset of those. A finding like 'marked washout was not associated with diagnosis or nondiagnosis of HCC (OR 0.7, 0.2-2.8)' is an interval spanning a fivefold decrease to a near-threefold increase - uninformative rather than null, which the paper reports as a conclusion</w:t>
            </w:r>
          </w:p>
          <w:p>
            <w:pPr>
              <w:pStyle w:val="ListParagraph"/>
              <w:numPr>
                <w:ilvl w:val="0"/>
                <w:numId w:val="2"/>
              </w:numPr>
              <w:spacing w:after="45"/>
            </w:pPr>
            <w:r>
              <w:rPr>
                <w:sz w:val="15"/>
                <w:szCs w:val="15"/>
              </w:rPr>
              <w:t xml:space="preserve">Threshold growth's non-association is confounded with its missingness. It was assessable in only 452 of 4434 observations (10%), missing mostly because prior imaging did not exist. Observations with prior imaging available are those under surveillance - a different population from those presenting de novo - so the one cohort that could test threshold growth is the least representative. The paper states this and still frames the result as 'threshold growth is not a significant predictor'</w:t>
            </w:r>
          </w:p>
          <w:p>
            <w:pPr>
              <w:pStyle w:val="ListParagraph"/>
              <w:numPr>
                <w:ilvl w:val="0"/>
                <w:numId w:val="2"/>
              </w:numPr>
              <w:spacing w:after="45"/>
            </w:pPr>
            <w:r>
              <w:rPr>
                <w:sz w:val="15"/>
                <w:szCs w:val="15"/>
              </w:rPr>
              <w:t xml:space="preserve">Definitions were pooled across five LI-RADS versions (CT/MRI v2014, v2017, v2018; CEUS v2016, v2017) in which threshold growth itself was redefined - v2018 requires &gt;=50% in &lt;=6 months while v2014/v2017 also allowed &gt;=100% beyond 6 months and new &gt;=10 mm observations within 24 months. The authors state the specific criterion applied could not be retrospectively identified, so the variable being modelled has no single definition</w:t>
            </w:r>
          </w:p>
          <w:p>
            <w:pPr>
              <w:pStyle w:val="ListParagraph"/>
              <w:numPr>
                <w:ilvl w:val="0"/>
                <w:numId w:val="2"/>
              </w:numPr>
              <w:spacing w:after="45"/>
            </w:pPr>
            <w:r>
              <w:rPr>
                <w:sz w:val="15"/>
                <w:szCs w:val="15"/>
              </w:rPr>
              <w:t xml:space="preserve">Where multiple readers existed, data from one reader was chosen at random in 6 studies; in one study the less-represented contrast agent was deliberately preferred to improve representation. These are reasonable choices but they are analyst decisions made after seeing the data, with no pre-specification in the protocol and no sensitivity analysis</w:t>
            </w:r>
          </w:p>
          <w:p>
            <w:pPr>
              <w:pStyle w:val="ListParagraph"/>
              <w:numPr>
                <w:ilvl w:val="0"/>
                <w:numId w:val="2"/>
              </w:numPr>
              <w:spacing w:after="45"/>
            </w:pPr>
            <w:r>
              <w:rPr>
                <w:sz w:val="15"/>
                <w:szCs w:val="15"/>
              </w:rPr>
              <w:t xml:space="preserve">Benignity required only 12 months of imaging stability for 412 of 1373 benign observations (30%), and the authors concede a longer interval would be more specific. Well-differentiated HCC can be stable for longer than a year, so some HCCs sit in the benign reference group, biasing every OR toward 1</w:t>
            </w:r>
          </w:p>
          <w:p>
            <w:pPr>
              <w:pStyle w:val="ListParagraph"/>
              <w:numPr>
                <w:ilvl w:val="0"/>
                <w:numId w:val="2"/>
              </w:numPr>
              <w:spacing w:after="45"/>
            </w:pPr>
            <w:r>
              <w:rPr>
                <w:sz w:val="15"/>
                <w:szCs w:val="15"/>
              </w:rPr>
              <w:t xml:space="preserve">Primary-study investigators were contacted to resolve unclear or inconsistent data in 9 studies - i.e. the IPD did not match the published reports in more than a quarter of contributing studies, which is a provenance concern the paper notes neutrally</w:t>
            </w:r>
          </w:p>
          <w:p>
            <w:pPr>
              <w:pStyle w:val="ListParagraph"/>
              <w:numPr>
                <w:ilvl w:val="0"/>
                <w:numId w:val="2"/>
              </w:numPr>
              <w:spacing w:after="45"/>
            </w:pPr>
            <w:r>
              <w:rPr>
                <w:sz w:val="15"/>
                <w:szCs w:val="15"/>
              </w:rPr>
              <w:t xml:space="preserve">Four of 32 studies are conference abstracts. Several authors carry substantial imaging-industry relationships and the chair of the LI-RADS Steering Committee is a co-author on a paper evaluating LI-RADS's own feature set</w:t>
            </w:r>
          </w:p>
          <w:p>
            <w:pPr>
              <w:pStyle w:val="ListParagraph"/>
              <w:numPr>
                <w:ilvl w:val="0"/>
                <w:numId w:val="2"/>
              </w:numPr>
              <w:spacing w:after="45"/>
            </w:pPr>
            <w:r>
              <w:rPr>
                <w:sz w:val="15"/>
                <w:szCs w:val="15"/>
              </w:rPr>
              <w:t xml:space="preserve">As with every paper in this group, the denominator is patients at high risk for HCC. An odds ratio for a feature is not a probability, and these ORs cannot be converted into a post-test probability for a lesion found incidentally in a normal liver without a prevalence the paper does not supply</w:t>
            </w:r>
          </w:p>
        </w:tc>
      </w:tr>
    </w:tbl>
    <w:p>
      <w:pPr>
        <w:spacing w:after="0" w:line="276"/>
      </w:pPr>
      <w:r>
        <w:rPr>
          <w:color w:val="5A6069"/>
          <w:sz w:val="14"/>
          <w:szCs w:val="14"/>
        </w:rPr>
        <w:t xml:space="preserve">Funding: Grant from the Joan Sealy Trust for Cancer Research; FRQ-S postdoctoral fellowship (B.L.); Sichuan Province Science and Technology Support Program 2021YFS0141 (H.J.); FRQ-S and Fondation de l'Association des Radiologistes du Quebec 34939, 298509 (A.T.). Multiple authors report imaging-industry relationships; V. Chernyak reports Bayer consulting fees and chairs the LI-RADS Steering Committee; C.B. Sirlin reports extensive industry grants and consultancies</w:t>
      </w:r>
    </w:p>
    <w:p>
      <w:pPr>
        <w:keepNext/>
        <w:spacing w:after="50" w:before="260"/>
      </w:pPr>
      <w:r>
        <w:rPr>
          <w:rFonts w:ascii="Cambria" w:cs="Cambria" w:eastAsia="Cambria" w:hAnsi="Cambria"/>
          <w:b/>
          <w:bCs/>
          <w:color w:val="17365D"/>
          <w:sz w:val="20"/>
          <w:szCs w:val="20"/>
        </w:rPr>
        <w:t xml:space="preserve">LI-RADS v2018</w:t>
      </w:r>
      <w:r>
        <w:rPr>
          <w:b/>
          <w:bCs/>
          <w:color w:val="176A87"/>
          <w:sz w:val="15"/>
          <w:szCs w:val="15"/>
        </w:rPr>
        <w:t xml:space="preserve">   Review</w:t>
      </w:r>
      <w:r>
        <w:rPr>
          <w:color w:val="5A6069"/>
          <w:sz w:val="15"/>
          <w:szCs w:val="15"/>
        </w:rPr>
        <w:t xml:space="preserve">   PMID 30251931</w:t>
      </w:r>
    </w:p>
    <w:p>
      <w:pPr>
        <w:spacing w:after="50" w:line="276"/>
      </w:pPr>
      <w:r>
        <w:rPr>
          <w:color w:val="5A6069"/>
          <w:sz w:val="17"/>
          <w:szCs w:val="17"/>
        </w:rPr>
        <w:t xml:space="preserve">Liver Imaging Reporting and Data System (LI-RADS) version 2018: imaging of hepatocellular carcinoma in at-risk patients.</w:t>
      </w:r>
    </w:p>
    <w:p>
      <w:pPr>
        <w:spacing w:after="70"/>
      </w:pPr>
      <w:r>
        <w:rPr>
          <w:b/>
          <w:bCs/>
          <w:color w:val="17365D"/>
          <w:sz w:val="16"/>
          <w:szCs w:val="16"/>
        </w:rPr>
        <w:t xml:space="preserve">Bottom line. </w:t>
      </w:r>
      <w:r>
        <w:rPr>
          <w:sz w:val="16"/>
          <w:szCs w:val="16"/>
        </w:rPr>
        <w:t xml:space="preserve">A special report by the LI-RADS authors describing version 2018 and its harmonisation with AASLD, establishing that LI-RADS applies only to patients at risk for hepatocellular carcinoma, that agreement on individual major features is excellent (0.84-0.87) but agreement on the categories that drive management is only fair to substantial (kappa 0.22-0.79 across and between modalities), and that capsule reliability, ancillary features, LR-M criteria and treatment response all remain unvalidated - it is the document that defines the boundary a pathway must not cross, and it establishes no accuracy data of its own, being a narrative self-description by the system's architects.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report has an explicit 'Gaps and Future Directions' section stating that although each version has been informed by the best available evidence, there are insufficient high-quality data for many questions in HCC imaging</w:t>
            </w:r>
          </w:p>
          <w:p>
            <w:pPr>
              <w:pStyle w:val="ListParagraph"/>
              <w:numPr>
                <w:ilvl w:val="0"/>
                <w:numId w:val="2"/>
              </w:numPr>
              <w:spacing w:after="45"/>
            </w:pPr>
            <w:r>
              <w:rPr>
                <w:sz w:val="15"/>
                <w:szCs w:val="15"/>
              </w:rPr>
              <w:t xml:space="preserve">Interrater reliability for capsule is stated to be controversial and that for ancillary features poorly understood, so the incremental benefit of ancillary features is debated among experts</w:t>
            </w:r>
          </w:p>
          <w:p>
            <w:pPr>
              <w:pStyle w:val="ListParagraph"/>
              <w:numPr>
                <w:ilvl w:val="0"/>
                <w:numId w:val="2"/>
              </w:numPr>
              <w:spacing w:after="45"/>
            </w:pPr>
            <w:r>
              <w:rPr>
                <w:sz w:val="15"/>
                <w:szCs w:val="15"/>
              </w:rPr>
              <w:t xml:space="preserve">LI-RADS treatment response, LR-M diagnostic criteria and US LI-RADS visualisation score are named as requiring validation</w:t>
            </w:r>
          </w:p>
          <w:p>
            <w:pPr>
              <w:pStyle w:val="ListParagraph"/>
              <w:numPr>
                <w:ilvl w:val="0"/>
                <w:numId w:val="2"/>
              </w:numPr>
              <w:spacing w:after="45"/>
            </w:pPr>
            <w:r>
              <w:rPr>
                <w:sz w:val="15"/>
                <w:szCs w:val="15"/>
              </w:rPr>
              <w:t xml:space="preserve">Inherent differences in sensitivity and specificity between modalities produce discordant final categories, and intermodality agreement is only fair</w:t>
            </w:r>
          </w:p>
          <w:p>
            <w:pPr>
              <w:pStyle w:val="ListParagraph"/>
              <w:numPr>
                <w:ilvl w:val="0"/>
                <w:numId w:val="2"/>
              </w:numPr>
              <w:spacing w:after="45"/>
            </w:pPr>
            <w:r>
              <w:rPr>
                <w:sz w:val="15"/>
                <w:szCs w:val="15"/>
              </w:rPr>
              <w:t xml:space="preserve">Future versions must account for regional variation in HCC epidemiology and biology and for financial and technical resource availability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most important sentence for an incidental-mass pathway is the scope restriction - LI-RADS applies only to patients with or at risk for HCC - and it is the sentence most often ignored. Nothing in this document, and nothing in the five LI-RADS evidence papers elsewhere in this depot, licenses applying an LR category to a lesion found incidentally in a normal liver. A pathway that assigns LR-3 or LR-5 to such a lesion is using a system outside its stated domain, and the resulting probability estimates are invalid because they were all derived under high HCC prevalence</w:t>
            </w:r>
          </w:p>
          <w:p>
            <w:pPr>
              <w:pStyle w:val="ListParagraph"/>
              <w:numPr>
                <w:ilvl w:val="0"/>
                <w:numId w:val="2"/>
              </w:numPr>
              <w:spacing w:after="45"/>
            </w:pPr>
            <w:r>
              <w:rPr>
                <w:sz w:val="15"/>
                <w:szCs w:val="15"/>
              </w:rPr>
              <w:t xml:space="preserve">The agreement data are reported in a way that flatters the system. The excellent kappas of 0.84-0.87 are for two individual features; the agreement for the output that actually drives management - the LI-RADS category - is fair for CEUS (0.30-0.39), fair to substantial for MRI (0.35-0.61) and only substantial for CT. A kappa of 0.30 for CEUS category assignment means two readers disagree on management for a large fraction of lesions, and this is reported in a subordinate clause while the 0.84-0.87 figure leads</w:t>
            </w:r>
          </w:p>
          <w:p>
            <w:pPr>
              <w:pStyle w:val="ListParagraph"/>
              <w:numPr>
                <w:ilvl w:val="0"/>
                <w:numId w:val="2"/>
              </w:numPr>
              <w:spacing w:after="45"/>
            </w:pPr>
            <w:r>
              <w:rPr>
                <w:sz w:val="15"/>
                <w:szCs w:val="15"/>
              </w:rPr>
              <w:t xml:space="preserve">Intermodality agreement of kappa 0.22-0.39 means the same lesion receives different LI-RADS categories on CT, MRI and CEUS in a substantial proportion of cases. The report notes CT tends to undercategorise and moves on. If category determines management, then management depends on which scanner the patient happened to enter - a fact the document states and never treats as a problem requiring resolution</w:t>
            </w:r>
          </w:p>
          <w:p>
            <w:pPr>
              <w:pStyle w:val="ListParagraph"/>
              <w:numPr>
                <w:ilvl w:val="0"/>
                <w:numId w:val="2"/>
              </w:numPr>
              <w:spacing w:after="45"/>
            </w:pPr>
            <w:r>
              <w:rPr>
                <w:sz w:val="15"/>
                <w:szCs w:val="15"/>
              </w:rPr>
              <w:t xml:space="preserve">No systematic search, no databases, no dates, no evidence tables, no grading of evidence or strength of recommendation, and no reporting standard. The agreement statistics are presented as narrative ranges drawn from references 73-85 with no pooling, no quality appraisal and no indication of which study produced which end of each range</w:t>
            </w:r>
          </w:p>
          <w:p>
            <w:pPr>
              <w:pStyle w:val="ListParagraph"/>
              <w:numPr>
                <w:ilvl w:val="0"/>
                <w:numId w:val="2"/>
              </w:numPr>
              <w:spacing w:after="45"/>
            </w:pPr>
            <w:r>
              <w:rPr>
                <w:sz w:val="15"/>
                <w:szCs w:val="15"/>
              </w:rPr>
              <w:t xml:space="preserve">LI-RADS version 2018 is presented as harmonised with AASLD, but the harmonisation was with an American guideline for an American transplant allocation system. The report is candid that Western criteria are deliberately more stringent than Asian criteria because of differing priorities - which means the categories encode a policy preference about the sensitivity-specificity trade-off, not a biological boundary. A pathway importing LI-RADS inherits that policy choice without being told it is one</w:t>
            </w:r>
          </w:p>
          <w:p>
            <w:pPr>
              <w:pStyle w:val="ListParagraph"/>
              <w:numPr>
                <w:ilvl w:val="0"/>
                <w:numId w:val="2"/>
              </w:numPr>
              <w:spacing w:after="45"/>
            </w:pPr>
            <w:r>
              <w:rPr>
                <w:sz w:val="15"/>
                <w:szCs w:val="15"/>
              </w:rPr>
              <w:t xml:space="preserve">The system has been revised in 2011, 2013, 2014, 2017 and 2018 with the next release scheduled for 2021. Five versions in seven years means the evidence base for any given version is thin by construction, and the accumulated accuracy literature always lags the current version - the point van der Pol's 2019 review and 2022 IPD meta-analysis both make when they report pooling across incompatible version definitions</w:t>
            </w:r>
          </w:p>
          <w:p>
            <w:pPr>
              <w:pStyle w:val="ListParagraph"/>
              <w:numPr>
                <w:ilvl w:val="0"/>
                <w:numId w:val="2"/>
              </w:numPr>
              <w:spacing w:after="45"/>
            </w:pPr>
            <w:r>
              <w:rPr>
                <w:sz w:val="15"/>
                <w:szCs w:val="15"/>
              </w:rPr>
              <w:t xml:space="preserve">The report is authored by the architects of the system it evaluates, including the chair of the LI-RADS steering committee, and the central evidential claim - that categories accurately stratify HCC probability - is supported by citation to a conference abstract by the same network (reference 2, van der Pol et al., ILCA 2018). This is self-assessment, and no independent external validation is cited</w:t>
            </w:r>
          </w:p>
          <w:p>
            <w:pPr>
              <w:pStyle w:val="ListParagraph"/>
              <w:numPr>
                <w:ilvl w:val="0"/>
                <w:numId w:val="2"/>
              </w:numPr>
              <w:spacing w:after="45"/>
            </w:pPr>
            <w:r>
              <w:rPr>
                <w:sz w:val="15"/>
                <w:szCs w:val="15"/>
              </w:rPr>
              <w:t xml:space="preserve">Governance is by a 250-member consortium with a writing group and 15 working groups, but no voting records, agreement thresholds, Delphi process or conflict-management policy are described, and no mechanism for external or patient input is reported</w:t>
            </w:r>
          </w:p>
          <w:p>
            <w:pPr>
              <w:pStyle w:val="ListParagraph"/>
              <w:numPr>
                <w:ilvl w:val="0"/>
                <w:numId w:val="2"/>
              </w:numPr>
              <w:spacing w:after="45"/>
            </w:pPr>
            <w:r>
              <w:rPr>
                <w:sz w:val="15"/>
                <w:szCs w:val="15"/>
              </w:rPr>
              <w:t xml:space="preserve">Threshold growth, enhancing capsule and the ancillary features are all named here as uncertain or controversial, and all three were subsequently shown weak or absent as independent predictors by the 2022 IPD meta-analysis in this depot - so the system retained features its own experts flagged as unvalidated</w:t>
            </w:r>
          </w:p>
          <w:p>
            <w:pPr>
              <w:pStyle w:val="ListParagraph"/>
              <w:numPr>
                <w:ilvl w:val="0"/>
                <w:numId w:val="2"/>
              </w:numPr>
              <w:spacing w:after="45"/>
            </w:pPr>
            <w:r>
              <w:rPr>
                <w:sz w:val="15"/>
                <w:szCs w:val="15"/>
              </w:rPr>
              <w:t xml:space="preserve">Several authors declare substantial imaging-industry relationships including a General Electric institutional grant, Siemens, GE, NGM, TaiwanJ and Madrigal grants, a Bayer consultancy and speakers bureau, and the senior author's extensive advisory, consulting, grant and speakers-bureau relationships across the contrast and scanner industry, alongside chairing the LI-RADS steering committee</w:t>
            </w:r>
          </w:p>
        </w:tc>
      </w:tr>
    </w:tbl>
    <w:p>
      <w:pPr>
        <w:spacing w:after="0" w:line="276"/>
      </w:pPr>
      <w:r>
        <w:rPr>
          <w:color w:val="5A6069"/>
          <w:sz w:val="14"/>
          <w:szCs w:val="14"/>
        </w:rPr>
        <w:t xml:space="preserve">Funding: Not stated. Conflicts declared include an institutional General Electric grant (A.Z.K.), RadMD consultancy and institutional grants from Siemens Healthineers, GE Healthcare, NGM Biopharm, TaiwanJ and Madrigal (M.R.B.), Bayer consultancy and speakers bureau (A.G.S.), and extensive advisory board, consulting, grant and speakers-bureau relationships plus chairing the LI-RADS steering committee (C.B.S.)</w:t>
      </w:r>
    </w:p>
    <w:p>
      <w:pPr>
        <w:keepNext/>
        <w:spacing w:after="50" w:before="260"/>
      </w:pPr>
      <w:r>
        <w:rPr>
          <w:rFonts w:ascii="Cambria" w:cs="Cambria" w:eastAsia="Cambria" w:hAnsi="Cambria"/>
          <w:b/>
          <w:bCs/>
          <w:color w:val="17365D"/>
          <w:sz w:val="20"/>
          <w:szCs w:val="20"/>
        </w:rPr>
        <w:t xml:space="preserve">PSVD/NCPF consensus 2026</w:t>
      </w:r>
      <w:r>
        <w:rPr>
          <w:b/>
          <w:bCs/>
          <w:color w:val="176A87"/>
          <w:sz w:val="15"/>
          <w:szCs w:val="15"/>
        </w:rPr>
        <w:t xml:space="preserve">   Consensus statement</w:t>
      </w:r>
      <w:r>
        <w:rPr>
          <w:color w:val="5A6069"/>
          <w:sz w:val="15"/>
          <w:szCs w:val="15"/>
        </w:rPr>
        <w:t xml:space="preserve">   PMID 42191146</w:t>
      </w:r>
    </w:p>
    <w:p>
      <w:pPr>
        <w:spacing w:after="50" w:line="276"/>
      </w:pPr>
      <w:r>
        <w:rPr>
          <w:color w:val="5A6069"/>
          <w:sz w:val="17"/>
          <w:szCs w:val="17"/>
        </w:rPr>
        <w:t xml:space="preserve">A multisociety consensus statement on a new common definition and diagnostic criteria for PSVD or NCPF.</w:t>
      </w:r>
    </w:p>
    <w:p>
      <w:pPr>
        <w:spacing w:after="50"/>
      </w:pPr>
      <w:r>
        <w:rPr>
          <w:b/>
          <w:bCs/>
          <w:color w:val="176A87"/>
          <w:sz w:val="16"/>
          <w:szCs w:val="16"/>
        </w:rPr>
        <w:t xml:space="preserve">Population. </w:t>
      </w:r>
      <w:r>
        <w:rPr>
          <w:sz w:val="16"/>
          <w:szCs w:val="16"/>
        </w:rPr>
        <w:t xml:space="preserve">218 liver biopsies for the histological criteria: 41 normal living-donor samples, 89 chronic liver disease controls (alcohol-associated, MASLD, viral, autoimmune) and 88 PSVD/NCPF cases with specific signs of portal hypertension; 58 biopsies in the preceding reproducibility step; 36 hypothetical scenarios for the diagnostic score</w:t>
      </w:r>
    </w:p>
    <w:p>
      <w:pPr>
        <w:spacing w:after="70"/>
      </w:pPr>
      <w:r>
        <w:rPr>
          <w:b/>
          <w:bCs/>
          <w:color w:val="17365D"/>
          <w:sz w:val="16"/>
          <w:szCs w:val="16"/>
        </w:rPr>
        <w:t xml:space="preserve">Bottom line. </w:t>
      </w:r>
      <w:r>
        <w:rPr>
          <w:sz w:val="16"/>
          <w:szCs w:val="16"/>
        </w:rPr>
        <w:t xml:space="preserve">A multisociety consensus unifying PSVD and NCPF under one definition, making liver biopsy mandatory, setting adequacy at 15 mm with a 10 mm fragment, and defining nodular regenerative hyperplasia, muscularised portal venules and portal venule stenosis in 50% or more of portal tracts as major histological criteria - it establishes a shared vocabulary and reclassifies NRH as a marker of vascular disorder rather than a benign tumour, and it does not establish diagnostic validity for anything: the score was fitted to expert votes on 36 hypothetical scenarios and reproduced them by construction, the criteria were derived in 88 European patients who all had portal hypertension while the definition permits diagnosis without it, major criteria need only 10% sensitivity, and the term in the title carried 74% agreement against a pre-specified 75% threshold.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biopsy cohort used for lesion identification was derived exclusively from European centres and included only patients with specific signs of portal hypertension, although samples were independently evaluated by pathologists from multiple regions</w:t>
            </w:r>
          </w:p>
          <w:p>
            <w:pPr>
              <w:pStyle w:val="ListParagraph"/>
              <w:numPr>
                <w:ilvl w:val="0"/>
                <w:numId w:val="2"/>
              </w:numPr>
              <w:spacing w:after="45"/>
            </w:pPr>
            <w:r>
              <w:rPr>
                <w:sz w:val="15"/>
                <w:szCs w:val="15"/>
              </w:rPr>
              <w:t xml:space="preserve">Paediatric liver biopsies were not included; extending the histological framework to patients without portal hypertension and to paediatric populations is named as an important next step</w:t>
            </w:r>
          </w:p>
          <w:p>
            <w:pPr>
              <w:pStyle w:val="ListParagraph"/>
              <w:numPr>
                <w:ilvl w:val="0"/>
                <w:numId w:val="2"/>
              </w:numPr>
              <w:spacing w:after="45"/>
            </w:pPr>
            <w:r>
              <w:rPr>
                <w:sz w:val="15"/>
                <w:szCs w:val="15"/>
              </w:rPr>
              <w:t xml:space="preserve">Although new scientific data supported several key modifications, other aspects necessarily relied on expert consensus in the absence of conclusive evidence</w:t>
            </w:r>
          </w:p>
          <w:p>
            <w:pPr>
              <w:pStyle w:val="ListParagraph"/>
              <w:numPr>
                <w:ilvl w:val="0"/>
                <w:numId w:val="2"/>
              </w:numPr>
              <w:spacing w:after="45"/>
            </w:pPr>
            <w:r>
              <w:rPr>
                <w:sz w:val="15"/>
                <w:szCs w:val="15"/>
              </w:rPr>
              <w:t xml:space="preserve">The diagnostic score was derived from expert opinion rather than prospective validation, which the authors state should be addressed in future studies</w:t>
            </w:r>
          </w:p>
          <w:p>
            <w:pPr>
              <w:pStyle w:val="ListParagraph"/>
              <w:numPr>
                <w:ilvl w:val="0"/>
                <w:numId w:val="2"/>
              </w:numPr>
              <w:spacing w:after="45"/>
            </w:pPr>
            <w:r>
              <w:rPr>
                <w:sz w:val="15"/>
                <w:szCs w:val="15"/>
              </w:rPr>
              <w:t xml:space="preserve">Direct application to paediatric patients requires caution because age-specific thresholds for clinical, laboratory and elastographic parameters are not yet defined</w:t>
            </w:r>
          </w:p>
          <w:p>
            <w:pPr>
              <w:pStyle w:val="ListParagraph"/>
              <w:numPr>
                <w:ilvl w:val="0"/>
                <w:numId w:val="2"/>
              </w:numPr>
              <w:spacing w:after="45"/>
            </w:pPr>
            <w:r>
              <w:rPr>
                <w:sz w:val="15"/>
                <w:szCs w:val="15"/>
              </w:rPr>
              <w:t xml:space="preserve">No robust data are available to define the biopsy characteristics required to optimally identify the histological lesions of PSVD/NCPF, as opposed to excluding cirrhosis</w:t>
            </w:r>
          </w:p>
          <w:p>
            <w:pPr>
              <w:pStyle w:val="ListParagraph"/>
              <w:numPr>
                <w:ilvl w:val="0"/>
                <w:numId w:val="2"/>
              </w:numPr>
              <w:spacing w:after="45"/>
            </w:pPr>
            <w:r>
              <w:rPr>
                <w:sz w:val="15"/>
                <w:szCs w:val="15"/>
              </w:rPr>
              <w:t xml:space="preserve">The authors state the responsibility now lies with the scientific community to generate the data required to validate, refine or modify the score over time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diagnostic score is validated circularly and the paper says so without flinching: 36 hypothetical scenarios were voted on by the Nomenclature Group, the votes were converted into weighted points, and the resulting score 'reproduced 100% of expert agreement across all voted scenarios'. A score fitted to a panel's votes and then shown to reproduce those votes has been checked for arithmetic consistency, not for diagnostic validity. The Delphi validation (Figure 3) is agreement with the score by a second set of experts, not agreement with any patient outcome. No patient was ever classified by this score in the paper</w:t>
            </w:r>
          </w:p>
          <w:p>
            <w:pPr>
              <w:pStyle w:val="ListParagraph"/>
              <w:numPr>
                <w:ilvl w:val="0"/>
                <w:numId w:val="2"/>
              </w:numPr>
              <w:spacing w:after="45"/>
            </w:pPr>
            <w:r>
              <w:rPr>
                <w:sz w:val="15"/>
                <w:szCs w:val="15"/>
              </w:rPr>
              <w:t xml:space="preserve">The 36 scenarios are hypothetical vignettes, not patients. The weights therefore encode what experts believe about combinations of findings, including combinations that may be vanishingly rare or impossible in practice, and the score's performance in a real consecutive series is unknown</w:t>
            </w:r>
          </w:p>
          <w:p>
            <w:pPr>
              <w:pStyle w:val="ListParagraph"/>
              <w:numPr>
                <w:ilvl w:val="0"/>
                <w:numId w:val="2"/>
              </w:numPr>
              <w:spacing w:after="45"/>
            </w:pPr>
            <w:r>
              <w:rPr>
                <w:sz w:val="15"/>
                <w:szCs w:val="15"/>
              </w:rPr>
              <w:t xml:space="preserve">The central terminology decision failed its own pre-specified threshold. Consensus was defined a priori as 75% agreement; 'disorder' was selected with 74%. The paper reports both numbers without noting that the headline term in the title did not meet the standard the Methods set, and the rationale offered is conceptual breadth rather than evidence</w:t>
            </w:r>
          </w:p>
          <w:p>
            <w:pPr>
              <w:pStyle w:val="ListParagraph"/>
              <w:numPr>
                <w:ilvl w:val="0"/>
                <w:numId w:val="2"/>
              </w:numPr>
              <w:spacing w:after="45"/>
            </w:pPr>
            <w:r>
              <w:rPr>
                <w:sz w:val="15"/>
                <w:szCs w:val="15"/>
              </w:rPr>
              <w:t xml:space="preserve">The lesion-identification cohort is 88 PSVD/NCPF cases from European centres only, all with specific signs of portal hypertension - while Statement 3 (92% agreement) permits diagnosis in patients without portal hypertension. The criteria were therefore derived in one population and are licensed for use in another in which they have never been tested. For an incidental finding, this is the population that matters: a patient with an incidentally noted nodular liver and no portal hypertension is precisely who the criteria were not derived on</w:t>
            </w:r>
          </w:p>
          <w:p>
            <w:pPr>
              <w:pStyle w:val="ListParagraph"/>
              <w:numPr>
                <w:ilvl w:val="0"/>
                <w:numId w:val="2"/>
              </w:numPr>
              <w:spacing w:after="45"/>
            </w:pPr>
            <w:r>
              <w:rPr>
                <w:sz w:val="15"/>
                <w:szCs w:val="15"/>
              </w:rPr>
              <w:t xml:space="preserve">The a priori major-criterion threshold of sensitivity &gt;0.10 is extraordinarily permissive. A lesion present in 11% of cases qualifies as a major criterion provided specificity exceeds 0.95. The framework is therefore built for ruling in and is explicitly not built for ruling out, and the consensus does not state the sensitivity of the full criterion set - so the proportion of PSVD/NCPF patients whose biopsy satisfies no criterion is unreported</w:t>
            </w:r>
          </w:p>
          <w:p>
            <w:pPr>
              <w:pStyle w:val="ListParagraph"/>
              <w:numPr>
                <w:ilvl w:val="0"/>
                <w:numId w:val="2"/>
              </w:numPr>
              <w:spacing w:after="45"/>
            </w:pPr>
            <w:r>
              <w:rPr>
                <w:sz w:val="15"/>
                <w:szCs w:val="15"/>
              </w:rPr>
              <w:t xml:space="preserve">Specificity was measured against 41 normal donors and 89 chronic liver disease controls that deliberately excluded biliary disease. Biliary disease is excluded from the definition, which makes the exclusion internally consistent, but it means the &gt;0.95 specificity figures were never tested against the differential that a nodular non-cirrhotic liver most often raises in practice</w:t>
            </w:r>
          </w:p>
          <w:p>
            <w:pPr>
              <w:pStyle w:val="ListParagraph"/>
              <w:numPr>
                <w:ilvl w:val="0"/>
                <w:numId w:val="2"/>
              </w:numPr>
              <w:spacing w:after="45"/>
            </w:pPr>
            <w:r>
              <w:rPr>
                <w:sz w:val="15"/>
                <w:szCs w:val="15"/>
              </w:rPr>
              <w:t xml:space="preserve">An elementary lesion was counted as present when more than 50% of nine pathologists reported it. No kappa, no intraclass correlation and no per-lesion agreement statistic is given for any of the criteria in the available text, in a consensus whose criteria are entirely histological judgements. Majority voting among nine expert pathologists with a shared atlas is also the best possible case; reproducibility in a general pathology service is unaddressed</w:t>
            </w:r>
          </w:p>
          <w:p>
            <w:pPr>
              <w:pStyle w:val="ListParagraph"/>
              <w:numPr>
                <w:ilvl w:val="0"/>
                <w:numId w:val="2"/>
              </w:numPr>
              <w:spacing w:after="45"/>
            </w:pPr>
            <w:r>
              <w:rPr>
                <w:sz w:val="15"/>
                <w:szCs w:val="15"/>
              </w:rPr>
              <w:t xml:space="preserve">The consensus states plainly that the lesions are not pathognomonic and occur in other liver diseases, and that the entity may coexist with other liver diseases provided cirrhosis is excluded. Combined with a sensitivity floor of 0.10 and a score permitting diagnosis without portal hypertension, the definition is broad enough that the boundary with incidental histological change in an otherwise normal or diseased liver is set by expert weighting rather than by data</w:t>
            </w:r>
          </w:p>
          <w:p>
            <w:pPr>
              <w:pStyle w:val="ListParagraph"/>
              <w:numPr>
                <w:ilvl w:val="0"/>
                <w:numId w:val="2"/>
              </w:numPr>
              <w:spacing w:after="45"/>
            </w:pPr>
            <w:r>
              <w:rPr>
                <w:sz w:val="15"/>
                <w:szCs w:val="15"/>
              </w:rPr>
              <w:t xml:space="preserve">Nodular regenerative hyperplasia becomes a major criterion for a vascular disorder - a reclassification with direct consequences for any pathway that currently reassures patients about NRH as a benign nodular lesion. The consensus does not address how an NRH diagnosis made on imaging or on a biopsy taken for another reason should be handled, nor what proportion of incidentally detected NRH represents PSVD/NCPF</w:t>
            </w:r>
          </w:p>
          <w:p>
            <w:pPr>
              <w:pStyle w:val="ListParagraph"/>
              <w:numPr>
                <w:ilvl w:val="0"/>
                <w:numId w:val="2"/>
              </w:numPr>
              <w:spacing w:after="45"/>
            </w:pPr>
            <w:r>
              <w:rPr>
                <w:sz w:val="15"/>
                <w:szCs w:val="15"/>
              </w:rPr>
              <w:t xml:space="preserve">The biopsy adequacy standard was reduced from 20 mm with 10 portal tracts to 15 mm with one 10 mm fragment on the basis of a single cited reference (14), with 100% panel agreement. The evidence cited addresses excluding cirrhosis only, and the consensus concedes no data define adequacy for identifying PSVD lesions - so the 15 mm standard is validated for the exclusion step and assumed for the inclusion step</w:t>
            </w:r>
          </w:p>
          <w:p>
            <w:pPr>
              <w:pStyle w:val="ListParagraph"/>
              <w:numPr>
                <w:ilvl w:val="0"/>
                <w:numId w:val="2"/>
              </w:numPr>
              <w:spacing w:after="45"/>
            </w:pPr>
            <w:r>
              <w:rPr>
                <w:sz w:val="15"/>
                <w:szCs w:val="15"/>
              </w:rPr>
              <w:t xml:space="preserve">Statement 1 makes liver biopsy mandatory (95% agreement) in a disorder that can be diagnosed without portal hypertension, which means the consensus mandates an invasive procedure with the harms quantified in Rockey's AASLD paper for patients who may be entirely asymptomatic. No risk-benefit analysis, no estimate of how many biopsies would be needed to find one case, and no discussion of the harms of biopsying incidentally detected nodularity appears</w:t>
            </w:r>
          </w:p>
          <w:p>
            <w:pPr>
              <w:pStyle w:val="ListParagraph"/>
              <w:numPr>
                <w:ilvl w:val="0"/>
                <w:numId w:val="2"/>
              </w:numPr>
              <w:spacing w:after="45"/>
            </w:pPr>
            <w:r>
              <w:rPr>
                <w:sz w:val="15"/>
                <w:szCs w:val="15"/>
              </w:rPr>
              <w:t xml:space="preserve">Consensus statements carry agreement percentages but no evidence grades. Nine of the statements visible in the text report 92-100% agreement, which measures panel cohesion rather than evidence quality - and the paper itself concedes that aspects 'necessarily relied on expert consensus in the absence of conclusive evidence'. High agreement on weak evidence is the recurring pattern across the guidelines in this depot</w:t>
            </w:r>
          </w:p>
          <w:p>
            <w:pPr>
              <w:pStyle w:val="ListParagraph"/>
              <w:numPr>
                <w:ilvl w:val="0"/>
                <w:numId w:val="2"/>
              </w:numPr>
              <w:spacing w:after="45"/>
            </w:pPr>
            <w:r>
              <w:rPr>
                <w:sz w:val="15"/>
                <w:szCs w:val="15"/>
              </w:rPr>
              <w:t xml:space="preserve">Several panel members declare industry consultancies including Cook Medical and GORE Medical (a speakers' bureau for the lead author, both makers of devices used in portal hypertension), Mirum, Ipsen, Sarepta, Orchard, PathAI, Perspectum and AstraZeneca</w:t>
            </w:r>
          </w:p>
          <w:p>
            <w:pPr>
              <w:pStyle w:val="ListParagraph"/>
              <w:numPr>
                <w:ilvl w:val="0"/>
                <w:numId w:val="2"/>
              </w:numPr>
              <w:spacing w:after="45"/>
            </w:pPr>
            <w:r>
              <w:rPr>
                <w:sz w:val="15"/>
                <w:szCs w:val="15"/>
              </w:rPr>
              <w:t xml:space="preserve">Published 2026 as a 'first internationally endorsed, unified framework' with an explicit handoff of validation to the community; a pathway adopting it is adopting an unvalidated score by the authors' own description</w:t>
            </w:r>
          </w:p>
        </w:tc>
      </w:tr>
    </w:tbl>
    <w:p>
      <w:pPr>
        <w:spacing w:after="0" w:line="276"/>
      </w:pPr>
      <w:r>
        <w:rPr>
          <w:color w:val="5A6069"/>
          <w:sz w:val="14"/>
          <w:szCs w:val="14"/>
        </w:rPr>
        <w:t xml:space="preserve">Funding: Supported in part by the NIH Intramural Research Program; V. Hernandez-Gea supported by FIS PI23/00997 (ISCIII, co-funded by the European Union), EJP_RD RiTA AC23_2/00015 and AES 2024 Intensification grant INT24/0000. Endorsed by AASLD, APASL, ALEH, EASL, ERN RARE-LIVER, ESPGHAN, European Society of Pathology, Hans Popper Hepatopathology Society, NASPGHAN, Japanese Society of Pathology, Brazilian Society of Pathology, SAHGEED and SGIHPBPI. Declared conflicts include Cook Medical consulting and GORE Medical speakers' bureau (Hernandez-Gea), Mirum, Ipsen, Sarepta, Orchard, PathAI, Perspectum and AstraZeneca</w:t>
      </w:r>
    </w:p>
    <w:p>
      <w:pPr>
        <w:keepNext/>
        <w:spacing w:after="50" w:before="260"/>
      </w:pPr>
      <w:r>
        <w:rPr>
          <w:rFonts w:ascii="Cambria" w:cs="Cambria" w:eastAsia="Cambria" w:hAnsi="Cambria"/>
          <w:b/>
          <w:bCs/>
          <w:color w:val="17365D"/>
          <w:sz w:val="20"/>
          <w:szCs w:val="20"/>
        </w:rPr>
        <w:t xml:space="preserve">Schwartz 1999</w:t>
      </w:r>
      <w:r>
        <w:rPr>
          <w:b/>
          <w:bCs/>
          <w:color w:val="176A87"/>
          <w:sz w:val="15"/>
          <w:szCs w:val="15"/>
        </w:rPr>
        <w:t xml:space="preserve">   Retrospective cohort</w:t>
      </w:r>
      <w:r>
        <w:rPr>
          <w:color w:val="5A6069"/>
          <w:sz w:val="15"/>
          <w:szCs w:val="15"/>
        </w:rPr>
        <w:t xml:space="preserve">   PMID 9885589</w:t>
      </w:r>
    </w:p>
    <w:p>
      <w:pPr>
        <w:spacing w:after="50" w:line="276"/>
      </w:pPr>
      <w:r>
        <w:rPr>
          <w:color w:val="5A6069"/>
          <w:sz w:val="17"/>
          <w:szCs w:val="17"/>
        </w:rPr>
        <w:t xml:space="preserve">Prevalence and importance of small hepatic lesions found at CT in patients with cancer.</w:t>
      </w:r>
    </w:p>
    <w:p>
      <w:pPr>
        <w:spacing w:after="50"/>
      </w:pPr>
      <w:r>
        <w:rPr>
          <w:b/>
          <w:bCs/>
          <w:color w:val="176A87"/>
          <w:sz w:val="16"/>
          <w:szCs w:val="16"/>
        </w:rPr>
        <w:t xml:space="preserve">Population. </w:t>
      </w:r>
      <w:r>
        <w:rPr>
          <w:sz w:val="16"/>
          <w:szCs w:val="16"/>
        </w:rPr>
        <w:t xml:space="preserve">2978 patients with cancer; 378 (12.7%) with small hepatic lesions reported</w:t>
      </w:r>
    </w:p>
    <w:p>
      <w:pPr>
        <w:spacing w:after="70"/>
      </w:pPr>
      <w:r>
        <w:rPr>
          <w:b/>
          <w:bCs/>
          <w:color w:val="17365D"/>
          <w:sz w:val="16"/>
          <w:szCs w:val="16"/>
        </w:rPr>
        <w:t xml:space="preserve">Bottom line. </w:t>
      </w:r>
      <w:r>
        <w:rPr>
          <w:sz w:val="16"/>
          <w:szCs w:val="16"/>
        </w:rPr>
        <w:t xml:space="preserve">Among cancer patients at one tertiary centre with at least two CTs, a reported sub-centimetre hepatic lesion was metastatic in 11.6% (and up to 19.8% if indeterminates are counted as malignant) - it establishes that such lesions are usually but not reliably benign in known cancer, and establishes nothing about lesion prevalence, nothing about patients without cancer, and nothing verified by histology.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review of radiology reports rather than images; the authors state a more focused search of the images would have yielded additional cases, and scans were re-reviewed only when reports were unclear</w:t>
            </w:r>
          </w:p>
          <w:p>
            <w:pPr>
              <w:pStyle w:val="ListParagraph"/>
              <w:numPr>
                <w:ilvl w:val="0"/>
                <w:numId w:val="2"/>
              </w:numPr>
              <w:spacing w:after="45"/>
            </w:pPr>
            <w:r>
              <w:rPr>
                <w:sz w:val="15"/>
                <w:szCs w:val="15"/>
              </w:rPr>
              <w:t xml:space="preserve">Benignity was determined in most cases by stability at follow-up CT rather than histological confirmation, and a slow-growing metastasis would be misclassified as benign</w:t>
            </w:r>
          </w:p>
          <w:p>
            <w:pPr>
              <w:pStyle w:val="ListParagraph"/>
              <w:numPr>
                <w:ilvl w:val="0"/>
                <w:numId w:val="2"/>
              </w:numPr>
              <w:spacing w:after="45"/>
            </w:pPr>
            <w:r>
              <w:rPr>
                <w:sz w:val="15"/>
                <w:szCs w:val="15"/>
              </w:rPr>
              <w:t xml:space="preserve">10-mm collimation in 2793/2978 (93.8%) with no helical scanning available, so the actual number of small lesions was underestimated and the effective size threshold was raised</w:t>
            </w:r>
          </w:p>
          <w:p>
            <w:pPr>
              <w:pStyle w:val="ListParagraph"/>
              <w:numPr>
                <w:ilvl w:val="0"/>
                <w:numId w:val="2"/>
              </w:numPr>
              <w:spacing w:after="45"/>
            </w:pPr>
            <w:r>
              <w:rPr>
                <w:sz w:val="15"/>
                <w:szCs w:val="15"/>
              </w:rPr>
              <w:t xml:space="preserve">Monophasic contrast injection in most patients would also underestimate lesion number</w:t>
            </w:r>
          </w:p>
          <w:p>
            <w:pPr>
              <w:pStyle w:val="ListParagraph"/>
              <w:numPr>
                <w:ilvl w:val="0"/>
                <w:numId w:val="2"/>
              </w:numPr>
              <w:spacing w:after="45"/>
            </w:pPr>
            <w:r>
              <w:rPr>
                <w:sz w:val="15"/>
                <w:szCs w:val="15"/>
              </w:rPr>
              <w:t xml:space="preserve">Small lesions were certainly under-reported when larger metastases were also present, because attending radiologists do not describe each of multiple lesions individually</w:t>
            </w:r>
          </w:p>
          <w:p>
            <w:pPr>
              <w:pStyle w:val="ListParagraph"/>
              <w:numPr>
                <w:ilvl w:val="0"/>
                <w:numId w:val="2"/>
              </w:numPr>
              <w:spacing w:after="45"/>
            </w:pPr>
            <w:r>
              <w:rPr>
                <w:sz w:val="15"/>
                <w:szCs w:val="15"/>
              </w:rPr>
              <w:t xml:space="preserve">The distribution of primary tumours is atypical - lung cancer is under-represented because many such patients had only an extended thoracic CT covering part of the liver - so the series may not represent a typical metastatic population</w:t>
            </w:r>
          </w:p>
          <w:p>
            <w:pPr>
              <w:pStyle w:val="ListParagraph"/>
              <w:numPr>
                <w:ilvl w:val="0"/>
                <w:numId w:val="2"/>
              </w:numPr>
              <w:spacing w:after="45"/>
            </w:pPr>
            <w:r>
              <w:rPr>
                <w:sz w:val="15"/>
                <w:szCs w:val="15"/>
              </w:rPr>
              <w:t xml:space="preserve">Stage of disease was not controlled for, so the data cannot predict whether a given small lesion is more likely metastatic in the presence of extrahepatic metastases</w:t>
            </w:r>
          </w:p>
          <w:p>
            <w:pPr>
              <w:pStyle w:val="ListParagraph"/>
              <w:numPr>
                <w:ilvl w:val="0"/>
                <w:numId w:val="2"/>
              </w:numPr>
              <w:spacing w:after="45"/>
            </w:pPr>
            <w:r>
              <w:rPr>
                <w:sz w:val="15"/>
                <w:szCs w:val="15"/>
              </w:rPr>
              <w:t xml:space="preserve">Higher-prevalence figures in less common primaries must be interpreted cautiously because of small numbers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is 2978 patients *who already have cancer and who had at least two abdominal CTs at a tertiary cancer centre*. Requiring a follow-up scan at the same institution conditions the cohort on surviving and remaining in follow-up, which preferentially removes patients with rapidly progressive disease - exactly the patients whose small lesions would have grown. This biases the 80.2% benign figure upward, and the paper does not address it</w:t>
            </w:r>
          </w:p>
          <w:p>
            <w:pPr>
              <w:pStyle w:val="ListParagraph"/>
              <w:numPr>
                <w:ilvl w:val="0"/>
                <w:numId w:val="2"/>
              </w:numPr>
              <w:spacing w:after="45"/>
            </w:pPr>
            <w:r>
              <w:rPr>
                <w:sz w:val="15"/>
                <w:szCs w:val="15"/>
              </w:rPr>
              <w:t xml:space="preserve">The 12.7% is a report-based prevalence, not a lesion prevalence. It measures how often a radiologist chose to write the phrase, which depends on reporting culture, not on how many sub-centimetre lesions existed. The authors concede a focused image search would find more</w:t>
            </w:r>
          </w:p>
          <w:p>
            <w:pPr>
              <w:pStyle w:val="ListParagraph"/>
              <w:numPr>
                <w:ilvl w:val="0"/>
                <w:numId w:val="2"/>
              </w:numPr>
              <w:spacing w:after="45"/>
            </w:pPr>
            <w:r>
              <w:rPr>
                <w:sz w:val="15"/>
                <w:szCs w:val="15"/>
              </w:rPr>
              <w:t xml:space="preserve">A pathway that quotes Schwartz's 12.7% next to Karhunen's 52%, Jones's 17% and Kaltenbach's 15% is comparing a report-mention rate in cancer patients on 10-mm CT, a targeted-autopsy rate in 95 Finnish men, a per-examination CT rate in cancer-surveillance outpatients, and a sonographic diagnosis rate in 45,319 hospital attenders. The four numbers are not interchangeable and happen to look similar only by coincidence</w:t>
            </w:r>
          </w:p>
          <w:p>
            <w:pPr>
              <w:pStyle w:val="ListParagraph"/>
              <w:numPr>
                <w:ilvl w:val="0"/>
                <w:numId w:val="2"/>
              </w:numPr>
              <w:spacing w:after="45"/>
            </w:pPr>
            <w:r>
              <w:rPr>
                <w:sz w:val="15"/>
                <w:szCs w:val="15"/>
              </w:rPr>
              <w:t xml:space="preserve">Benignity is defined circularly as 'did not grow on the same test', with no histology in any case. Since the 6-month stability threshold was chosen by the authors and 31 patients failed to meet it, the headline 11.6% metastatic rate is the most favourable of three analyses the authors themselves ran; the upper estimate of 19.8% - nearly one in five - is buried in the results</w:t>
            </w:r>
          </w:p>
          <w:p>
            <w:pPr>
              <w:pStyle w:val="ListParagraph"/>
              <w:numPr>
                <w:ilvl w:val="0"/>
                <w:numId w:val="2"/>
              </w:numPr>
              <w:spacing w:after="45"/>
            </w:pPr>
            <w:r>
              <w:rPr>
                <w:sz w:val="15"/>
                <w:szCs w:val="15"/>
              </w:rPr>
              <w:t xml:space="preserve">Table 1 reports the total as 3004 with 378 (12.4%) while the abstract reports 378/2978 (12.7%); the double-counting of 26 patients with two primaries is acknowledged for the total but not reconciled with the headline figure</w:t>
            </w:r>
          </w:p>
          <w:p>
            <w:pPr>
              <w:pStyle w:val="ListParagraph"/>
              <w:numPr>
                <w:ilvl w:val="0"/>
                <w:numId w:val="2"/>
              </w:numPr>
              <w:spacing w:after="45"/>
            </w:pPr>
            <w:r>
              <w:rPr>
                <w:sz w:val="15"/>
                <w:szCs w:val="15"/>
              </w:rPr>
              <w:t xml:space="preserve">The breast-cancer figure driving clinical anxiety (22% metastatic) rests on 14 events in 63 patients with small lesions; the melanoma row is 1 metastatic of 3 patients (33%) and the small-bowel row 1 of 2 (50%), and these per-tumour percentages are reported to the nearest whole number with no confidence intervals anywhere in the paper</w:t>
            </w:r>
          </w:p>
          <w:p>
            <w:pPr>
              <w:pStyle w:val="ListParagraph"/>
              <w:numPr>
                <w:ilvl w:val="0"/>
                <w:numId w:val="2"/>
              </w:numPr>
              <w:spacing w:after="45"/>
            </w:pPr>
            <w:r>
              <w:rPr>
                <w:sz w:val="15"/>
                <w:szCs w:val="15"/>
              </w:rPr>
              <w:t xml:space="preserve">The two subgroup comparisons that would most change management - extrahepatic metastases present vs absent, and solitary vs multiple - were both non-significant, yet the directional point estimates (36% vs 25.7%, 14.0% vs 9.8%) are the ones that get quoted. The study is underpowered for both and never reports a power calculation</w:t>
            </w:r>
          </w:p>
          <w:p>
            <w:pPr>
              <w:pStyle w:val="ListParagraph"/>
              <w:numPr>
                <w:ilvl w:val="0"/>
                <w:numId w:val="2"/>
              </w:numPr>
              <w:spacing w:after="45"/>
            </w:pPr>
            <w:r>
              <w:rPr>
                <w:sz w:val="15"/>
                <w:szCs w:val="15"/>
              </w:rPr>
              <w:t xml:space="preserve">The paper asserts 'there is no a priori reason to suspect that smaller, undetected lesions are more likely to be malignant' - an untested assumption that is load-bearing for transporting the result to thin-section helical CT, and that the authors call for studies on rather than demonstrate</w:t>
            </w:r>
          </w:p>
          <w:p>
            <w:pPr>
              <w:pStyle w:val="ListParagraph"/>
              <w:numPr>
                <w:ilvl w:val="0"/>
                <w:numId w:val="2"/>
              </w:numPr>
              <w:spacing w:after="45"/>
            </w:pPr>
            <w:r>
              <w:rPr>
                <w:sz w:val="15"/>
                <w:szCs w:val="15"/>
              </w:rPr>
              <w:t xml:space="preserve">Single institution, single scanner model (GE 9800), non-helical era; reader identity, number of readers and interobserver agreement are not reported</w:t>
            </w:r>
          </w:p>
        </w:tc>
      </w:tr>
    </w:tbl>
    <w:p>
      <w:pPr>
        <w:spacing w:after="0" w:line="276"/>
      </w:pPr>
      <w:r>
        <w:rPr>
          <w:color w:val="5A6069"/>
          <w:sz w:val="14"/>
          <w:szCs w:val="14"/>
        </w:rPr>
        <w:t xml:space="preserve">Funding: Not stated; presented at the 1997 RSNA scientific assembly</w:t>
      </w:r>
    </w:p>
    <w:p>
      <w:pPr>
        <w:keepNext/>
        <w:spacing w:after="50" w:before="260"/>
      </w:pPr>
      <w:r>
        <w:rPr>
          <w:rFonts w:ascii="Cambria" w:cs="Cambria" w:eastAsia="Cambria" w:hAnsi="Cambria"/>
          <w:b/>
          <w:bCs/>
          <w:color w:val="17365D"/>
          <w:sz w:val="20"/>
          <w:szCs w:val="20"/>
        </w:rPr>
        <w:t xml:space="preserve">Von Meyenburg complexes</w:t>
      </w:r>
      <w:r>
        <w:rPr>
          <w:b/>
          <w:bCs/>
          <w:color w:val="176A87"/>
          <w:sz w:val="15"/>
          <w:szCs w:val="15"/>
        </w:rPr>
        <w:t xml:space="preserve">   Review</w:t>
      </w:r>
      <w:r>
        <w:rPr>
          <w:color w:val="5A6069"/>
          <w:sz w:val="15"/>
          <w:szCs w:val="15"/>
        </w:rPr>
        <w:t xml:space="preserve">   PMID 26522945</w:t>
      </w:r>
    </w:p>
    <w:p>
      <w:pPr>
        <w:spacing w:after="50" w:line="276"/>
      </w:pPr>
      <w:r>
        <w:rPr>
          <w:color w:val="5A6069"/>
          <w:sz w:val="17"/>
          <w:szCs w:val="17"/>
        </w:rPr>
        <w:t xml:space="preserve">Imaging of Von Meyenburg complexes.</w:t>
      </w:r>
    </w:p>
    <w:p>
      <w:pPr>
        <w:spacing w:after="70"/>
      </w:pPr>
      <w:r>
        <w:rPr>
          <w:b/>
          <w:bCs/>
          <w:color w:val="17365D"/>
          <w:sz w:val="16"/>
          <w:szCs w:val="16"/>
        </w:rPr>
        <w:t xml:space="preserve">Bottom line. </w:t>
      </w:r>
      <w:r>
        <w:rPr>
          <w:sz w:val="16"/>
          <w:szCs w:val="16"/>
        </w:rPr>
        <w:t xml:space="preserve">A narrative single-centre review establishing that Von Meyenburg complexes are common (about 5.6% at autopsy), that CT and ultrasound cannot distinguish them from small metastases while heavily T2-weighted MRI and MR cholangiography usually can, and that cholangiocarcinoma has arisen within them in roughly 35 reported cases - it does not establish any quantified diagnostic accuracy for those MRI features, nor any absolute malignant risk that could justify surveillance.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 narrative review with no stated methodology</w:t>
            </w:r>
          </w:p>
          <w:p>
            <w:pPr>
              <w:pStyle w:val="ListParagraph"/>
              <w:numPr>
                <w:ilvl w:val="0"/>
                <w:numId w:val="2"/>
              </w:numPr>
              <w:spacing w:after="45"/>
            </w:pPr>
            <w:r>
              <w:rPr>
                <w:sz w:val="15"/>
                <w:szCs w:val="15"/>
              </w:rPr>
              <w:t xml:space="preserve">The authors explicitly concede no studies have addressed the differential diagnosis with cystic metastases, and that their own view that cystic metastases are larger with more ill-defined borders is 'based on our experience'</w:t>
            </w:r>
          </w:p>
          <w:p>
            <w:pPr>
              <w:pStyle w:val="ListParagraph"/>
              <w:numPr>
                <w:ilvl w:val="0"/>
                <w:numId w:val="2"/>
              </w:numPr>
              <w:spacing w:after="45"/>
            </w:pPr>
            <w:r>
              <w:rPr>
                <w:sz w:val="15"/>
                <w:szCs w:val="15"/>
              </w:rPr>
              <w:t xml:space="preserve">They note VMC with predominantly fibrous content may not be visible on MRI at all</w:t>
            </w:r>
          </w:p>
          <w:p>
            <w:pPr>
              <w:pStyle w:val="ListParagraph"/>
              <w:numPr>
                <w:ilvl w:val="0"/>
                <w:numId w:val="2"/>
              </w:numPr>
              <w:spacing w:after="45"/>
            </w:pPr>
            <w:r>
              <w:rPr>
                <w:sz w:val="15"/>
                <w:szCs w:val="15"/>
              </w:rPr>
              <w:t xml:space="preserve">They state it is impossible to consider genetic screening for diffuse VMC or to regularly monitor VMC patients</w:t>
            </w:r>
          </w:p>
          <w:p>
            <w:pPr>
              <w:pStyle w:val="ListParagraph"/>
              <w:numPr>
                <w:ilvl w:val="0"/>
                <w:numId w:val="2"/>
              </w:numPr>
              <w:spacing w:after="45"/>
            </w:pPr>
            <w:r>
              <w:rPr>
                <w:sz w:val="15"/>
                <w:szCs w:val="15"/>
              </w:rPr>
              <w:t xml:space="preserve">They acknowledge the two competing pathogenetic models conflict: the hypothesis that cysts arise from progressive dilatation of VMC contradicts the currently accepted pathophysiology of ductal plate malformations and ADPKD that they set out earlier in the same review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denominator anywhere behind the malignancy claim. 'About 35 cases of cholangiocarcinoma associated with VMC' is a count of case reports accumulated over roughly fifty years, set against an autopsy prevalence of 5.6% - which in a population the size of Europe implies tens of millions of carriers. The implied risk is vanishingly small, but the review's framing ('VMC... have a potential for malignant transformation') and its placement alongside the 1%/4%/7% figures for congenital hepatic fibrosis, choledochal cyst and Caroli disease invites a pathway to assign VMC a comparable risk. It is not comparable, and the review never computes or states the absolute risk</w:t>
            </w:r>
          </w:p>
          <w:p>
            <w:pPr>
              <w:pStyle w:val="ListParagraph"/>
              <w:numPr>
                <w:ilvl w:val="0"/>
                <w:numId w:val="2"/>
              </w:numPr>
              <w:spacing w:after="45"/>
            </w:pPr>
            <w:r>
              <w:rPr>
                <w:sz w:val="15"/>
                <w:szCs w:val="15"/>
              </w:rPr>
              <w:t xml:space="preserve">The 1%, 4% and 7% cholangiocarcinoma figures for the other ductal plate malformations are all traced to a single 1977 reference (Bloustein), and are presented without denominators, confidence intervals or any note of their age</w:t>
            </w:r>
          </w:p>
          <w:p>
            <w:pPr>
              <w:pStyle w:val="ListParagraph"/>
              <w:numPr>
                <w:ilvl w:val="0"/>
                <w:numId w:val="2"/>
              </w:numPr>
              <w:spacing w:after="45"/>
            </w:pPr>
            <w:r>
              <w:rPr>
                <w:sz w:val="15"/>
                <w:szCs w:val="15"/>
              </w:rPr>
              <w:t xml:space="preserve">Publication bias is the entire mechanism of the malignancy literature: a VMC found incidentally and never causing trouble is not reportable, whereas a cholangiocarcinoma found next to VMC is. The molecular evidence of 'neoplastic potential' rests on loss-of-heterozygosity analysis in two patients and a Ki-67 gradient in a four-case series - findings that establish that transformation can occur, not how often</w:t>
            </w:r>
          </w:p>
          <w:p>
            <w:pPr>
              <w:pStyle w:val="ListParagraph"/>
              <w:numPr>
                <w:ilvl w:val="0"/>
                <w:numId w:val="2"/>
              </w:numPr>
              <w:spacing w:after="45"/>
            </w:pPr>
            <w:r>
              <w:rPr>
                <w:sz w:val="15"/>
                <w:szCs w:val="15"/>
              </w:rPr>
              <w:t xml:space="preserve">The 5.6% autopsy prevalence is a single secondhand figure from one 1996 series; no range, no confidence interval, and no acknowledgement that autopsy detection of sub-5 mm lesions is as search-dependent as in Karhunen's series</w:t>
            </w:r>
          </w:p>
          <w:p>
            <w:pPr>
              <w:pStyle w:val="ListParagraph"/>
              <w:numPr>
                <w:ilvl w:val="0"/>
                <w:numId w:val="2"/>
              </w:numPr>
              <w:spacing w:after="45"/>
            </w:pPr>
            <w:r>
              <w:rPr>
                <w:sz w:val="15"/>
                <w:szCs w:val="15"/>
              </w:rPr>
              <w:t xml:space="preserve">No search strategy, no databases, no date limits, no eligibility criteria, no quality appraisal of any cited study, and no reporting standard followed - so the reader cannot tell what was left out, and the statement that MRI is 'the best imaging tool' is unsupported by any pooled accuracy estimate</w:t>
            </w:r>
          </w:p>
          <w:p>
            <w:pPr>
              <w:pStyle w:val="ListParagraph"/>
              <w:numPr>
                <w:ilvl w:val="0"/>
                <w:numId w:val="2"/>
              </w:numPr>
              <w:spacing w:after="45"/>
            </w:pPr>
            <w:r>
              <w:rPr>
                <w:sz w:val="15"/>
                <w:szCs w:val="15"/>
              </w:rPr>
              <w:t xml:space="preserve">No diagnostic accuracy data of any kind: not one sensitivity, specificity or predictive value for the MRI features the review recommends relying on. The claim that MR cholangiography distinguishes VMC from sub-centimetre metastases - the single most clinically consequential assertion - is supported by narrative citation only, with no study of consecutive patients and no reference standard</w:t>
            </w:r>
          </w:p>
          <w:p>
            <w:pPr>
              <w:pStyle w:val="ListParagraph"/>
              <w:numPr>
                <w:ilvl w:val="0"/>
                <w:numId w:val="2"/>
              </w:numPr>
              <w:spacing w:after="45"/>
            </w:pPr>
            <w:r>
              <w:rPr>
                <w:sz w:val="15"/>
                <w:szCs w:val="15"/>
              </w:rPr>
              <w:t xml:space="preserve">The signature finding, 'signal identical to CSF on heavily T2-weighted sequences', is an unquantified visual judgement with no reported interobserver agreement, and the review simultaneously concedes that fibrous-predominant VMC may be invisible on MRI - i.e. the test fails in an unknown fraction of cases and the review does not estimate that fraction</w:t>
            </w:r>
          </w:p>
          <w:p>
            <w:pPr>
              <w:pStyle w:val="ListParagraph"/>
              <w:numPr>
                <w:ilvl w:val="0"/>
                <w:numId w:val="2"/>
              </w:numPr>
              <w:spacing w:after="45"/>
            </w:pPr>
            <w:r>
              <w:rPr>
                <w:sz w:val="15"/>
                <w:szCs w:val="15"/>
              </w:rPr>
              <w:t xml:space="preserve">The 'enhancing mural nodule in 9/11 patients' figure comes from one study of 11 patients and is reported without interval; cited as if it were a feature rather than an 82% point estimate on 11 observations</w:t>
            </w:r>
          </w:p>
          <w:p>
            <w:pPr>
              <w:pStyle w:val="ListParagraph"/>
              <w:numPr>
                <w:ilvl w:val="0"/>
                <w:numId w:val="2"/>
              </w:numPr>
              <w:spacing w:after="45"/>
            </w:pPr>
            <w:r>
              <w:rPr>
                <w:sz w:val="15"/>
                <w:szCs w:val="15"/>
              </w:rPr>
              <w:t xml:space="preserve">Figure 4 in the review is itself a demonstration that the imaging logic fails in practice: two sub-centimetre lesions in a patient with colon carcinoma, one visible only on T1/T2 and one only on diffusion; intraoperative ultrasound failed to confirm the segment 2 lesion, and only serial follow-up resolved one as VMC and the other as a growing melanoma metastasis. The review draws no conclusion about how often this happens</w:t>
            </w:r>
          </w:p>
          <w:p>
            <w:pPr>
              <w:pStyle w:val="ListParagraph"/>
              <w:numPr>
                <w:ilvl w:val="0"/>
                <w:numId w:val="2"/>
              </w:numPr>
              <w:spacing w:after="45"/>
            </w:pPr>
            <w:r>
              <w:rPr>
                <w:sz w:val="15"/>
                <w:szCs w:val="15"/>
              </w:rPr>
              <w:t xml:space="preserve">Single-centre authorship with no multidisciplinary or pathology co-authors on a review that makes pathological and genetic claims; no systematic conflict-of-interest statement beyond a one-line declaration</w:t>
            </w:r>
          </w:p>
          <w:p>
            <w:pPr>
              <w:pStyle w:val="ListParagraph"/>
              <w:numPr>
                <w:ilvl w:val="0"/>
                <w:numId w:val="2"/>
              </w:numPr>
              <w:spacing w:after="45"/>
            </w:pPr>
            <w:r>
              <w:rPr>
                <w:sz w:val="15"/>
                <w:szCs w:val="15"/>
              </w:rPr>
              <w:t xml:space="preserve">The genetic transmission concern (PKHD1 in one family of three siblings) is raised as an open question - 'the possibility for an asymptomatic carrier of VMC to transmit Caroli disease or ARPKD' - with n=1 family and no population data, yet it is the kind of sentence a pathway can convert into a counselling recommendation</w:t>
            </w:r>
          </w:p>
        </w:tc>
      </w:tr>
    </w:tbl>
    <w:p>
      <w:pPr>
        <w:spacing w:after="0" w:line="276"/>
      </w:pPr>
      <w:r>
        <w:rPr>
          <w:color w:val="5A6069"/>
          <w:sz w:val="14"/>
          <w:szCs w:val="14"/>
        </w:rPr>
        <w:t xml:space="preserve">Funding: Not stated; the authors declare no competing interest</w:t>
      </w:r>
    </w:p>
    <w:p>
      <w:pPr>
        <w:keepNext/>
        <w:spacing w:after="50" w:before="260"/>
      </w:pPr>
      <w:r>
        <w:rPr>
          <w:rFonts w:ascii="Cambria" w:cs="Cambria" w:eastAsia="Cambria" w:hAnsi="Cambria"/>
          <w:b/>
          <w:bCs/>
          <w:color w:val="17365D"/>
          <w:sz w:val="20"/>
          <w:szCs w:val="20"/>
        </w:rPr>
        <w:t xml:space="preserve">WFUMB CEUS 2020</w:t>
      </w:r>
      <w:r>
        <w:rPr>
          <w:b/>
          <w:bCs/>
          <w:color w:val="176A87"/>
          <w:sz w:val="15"/>
          <w:szCs w:val="15"/>
        </w:rPr>
        <w:t xml:space="preserve">   Guideline</w:t>
      </w:r>
      <w:r>
        <w:rPr>
          <w:color w:val="5A6069"/>
          <w:sz w:val="15"/>
          <w:szCs w:val="15"/>
        </w:rPr>
        <w:t xml:space="preserve">   PMID 32707595</w:t>
      </w:r>
    </w:p>
    <w:p>
      <w:pPr>
        <w:spacing w:after="50" w:line="276"/>
      </w:pPr>
      <w:r>
        <w:rPr>
          <w:color w:val="5A6069"/>
          <w:sz w:val="17"/>
          <w:szCs w:val="17"/>
        </w:rPr>
        <w:t xml:space="preserve">Guidelines and good clinical practice recommendations for contrast enhanced ultrasound (CEUS) in the liver - update 2020: WFUMB in cooperation with EFSUMB, AFSUMB, AIUM, and FLAUS.</w:t>
      </w:r>
    </w:p>
    <w:p>
      <w:pPr>
        <w:spacing w:after="70"/>
      </w:pPr>
      <w:r>
        <w:rPr>
          <w:b/>
          <w:bCs/>
          <w:color w:val="17365D"/>
          <w:sz w:val="16"/>
          <w:szCs w:val="16"/>
        </w:rPr>
        <w:t xml:space="preserve">Bottom line. </w:t>
      </w:r>
      <w:r>
        <w:rPr>
          <w:sz w:val="16"/>
          <w:szCs w:val="16"/>
        </w:rPr>
        <w:t xml:space="preserve">The WFUMB/EFSUMB CEUS liver guidelines, whose single LoE 1 strong recommendation is that CEUS be first-line for an incidentally detected indeterminate focal liver lesion in a non-cirrhotic liver without suspicion of malignancy - it establishes a clear and widely endorsed position for exactly the scenario a pathway must handle, and it establishes almost nothing by its own evidence: no search strategy, no published evidence tables, no accuracy figures or intervals for any comparative claim, several LoE 5 recommendations graded strong, a weaker grade for the higher-risk scenario than the lower, and contrast- and scanner-industry relationships declared by more than twenty of its authors.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methods state that on topics where no significant study data were available, evidence was obtained from expert committee reports or from the consensus of experts at the consensus conferences</w:t>
            </w:r>
          </w:p>
          <w:p>
            <w:pPr>
              <w:pStyle w:val="ListParagraph"/>
              <w:numPr>
                <w:ilvl w:val="0"/>
                <w:numId w:val="2"/>
              </w:numPr>
              <w:spacing w:after="45"/>
            </w:pPr>
            <w:r>
              <w:rPr>
                <w:sz w:val="15"/>
                <w:szCs w:val="15"/>
              </w:rPr>
              <w:t xml:space="preserve">The guidelines state they provide general advice and that individual cases must be managed on the basis of all clinical data available</w:t>
            </w:r>
          </w:p>
          <w:p>
            <w:pPr>
              <w:pStyle w:val="ListParagraph"/>
              <w:numPr>
                <w:ilvl w:val="0"/>
                <w:numId w:val="2"/>
              </w:numPr>
              <w:spacing w:after="45"/>
            </w:pPr>
            <w:r>
              <w:rPr>
                <w:sz w:val="15"/>
                <w:szCs w:val="15"/>
              </w:rPr>
              <w:t xml:space="preserve">A dedicated section on errors and artefacts acknowledges that limitations of CEUS may result in lesion mischaracterisation, and that in select discordant cases correlation with other modalities or tissue sampling might be advised</w:t>
            </w:r>
          </w:p>
          <w:p>
            <w:pPr>
              <w:pStyle w:val="ListParagraph"/>
              <w:numPr>
                <w:ilvl w:val="0"/>
                <w:numId w:val="2"/>
              </w:numPr>
              <w:spacing w:after="45"/>
            </w:pPr>
            <w:r>
              <w:rPr>
                <w:sz w:val="15"/>
                <w:szCs w:val="15"/>
              </w:rPr>
              <w:t xml:space="preserve">Availability of contrast agents is noted to depend on territory-specific regulatory approval, limiting applicability</w:t>
            </w:r>
          </w:p>
          <w:p>
            <w:pPr>
              <w:pStyle w:val="ListParagraph"/>
              <w:numPr>
                <w:ilvl w:val="0"/>
                <w:numId w:val="2"/>
              </w:numPr>
              <w:spacing w:after="45"/>
            </w:pPr>
            <w:r>
              <w:rPr>
                <w:sz w:val="15"/>
                <w:szCs w:val="15"/>
              </w:rPr>
              <w:t xml:space="preserve">The 2012 edition is criticised by the authors for not giving evidence-based recommendations and not describing agent differences precisely - an implicit statement that the three prior iterations were expert opinion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grading is systematically discordant and this is the document's defining flaw. Of the recommendations visible in the text, several carry LoE 5 - the lowest level, expert opinion - while being labelled strong recommendations with near-unanimous votes: CEUS as first contrast modality in renal insufficiency (LoE 5, strong, 31-0), CEUS when both CT and MRI are contraindicated (LoE 5, strong, 32-0), CEUS when biopsy was inconclusive (LoE 5, weak), appropriate contrast dose and low mechanical index (LoE 5, strong), knowledge of artefacts (LoE 5, strong), and operator training (LoE 5, strong). A strong recommendation from expert opinion is a GRADE violation, and the document makes it repeatedly without justification</w:t>
            </w:r>
          </w:p>
          <w:p>
            <w:pPr>
              <w:pStyle w:val="ListParagraph"/>
              <w:numPr>
                <w:ilvl w:val="0"/>
                <w:numId w:val="2"/>
              </w:numPr>
              <w:spacing w:after="45"/>
            </w:pPr>
            <w:r>
              <w:rPr>
                <w:sz w:val="15"/>
                <w:szCs w:val="15"/>
              </w:rPr>
              <w:t xml:space="preserve">Conversely the two recommendations closest to the incidental-lesion question are graded in opposite directions for no stated reason. Characterising an indeterminate incidental lesion in a non-cirrhotic liver WITHOUT suspicion of malignancy is LoE 1 and strong; the same lesion WITH a history or clinical suspicion of malignancy is LoE 2 and only WEAK. The clinically higher-stakes scenario gets the weaker recommendation, and the guideline does not explain why the evidence is better in the lower-risk setting</w:t>
            </w:r>
          </w:p>
          <w:p>
            <w:pPr>
              <w:pStyle w:val="ListParagraph"/>
              <w:numPr>
                <w:ilvl w:val="0"/>
                <w:numId w:val="2"/>
              </w:numPr>
              <w:spacing w:after="45"/>
            </w:pPr>
            <w:r>
              <w:rPr>
                <w:sz w:val="15"/>
                <w:szCs w:val="15"/>
              </w:rPr>
              <w:t xml:space="preserve">The single LoE 1 recommendation in a 38-recommendation guideline is also the one a pathway is most likely to cite. LoE 1 implies systematic review or randomised evidence; no randomised trial of CEUS-first versus MRI-first for an incidental indeterminate lesion is cited, and the supporting narrative (references 29, 33, 45, 56-58, 62-78) is a block citation of roughly twenty studies with no pooled estimate, no accuracy figures and no quality appraisal. The grade is asserted, not demonstrated</w:t>
            </w:r>
          </w:p>
          <w:p>
            <w:pPr>
              <w:pStyle w:val="ListParagraph"/>
              <w:numPr>
                <w:ilvl w:val="0"/>
                <w:numId w:val="2"/>
              </w:numPr>
              <w:spacing w:after="45"/>
            </w:pPr>
            <w:r>
              <w:rPr>
                <w:sz w:val="15"/>
                <w:szCs w:val="15"/>
              </w:rPr>
              <w:t xml:space="preserve">Industry conflict is pervasive and directly relevant. The guideline recommends ultrasound contrast agents, and of the roughly 39 authors, more than twenty declare speaker honoraria, advisory board membership, consultancies or research grants from Bracco - the manufacturer of SonoVue/Lumason - and from the ultrasound scanner manufacturers whose equipment the recommendations require. The first author declares speaker honoraria from Bracco plus eleven other companies, advisory board membership with three scanner makers and research grants from three. The comparator in almost every recommendation is CT or MRI, products the funders do not sell. No managed-conflict policy, no recusal from voting, and no sensitivity of the recommendations to conflict status is described</w:t>
            </w:r>
          </w:p>
          <w:p>
            <w:pPr>
              <w:pStyle w:val="ListParagraph"/>
              <w:numPr>
                <w:ilvl w:val="0"/>
                <w:numId w:val="2"/>
              </w:numPr>
              <w:spacing w:after="45"/>
            </w:pPr>
            <w:r>
              <w:rPr>
                <w:sz w:val="15"/>
                <w:szCs w:val="15"/>
              </w:rPr>
              <w:t xml:space="preserve">Votes are recorded but the voters are the same experts who drafted the recommendations and who hold the declared relationships. Near-unanimity (30-0, 31-0, 32-0) in a self-selected panel is not independent corroboration, and no external review by non-sonographers, methodologists or patients is described</w:t>
            </w:r>
          </w:p>
          <w:p>
            <w:pPr>
              <w:pStyle w:val="ListParagraph"/>
              <w:numPr>
                <w:ilvl w:val="0"/>
                <w:numId w:val="2"/>
              </w:numPr>
              <w:spacing w:after="45"/>
            </w:pPr>
            <w:r>
              <w:rPr>
                <w:sz w:val="15"/>
                <w:szCs w:val="15"/>
              </w:rPr>
              <w:t xml:space="preserve">No systematic search strategy, no databases named beyond a parenthetical 'e.g. Medline', no date range, no screening counts, no PRISMA flow and no published evidence tables. The methods describe evidence tables as having been constructed, but they are not reproduced, so no grade in the document can be audited</w:t>
            </w:r>
          </w:p>
          <w:p>
            <w:pPr>
              <w:pStyle w:val="ListParagraph"/>
              <w:numPr>
                <w:ilvl w:val="0"/>
                <w:numId w:val="2"/>
              </w:numPr>
              <w:spacing w:after="45"/>
            </w:pPr>
            <w:r>
              <w:rPr>
                <w:sz w:val="15"/>
                <w:szCs w:val="15"/>
              </w:rPr>
              <w:t xml:space="preserve">The comparative performance claims are stated as conclusions without numbers: 'an overall improvement in sensitivity and specificity is found for CEUS over CECT', 'CEUS is superior to CT and equivalent to MR imaging', 'CEUS has been shown to be the most cost effective imaging modality in some countries in Europe'. No sensitivity, specificity, confidence interval or cost figure appears for any of these, each resting on block citations</w:t>
            </w:r>
          </w:p>
          <w:p>
            <w:pPr>
              <w:pStyle w:val="ListParagraph"/>
              <w:numPr>
                <w:ilvl w:val="0"/>
                <w:numId w:val="2"/>
              </w:numPr>
              <w:spacing w:after="45"/>
            </w:pPr>
            <w:r>
              <w:rPr>
                <w:sz w:val="15"/>
                <w:szCs w:val="15"/>
              </w:rPr>
              <w:t xml:space="preserve">The 80-90% sensitivity for metastasis detection is given as 'up to', i.e. the top of a range whose bottom is not stated, and the claim of particular usefulness for metastases 10 mm or smaller rests on two citations - against Niekel's meta-analysis in this depot, which found per-lesion sensitivity below 10 mm of 47% for CT and 60% for MRI and excluded ultrasound from consideration as rarely used</w:t>
            </w:r>
          </w:p>
          <w:p>
            <w:pPr>
              <w:pStyle w:val="ListParagraph"/>
              <w:numPr>
                <w:ilvl w:val="0"/>
                <w:numId w:val="2"/>
              </w:numPr>
              <w:spacing w:after="45"/>
            </w:pPr>
            <w:r>
              <w:rPr>
                <w:sz w:val="15"/>
                <w:szCs w:val="15"/>
              </w:rPr>
              <w:t xml:space="preserve">CEUS is operator-dependent in a way the document acknowledges only through a training recommendation at LoE 5. No interobserver agreement figure appears anywhere, although Chernyak 2018 in this depot reports CEUS LI-RADS category agreement at kappa 0.30-0.39 - the lowest of any modality. A guideline recommending CEUS first-line should report the reproducibility of the test it is recommending</w:t>
            </w:r>
          </w:p>
          <w:p>
            <w:pPr>
              <w:pStyle w:val="ListParagraph"/>
              <w:numPr>
                <w:ilvl w:val="0"/>
                <w:numId w:val="2"/>
              </w:numPr>
              <w:spacing w:after="45"/>
            </w:pPr>
            <w:r>
              <w:rPr>
                <w:sz w:val="15"/>
                <w:szCs w:val="15"/>
              </w:rPr>
              <w:t xml:space="preserve">Recommendation 7 advises against routine CEUS for HCC surveillance at LoE 4 with a strong recommendation - the one place the guideline restricts its own modality, and it does so from weak evidence too, which at least shows the grading discordance is not purely self-serving</w:t>
            </w:r>
          </w:p>
          <w:p>
            <w:pPr>
              <w:pStyle w:val="ListParagraph"/>
              <w:numPr>
                <w:ilvl w:val="0"/>
                <w:numId w:val="2"/>
              </w:numPr>
              <w:spacing w:after="45"/>
            </w:pPr>
            <w:r>
              <w:rPr>
                <w:sz w:val="15"/>
                <w:szCs w:val="15"/>
              </w:rPr>
              <w:t xml:space="preserve">Four agents with different pharmacokinetics are covered under common recommendations, with regional availability varying; a pathway cannot tell from a given recommendation whether it holds for the agent locally licensed</w:t>
            </w:r>
          </w:p>
          <w:p>
            <w:pPr>
              <w:pStyle w:val="ListParagraph"/>
              <w:numPr>
                <w:ilvl w:val="0"/>
                <w:numId w:val="2"/>
              </w:numPr>
              <w:spacing w:after="45"/>
            </w:pPr>
            <w:r>
              <w:rPr>
                <w:sz w:val="15"/>
                <w:szCs w:val="15"/>
              </w:rPr>
              <w:t xml:space="preserve">No expiry date or update interval is stated beyond the pattern of iterations (2004, 2008, 2012, 2020), and the search underlying the 2020 text closed by the June 2019 Granada meeting</w:t>
            </w:r>
          </w:p>
        </w:tc>
      </w:tr>
    </w:tbl>
    <w:p>
      <w:pPr>
        <w:spacing w:after="0" w:line="276"/>
      </w:pPr>
      <w:r>
        <w:rPr>
          <w:color w:val="5A6069"/>
          <w:sz w:val="14"/>
          <w:szCs w:val="14"/>
        </w:rPr>
        <w:t xml:space="preserve">Funding: Not stated. Conflicts of interest are extensive: more than twenty of the authors declare speaker honoraria, advisory board membership, consultancies, equipment or research grants from Bracco, GE, Hitachi, Mindray, Siemens, Philips, Samsung, Canon, SuperSonic, Lantheus, Esaote and others; sixteen authors declare no conflict</w:t>
      </w:r>
    </w:p>
    <w:p>
      <w:pPr>
        <w:keepNext/>
        <w:spacing w:after="50" w:before="260"/>
      </w:pPr>
      <w:r>
        <w:rPr>
          <w:rFonts w:ascii="Cambria" w:cs="Cambria" w:eastAsia="Cambria" w:hAnsi="Cambria"/>
          <w:b/>
          <w:bCs/>
          <w:color w:val="17365D"/>
          <w:sz w:val="20"/>
          <w:szCs w:val="20"/>
        </w:rPr>
        <w:t xml:space="preserve">WHO-IWGE echinococcosis</w:t>
      </w:r>
      <w:r>
        <w:rPr>
          <w:b/>
          <w:bCs/>
          <w:color w:val="176A87"/>
          <w:sz w:val="15"/>
          <w:szCs w:val="15"/>
        </w:rPr>
        <w:t xml:space="preserve">   Consensus statement</w:t>
      </w:r>
      <w:r>
        <w:rPr>
          <w:color w:val="5A6069"/>
          <w:sz w:val="15"/>
          <w:szCs w:val="15"/>
        </w:rPr>
        <w:t xml:space="preserve">   PMID 19931502</w:t>
      </w:r>
    </w:p>
    <w:p>
      <w:pPr>
        <w:spacing w:after="50" w:line="276"/>
      </w:pPr>
      <w:r>
        <w:rPr>
          <w:color w:val="5A6069"/>
          <w:sz w:val="17"/>
          <w:szCs w:val="17"/>
        </w:rPr>
        <w:t xml:space="preserve">Expert consensus for the diagnosis and treatment of cystic and alveolar echinococcosis in humans.</w:t>
      </w:r>
    </w:p>
    <w:p>
      <w:pPr>
        <w:spacing w:after="70"/>
      </w:pPr>
      <w:r>
        <w:rPr>
          <w:b/>
          <w:bCs/>
          <w:color w:val="17365D"/>
          <w:sz w:val="16"/>
          <w:szCs w:val="16"/>
        </w:rPr>
        <w:t xml:space="preserve">Bottom line. </w:t>
      </w:r>
      <w:r>
        <w:rPr>
          <w:sz w:val="16"/>
          <w:szCs w:val="16"/>
        </w:rPr>
        <w:t xml:space="preserve">The WHO-IWGE expert consensus establishing stage-specific management of hepatic echinococcosis - PAIR plus albendazole for active CE1 and CE3a cysts over 5 cm, benzimidazole alone for small ones, surgery or other percutaneous techniques for CE2 and CE3b, and watch-and-wait for inactive CE4 and CE5 - and it establishes none of this on better than expert opinion, with ten of eleven graded recommendations at Strength B / Quality of Evidence III, an English-only Medline search closing in 2008, no anaphylaxis rate for cyst puncture, no interobserver data for the staging on which everything depends, and a watch-and-wait strategy the authors say still awaits formal evaluation.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watch-and-wait approach for inactive cysts is stated to 'deserve formal evaluation' - the authors flag it as unvalidated while recommending it</w:t>
            </w:r>
          </w:p>
          <w:p>
            <w:pPr>
              <w:pStyle w:val="ListParagraph"/>
              <w:numPr>
                <w:ilvl w:val="0"/>
                <w:numId w:val="2"/>
              </w:numPr>
              <w:spacing w:after="45"/>
            </w:pPr>
            <w:r>
              <w:rPr>
                <w:sz w:val="15"/>
                <w:szCs w:val="15"/>
              </w:rPr>
              <w:t xml:space="preserve">Long-term evaluation of non-PAIR percutaneous techniques is stated to be unavailable, so caution is advised before drawing reliable conclusions</w:t>
            </w:r>
          </w:p>
          <w:p>
            <w:pPr>
              <w:pStyle w:val="ListParagraph"/>
              <w:numPr>
                <w:ilvl w:val="0"/>
                <w:numId w:val="2"/>
              </w:numPr>
              <w:spacing w:after="45"/>
            </w:pPr>
            <w:r>
              <w:rPr>
                <w:sz w:val="15"/>
                <w:szCs w:val="15"/>
              </w:rPr>
              <w:t xml:space="preserve">For extrahepatic sites the authors state the strength of recommendation is even lower than for hepatic CE because of lower disease frequency</w:t>
            </w:r>
          </w:p>
          <w:p>
            <w:pPr>
              <w:pStyle w:val="ListParagraph"/>
              <w:numPr>
                <w:ilvl w:val="0"/>
                <w:numId w:val="2"/>
              </w:numPr>
              <w:spacing w:after="45"/>
            </w:pPr>
            <w:r>
              <w:rPr>
                <w:sz w:val="15"/>
                <w:szCs w:val="15"/>
              </w:rPr>
              <w:t xml:space="preserve">Calcification is stated to be unreliable as an indicator of non-viability: more frequent in CE4 and CE5 but observable at all stages</w:t>
            </w:r>
          </w:p>
          <w:p>
            <w:pPr>
              <w:pStyle w:val="ListParagraph"/>
              <w:numPr>
                <w:ilvl w:val="0"/>
                <w:numId w:val="2"/>
              </w:numPr>
              <w:spacing w:after="45"/>
            </w:pPr>
            <w:r>
              <w:rPr>
                <w:sz w:val="15"/>
                <w:szCs w:val="15"/>
              </w:rPr>
              <w:t xml:space="preserve">The consensus closes by stating it will help promote studies that provide the missing evidence to be included in the next update - an acknowledgement that the evidence base is currently absent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Essentially the entire document is Strength of recommendation B, Quality of Evidence III - the IDSA category for expert opinion and descriptive studies. Of the eleven graded recommendations in the text, ten are B/III and one is C/II. There is not a single A-grade or Level I recommendation in a consensus that governs whether a cystic liver lesion is punctured, operated on or ignored</w:t>
            </w:r>
          </w:p>
          <w:p>
            <w:pPr>
              <w:pStyle w:val="ListParagraph"/>
              <w:numPr>
                <w:ilvl w:val="0"/>
                <w:numId w:val="2"/>
              </w:numPr>
              <w:spacing w:after="45"/>
            </w:pPr>
            <w:r>
              <w:rPr>
                <w:sz w:val="15"/>
                <w:szCs w:val="15"/>
              </w:rPr>
              <w:t xml:space="preserve">The search was Medline only, English only, 1980-2008, supplemented by the authors' personal files. Cystic echinococcosis is concentrated in regions whose literature is substantially Turkish, Chinese, Spanish, Arabic and Russian; restricting to English in a WHO document on a disease of the Mediterranean, Central Asia and South America systematically excludes the primary evidence. No search string, no yield count, no screening process and no eligibility criteria are reported, and final consensus was reached by email with no voting, no Delphi rounds and no agreement thresholds</w:t>
            </w:r>
          </w:p>
          <w:p>
            <w:pPr>
              <w:pStyle w:val="ListParagraph"/>
              <w:numPr>
                <w:ilvl w:val="0"/>
                <w:numId w:val="2"/>
              </w:numPr>
              <w:spacing w:after="45"/>
            </w:pPr>
            <w:r>
              <w:rPr>
                <w:sz w:val="15"/>
                <w:szCs w:val="15"/>
              </w:rPr>
              <w:t xml:space="preserve">The safety claim for PAIR rests on 'data from more than 4000 PAIRs over a period of more than 20 years' with no citation, no denominator for any specific complication, and no anaphylaxis rate. Anaphylaxis is the catastrophic outcome that makes this document matter for an incidental cystic lesion, and the consensus never states its frequency - it only requires that resuscitation equipment be available</w:t>
            </w:r>
          </w:p>
          <w:p>
            <w:pPr>
              <w:pStyle w:val="ListParagraph"/>
              <w:numPr>
                <w:ilvl w:val="0"/>
                <w:numId w:val="2"/>
              </w:numPr>
              <w:spacing w:after="45"/>
            </w:pPr>
            <w:r>
              <w:rPr>
                <w:sz w:val="15"/>
                <w:szCs w:val="15"/>
              </w:rPr>
              <w:t xml:space="preserve">The assertion that complications are 'no more frequent after PAIR than after surgery' is sourced to a single 1999 comparison. A non-randomised comparison between a minimally invasive and an open procedure, with selection by cyst stage, cannot support an equivalence claim, and none is quantified</w:t>
            </w:r>
          </w:p>
          <w:p>
            <w:pPr>
              <w:pStyle w:val="ListParagraph"/>
              <w:numPr>
                <w:ilvl w:val="0"/>
                <w:numId w:val="2"/>
              </w:numPr>
              <w:spacing w:after="45"/>
            </w:pPr>
            <w:r>
              <w:rPr>
                <w:sz w:val="15"/>
                <w:szCs w:val="15"/>
              </w:rPr>
              <w:t xml:space="preserve">Albendazole prophylaxis is called 'mandatory' on the authority of the 2003 WHO-IWGE document and a 1988 paper - i.e. the strongest word in the document attaches to a recommendation with no trial evidence and no stated effect size</w:t>
            </w:r>
          </w:p>
          <w:p>
            <w:pPr>
              <w:pStyle w:val="ListParagraph"/>
              <w:numPr>
                <w:ilvl w:val="0"/>
                <w:numId w:val="2"/>
              </w:numPr>
              <w:spacing w:after="45"/>
            </w:pPr>
            <w:r>
              <w:rPr>
                <w:sz w:val="15"/>
                <w:szCs w:val="15"/>
              </w:rPr>
              <w:t xml:space="preserve">The watch-and-wait recommendation for CE4/CE5 is supported by one cited long-term ultrasound follow-up study and the honest admission that the approach 'deserves formal evaluation'. A pathway that adopts watch-and-wait for an inactive-appearing cyst is adopting a strategy the consensus itself describes as unevaluated</w:t>
            </w:r>
          </w:p>
          <w:p>
            <w:pPr>
              <w:pStyle w:val="ListParagraph"/>
              <w:numPr>
                <w:ilvl w:val="0"/>
                <w:numId w:val="2"/>
              </w:numPr>
              <w:spacing w:after="45"/>
            </w:pPr>
            <w:r>
              <w:rPr>
                <w:sz w:val="15"/>
                <w:szCs w:val="15"/>
              </w:rPr>
              <w:t xml:space="preserve">Stage assignment - the hinge on which every management decision turns - is a subjective ultrasound judgement, and no interobserver agreement is reported anywhere for the CE1-CE5 classification. The document simultaneously notes that calcification, the most objective feature, is unreliable for viability and can occur at any stage, and that MR spectroscopy and other adjuncts are unsettled</w:t>
            </w:r>
          </w:p>
          <w:p>
            <w:pPr>
              <w:pStyle w:val="ListParagraph"/>
              <w:numPr>
                <w:ilvl w:val="0"/>
                <w:numId w:val="2"/>
              </w:numPr>
              <w:spacing w:after="45"/>
            </w:pPr>
            <w:r>
              <w:rPr>
                <w:sz w:val="15"/>
                <w:szCs w:val="15"/>
              </w:rPr>
              <w:t xml:space="preserve">The CL (unclassified) category is where a genuinely incidental cyst of unknown nature sits, and the document's only guidance is that CL cysts should not be treated until the parasitic nature is proven - without specifying how to prove it in a seronegative patient, given that serology requires two tests of opposite performance characteristics whose sensitivities and specificities are nowhere stated</w:t>
            </w:r>
          </w:p>
          <w:p>
            <w:pPr>
              <w:pStyle w:val="ListParagraph"/>
              <w:numPr>
                <w:ilvl w:val="0"/>
                <w:numId w:val="2"/>
              </w:numPr>
              <w:spacing w:after="45"/>
            </w:pPr>
            <w:r>
              <w:rPr>
                <w:sz w:val="15"/>
                <w:szCs w:val="15"/>
              </w:rPr>
              <w:t xml:space="preserve">No sensitivity or specificity is given for any diagnostic test in the document: not ultrasound staging, not the high-sensitivity or high-specificity serological assays it requires in sequence, not CT, not MRI. A pathway cannot compute a post-test probability from this consensus</w:t>
            </w:r>
          </w:p>
          <w:p>
            <w:pPr>
              <w:pStyle w:val="ListParagraph"/>
              <w:numPr>
                <w:ilvl w:val="0"/>
                <w:numId w:val="2"/>
              </w:numPr>
              <w:spacing w:after="45"/>
            </w:pPr>
            <w:r>
              <w:rPr>
                <w:sz w:val="15"/>
                <w:szCs w:val="15"/>
              </w:rPr>
              <w:t xml:space="preserve">The size thresholds (5 cm for PAIR plus benzimidazole versus benzimidazole alone; 10 cm for continuous catheter drainage; 10 mL daily output to stop drainage) are single numbers with no derivation and single supporting citations</w:t>
            </w:r>
          </w:p>
          <w:p>
            <w:pPr>
              <w:pStyle w:val="ListParagraph"/>
              <w:numPr>
                <w:ilvl w:val="0"/>
                <w:numId w:val="2"/>
              </w:numPr>
              <w:spacing w:after="45"/>
            </w:pPr>
            <w:r>
              <w:rPr>
                <w:sz w:val="15"/>
                <w:szCs w:val="15"/>
              </w:rPr>
              <w:t xml:space="preserve">The alveolar echinococcosis 2 cm radical-resection margin is stated as a definition of radicality with no supporting outcome data and no comparison to narrower margins</w:t>
            </w:r>
          </w:p>
          <w:p>
            <w:pPr>
              <w:pStyle w:val="ListParagraph"/>
              <w:numPr>
                <w:ilvl w:val="0"/>
                <w:numId w:val="2"/>
              </w:numPr>
              <w:spacing w:after="45"/>
            </w:pPr>
            <w:r>
              <w:rPr>
                <w:sz w:val="15"/>
                <w:szCs w:val="15"/>
              </w:rPr>
              <w:t xml:space="preserve">Published 2010 and described as the first major revision in over a decade; no expiry date, no update interval and no living-guideline mechanism, so a 2026 pathway may be relying on a search that stopped in 2008</w:t>
            </w:r>
          </w:p>
          <w:p>
            <w:pPr>
              <w:pStyle w:val="ListParagraph"/>
              <w:numPr>
                <w:ilvl w:val="0"/>
                <w:numId w:val="2"/>
              </w:numPr>
              <w:spacing w:after="45"/>
            </w:pPr>
            <w:r>
              <w:rPr>
                <w:sz w:val="15"/>
                <w:szCs w:val="15"/>
              </w:rPr>
              <w:t xml:space="preserve">No conflict-of-interest declarations for the writing panel appear in the available text, and the panel is self-selected by WHO nomination with no reported external review</w:t>
            </w:r>
          </w:p>
        </w:tc>
      </w:tr>
    </w:tbl>
    <w:p>
      <w:pPr>
        <w:spacing w:after="0" w:line="276"/>
      </w:pPr>
      <w:r>
        <w:rPr>
          <w:color w:val="5A6069"/>
          <w:sz w:val="14"/>
          <w:szCs w:val="14"/>
        </w:rPr>
        <w:t xml:space="preserve">Funding: Not stated; developed under the aegis of the WHO Informal Working Group on Echinococcosis, meeting hosted in Urumqi and chaired by the WHO-IWGE coordinator and a WHO representative</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AASLD HCC 2023 — Singal AG, Llovet JM, Yarchoan M, et al. AASLD Practice Guidance on prevention, diagnosis, and treatment of hepatocellular carcinoma. Hepatology. 2023;78(6):1922-1965. doi:10.1097/HEP.0000000000000466. PMID:37199193.</w:t>
      </w:r>
    </w:p>
    <w:p>
      <w:pPr>
        <w:pStyle w:val="ListParagraph"/>
        <w:numPr>
          <w:ilvl w:val="0"/>
          <w:numId w:val="2"/>
        </w:numPr>
        <w:spacing w:after="60" w:line="268"/>
      </w:pPr>
      <w:r>
        <w:rPr>
          <w:color w:val="15181F"/>
          <w:sz w:val="16"/>
          <w:szCs w:val="16"/>
        </w:rPr>
        <w:t xml:space="preserve">ACR AC Liver Lesion–Initial Characterization — American College of Radiology. ACR Appropriateness Criteria: Liver Lesion-Initial Characterization. New 2020; topic 130, checked 6 October 2026. The published paper is Chernyak 2020, PMID 33153555, and is read in full on</w:t>
      </w:r>
    </w:p>
    <w:p>
      <w:pPr>
        <w:pStyle w:val="ListParagraph"/>
        <w:numPr>
          <w:ilvl w:val="0"/>
          <w:numId w:val="2"/>
        </w:numPr>
        <w:spacing w:after="60" w:line="268"/>
      </w:pPr>
      <w:r>
        <w:rPr>
          <w:color w:val="15181F"/>
          <w:sz w:val="16"/>
          <w:szCs w:val="16"/>
        </w:rPr>
        <w:t xml:space="preserve">ACR CEUS LI-RADS v2017 — American College of Radiology. CEUS LI-RADS v2017 Core. Liver Imaging Reporting and Data System. The current diagnostic version for contrast-enhanced ultrasound, checked 6 October 2026. It is a version behind CT/MRI LI-R</w:t>
      </w:r>
    </w:p>
    <w:p>
      <w:pPr>
        <w:pStyle w:val="ListParagraph"/>
        <w:numPr>
          <w:ilvl w:val="0"/>
          <w:numId w:val="2"/>
        </w:numPr>
        <w:spacing w:after="60" w:line="268"/>
      </w:pPr>
      <w:r>
        <w:rPr>
          <w:color w:val="15181F"/>
          <w:sz w:val="16"/>
          <w:szCs w:val="16"/>
        </w:rPr>
        <w:t xml:space="preserve">ACR CT/MRI LI-RADS v2018 Core — American College of Radiology. CT/MRI LI-RADS v2018 Core. Liver Imaging Reporting and Data System. ACR, released 13 August 2018; checked 6 October 2026 and still the current diagnostic version for CT and MRI. The 2024 up</w:t>
      </w:r>
    </w:p>
    <w:p>
      <w:pPr>
        <w:pStyle w:val="ListParagraph"/>
        <w:numPr>
          <w:ilvl w:val="0"/>
          <w:numId w:val="2"/>
        </w:numPr>
        <w:spacing w:after="60" w:line="268"/>
      </w:pPr>
      <w:r>
        <w:rPr>
          <w:color w:val="15181F"/>
          <w:sz w:val="16"/>
          <w:szCs w:val="16"/>
        </w:rPr>
        <w:t xml:space="preserve">ACR Incidental Findings programme — American College of Radiology. Incidental Findings Committee publications and topics under development, checked 6 October 2026. No revision of the 2017 liver white paper has been published; fatty liver disease, parathyro</w:t>
      </w:r>
    </w:p>
    <w:p>
      <w:pPr>
        <w:pStyle w:val="ListParagraph"/>
        <w:numPr>
          <w:ilvl w:val="0"/>
          <w:numId w:val="2"/>
        </w:numPr>
        <w:spacing w:after="60" w:line="268"/>
      </w:pPr>
      <w:r>
        <w:rPr>
          <w:color w:val="15181F"/>
          <w:sz w:val="16"/>
          <w:szCs w:val="16"/>
        </w:rPr>
        <w:t xml:space="preserve">DEGUM CEUS trial — Strobel D, Seitz K, Blank W, et al. Contrast-enhanced ultrasound for the characterization of focal liver lesions — diagnostic accuracy in clinical practice (DEGUM multicenter trial). Ultraschall Med. 2008;29(5):499-505. </w:t>
      </w:r>
    </w:p>
    <w:p>
      <w:pPr>
        <w:pStyle w:val="ListParagraph"/>
        <w:numPr>
          <w:ilvl w:val="0"/>
          <w:numId w:val="2"/>
        </w:numPr>
        <w:spacing w:after="60" w:line="268"/>
      </w:pPr>
      <w:r>
        <w:rPr>
          <w:color w:val="15181F"/>
          <w:sz w:val="16"/>
          <w:szCs w:val="16"/>
        </w:rPr>
        <w:t xml:space="preserve">DEGUM HCC vs iCCA — Wildner D, Bernatik T, Greis C, Seitz K, Neurath MF, Strobel D. CEUS in hepatocellular carcinoma and intrahepatic cholangiocellular carcinoma in 320 patients — early or late washout matters: a subanalysis of the DEGUM mu</w:t>
      </w:r>
    </w:p>
    <w:p>
      <w:pPr>
        <w:pStyle w:val="ListParagraph"/>
        <w:numPr>
          <w:ilvl w:val="0"/>
          <w:numId w:val="2"/>
        </w:numPr>
        <w:spacing w:after="60" w:line="268"/>
      </w:pPr>
      <w:r>
        <w:rPr>
          <w:color w:val="15181F"/>
          <w:sz w:val="16"/>
          <w:szCs w:val="16"/>
        </w:rPr>
        <w:t xml:space="preserve">DEGUM unclear lesions — Bernatik T, Seitz K, Blank W, Schuler A, Dietrich CF, Strobel D. Unclear focal liver lesions in contrast-enhanced ultrasonography — lessons to be learned from the DEGUM multicenter study for the characterization of liver</w:t>
      </w:r>
    </w:p>
    <w:p>
      <w:pPr>
        <w:pStyle w:val="ListParagraph"/>
        <w:numPr>
          <w:ilvl w:val="0"/>
          <w:numId w:val="2"/>
        </w:numPr>
        <w:spacing w:after="60" w:line="268"/>
      </w:pPr>
      <w:r>
        <w:rPr>
          <w:color w:val="15181F"/>
          <w:sz w:val="16"/>
          <w:szCs w:val="16"/>
        </w:rPr>
        <w:t xml:space="preserve">EASL HCC 2025 — European Association for the Study of the Liver. EASL Clinical Practice Guidelines on the management of hepatocellular carcinoma. J Hepatol. 2025;82(2):315-374. doi:10.1016/j.jhep.2024.08.028. PMID:39690085.</w:t>
      </w:r>
    </w:p>
    <w:p>
      <w:pPr>
        <w:pStyle w:val="ListParagraph"/>
        <w:numPr>
          <w:ilvl w:val="0"/>
          <w:numId w:val="2"/>
        </w:numPr>
        <w:spacing w:after="60" w:line="268"/>
      </w:pPr>
      <w:r>
        <w:rPr>
          <w:color w:val="15181F"/>
          <w:sz w:val="16"/>
          <w:szCs w:val="16"/>
        </w:rPr>
        <w:t xml:space="preserve">Fatty liver patterns — Hamer OW, Aguirre DA, Casola G, Lavine JE, Woenckhaus M, Sirlin CB. Fatty liver: imaging patterns and pitfalls. Radiographics. 2006;26(6):1637-53. doi:10.1148/rg.266065004. PMID:17102041.</w:t>
      </w:r>
    </w:p>
    <w:p>
      <w:pPr>
        <w:pStyle w:val="ListParagraph"/>
        <w:numPr>
          <w:ilvl w:val="0"/>
          <w:numId w:val="2"/>
        </w:numPr>
        <w:spacing w:after="60" w:line="268"/>
      </w:pPr>
      <w:r>
        <w:rPr>
          <w:color w:val="15181F"/>
          <w:sz w:val="16"/>
          <w:szCs w:val="16"/>
        </w:rPr>
        <w:t xml:space="preserve">Heimbach 2011 — Heimbach JK, Sanchez W, Rosen CB, Gores GJ. Trans-peritoneal fine needle aspiration biopsy of hilar cholangiocarcinoma is associated with disease dissemination. HPB (Oxford). 2011;13(5):356-60. doi:10.1111/j.1477-2574.20</w:t>
      </w:r>
    </w:p>
    <w:p>
      <w:pPr>
        <w:pStyle w:val="ListParagraph"/>
        <w:numPr>
          <w:ilvl w:val="0"/>
          <w:numId w:val="2"/>
        </w:numPr>
        <w:spacing w:after="60" w:line="268"/>
      </w:pPr>
      <w:r>
        <w:rPr>
          <w:color w:val="15181F"/>
          <w:sz w:val="16"/>
          <w:szCs w:val="16"/>
        </w:rPr>
        <w:t xml:space="preserve">UTHealth/MH Master Workup and Staging CPG — UTHealth Houston / Memorial Hermann Transplant Oncology. Master Workup and Staging CPG. Programme companion clinical practice guideline, draft for institutional review; companion disease-specific protocol set reviewed 20</w:t>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Incidental liver lesions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0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Incidental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Incidental system roadmap v0.2</dc:title>
  <dc:subject>Incidental liver mass</dc:subject>
  <dc:creator>Memorial Hermann / UTHealth Houston tumour roadmap programme</dc:creator>
  <dc:description>Draft under development. Not ratified clinical policy.</dc:description>
  <cp:lastModifiedBy>Un-named</cp:lastModifiedBy>
  <cp:revision>1</cp:revision>
  <dcterms:created xsi:type="dcterms:W3CDTF">2026-10-10T04:29:18.099Z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