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Neuroendocrine liver metastases Standard / Guidance-Aligned Transplant Protocol V16</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transplant pathway. Questions for consensus: NELM_4_Standard_Transplant_Questions.docx. Decision discussion for all settings: NELM_7_Decision_Discussion.docx. Web page: https://drliuhao.github.io/mh-liver-pathways/transplant/nelm/</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1YWM5NTk2NS04ZWI5LTVmODMtOGU2Ni03Y2JkNGE1NjAyO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GUIDANCE-ALIGNED NON-STANDARD EXCEPTION. NET liver metastases are not a standardized diagnosis in OPTN Policy 9.5. The December 2025 guidance supports NLRB consideration for selected unresectable GEP-NET liver metastases after resection of the primary and extrahepatic disease, at least 6 months without recurrence, G1/G2 well-differentiated biology, and negative metastatic workup within 3 months. Recommended score: MMaT-3.</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1YWM5NTk2NS04ZWI5LTVmODMtOGU2Ni03Y2JkNGE1NjAyO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1YWM5NTk2NS04ZWI5LTVmODMtOGU2Ni03Y2JkNGE1NjAyO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Extrahepatic solid-organ metastasis is a permanent exclusion from the guidance-supported exception pathway; eradicated nodal disease may be reconsidered only after at least 6 months without recurrence.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PROTOCOL A: STANDARD LIVER TRANSPLANT PROTOCOL FOR NEUROENDOCRINE TUMOR LIVER METASTASES (NETLM)</w:t>
      </w:r>
    </w:p>
    <w:p>
      <w:pPr>
        <w:pStyle w:val="Heading3"/>
        <w:keepNext/>
        <w:widowControl/>
      </w:pPr>
      <w:r>
        <w:t xml:space="preserve">1. Purpose and Scope</w:t>
      </w:r>
    </w:p>
    <w:p>
      <w:pPr>
        <w:pStyle w:val="Normal"/>
        <w:widowControl/>
        <w:numPr>
          <w:ilvl w:val="0"/>
          <w:numId w:val="3"/>
        </w:numPr>
      </w:pPr>
      <w:r>
        <w:t xml:space="preserve">Guideline comparison: selective transplant-centre and NLRB pathways exist for carefully staged well-differentiated NET liver metastases, but the locally reviewed NCCN Neuroendocrine and Adrenal Tumors v1.2026 (21 April 2026) categorizes LT as investigational rather than routine care. This protocol therefore describes a selective, multidisciplinary pathway and must not imply unanimous guideline endorsement. Record the anticipated incremental benefit over available nontransplant therapy and the local governance decision. The investigational wording is a retained discussion statement on MS-34, whose update is marked as in progress; it is not newly revised transplant evidence.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This protocol establishes the standard criteria and management pathway for liver transplantation (LT) in patients with unresectable neuroendocrine tumor liver metastases (NETLM) at UTHealth Houston. It is based on the Milan-NET criteria, UNOS/OPTN guidance, and AASLD/AST Practice Guidelines.</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WFjOTU5NjUtOGViOS01ZjgzLThlNjYtN2NiZDRhNTYwMjliIiB0aW1lc3RhbXA9IjE3OTMyODM2ODY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VhYzk1OTY1LThlYjktNWY4My04ZTY2LTdjYmQ0YTU2MDI5YiIgdGltZXN0YW1wPSIxNzkzMjgzNj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Heading3"/>
        <w:keepNext/>
        <w:widowControl/>
      </w:pPr>
      <w:r>
        <w:t xml:space="preserve">2. Patient Selection Criteria (Milan-NET Criteria)</w:t>
      </w:r>
    </w:p>
    <w:p>
      <w:pPr>
        <w:pStyle w:val="Normal"/>
        <w:widowControl/>
      </w:pPr>
      <w:r>
        <w:t xml:space="preserve">All of the following must be met:</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VhYzk1OTY1LThlYjktNWY4My04ZTY2LTdjYmQ0YTU2MDI5YiIgdGltZXN0YW1wPSIxNzkzMjgzNj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c8L1JlY051bT48RGlzcGxheVRleHQ+W1YxNi03XTwvRGlzcGxheVRleHQ+PHJlY29yZD48cmVjLW51bWJlcj43PC9yZWMtbnVtYmVyPjxmb3JlaWduLWtleXM+PGtleSBhcHA9IkVOIiBkYi1pZD0iNWFjOTU5NjUtOGViOS01ZjgzLThlNjYtN2NiZDRhNTYwMjliIiB0aW1lc3RhbXA9IjE3OTMyODM2ODYiPjc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pPr>
      <w:r>
        <w:t xml:space="preserve">A. Tumor Biology</w:t>
      </w:r>
    </w:p>
    <w:p>
      <w:pPr>
        <w:pStyle w:val="Normal"/>
        <w:widowControl/>
        <w:numPr>
          <w:ilvl w:val="0"/>
          <w:numId w:val="3"/>
        </w:numPr>
      </w:pPr>
      <w:r>
        <w:t xml:space="preserve">Well-differentiated G1 or G2 NET, mitotic rate &lt;20 per 10 HPF and Ki-67 index &lt;20%, based on the primary tumor or liver metastasis</w:t>
      </w:r>
    </w:p>
    <w:p>
      <w:pPr>
        <w:pStyle w:val="Normal"/>
        <w:widowControl/>
        <w:numPr>
          <w:ilvl w:val="0"/>
          <w:numId w:val="3"/>
        </w:numPr>
      </w:pPr>
      <w:r>
        <w:t xml:space="preserve">Poorly differentiated neuroendocrine carcinoma and G3 disease are outside the guidance-supported exception pathway</w:t>
      </w:r>
    </w:p>
    <w:p>
      <w:pPr>
        <w:pStyle w:val="Normal"/>
        <w:widowControl/>
      </w:pPr>
      <w:r>
        <w:t xml:space="preserve">B. Primary Tumor</w:t>
      </w:r>
    </w:p>
    <w:p>
      <w:pPr>
        <w:pStyle w:val="Normal"/>
        <w:widowControl/>
        <w:numPr>
          <w:ilvl w:val="0"/>
          <w:numId w:val="3"/>
        </w:numPr>
      </w:pPr>
      <w:r>
        <w:t xml:space="preserve">Gastro-entero-pancreatic primary with portal-system drainage; lower rectal, esophageal, pulmonary, adrenal, and thyroid primaries are excluded by the December 2025 guidance</w:t>
      </w:r>
    </w:p>
    <w:p>
      <w:pPr>
        <w:pStyle w:val="Normal"/>
        <w:widowControl/>
        <w:numPr>
          <w:ilvl w:val="0"/>
          <w:numId w:val="3"/>
        </w:numPr>
      </w:pPr>
      <w:r>
        <w:t xml:space="preserve">Primary malignancy and any extrahepatic disease must be resected with no recurrence for at least 6 months before the MELD exception request; synchronous primary resection is not guidance-concordant</w:t>
      </w:r>
    </w:p>
    <w:p>
      <w:pPr>
        <w:pStyle w:val="Normal"/>
        <w:widowControl/>
      </w:pPr>
      <w:r>
        <w:t xml:space="preserve">C. Disease Burden and Stability</w:t>
      </w:r>
    </w:p>
    <w:p>
      <w:pPr>
        <w:pStyle w:val="Normal"/>
        <w:widowControl/>
        <w:numPr>
          <w:ilvl w:val="0"/>
          <w:numId w:val="3"/>
        </w:numPr>
      </w:pPr>
      <w:r>
        <w:t xml:space="preserve">Proposed local initial-cohort reference: hepatic tumor involvement &lt;50% of total liver volume, measured with a recorded method and uncertainty. Exactly 50% requires explicit OPEN committee adjudication; no national numerical burden requirement is implied.</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g8L1JlY051bT48RGlzcGxheVRleHQ+W1YxNi04XTwvRGlzcGxheVRleHQ+PHJlY29yZD48cmVjLW51bWJlcj44PC9yZWMtbnVtYmVyPjxmb3JlaWduLWtleXM+PGtleSBhcHA9IkVOIiBkYi1pZD0iNWFjOTU5NjUtOGViOS01ZjgzLThlNjYtN2NiZDRhNTYwMjliIiB0aW1lc3RhbXA9IjE3OTMyODM2ODYiPjg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numPr>
          <w:ilvl w:val="0"/>
          <w:numId w:val="3"/>
        </w:numPr>
      </w:pPr>
      <w:r>
        <w:t xml:space="preserve">Evidence provenance: &lt;50% is the Milan-derived preoperative selection reference used in the comparative series, not a validated biological cliff. Exactly 50% and any broader burden policy require an explicit institutional decision and current guidance check. Postoperative occult burden &gt;50% or G3 pathology does not validate knowingly selecting such patients.</w:t>
      </w:r>
      <w:r>
        <w:t xml:space="preserve"> </w:t>
      </w:r>
      <w:r>
        <w:t xml:space="preserve"> </w:t>
      </w:r>
      <w:r>
        <w:fldChar w:fldCharType="begin"/>
      </w:r>
      <w:r>
        <w:instrText xml:space="preserve"> ADDIN EN.CITE </w:instrText>
      </w:r>
      <w:r>
        <w:fldChar w:fldCharType="begin">
          <w:fldData>PEVuZE5vdGU+PENpdGU+PEF1dGhvcj5NYXNwZXJvPC9BdXRob3I+PFllYXI+MjAyMjwvWWVhcj48UmVjTnVtPjk8L1JlY051bT48RGlzcGxheVRleHQ+W1YxNi05XTwvRGlzcGxheVRleHQ+PHJlY29yZD48cmVjLW51bWJlcj45PC9yZWMtbnVtYmVyPjxmb3JlaWduLWtleXM+PGtleSBhcHA9IkVOIiBkYi1pZD0iNWFjOTU5NjUtOGViOS01ZjgzLThlNjYtN2NiZDRhNTYwMjliIiB0aW1lc3RhbXA9IjE3OTMyODM2ODYiPjk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MDwvUmVjTnVtPjxEaXNwbGF5VGV4dD5bVjE2LTEwXTwvRGlzcGxheVRleHQ+PHJlY29yZD48cmVjLW51bWJlcj4xMDwvcmVjLW51bWJlcj48Zm9yZWlnbi1rZXlzPjxrZXkgYXBwPSJFTiIgZGItaWQ9IjVhYzk1OTY1LThlYjktNWY4My04ZTY2LTdjYmQ0YTU2MDI5YiIgdGltZXN0YW1wPSIxNzkzMjgzNjg2Ij4xMD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Liver metastases must be unresectable after documented expert HPB review of complete clearance with acceptable functional remnant, including parenchyma-sparing, staged and ablation-assisted options. Record distribution and reasons for unresectability. If bilobar disease is retained as an institutional restriction, label it explicitly; do not assert that it is verbatim current NLRB language without checking the controlling document.</w:t>
      </w:r>
      <w:r>
        <w:t xml:space="preserve"> </w:t>
      </w:r>
      <w:r>
        <w:t xml:space="preserve"> </w:t>
      </w:r>
      <w:r>
        <w:fldChar w:fldCharType="begin"/>
      </w:r>
      <w:r>
        <w:instrText xml:space="preserve"> ADDIN EN.CITE </w:instrText>
      </w:r>
      <w:r>
        <w:fldChar w:fldCharType="begin">
          <w:fldData>PEVuZE5vdGU+PENpdGU+PEF1dGhvcj5Fc2htdW1pbm92PC9BdXRob3I+PFllYXI+MjAyMzwvWWVhcj48UmVjTnVtPjc8L1JlY051bT48RGlzcGxheVRleHQ+W1YxNi03XTwvRGlzcGxheVRleHQ+PHJlY29yZD48cmVjLW51bWJlcj43PC9yZWMtbnVtYmVyPjxmb3JlaWduLWtleXM+PGtleSBhcHA9IkVOIiBkYi1pZD0iNWFjOTU5NjUtOGViOS01ZjgzLThlNjYtN2NiZDRhNTYwMjliIiB0aW1lc3RhbXA9IjE3OTMyODM2ODYiPjc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MjwvWWVhcj48UmVjTnVtPjk8L1JlY051bT48RGlzcGxheVRleHQ+W1YxNi05XTwvRGlzcGxheVRleHQ+PHJlY29yZD48cmVjLW51bWJlcj45PC9yZWMtbnVtYmVyPjxmb3JlaWduLWtleXM+PGtleSBhcHA9IkVOIiBkYi1pZD0iNWFjOTU5NjUtOGViOS01ZjgzLThlNjYtN2NiZDRhNTYwMjliIiB0aW1lc3RhbXA9IjE3OTMyODM2ODYiPjk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Grade evidence boundary: use the verified guidance/local gate consistently as Ki-67 &lt;20%; exactly 20%, rounding or discordant differentiation requires expert pathology and allocation adjudication. Upper-G2 evidence is less secure than low-grade Milan-selected outcomes, but no universal Ki-67 &lt;10% exclusion is validated. Record the highest representative confirmed grade, differentiation, mitoses per 2 mm2 and the guidance-required mitotic expression. CLARINET's Ki-67 &lt;10% population and historical NEC survivors do not define LT eligibility.</w:t>
      </w:r>
      <w:r>
        <w:t xml:space="preserve"> </w:t>
      </w:r>
      <w:r>
        <w:t xml:space="preserve"> </w:t>
      </w:r>
      <w:r>
        <w:fldChar w:fldCharType="begin"/>
      </w:r>
      <w:r>
        <w:instrText xml:space="preserve"> ADDIN EN.CITE </w:instrText>
      </w:r>
      <w:r>
        <w:fldChar w:fldCharType="begin">
          <w:fldData>PEVuZE5vdGU+PENpdGU+PEF1dGhvcj5Fc2htdW1pbm92PC9BdXRob3I+PFllYXI+MjAyMzwvWWVhcj48UmVjTnVtPjc8L1JlY051bT48RGlzcGxheVRleHQ+W1YxNi03XTwvRGlzcGxheVRleHQ+PHJlY29yZD48cmVjLW51bWJlcj43PC9yZWMtbnVtYmVyPjxmb3JlaWduLWtleXM+PGtleSBhcHA9IkVOIiBkYi1pZD0iNWFjOTU5NjUtOGViOS01ZjgzLThlNjYtN2NiZDRhNTYwMjliIiB0aW1lc3RhbXA9IjE3OTMyODM2ODYiPjc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MDwvUmVjTnVtPjxEaXNwbGF5VGV4dD5bVjE2LTEwXTwvRGlzcGxheVRleHQ+PHJlY29yZD48cmVjLW51bWJlcj4xMDwvcmVjLW51bWJlcj48Zm9yZWlnbi1rZXlzPjxrZXkgYXBwPSJFTiIgZGItaWQ9IjVhYzk1OTY1LThlYjktNWY4My04ZTY2LTdjYmQ0YTU2MDI5YiIgdGltZXN0YW1wPSIxNzkzMjgzNjg2Ij4xMD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TYxNTg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numPr>
          <w:ilvl w:val="0"/>
          <w:numId w:val="3"/>
        </w:numPr>
      </w:pPr>
      <w:r>
        <w:t xml:space="preserve">No active extrahepatic disease. A history of resected regional/perihilar nodal disease is not an automatic exemption: require documented complete clearance, the current guidance-specified recurrence-free observation interval and multidisciplinary confirmation. Do not use historical consensus wording to waive current allocation exclusions for extrahepatic solid-organ metastasis.</w:t>
      </w:r>
      <w:r>
        <w:t xml:space="preserve"> </w:t>
      </w:r>
      <w:r>
        <w:t xml:space="preserve"> </w:t>
      </w:r>
      <w:r>
        <w:fldChar w:fldCharType="begin"/>
      </w:r>
      <w:r>
        <w:instrText xml:space="preserve"> ADDIN EN.CITE </w:instrText>
      </w:r>
      <w:r>
        <w:fldChar w:fldCharType="begin">
          <w:fldData>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Documented stable disease or response to therapy for ≥6 months prior to listing</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VhYzk1OTY1LThlYjktNWY4My04ZTY2LTdjYmQ0YTU2MDI5YiIgdGltZXN0YW1wPSIxNzkzMjgzNj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pPr>
      <w:r>
        <w:t xml:space="preserve">D. Patient Factors</w:t>
      </w:r>
    </w:p>
    <w:p>
      <w:pPr>
        <w:pStyle w:val="Normal"/>
        <w:widowControl/>
        <w:numPr>
          <w:ilvl w:val="0"/>
          <w:numId w:val="3"/>
        </w:numPr>
      </w:pPr>
      <w:r>
        <w:t xml:space="preserve">Age is a physiological-reserve and incremental-benefit review variable, not a proven absolute biological cutoff. The Milan criteria used in the 2022 comparative series specify age &lt;60 as a relative criterion; do not describe that version as age ≤55. Locally, age ≥60 triggers documented enhanced fitness, competing-risk and benefit assessment. This proposed local review trigger is distinct from OPTN allocation requirements.</w:t>
      </w:r>
      <w:r>
        <w:t xml:space="preserve"> </w:t>
      </w:r>
      <w:r>
        <w:t xml:space="preserve"> </w:t>
      </w:r>
      <w:r>
        <w:fldChar w:fldCharType="begin"/>
      </w:r>
      <w:r>
        <w:instrText xml:space="preserve"> ADDIN EN.CITE </w:instrText>
      </w:r>
      <w:r>
        <w:fldChar w:fldCharType="begin">
          <w:fldData>PEVuZE5vdGU+PENpdGU+PEF1dGhvcj5NYXNwZXJvPC9BdXRob3I+PFllYXI+MjAyMjwvWWVhcj48UmVjTnVtPjk8L1JlY051bT48RGlzcGxheVRleHQ+W1YxNi05XTwvRGlzcGxheVRleHQ+PHJlY29yZD48cmVjLW51bWJlcj45PC9yZWMtbnVtYmVyPjxmb3JlaWduLWtleXM+PGtleSBhcHA9IkVOIiBkYi1pZD0iNWFjOTU5NjUtOGViOS01ZjgzLThlNjYtN2NiZDRhNTYwMjliIiB0aW1lc3RhbXA9IjE3OTMyODM2ODYiPjk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MDwvUmVjTnVtPjxEaXNwbGF5VGV4dD5bVjE2LTEwXTwvRGlzcGxheVRleHQ+PHJlY29yZD48cmVjLW51bWJlcj4xMDwvcmVjLW51bWJlcj48Zm9yZWlnbi1rZXlzPjxrZXkgYXBwPSJFTiIgZGItaWQ9IjVhYzk1OTY1LThlYjktNWY4My04ZTY2LTdjYmQ0YTU2MDI5YiIgdGltZXN0YW1wPSIxNzkzMjgzNjg2Ij4xMD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ECOG performance status 0–1</w:t>
      </w:r>
    </w:p>
    <w:p>
      <w:pPr>
        <w:pStyle w:val="Normal"/>
        <w:widowControl/>
        <w:numPr>
          <w:ilvl w:val="0"/>
          <w:numId w:val="3"/>
        </w:numPr>
      </w:pPr>
      <w:r>
        <w:t xml:space="preserve">Evaluate carcinoid heart disease with echocardiography and specialist cardiology review. Severe or haemodynamically important uncontrolled disease is a HOLD pending cardiac optimization and an acceptable operative-risk plan. Valve intervention should follow cardiac indications and multidisciplinary sequencing; mild/asymptomatic CHD is not by itself a universal mandate for pre-LT valve replacement.</w:t>
      </w:r>
      <w:r>
        <w:t xml:space="preserve"> </w:t>
      </w:r>
      <w:r>
        <w:t xml:space="preserve"> </w:t>
      </w:r>
      <w:r>
        <w:fldChar w:fldCharType="begin"/>
      </w:r>
      <w:r>
        <w:instrText xml:space="preserve"> ADDIN EN.CITE </w:instrText>
      </w:r>
      <w:r>
        <w:fldChar w:fldCharType="begin">
          <w:fldData>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Standard liver transplant medical and psychosocial evaluation per AASLD/AST guidelines</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WFjOTU5NjUtOGViOS01ZjgzLThlNjYtN2NiZDRhNTYwMjliIiB0aW1lc3RhbXA9IjE3OTMyODM2ODY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Heading3"/>
        <w:keepNext/>
        <w:widowControl/>
      </w:pPr>
      <w:r>
        <w:t xml:space="preserve">3. Pre-Transplant Workup</w:t>
      </w:r>
    </w:p>
    <w:p>
      <w:pPr>
        <w:pStyle w:val="Normal"/>
        <w:widowControl/>
      </w:pPr>
      <w:r>
        <w:t xml:space="preserve">A. Oncologic Evaluation</w:t>
      </w:r>
    </w:p>
    <w:p>
      <w:pPr>
        <w:pStyle w:val="Normal"/>
        <w:widowControl/>
        <w:numPr>
          <w:ilvl w:val="0"/>
          <w:numId w:val="3"/>
        </w:numPr>
      </w:pPr>
      <w:r>
        <w:t xml:space="preserve">Histopathologic confirmation: biopsy with Ki-67 index, mitotic rate, synaptophysin, chromogranin A, and grading per WHO 2022 classification</w:t>
      </w:r>
    </w:p>
    <w:p>
      <w:pPr>
        <w:pStyle w:val="Normal"/>
        <w:widowControl/>
        <w:numPr>
          <w:ilvl w:val="0"/>
          <w:numId w:val="3"/>
        </w:numPr>
      </w:pPr>
      <w:r>
        <w:t xml:space="preserve">SSTR-PET/CT (⁶⁸Ga-DOTATATE or ⁶⁴Cu-DOTATATE) within 3 months of listing</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VhYzk1OTY1LThlYjktNWY4My04ZTY2LTdjYmQ0YTU2MDI5YiIgdGltZXN0YW1wPSIxNzkzMjgzNj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Consider FDG-PET/CT when G2/higher grade, rapid progression, discordant lesions or other findings suggest aggressive/SSTR-negative biology; document how the result will affect biopsy or selection. Baseline SSTR imaging plus high-quality anatomic staging remain essential. A blanket FDG-PET within 3 months for every candidate is a proposed local requirement only, not an NCCN recommendation verified in the available source.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Multiphasic CT or MRI of the abdomen/pelvis (arterial and portal venous phases)</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Chest CT with or without contrast</w:t>
      </w:r>
    </w:p>
    <w:p>
      <w:pPr>
        <w:pStyle w:val="Normal"/>
        <w:widowControl/>
        <w:numPr>
          <w:ilvl w:val="0"/>
          <w:numId w:val="3"/>
        </w:numPr>
      </w:pPr>
      <w:r>
        <w:t xml:space="preserve">Select biochemical testing by primary site, functional syndrome and interpretability. Obtain urine or plasma 5-HIAA for symptomatic ileal/jejunal/cecal NET and consider it in asymptomatic metastatic midgut disease, with preparation/confounder review. Obtain other hormones when indicated; do not require a uniform chromogranin A/NSE/pancreatic-polypeptide panel. Biomarkers supplement imaging and pathology.</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Echocardiogram to evaluate for carcinoid heart disease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B. Transplant Evaluation</w:t>
      </w:r>
    </w:p>
    <w:p>
      <w:pPr>
        <w:pStyle w:val="Normal"/>
        <w:widowControl/>
        <w:numPr>
          <w:ilvl w:val="0"/>
          <w:numId w:val="3"/>
        </w:numPr>
      </w:pPr>
      <w:r>
        <w:t xml:space="preserve">Standard liver transplant evaluation per institutional protocol and AASLD/AST guidelines</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WFjOTU5NjUtOGViOS01ZjgzLThlNjYtN2NiZDRhNTYwMjliIiB0aW1lc3RhbXA9IjE3OTMyODM2ODY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current calculated MELD score calculation</w:t>
      </w:r>
    </w:p>
    <w:p>
      <w:pPr>
        <w:pStyle w:val="Normal"/>
        <w:widowControl/>
        <w:numPr>
          <w:ilvl w:val="0"/>
          <w:numId w:val="3"/>
        </w:numPr>
      </w:pPr>
      <w:r>
        <w:t xml:space="preserve">Obtain cardiopulmonary assessment, including echocardiographic right-heart and valve evaluation with specialist cardiology review. Order right-heart catheterization for a specific hemodynamic indication identified by the transplant/cardiology team; carcinoid syndrome alone is not a universal indication for invasive catheterization.</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WFjOTU5NjUtOGViOS01ZjgzLThlNjYtN2NiZDRhNTYwMjliIiB0aW1lc3RhbXA9IjE3OTMyODM2ODY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Psychosocial evaluation</w:t>
      </w:r>
    </w:p>
    <w:p>
      <w:pPr>
        <w:pStyle w:val="Normal"/>
        <w:widowControl/>
        <w:numPr>
          <w:ilvl w:val="0"/>
          <w:numId w:val="3"/>
        </w:numPr>
      </w:pPr>
      <w:r>
        <w:t xml:space="preserve">Infectious disease screening</w:t>
      </w:r>
    </w:p>
    <w:p>
      <w:pPr>
        <w:pStyle w:val="Heading3"/>
        <w:keepNext/>
        <w:widowControl/>
      </w:pPr>
      <w:r>
        <w:t xml:space="preserve">4. Observation Period and Waitlist Management</w:t>
      </w:r>
    </w:p>
    <w:p>
      <w:pPr>
        <w:pStyle w:val="Normal"/>
        <w:widowControl/>
        <w:numPr>
          <w:ilvl w:val="0"/>
          <w:numId w:val="3"/>
        </w:numPr>
      </w:pPr>
      <w:r>
        <w:t xml:space="preserve">Submit a non-standard NLRB exception request. For candidates meeting the December 2025 guidance criteria, the recommended score is MMaT-3; approval is not automatic.</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1YWM5NTk2NS04ZWI5LTVmODMtOGU2Ni03Y2JkNGE1NjAyO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Minimum 6-month observation period with documented stable disease or response prior to activation on the waitlist</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VhYzk1OTY1LThlYjktNWY4My04ZTY2LTdjYmQ0YTU2MDI5YiIgdGltZXN0YW1wPSIxNzkzMjgzNj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c8L1JlY051bT48RGlzcGxheVRleHQ+W1YxNi03XTwvRGlzcGxheVRleHQ+PHJlY29yZD48cmVjLW51bWJlcj43PC9yZWMtbnVtYmVyPjxmb3JlaWduLWtleXM+PGtleSBhcHA9IkVOIiBkYi1pZD0iNWFjOTU5NjUtOGViOS01ZjgzLThlNjYtN2NiZDRhNTYwMjliIiB0aW1lc3RhbXA9IjE3OTMyODM2ODYiPjc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Imaging surveillance every 3 months during the observation period:</w:t>
      </w:r>
    </w:p>
    <w:p>
      <w:pPr>
        <w:pStyle w:val="Normal"/>
        <w:widowControl/>
        <w:numPr>
          <w:ilvl w:val="0"/>
          <w:numId w:val="3"/>
        </w:numPr>
      </w:pPr>
      <w:r>
        <w:t xml:space="preserve">Multiphasic abdomen/pelvis CT or MRI</w:t>
      </w:r>
    </w:p>
    <w:p>
      <w:pPr>
        <w:pStyle w:val="Normal"/>
        <w:widowControl/>
        <w:numPr>
          <w:ilvl w:val="0"/>
          <w:numId w:val="3"/>
        </w:numPr>
      </w:pPr>
      <w:r>
        <w:t xml:space="preserve">Use FDG-PET/CT when grade, growth, suspected dedifferentiation, SSTR discordance or indeterminate lesions make the result clinically useful. There is no evidence-based universal six- or twelve-month FDG-PET schedule; any local calendar requires explicit agreement.</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g8L1JlY051bT48RGlzcGxheVRleHQ+W1YxNi04XTwvRGlzcGxheVRleHQ+PHJlY29yZD48cmVjLW51bWJlcj44PC9yZWMtbnVtYmVyPjxmb3JlaWduLWtleXM+PGtleSBhcHA9IkVOIiBkYi1pZD0iNWFjOTU5NjUtOGViOS01ZjgzLThlNjYtN2NiZDRhNTYwMjliIiB0aW1lc3RhbXA9IjE3OTMyODM2ODYiPjg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numPr>
          <w:ilvl w:val="0"/>
          <w:numId w:val="3"/>
        </w:numPr>
      </w:pPr>
      <w:r>
        <w:t xml:space="preserve">Repeat SSTR-PET/CT for a new clinical or imaging concern, equivocal conventional staging, relevant treatment planning, or the current allocation submission requirement. Do not impose an automatic six-month PET calendar on every waiting patient. Document the indication and whether conventional staging is adequate.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Somatostatin analog therapy (octreotide LAR 20–30 mg IM or lanreotide 120 mg SC every 4 weeks) should be continued during the waitlist period for functional tumors and may be continued for antiproliferative effect in nonfunctional tumors</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Liver-directed therapies (TAE, TACE, TARE, or ablation) may be used as bridging therapy during the waitlist period</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Waitlist HOLD, reassessment and delisting:</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Development of extrahepatic solid organ metastases → permanent delisting</w:t>
      </w:r>
    </w:p>
    <w:p>
      <w:pPr>
        <w:pStyle w:val="Normal"/>
        <w:widowControl/>
        <w:numPr>
          <w:ilvl w:val="0"/>
          <w:numId w:val="3"/>
        </w:numPr>
      </w:pPr>
      <w:r>
        <w:t xml:space="preserve">New suspicious lymph-node uptake or imaging findings: HOLD progression to LT and resolve with expert imaging/pathology review, including sampling when indicated. PET uptake alone does not prove nodal metastasis. Confirmed active extrahepatic disease is outside this pathway.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Confirmed hepatic progression requires HOLD and multidisciplinary reassessment of disease control, tumor burden, alternatives and expected transplant benefit. A burden above 50% is outside the proposed local standard initial cohort, not an independently established national delisting rule. Exactly 50% and any expansion require an explicit OPEN committee decision; do not reactivate solely because a numerical burden threshold is met.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g8L1JlY051bT48RGlzcGxheVRleHQ+W1YxNi04XTwvRGlzcGxheVRleHQ+PHJlY29yZD48cmVjLW51bWJlcj44PC9yZWMtbnVtYmVyPjxmb3JlaWduLWtleXM+PGtleSBhcHA9IkVOIiBkYi1pZD0iNWFjOTU5NjUtOGViOS01ZjgzLThlNjYtN2NiZDRhNTYwMjliIiB0aW1lc3RhbXA9IjE3OTMyODM2ODYiPjg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Tumor grade upgrade to G3 or poorly differentiated histology on repeat biopsy</w:t>
      </w:r>
    </w:p>
    <w:p>
      <w:pPr>
        <w:pStyle w:val="Heading3"/>
        <w:keepNext/>
        <w:widowControl/>
      </w:pPr>
      <w:r>
        <w:t xml:space="preserve">5. Surgical Procedure</w:t>
      </w:r>
    </w:p>
    <w:p>
      <w:pPr>
        <w:pStyle w:val="Normal"/>
        <w:widowControl/>
        <w:numPr>
          <w:ilvl w:val="0"/>
          <w:numId w:val="3"/>
        </w:numPr>
      </w:pPr>
      <w:r>
        <w:t xml:space="preserve">Deceased-donor whole-liver transplantation is the default. Living-donor transplantation may be considered in selected candidates after independent donor evaluation and donor-advocate review. The supporting evidence is limited to observational reports; conference-abstract sources are not sufficient support for donor-source selection.</w:t>
      </w:r>
      <w:r>
        <w:t xml:space="preserve"> </w:t>
      </w:r>
      <w:r>
        <w:t xml:space="preserve"> </w:t>
      </w:r>
      <w:r>
        <w:fldChar w:fldCharType="begin"/>
      </w:r>
      <w:r>
        <w:instrText xml:space="preserve"> ADDIN EN.CITE </w:instrText>
      </w:r>
      <w:r>
        <w:fldChar w:fldCharType="begin">
          <w:fldData>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Cholecystectomy of the native liver at the time of hepatectomy</w:t>
      </w:r>
    </w:p>
    <w:p>
      <w:pPr>
        <w:pStyle w:val="Normal"/>
        <w:widowControl/>
        <w:numPr>
          <w:ilvl w:val="0"/>
          <w:numId w:val="3"/>
        </w:numPr>
      </w:pPr>
      <w:r>
        <w:t xml:space="preserve">Intraoperative octreotide infusion should be available for management of carcinoid crisis; prophylactic octreotide is likely ineffective in preventing intraoperative carcinoid crisis, and its use should not delay vasopressor and fluid administration</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Explant pathology: complete assessment of tumor burden, grade, margins, and vascular invasion</w:t>
      </w:r>
    </w:p>
    <w:p>
      <w:pPr>
        <w:pStyle w:val="Heading3"/>
        <w:keepNext/>
        <w:widowControl/>
      </w:pPr>
      <w:r>
        <w:t xml:space="preserve">6. Post-Transplant Immunosuppression</w:t>
      </w:r>
    </w:p>
    <w:p>
      <w:pPr>
        <w:pStyle w:val="Normal"/>
        <w:widowControl/>
      </w:pPr>
      <w:r>
        <w:t xml:space="preserve">Induction:</w:t>
      </w:r>
    </w:p>
    <w:p>
      <w:pPr>
        <w:pStyle w:val="Normal"/>
        <w:widowControl/>
        <w:numPr>
          <w:ilvl w:val="0"/>
          <w:numId w:val="3"/>
        </w:numPr>
      </w:pPr>
      <w:r>
        <w:t xml:space="preserve">Methylprednisolone 500 mg IV intraoperatively, taper per institutional protocol</w:t>
      </w:r>
    </w:p>
    <w:p>
      <w:pPr>
        <w:pStyle w:val="Normal"/>
        <w:widowControl/>
        <w:numPr>
          <w:ilvl w:val="0"/>
          <w:numId w:val="3"/>
        </w:numPr>
      </w:pPr>
      <w:r>
        <w:t xml:space="preserve">Induction should follow the current institutional LT protocol. The AASLD/AST guideline supports considering basiliximab to permit delayed CNI initiation in selected patients requiring renal recovery; no NET-specific preferred induction agent is established. Induction choice is not anticancer prophylaxis.</w:t>
      </w:r>
      <w:r>
        <w:t xml:space="preserve"> </w:t>
      </w:r>
      <w:r>
        <w:t xml:space="preserve"> </w:t>
      </w:r>
      <w:r>
        <w:fldChar w:fldCharType="begin"/>
      </w:r>
      <w:r>
        <w:instrText xml:space="preserve"> ADDIN EN.CITE </w:instrText>
      </w:r>
      <w:r>
        <w:fldChar w:fldCharType="begin">
          <w:fldData>PEVuZE5vdGU+PENpdGU+PEF1dGhvcj5UZTwvQXV0aG9yPjxZZWFyPjIwMjU8L1llYXI+PFJlY051bT4xMzwvUmVjTnVtPjxEaXNwbGF5VGV4dD5bVjE2LTEzXTwvRGlzcGxheVRleHQ+PHJlY29yZD48cmVjLW51bWJlcj4xMzwvcmVjLW51bWJlcj48Zm9yZWlnbi1rZXlzPjxrZXkgYXBwPSJFTiIgZGItaWQ9IjVhYzk1OTY1LThlYjktNWY4My04ZTY2LTdjYmQ0YTU2MDI5YiIgdGltZXN0YW1wPSIxNzkzMjgzNjg2Ij4x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pPr>
      <w:r>
        <w:t xml:space="preserve">Maintenance (individualized institutional regimen; no NET-specific recurrence-prevention standard):</w:t>
      </w:r>
    </w:p>
    <w:p>
      <w:pPr>
        <w:pStyle w:val="Normal"/>
        <w:widowControl/>
        <w:numPr>
          <w:ilvl w:val="0"/>
          <w:numId w:val="3"/>
        </w:numPr>
      </w:pPr>
      <w:r>
        <w:t xml:space="preserve">Tacrolimus-based maintenance with targets set by the transplant team and transplant pharmacy according to rejection risk, renal function and infection status — not by this document. No NET-specific induction or maintenance regimen has been shown to reduce post-transplant recurrence. Regimens from trials in other tumour types are not transferable and must not be cited as NET-specific evidence.</w:t>
      </w:r>
    </w:p>
    <w:p>
      <w:pPr>
        <w:pStyle w:val="Normal"/>
        <w:widowControl/>
        <w:numPr>
          <w:ilvl w:val="0"/>
          <w:numId w:val="3"/>
        </w:numPr>
      </w:pPr>
      <w:r>
        <w:t xml:space="preserve">Everolimus may be considered after adequate wound healing and vascular stability, not before postoperative day 30 under the US adult-LT label, with timing and targets set by transplant pharmacy and the LT team.</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YtMTRdPC9EaXNwbGF5VGV4dD48cmVjb3JkPjxyZWMtbnVtYmVyPjE0PC9yZWMtbnVtYmVyPjxmb3JlaWduLWtleXM+PGtleSBhcHA9IkVOIiBkYi1pZD0iNWFjOTU5NjUtOGViOS01ZjgzLThlNjYtN2NiZDRhNTYwMjliIiB0aW1lc3RhbXA9IjE3OTMyODM2ODYiPjE0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TY8L1JlY051bT48RGlzcGxheVRleHQ+W1YxNi0xNl08L0Rpc3BsYXlUZXh0PjxyZWNvcmQ+PHJlYy1udW1iZXI+MTY8L3JlYy1udW1iZXI+PGZvcmVpZ24ta2V5cz48a2V5IGFwcD0iRU4iIGRiLWlkPSI1YWM5NTk2NS04ZWI5LTVmODMtOGU2Ni03Y2JkNGE1NjAyOWIiIHRpbWVzdGFtcD0iMTc5MzI4MzY4NiI+MTY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p>
    <w:p>
      <w:pPr>
        <w:pStyle w:val="Normal"/>
        <w:widowControl/>
        <w:numPr>
          <w:ilvl w:val="0"/>
          <w:numId w:val="3"/>
        </w:numPr>
      </w:pPr>
      <w:r>
        <w:t xml:space="preserve">Tacrolimus, adjunctive mycophenolate, mTOR conversion and steroid taper doses/timing are set by the current institutional LT protocol and transplant pharmacy. No NET-specific recurrence benefit or PRRT-compatible trough target is established. Do not carry TransMet-derived drug targets into this NET protocol as validated NET evidence.</w:t>
      </w:r>
      <w:r>
        <w:t xml:space="preserve"> </w:t>
      </w:r>
      <w:r>
        <w:t xml:space="preserve"> </w:t>
      </w:r>
      <w:r>
        <w:fldChar w:fldCharType="begin"/>
      </w:r>
      <w:r>
        <w:instrText xml:space="preserve"> ADDIN EN.CITE </w:instrText>
      </w:r>
      <w:r>
        <w:fldChar w:fldCharType="begin">
          <w:fldData>PEVuZE5vdGU+PENpdGU+PEF1dGhvcj5Fc2htdW1pbm92PC9BdXRob3I+PFllYXI+MjAyMzwvWWVhcj48UmVjTnVtPjc8L1JlY051bT48RGlzcGxheVRleHQ+W1YxNi03XTwvRGlzcGxheVRleHQ+PHJlY29yZD48cmVjLW51bWJlcj43PC9yZWMtbnVtYmVyPjxmb3JlaWduLWtleXM+PGtleSBhcHA9IkVOIiBkYi1pZD0iNWFjOTU5NjUtOGViOS01ZjgzLThlNjYtN2NiZDRhNTYwMjliIiB0aW1lc3RhbXA9IjE3OTMyODM2ODYiPjc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NWFjOTU5NjUtOGViOS01ZjgzLThlNjYtN2NiZDRhNTYwMjli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pPr>
      <w:r>
        <w:t xml:space="preserve">Rationale: mTOR inhibitors can reduce calcineurin-inhibitor exposure and have antitumor activity in other settings, but a NET-specific post-LT recurrence benefit is unproven. Use should not be described as mandatory oncologic prophylaxis.</w:t>
      </w:r>
      <w:r>
        <w:t xml:space="preserve"> </w:t>
      </w:r>
      <w:r>
        <w:t xml:space="preserve"> </w:t>
      </w:r>
      <w:r>
        <w:fldChar w:fldCharType="begin"/>
      </w:r>
      <w:r>
        <w:instrText xml:space="preserve"> ADDIN EN.CITE </w:instrText>
      </w:r>
      <w:r>
        <w:fldChar w:fldCharType="begin">
          <w:fldData>PEVuZE5vdGU+PENpdGU+PEF1dGhvcj5UZTwvQXV0aG9yPjxZZWFyPjIwMjU8L1llYXI+PFJlY051bT4xMzwvUmVjTnVtPjxEaXNwbGF5VGV4dD5bVjE2LTEzXTwvRGlzcGxheVRleHQ+PHJlY29yZD48cmVjLW51bWJlcj4xMzwvcmVjLW51bWJlcj48Zm9yZWlnbi1rZXlzPjxrZXkgYXBwPSJFTiIgZGItaWQ9IjVhYzk1OTY1LThlYjktNWY4My04ZTY2LTdjYmQ0YTU2MDI5YiIgdGltZXN0YW1wPSIxNzkzMjgzNjg2Ij4x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fldChar w:fldCharType="begin"/>
      </w:r>
      <w:r>
        <w:instrText xml:space="preserve"> ADDIN EN.CITE </w:instrText>
      </w:r>
      <w:r>
        <w:fldChar w:fldCharType="begin">
          <w:fldData>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Heading3"/>
        <w:keepNext/>
        <w:widowControl/>
      </w:pPr>
      <w:r>
        <w:t xml:space="preserve">7. Post-Transplant Surveillance</w:t>
      </w:r>
    </w:p>
    <w:p>
      <w:pPr>
        <w:pStyle w:val="Normal"/>
        <w:widowControl/>
      </w:pPr>
      <w:r>
        <w:t xml:space="preserve">Oncologic Surveillance:</w:t>
      </w:r>
    </w:p>
    <w:p>
      <w:pPr>
        <w:pStyle w:val="Normal"/>
        <w:widowControl/>
        <w:numPr>
          <w:ilvl w:val="0"/>
          <w:numId w:val="3"/>
        </w:numPr>
      </w:pPr>
      <w:r>
        <w:t xml:space="preserve">Months 1–24: Every 3 months</w:t>
      </w:r>
    </w:p>
    <w:p>
      <w:pPr>
        <w:pStyle w:val="Normal"/>
        <w:widowControl/>
        <w:numPr>
          <w:ilvl w:val="0"/>
          <w:numId w:val="3"/>
        </w:numPr>
      </w:pPr>
      <w:r>
        <w:t xml:space="preserve">H&amp;P with symptom assessment</w:t>
      </w:r>
    </w:p>
    <w:p>
      <w:pPr>
        <w:pStyle w:val="Normal"/>
        <w:widowControl/>
        <w:numPr>
          <w:ilvl w:val="0"/>
          <w:numId w:val="3"/>
        </w:numPr>
      </w:pPr>
      <w:r>
        <w:t xml:space="preserve">Multiphasic abdomen/pelvis CT or MRI</w:t>
      </w:r>
    </w:p>
    <w:p>
      <w:pPr>
        <w:pStyle w:val="Normal"/>
        <w:widowControl/>
        <w:numPr>
          <w:ilvl w:val="0"/>
          <w:numId w:val="3"/>
        </w:numPr>
      </w:pPr>
      <w:r>
        <w:t xml:space="preserve">Chest CT as clinically indicated</w:t>
      </w:r>
    </w:p>
    <w:p>
      <w:pPr>
        <w:pStyle w:val="Normal"/>
        <w:widowControl/>
        <w:numPr>
          <w:ilvl w:val="0"/>
          <w:numId w:val="3"/>
        </w:numPr>
      </w:pPr>
      <w:r>
        <w:t xml:space="preserve">Biochemical markers (chromogranin A, 5-HIAA as indicated)</w:t>
      </w:r>
    </w:p>
    <w:p>
      <w:pPr>
        <w:pStyle w:val="Normal"/>
        <w:widowControl/>
        <w:numPr>
          <w:ilvl w:val="0"/>
          <w:numId w:val="3"/>
        </w:numPr>
      </w:pPr>
      <w:r>
        <w:t xml:space="preserve">Use anatomic CT/MRI-based surveillance with clinical and functional-marker review under an explicitly agreed post-LT schedule. Obtain SSTR-PET/CT when recurrence is suspected, anatomic findings are equivocal or receptor-directed treatment planning requires it; consider selected additional indications through the NET MDT. Routine SSTR-PET at 6 months, 12 months and annually for 5 years is not established by the reviewed NCCN source or by a NET-LT trial. Any intensified local calendar must be labelled as institutional consensus with its rationale.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NWFjOTU5NjUtOGViOS01ZjgzLThlNjYtN2NiZDRhNTYwMjli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Use FDG-PET/CT when grade, growth, suspected dedifferentiation, SSTR discordance or indeterminate lesions make the result clinically useful. There is no evidence-based universal six- or twelve-month FDG-PET schedule; any local calendar requires explicit agreement.</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g8L1JlY051bT48RGlzcGxheVRleHQ+W1YxNi04XTwvRGlzcGxheVRleHQ+PHJlY29yZD48cmVjLW51bWJlcj44PC9yZWMtbnVtYmVyPjxmb3JlaWduLWtleXM+PGtleSBhcHA9IkVOIiBkYi1pZD0iNWFjOTU5NjUtOGViOS01ZjgzLThlNjYtN2NiZDRhNTYwMjliIiB0aW1lc3RhbXA9IjE3OTMyODM2ODYiPjg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numPr>
          <w:ilvl w:val="0"/>
          <w:numId w:val="3"/>
        </w:numPr>
      </w:pPr>
      <w:r>
        <w:t xml:space="preserve">Years 3–5: Every 6 months with the same imaging and laboratory panel</w:t>
      </w:r>
    </w:p>
    <w:p>
      <w:pPr>
        <w:pStyle w:val="Normal"/>
        <w:widowControl/>
        <w:numPr>
          <w:ilvl w:val="0"/>
          <w:numId w:val="3"/>
        </w:numPr>
      </w:pPr>
      <w:r>
        <w:t xml:space="preserve">Continue individualized long-term oncologic surveillance beyond year 10 when clinically appropriate; there is no validated safe stopping point. The Milan-selected comparative series documented recurrence as late as 204 months after LT. Imaging modality/frequency should be agreed by NET oncology and transplantation according to disease biology, prior recurrence and competing risks.</w:t>
      </w:r>
      <w:r>
        <w:t xml:space="preserve"> </w:t>
      </w:r>
      <w:r>
        <w:t xml:space="preserve"> </w:t>
      </w:r>
      <w:r>
        <w:fldChar w:fldCharType="begin"/>
      </w:r>
      <w:r>
        <w:instrText xml:space="preserve"> ADDIN EN.CITE </w:instrText>
      </w:r>
      <w:r>
        <w:fldChar w:fldCharType="begin">
          <w:fldData>PEVuZE5vdGU+PENpdGU+PEF1dGhvcj5NYXNwZXJvPC9BdXRob3I+PFllYXI+MjAyMjwvWWVhcj48UmVjTnVtPjk8L1JlY051bT48RGlzcGxheVRleHQ+W1YxNi05XTwvRGlzcGxheVRleHQ+PHJlY29yZD48cmVjLW51bWJlcj45PC9yZWMtbnVtYmVyPjxmb3JlaWduLWtleXM+PGtleSBhcHA9IkVOIiBkYi1pZD0iNWFjOTU5NjUtOGViOS01ZjgzLThlNjYtN2NiZDRhNTYwMjliIiB0aW1lc3RhbXA9IjE3OTMyODM2ODYiPjk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p>
    <w:p>
      <w:pPr>
        <w:pStyle w:val="Normal"/>
        <w:widowControl/>
      </w:pPr>
      <w:r>
        <w:t xml:space="preserve">Transplant Surveillance:</w:t>
      </w:r>
    </w:p>
    <w:p>
      <w:pPr>
        <w:pStyle w:val="Normal"/>
        <w:widowControl/>
        <w:numPr>
          <w:ilvl w:val="0"/>
          <w:numId w:val="3"/>
        </w:numPr>
      </w:pPr>
      <w:r>
        <w:t xml:space="preserve">Standard post-LT monitoring per institutional protocol (liver function tests, tacrolimus/everolimus levels, renal function, metabolic panel)</w:t>
      </w:r>
    </w:p>
    <w:p>
      <w:pPr>
        <w:pStyle w:val="Normal"/>
        <w:widowControl/>
        <w:numPr>
          <w:ilvl w:val="0"/>
          <w:numId w:val="3"/>
        </w:numPr>
      </w:pPr>
      <w:r>
        <w:t xml:space="preserve">Protocol liver biopsies as clinically indicated</w:t>
      </w:r>
    </w:p>
    <w:p>
      <w:pPr>
        <w:pStyle w:val="Heading3"/>
        <w:keepNext/>
        <w:widowControl/>
      </w:pPr>
      <w:r>
        <w:t xml:space="preserve">8. Management of Post-Transplant Recurrence</w:t>
      </w:r>
    </w:p>
    <w:p>
      <w:pPr>
        <w:pStyle w:val="Normal"/>
        <w:widowControl/>
      </w:pPr>
      <w:r>
        <w:t xml:space="preserve">Post-LT NET recurrence can be late and requires long-term follow-up. In Sposito et al., 32 patients with recurrence and at least 6 months of postrecurrence follow-up had median recurrence latency 82.9 months and 5-/10-year survival from recurrence of 76.3%/45.5%. These estimates describe the whole selected recurrent cohort, not only the late/resectable subgroup, and are not an expected individual outcome or a causal treatment effect. Selection, late-recurrence biology and resectability materially confound the results.</w:t>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NWFjOTU5NjUtOGViOS01ZjgzLThlNjYtN2NiZDRhNTYwMjli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Multidisciplinary tumor board review for all recurrences</w:t>
      </w:r>
    </w:p>
    <w:p>
      <w:pPr>
        <w:pStyle w:val="Normal"/>
        <w:widowControl/>
        <w:numPr>
          <w:ilvl w:val="0"/>
          <w:numId w:val="3"/>
        </w:numPr>
      </w:pPr>
      <w:r>
        <w:t xml:space="preserve">Consider complete salvage resection for technically resectable, biologically favourable recurrence after multidisciplinary review. In the 32-patient Sposito cohort, surgery versus other treatment was associated with 5-year postrecurrence survival of 90.9% versus 64.5% (P=.062), an unadjusted, non-significant overall comparison. Recurrence within 24 months is a risk marker, not a validated absolute prohibition on salvage.</w:t>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NWFjOTU5NjUtOGViOS01ZjgzLThlNjYtN2NiZDRhNTYwMjli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Peptide receptor radionuclide therapy after liver transplantation is INVESTIGATIONAL. It may be considered only for somatostatin-receptor-positive recurrence, case by case, after joint transplant-oncology, nuclear-medicine, hepatology and transplant-pharmacy review, and preferably within a prospective protocol or registry.</w:t>
      </w:r>
    </w:p>
    <w:p>
      <w:pPr>
        <w:pStyle w:val="Normal"/>
        <w:widowControl/>
        <w:numPr>
          <w:ilvl w:val="0"/>
          <w:numId w:val="3"/>
        </w:numPr>
      </w:pPr>
      <w:r>
        <w:t xml:space="preserve">Before investigational PRRT: confirm SSTR-positive disease; document marrow reserve, renal function, prior radionuclide/chemotherapy exposure and allograft status; agree serial monitoring and withholding/stopping rules with nuclear medicine, transplant and pharmacy teams. Consent must include potentially prolonged severe cytopenia, renal toxicity and uncertain graft safety. In the seven-case post-LT series, one patient had persistent platelets &lt;10×10^9/L after one cycle despite supportive treatment; no controlled survival benefit or validated transplant-specific dose/monitoring schedule was established.</w:t>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NWFjOTU5NjUtOGViOS01ZjgzLThlNjYtN2NiZDRhNTYwMjli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No immunosuppression regimen or trough target is established for concurrent use with PRRT. Continue the recipient's institutional regimen with individualized adjustment; do not specify a trough window for concurrent use. Response figures from small uncontrolled case series must not be used for counselling or entered as an expected outcome.</w:t>
      </w:r>
    </w:p>
    <w:p>
      <w:pPr>
        <w:pStyle w:val="Normal"/>
        <w:widowControl/>
        <w:numPr>
          <w:ilvl w:val="0"/>
          <w:numId w:val="3"/>
        </w:numPr>
      </w:pPr>
      <w:r>
        <w:t xml:space="preserve">Somatostatin analogs for functional tumors and/or antiproliferative effect</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Liver-directed therapies for graft-confined recurrence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For post-LT recurrence, systemic options require individualized NET-oncology/transplant-pharmacy review of biology, prior therapy, organ function and interactions. Trials such as CABINET demonstrate activity in nontransplant progressive NET but do not establish post-LT safety, efficacy or dosing. Neither cabozantinib nor another drug is a mandatory pre-LT failure requirement.</w:t>
      </w:r>
      <w:r>
        <w:t xml:space="preserve"> </w:t>
      </w:r>
      <w:r>
        <w:t xml:space="preserve"> </w:t>
      </w:r>
      <w:r>
        <w:fldChar w:fldCharType="begin"/>
      </w:r>
      <w:r>
        <w:instrText xml:space="preserve"> ADDIN EN.CITE </w:instrText>
      </w:r>
      <w:r>
        <w:fldChar w:fldCharType="begin">
          <w:fldData>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1Ni9ORUpNb2EyNDAzOTkx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TYxNTg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TY8L1JlY051bT48RGlzcGxheVRleHQ+W1YxNi0xNl08L0Rpc3BsYXlUZXh0PjxyZWNvcmQ+PHJlYy1udW1iZXI+MTY8L3JlYy1udW1iZXI+PGZvcmVpZ24ta2V5cz48a2V5IGFwcD0iRU4iIGRiLWlkPSI1YWM5NTk2NS04ZWI5LTVmODMtOGU2Ni03Y2JkNGE1NjAyOWIiIHRpbWVzdGFtcD0iMTc5MzI4MzY4NiI+MTY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t xml:space="preserve"> </w:t>
      </w:r>
      <w:r>
        <w:t xml:space="preserve"> </w:t>
      </w:r>
      <w:r>
        <w:fldChar w:fldCharType="begin"/>
      </w:r>
      <w:r>
        <w:instrText xml:space="preserve"> ADDIN EN.CITE </w:instrText>
      </w:r>
      <w:r>
        <w:fldChar w:fldCharType="begin">
          <w:fldData>PEVuZE5vdGU+PENpdGU+PEF1dGhvcj5UZTwvQXV0aG9yPjxZZWFyPjIwMjU8L1llYXI+PFJlY051bT4xMzwvUmVjTnVtPjxEaXNwbGF5VGV4dD5bVjE2LTEzXTwvRGlzcGxheVRleHQ+PHJlY29yZD48cmVjLW51bWJlcj4xMzwvcmVjLW51bWJlcj48Zm9yZWlnbi1rZXlzPjxrZXkgYXBwPSJFTiIgZGItaWQ9IjVhYzk1OTY1LThlYjktNWY4My04ZTY2LTdjYmQ0YTU2MDI5YiIgdGltZXN0YW1wPSIxNzkzMjgzNjg2Ij4x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Heading2"/>
        <w:keepNext/>
        <w:widowControl/>
      </w:pPr>
      <w:r>
        <w:t xml:space="preserve">Full-text evidence update — interpret within the standard boundary</w:t>
      </w:r>
    </w:p>
    <w:p>
      <w:pPr>
        <w:pStyle w:val="Normal"/>
        <w:widowControl/>
      </w:pPr>
      <w:r>
        <w:t xml:space="preserve">The following new full-text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Chan 2025 · CABINET</w:t>
            </w:r>
            <w:r>
              <w:t xml:space="preserve"> </w:t>
            </w:r>
            <w:r>
              <w:t xml:space="preserve"> </w:t>
            </w:r>
            <w:r>
              <w:fldChar w:fldCharType="begin"/>
            </w:r>
            <w:r>
              <w:instrText xml:space="preserve"> ADDIN EN.CITE </w:instrText>
            </w:r>
            <w:r>
              <w:fldChar w:fldCharType="begin">
                <w:fldData>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1Ni9ORUpNb2EyNDAzOTkx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Double-blind phase III trial at 62 US sites, 298 previously treated progressive well-/moderately differentiated advanced NET patients. Two independent randomised cohorts: extrapancreatic n=203 (134 cabozantinib/69 placebo), pancreatic n=95 (64/31). Required prior relevant PRRT/targeted therapy; grades 1–3 and ECOG 0–2 eligible; poorly differentiated NEC excluded. Twenty-four G3 patients overall. This is not a liver-only transplant-eligible population.</w:t>
            </w:r>
          </w:p>
          <w:p>
            <w:pPr>
              <w:pStyle w:val="Normal"/>
              <w:widowControl/>
              <w:spacing w:before="60" w:after="20"/>
            </w:pPr>
            <w:hyperlink r:id="rId23">
              <w:r>
                <w:rPr>
                  <w:color w:val="77230C"/>
                  <w:sz w:val="20"/>
                  <w:u w:val="single"/>
                </w:rPr>
                <w:t>Primary source</w:t>
              </w:r>
            </w:hyperlink>
            <w:r>
              <w:t xml:space="preserve"> | </w:t>
            </w:r>
            <w:hyperlink r:id="rId24">
              <w:r>
                <w:rPr>
                  <w:color w:val="77230C"/>
                  <w:sz w:val="20"/>
                  <w:u w:val="single"/>
                </w:rPr>
                <w:t>Full-text PDF</w:t>
              </w:r>
            </w:hyperlink>
          </w:p>
          <w:p>
            <w:pPr>
              <w:pStyle w:val="Normal"/>
              <w:widowControl/>
              <w:spacing w:before="60" w:after="20"/>
            </w:pPr>
            <w:r>
              <w:t xml:space="preserve">Locator: Eligibility/design pp 654–656; PFS and OS pp 657–661; safety/Table 3 pp 661–663; limitations p 663.</w:t>
            </w:r>
          </w:p>
          <w:p>
            <w:pPr>
              <w:pStyle w:val="Normal"/>
              <w:widowControl/>
              <w:spacing w:before="60" w:after="20"/>
            </w:pPr>
            <w:r>
              <w:t xml:space="preserve">Review depth: All 13 pages of complete NEJM main article read, including Methods, Figures 1–2, Tables 1–3,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ITT by randomised cohort despite ten site misallocations (seven pancreatic enrolled as extra-pancreatic, three reverse); sensitivity analyses consistent. Time zero randomisation. Early stopping/unblinding August 2023; PFS median follow-up 10.2 and 13.8 months; OS follow-up 24.2 and 23.1 months. Safety populations 132/67 and 63/31. Extrapancreatic PFS 8.4 versus 3.9 months, HR 0.38 (95% CI 0.25–0.59), P&lt;0.001; pancreatic PFS 13.8 versus 4.4 months, HR 0.23 (0.12–0.42), P&lt;0.001. Confirmed partial response 7/134 (5%) versus 0/69; pancreatic 12/64 (19%) versus 0/31. No complete responses. No OS benefit established: extra-pancreatic median OS 21.9 versus 19.7 months, HR 0.86 (0.56–1.31); pancreatic 40.0 versus 31.1, HR 0.95 (0.45–2.00). Immature OS, crossover and later therapies complicate interpretation. Treatment-related grade ≥3 adverse events 82/132 (62%) versus 18/67 (27%) and 41/63 (65%) versus 7/31 (23%). Dose reduction in 66%/68% cabozantinib arms; average daily dose around 38 mg despite 60 mg starting dose. Four extra-pancreatic cabozantinib recipients had deaths at least possibly treatment-related (gastric haemorrhage, cardiac arrest, two unspecified). Hypertension, fatigue, diarrhoea and thromboembolic events important. No grade 5 event in pancreatic cohort.</w:t>
            </w:r>
          </w:p>
          <w:p>
            <w:pPr>
              <w:pStyle w:val="Normal"/>
              <w:widowControl/>
              <w:spacing w:before="60" w:after="20"/>
            </w:pPr>
            <w:r>
              <w:rPr>
                <w:b/>
              </w:rPr>
              <w:t xml:space="preserve">Do not infer: </w:t>
            </w:r>
            <w:r>
              <w:t xml:space="preserve">High-quality randomised evidence for PFS in this late-line setting, but placebo comparator, early stopping and no proven OS advantage. Small G3 subgroup does not establish LT eligibility, nor does response to cabozantinib validate transplant downstaging. Not a comparison of LT against contemporary multimodal treatment in liver-only selected NET; post-LT safety was not studied. Quality-of-life results preliminary among questionnaire completers; no proven long-term QOL superiority. Supplement access: Supplementary Appendix, trial protocol, disclosure and data-sharing files not supplied in this PDF.</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WFjOTU5NjUtOGViOS01ZjgzLThlNjYtN2NiZDRhNTYwMjliIiB0aW1lc3RhbXA9IjE3OTMyODM2ODY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Caplin 2014 · CLARINET</w:t>
            </w:r>
            <w:r>
              <w:t xml:space="preserve"> </w:t>
            </w:r>
            <w:r>
              <w:t xml:space="preserve"> </w:t>
            </w:r>
            <w:r>
              <w:fldChar w:fldCharType="begin"/>
            </w:r>
            <w:r>
              <w:instrText xml:space="preserve"> ADDIN EN.CITE </w:instrText>
            </w:r>
            <w:r>
              <w:fldChar w:fldCharType="begin">
                <w:fldData>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TYxNTg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Randomised double-blind phase III multinational trial, 204 patients: lanreotide 120 mg every 28 days n=101 versus placebo n=103 for 96 weeks. Nonfunctioning (controlled gastrinoma allowed), SSTR-positive advanced enteropancreatic NET, well/moderately differentiated with stated Ki-67 &lt;10%; most treatment-naïve (84%) and stable in prior 3–6 months (96%). Thirty-three percent had &gt;25% hepatic tumour volume. Not a refractory, liver-only LT-eligible cohort.</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Eligibility pp 225–226; endpoint/time origin p 227; outcomes pp 228–230; toxicity Table 3 p 231; limitations p 232.</w:t>
            </w:r>
          </w:p>
          <w:p>
            <w:pPr>
              <w:pStyle w:val="Normal"/>
              <w:widowControl/>
              <w:spacing w:before="60" w:after="20"/>
            </w:pPr>
            <w:r>
              <w:t xml:space="preserve">Review depth: Complete ten-page NEJM main article read, including tables,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204 ITT and safety. Primary PFS time starts at first injection; OS from randomisation. Thirty-two PFS events (30 progressions, two deaths) versus 60 (58 progressions, two deaths). Median exposure 24 months versus 15 months. Median PFS not reached versus 18.0 months; HR 0.47 (95% CI 0.30–0.73), P&lt;0.001. Kaplan–Meier 24-month PFS 65.1% versus 33.0%. No significant OS or quality-of-life difference demonstrated; follow-up/crossover constrain OS interpretation. Treatment-related diarrhoea 26/101 versus 9/103; cholelithiasis 10/101 versus 3/103; hyperglycaemia 5/101 versus 0. Serious treatment-related adverse events affected three versus one patient; withdrawal for any AE three in each arm. The discrete week-96 treatment-success measure 53/101 versus 26/103 differs from KM 24-month PFS because withdrawals were counted as failures; do not mix these estimates.</w:t>
            </w:r>
          </w:p>
          <w:p>
            <w:pPr>
              <w:pStyle w:val="Normal"/>
              <w:widowControl/>
              <w:spacing w:before="60" w:after="20"/>
            </w:pPr>
            <w:r>
              <w:rPr>
                <w:b/>
              </w:rPr>
              <w:t xml:space="preserve">Do not infer: </w:t>
            </w:r>
            <w:r>
              <w:t xml:space="preserve">Strong PFS evidence for indolent low-grade SSTR-positive disease, not validation for Ki-67 10–20%, rapidly progressive disease or NET transplantation. No direct LT comparator, curative claim, high-burden transplant threshold or mandate to fail SSA before considering LT. Hepatic-volume dichotomy &gt;25% versus ≤25% was a posthoc simplification of predefined strata; no LT-specific 25% decision cutoff follows. Supplement access: Supplementary Appendix and separate protocol/statistical analysis plan not included.</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E8L1JlY051bT48RGlzcGxheVRleHQ+W1YxNi0yMV08L0Rpc3BsYXlUZXh0PjxyZWNvcmQ+PHJlYy1udW1iZXI+MjE8L3JlYy1udW1iZXI+PGZvcmVpZ24ta2V5cz48a2V5IGFwcD0iRU4iIGRiLWlkPSI1YWM5NTk2NS04ZWI5LTVmODMtOGU2Ni03Y2JkNGE1NjAyOWIiIHRpbWVzdGFtcD0iMTc5MzI4MzY4NiI+MjE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fldChar w:fldCharType="begin"/>
            </w:r>
            <w:r>
              <w:instrText xml:space="preserve"> ADDIN EN.CITE </w:instrText>
            </w:r>
            <w:r>
              <w:fldChar w:fldCharType="begin">
                <w:fldData>PEVuZE5vdGU+PENpdGU+PEF1dGhvcj5EaU1hcnRpbmk8L0F1dGhvcj48WWVhcj4yMDE3PC9ZZWFyPjxSZWNOdW0+MjI8L1JlY051bT48RGlzcGxheVRleHQ+W1YxNi0yMl08L0Rpc3BsYXlUZXh0PjxyZWNvcmQ+PHJlYy1udW1iZXI+MjI8L3JlYy1udW1iZXI+PGZvcmVpZ24ta2V5cz48a2V5IGFwcD0iRU4iIGRiLWlkPSI1YWM5NTk2NS04ZWI5LTVmODMtOGU2Ni03Y2JkNGE1NjAyOWIiIHRpbWVzdGFtcD0iMTc5MzI4MzY4NiI+MjI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fldChar w:fldCharType="begin"/>
            </w:r>
            <w:r>
              <w:instrText xml:space="preserve"> ADDIN EN.CITE </w:instrText>
            </w:r>
            <w:r>
              <w:fldChar w:fldCharType="begin">
                <w:fldData>PEVuZE5vdGU+PENpdGU+PEF1dGhvcj5YaWFvPC9BdXRob3I+PFllYXI+MjAyNDwvWWVhcj48UmVjTnVtPjIzPC9SZWNOdW0+PERpc3BsYXlUZXh0PltWMTYtMjNdPC9EaXNwbGF5VGV4dD48cmVjb3JkPjxyZWMtbnVtYmVyPjIzPC9yZWMtbnVtYmVyPjxmb3JlaWduLWtleXM+PGtleSBhcHA9IkVOIiBkYi1pZD0iNWFjOTU5NjUtOGViOS01ZjgzLThlNjYtN2NiZDRhNTYwMjliIiB0aW1lc3RhbXA9IjE3OTMyODM2ODYiPjIz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Le Treut 2013 · ELTR</w:t>
            </w:r>
            <w:r>
              <w:t xml:space="preserve"> </w:t>
            </w:r>
            <w:r>
              <w:t xml:space="preserve"> </w:t>
            </w:r>
            <w:r>
              <w:fldChar w:fldCharType="begin"/>
            </w:r>
            <w:r>
              <w:instrText xml:space="preserve"> ADDIN EN.CITE </w:instrText>
            </w:r>
            <w:r>
              <w:fldChar w:fldCharType="begin">
                <w:fldData>PEVuZE5vdGU+PENpdGU+PEF1dGhvcj5MZSBUcmV1dDwvQXV0aG9yPjxZZWFyPjIwMTM8L1llYXI+PFJlY051bT4xMDwvUmVjTnVtPjxEaXNwbGF5VGV4dD5bVjE2LTEwXTwvRGlzcGxheVRleHQ+PHJlY29yZD48cmVjLW51bWJlcj4xMDwvcmVjLW51bWJlcj48Zm9yZWlnbi1rZXlzPjxrZXkgYXBwPSJFTiIgZGItaWQ9IjVhYzk1OTY1LThlYjktNWY4My04ZTY2LTdjYmQ0YTU2MDI5YiIgdGltZXN0YW1wPSIxNzkzMjgzNjg2Ij4xMD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Retrospective 35-centre/11-country ELTR case collection, 213 LT recipients 1982–2009 (approximately half the European NET transplants in that period). Mixed primary sites including bronchial, unknown and pancreas; 29 primary sites unknown before LT, 17 never found; 22 poorly differentiated cases. Baseline Ki-67 and treatment-response/stability data were too sparse for analysis. Eligibility differs fundamentally from current NLRB selection.</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Methods p 808; primary/burden/indication p 809; perioperative harms p 810; adjusted models p 811; Table 6 p 812; historical selection discussion pp 813–815.</w:t>
            </w:r>
          </w:p>
          <w:p>
            <w:pPr>
              <w:pStyle w:val="Normal"/>
              <w:widowControl/>
              <w:spacing w:before="60" w:after="20"/>
            </w:pPr>
            <w:r>
              <w:t xml:space="preserve">Review depth: Complete nine-page published paper read, including all eight tables, methods, outcome curves,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107 before 2000 and 106 during 2000–2009. Median liver-metastasis diagnosis-to-LT 25 months. Follow-up to December 2010; mean follow-up 56 months. Survival must be labelled by time zero: five-year OS 52% from LT versus 73% from liver-metastasis diagnosis; the latter contains pretransplant survivor selection. Five-year OS/DFS 52%/30%; median OS/DFS 67/24 months. In 2000–2009 subgroup, five-year OS/DFS 59%/39%. Three-month mortality 21/213 (10%). Retransplantation 24/213 (11%), including 16 early; early retransplant deaths 6/16. Thirty-seven (17%) died from early/late transplant complications without recurrence over follow-up. Whole-cohort multivariable adverse associations: major concurrent resection HR 3.1 (95% CI 1.9–5.3), poor differentiation HR 2.7 (1.5–4.7), hepatomegaly HR 2.3 (1.5–3.7). Hepatomegaly was retrospectively explant size ≥125% predicted liver volume, not simply tumour replacement &gt;50%. Post-2000 model: hepatomegaly HR 2.6 (1.3–5.1), P=0.006; age &gt;45 HR 2.0 (0.9–4.3), P=0.073; any concurrent resection HR 1.9 (1.0–3.7), P=0.058. The latter two are not conventionally statistically significant despite abstract language. Univariate five-year OS ≤50% burden 61% (109 patients) versus &gt;50% 42% (91); estimated &gt;80% group 42% (31). These are historical unadjusted outcomes, not a validated safe upper boundary. Node-positive 66 had five-year OS 41% versus 62% in 91 node-negative; location/clearance detail inadequate for a current eligibility rule. Poorly differentiated 22 had five-year OS 27%, not evidence for modern WD-G3. Nine LT indications followed severe TACE complications (four liver failure, five ischaemic cholangitis); historical rescue experience does not justify deliberate treatment injury.</w:t>
            </w:r>
          </w:p>
          <w:p>
            <w:pPr>
              <w:pStyle w:val="Normal"/>
              <w:widowControl/>
              <w:spacing w:before="60" w:after="20"/>
            </w:pPr>
            <w:r>
              <w:rPr>
                <w:b/>
              </w:rPr>
              <w:t xml:space="preserve">Do not infer: </w:t>
            </w:r>
            <w:r>
              <w:t xml:space="preserve">Strong era, centre and recipient selection, no non-LT comparator, incomplete data and extensive overlap with earlier European/French cohorts. No stable-versus-progressive or Ki-67 threshold validation. Historical poorly differentiated NEC should not be conflated with well-differentiated G3. Abstract says 30 minor concurrent resections, whereas Methods/Table 4 show 60 minor and 24 major (84 total). Histological category counts also have transcription discrepancies; prefer internally supported Table 6 whole-cohort categories. The post-2000 age threshold is exploratory, not an absolute age ban; authors explicitly warn against denying LT solely to older patients with hepatomegaly. Supplement access: No separate supplemental file cited.</w:t>
            </w:r>
          </w:p>
        </w:tc>
      </w:tr>
      <w:tr>
        <w:trPr/>
        <w:tc>
          <w:tcPr>
            <w:tcW w:w="3400" w:type="dxa"/>
            <w:tcMar>
              <w:top w:w="90" w:type="dxa"/>
              <w:left w:w="90" w:type="dxa"/>
              <w:bottom w:w="90" w:type="dxa"/>
              <w:right w:w="90" w:type="dxa"/>
            </w:tcMar>
          </w:tcPr>
          <w:p>
            <w:pPr>
              <w:pStyle w:val="Normal"/>
              <w:widowControl/>
              <w:spacing w:before="60" w:after="20"/>
            </w:pPr>
            <w:r>
              <w:rPr>
                <w:b/>
              </w:rPr>
              <w:t xml:space="preserve">Kjaer 2023 · eligible non-LT panNET</w:t>
            </w:r>
            <w:r>
              <w:t xml:space="preserve"> </w:t>
            </w:r>
            <w:r>
              <w:t xml:space="preserve"> </w:t>
            </w:r>
            <w:r>
              <w:fldChar w:fldCharType="begin"/>
            </w:r>
            <w:r>
              <w:instrText xml:space="preserve"> ADDIN EN.CITE </w:instrText>
            </w:r>
            <w:r>
              <w:fldChar w:fldCharType="begin">
                <w:fldData>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p>
          <w:p>
            <w:pPr>
              <w:pStyle w:val="Normal"/>
              <w:widowControl/>
              <w:spacing w:before="60" w:after="20"/>
            </w:pPr>
            <w:r>
              <w:t xml:space="preserve">Retrospective Swedish tertiary-centre pan-NET cohort, 519 screened (2000–2021), 41 with resected primary, G1/G2, liver metastases and no extra-abdominal disease included. Sixteen satisfied one or more study-adapted LT definitions: Milan 11, ENETS 8, UNOS 13 (overlapping). These were not literal current allocation criteria: Milan age extended to &lt;65; two patients with suspicious persistent but stable regional nodes were counted UNOS-eligible after three-month follow-up.</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Methods/time zero p 341; modified eligibility definitions p 342; baseline/treatments/outcomes pp 343–344; interpretation/limitations pp 345–346.</w:t>
            </w:r>
          </w:p>
          <w:p>
            <w:pPr>
              <w:pStyle w:val="Normal"/>
              <w:widowControl/>
              <w:spacing w:before="60" w:after="20"/>
            </w:pPr>
            <w:r>
              <w:t xml:space="preserve">Review depth: Complete eight-page published main paper read, including all methods, tables,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set at eligibility for each LT-criteria group; otherwise after first centre visit, primary resection and liver metastasis presence. Mean follow-up 5.4 years; 23 deaths. No actual LT comparator. Eligibility time zero reduces one form of immortal-time bias but retrospective selection remains. All 41: median OS 9.3 years (95% CI 6.8–11.7); five-year OS 64.7% (48.2–81.2). Milan-adapted n=11 five-year OS 64.9% (32.2–97.6); ENETS n=8 85.7% (59.8–100); UNOS-adapted n=13 55.4% (26.0–84.8). Treatment was multimodal, not medical therapy alone: five hepatic resections, 15 ablations, six embolizations, systemic therapy in 40 and later-line PRRT. No standardised toxicity or quality-of-life comparison reported. Most patients had small maximum lesions (overall median 1.5 cm); eligibility/low-burden biology differs from refractory high-burden transplant candidates.</w:t>
            </w:r>
          </w:p>
          <w:p>
            <w:pPr>
              <w:pStyle w:val="Normal"/>
              <w:widowControl/>
              <w:spacing w:before="60" w:after="20"/>
            </w:pPr>
            <w:r>
              <w:rPr>
                <w:b/>
              </w:rPr>
              <w:t xml:space="preserve">Do not infer: </w:t>
            </w:r>
            <w:r>
              <w:t xml:space="preserve">Very small overlapping subgroups, broad CIs, nonrandom historical comparisons; cannot conclude non-LT superiority or that LT is ineffective. Study-adapted UNOS/Milan rules and old ENETS 2012 definitions should not be relabelled as current guidance. A stable suspicious node is not proof of cleared extrahepatic disease. Some percentages/table entries are internally inconsistent; use counts and survival estimates rather than erroneous derived percentages. Source authors' strong anti-LT conclusion exceeds what this uncontrolled non-LT series can establish. Supplement access: No supplementary file cited.</w:t>
            </w:r>
          </w:p>
        </w:tc>
      </w:tr>
      <w:tr>
        <w:trPr/>
        <w:tc>
          <w:tcPr>
            <w:tcW w:w="3400" w:type="dxa"/>
            <w:tcMar>
              <w:top w:w="90" w:type="dxa"/>
              <w:left w:w="90" w:type="dxa"/>
              <w:bottom w:w="90" w:type="dxa"/>
              <w:right w:w="90" w:type="dxa"/>
            </w:tcMar>
          </w:tcPr>
          <w:p>
            <w:pPr>
              <w:pStyle w:val="Normal"/>
              <w:widowControl/>
              <w:spacing w:before="60" w:after="20"/>
            </w:pPr>
            <w:r>
              <w:rPr>
                <w:b/>
              </w:rPr>
              <w:t xml:space="preserve">Maspero 2022 · Milan long-term</w:t>
            </w:r>
            <w:r>
              <w:t xml:space="preserve"> </w:t>
            </w:r>
            <w:r>
              <w:t xml:space="preserve"> </w:t>
            </w:r>
            <w:r>
              <w:fldChar w:fldCharType="begin"/>
            </w:r>
            <w:r>
              <w:instrText xml:space="preserve"> ADDIN EN.CITE </w:instrText>
            </w:r>
            <w:r>
              <w:fldChar w:fldCharType="begin">
                <w:fldData>PEVuZE5vdGU+PENpdGU+PEF1dGhvcj5NYXNwZXJvPC9BdXRob3I+PFllYXI+MjAyMjwvWWVhcj48UmVjTnVtPjk8L1JlY051bT48RGlzcGxheVRleHQ+W1YxNi05XTwvRGlzcGxheVRleHQ+PHJlY29yZD48cmVjLW51bWJlcj45PC9yZWMtbnVtYmVyPjxmb3JlaWduLWtleXM+PGtleSBhcHA9IkVOIiBkYi1pZD0iNWFjOTU5NjUtOGViOS01ZjgzLThlNjYtN2NiZDRhNTYwMjliIiB0aW1lc3RhbXA9IjE3OTMyODM2ODYiPjk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Single-centre retrospective analysis of consecutive prospective surgical series 1984–2019: 53 LT and 96 LR; 48 LT/56 LR met Milan criteria on preoperative staging. Criteria: portal-drained resected primary, G1/G2, &lt;50% burden, no extrahepatic disease, ≥6-month stability, age &lt;60 relative. Required ≥6 months postoperative follow-up. Resection versus LT chosen for technical feasibility; estimated &gt;3% perioperative mortality for complex regenerative resection was this centre's definition, not a validated universal threshold.</w:t>
            </w:r>
          </w:p>
          <w:p>
            <w:pPr>
              <w:pStyle w:val="Normal"/>
              <w:widowControl/>
              <w:spacing w:before="60" w:after="20"/>
            </w:pPr>
            <w:hyperlink r:id="rId39">
              <w:r>
                <w:rPr>
                  <w:color w:val="77230C"/>
                  <w:sz w:val="20"/>
                  <w:u w:val="single"/>
                </w:rPr>
                <w:t>Primary source</w:t>
              </w:r>
            </w:hyperlink>
            <w:r>
              <w:t xml:space="preserve"> | </w:t>
            </w:r>
            <w:hyperlink r:id="rId40">
              <w:r>
                <w:rPr>
                  <w:color w:val="77230C"/>
                  <w:sz w:val="20"/>
                  <w:u w:val="single"/>
                </w:rPr>
                <w:t>Full-text PDF</w:t>
              </w:r>
            </w:hyperlink>
          </w:p>
          <w:p>
            <w:pPr>
              <w:pStyle w:val="Normal"/>
              <w:widowControl/>
              <w:spacing w:before="60" w:after="20"/>
            </w:pPr>
            <w:r>
              <w:t xml:space="preserve">Locator: Methods/Milan definitions p 2599; outcomes p 2600; nodal analysis p 2601; Tables 2–3 p 2602; limitations pp 2605–2606.</w:t>
            </w:r>
          </w:p>
          <w:p>
            <w:pPr>
              <w:pStyle w:val="Normal"/>
              <w:widowControl/>
              <w:spacing w:before="60" w:after="20"/>
            </w:pPr>
            <w:r>
              <w:t xml:space="preserve">Review depth: Complete ten-page main paper read. All numerical results were taken from the labelled text/tables rather than estimating plotted curves.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OS/DFS from surgery, not listing or primary diagnosis. Median follow-up 158 months LT and 126 LR. Time primary resection-to-liver surgery 38.5 versus 6.5 months, introducing major test-of-time selection. Five-/ten-year OS 95.5%/93% LT versus 90%/75% LR; ten-year DFS 52% versus 18%. LT-associated univariate HR for OS 0.35 (0.16–0.78), not an adjusted causal effect. Recurrence 25/48 LT versus 42/56 LR; median time to recurrence among recurrence cases 78 versus 24 months, not median DFS for the entire group. LT recurrence range 13–204 months demonstrates very late risk. LT recurrence more often multisite (12/25 versus 5/42), nodal/bone; LR mostly involved liver (37/42 versus 2/25). Postrecurrence five-year survival 72% versus 69%. Nine deaths after LT: three NET-related and six other causes (three new solid cancers, sepsis, lymphoproliferative disease, cardiovascular event). Perioperative risk cannot be assessed reliably from a cohort requiring six-month follow-up. Despite preoperative Milan selection, postoperative Table 2 includes seven &gt;50% burden, two G3 and 16 hilar node-positive LT recipients. This is pathological upstaging/occult findings, not prospective validation of knowingly transplanting these categories. Hilar node positivity was associated with worse OS in a univariate LT analysis, HR 5.7 (1.3–24), P=0.004. DFS HR 2.6 (1.1–5.9) is printed with P=0.22, an internal inconsistency; do not silently correct to 0.022.</w:t>
            </w:r>
          </w:p>
          <w:p>
            <w:pPr>
              <w:pStyle w:val="Normal"/>
              <w:widowControl/>
              <w:spacing w:before="60" w:after="20"/>
            </w:pPr>
            <w:r>
              <w:rPr>
                <w:b/>
              </w:rPr>
              <w:t xml:space="preserve">Do not infer: </w:t>
            </w:r>
            <w:r>
              <w:t xml:space="preserve">Historical single-centre nonrandom selection, no ITT or wait-list dropout data, imbalanced ages/burden/timing; overlap with Milan 2016 and later multicentre series. At least six-month postoperative follow-up criterion risks under-representing early harms. Univariate analyses cannot establish independent risk-adjusted benefit. Only four excluded high-burden cases and one excluded G3 at preoperative selection; failure to find associations in tiny posthoc groups does not validate expanded eligibility. No LT patient &gt;60 was added in the age-expanded comparison (LT remained 48, LR increased to 89), so this is not direct evidence for LT above 60. Supplement access: No separate supplemental file cited; figures and all tables included.</w:t>
            </w:r>
          </w:p>
        </w:tc>
      </w:tr>
      <w:tr>
        <w:trPr/>
        <w:tc>
          <w:tcPr>
            <w:tcW w:w="3400" w:type="dxa"/>
            <w:tcMar>
              <w:top w:w="90" w:type="dxa"/>
              <w:left w:w="90" w:type="dxa"/>
              <w:bottom w:w="90" w:type="dxa"/>
              <w:right w:w="90" w:type="dxa"/>
            </w:tcMar>
          </w:tcPr>
          <w:p>
            <w:pPr>
              <w:pStyle w:val="Normal"/>
              <w:widowControl/>
              <w:spacing w:before="60" w:after="20"/>
            </w:pPr>
            <w:r>
              <w:rPr>
                <w:b/>
              </w:rPr>
              <w:t xml:space="preserve">Eshmuminov 2023 · LT versus resection</w:t>
            </w:r>
            <w:r>
              <w:t xml:space="preserve"> </w:t>
            </w:r>
            <w:r>
              <w:t xml:space="preserve"> </w:t>
            </w:r>
            <w:r>
              <w:fldChar w:fldCharType="begin"/>
            </w:r>
            <w:r>
              <w:instrText xml:space="preserve"> ADDIN EN.CITE </w:instrText>
            </w:r>
            <w:r>
              <w:fldChar w:fldCharType="begin">
                <w:fldData>PEVuZE5vdGU+PENpdGU+PEF1dGhvcj5Fc2htdW1pbm92PC9BdXRob3I+PFllYXI+MjAyMzwvWWVhcj48UmVjTnVtPjc8L1JlY051bT48RGlzcGxheVRleHQ+W1YxNi03XTwvRGlzcGxheVRleHQ+PHJlY29yZD48cmVjLW51bWJlcj43PC9yZWMtbnVtYmVyPjxmb3JlaWduLWtleXM+PGtleSBhcHA9IkVOIiBkYi1pZD0iNWFjOTU5NjUtOGViOS01ZjgzLThlNjYtN2NiZDRhNTYwMjliIiB0aW1lc3RhbXA9IjE3OTMyODM2ODYiPjc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Retrospective 15-centre study 1988–2021, 455 surgically treated patients (225 LT, 230 LR). Centre-specific selection varied. Propensity matching on age, grade and primary location yielded 96 LT and 96 R0-resected LR patients, with persistent marked lesion-number imbalance. Prior systemic treatment details were unavailable. Twenty-seven percent of LT patients lacked grade; only 10 overall LT recipients had G3, without modern WD-G3 versus NEC discrimination.</w:t>
            </w:r>
          </w:p>
          <w:p>
            <w:pPr>
              <w:pStyle w:val="Normal"/>
              <w:widowControl/>
              <w:spacing w:before="60" w:after="20"/>
            </w:pPr>
            <w:hyperlink r:id="rId41">
              <w:r>
                <w:rPr>
                  <w:color w:val="77230C"/>
                  <w:sz w:val="20"/>
                  <w:u w:val="single"/>
                </w:rPr>
                <w:t>Primary source</w:t>
              </w:r>
            </w:hyperlink>
            <w:r>
              <w:t xml:space="preserve"> | </w:t>
            </w:r>
            <w:hyperlink r:id="rId42">
              <w:r>
                <w:rPr>
                  <w:color w:val="77230C"/>
                  <w:sz w:val="20"/>
                  <w:u w:val="single"/>
                </w:rPr>
                <w:t>Full-text PDF</w:t>
              </w:r>
            </w:hyperlink>
          </w:p>
          <w:p>
            <w:pPr>
              <w:pStyle w:val="Normal"/>
              <w:widowControl/>
              <w:spacing w:before="60" w:after="20"/>
            </w:pPr>
            <w:r>
              <w:t xml:space="preserve">Locator: Methods e1064; unmatched outcomes/Table 1 e1065; grading e1066; matched Results/Table 4 e1067 and Figure 3 e1068; limitations e1069.</w:t>
            </w:r>
          </w:p>
          <w:p>
            <w:pPr>
              <w:pStyle w:val="Normal"/>
              <w:widowControl/>
              <w:spacing w:before="60" w:after="20"/>
            </w:pPr>
            <w:r>
              <w:t xml:space="preserve">Review depth: All nine pages of the complete published main paper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OS/PFS start at operation, not diagnosis, eligibility or treatment assignment; median follow-up 97 months overall, 93 LT and 102 LR. No all-screened or wait-list comparison. Matched analysis n=192. Use main Results/Figure 3, not contradictory abstract: matched five-year OS 75% LT versus 68.3% LR; median OS 205 versus 120 months; HR 0.56 (95% CI 0.35–0.90), P=0.015. Matched five-year PFS 64.2% versus 14.2%; median 107 versus 18 months; HR 0.25 (0.16–0.39). Matched outside-Milan comparison HR 0.64 (0.31–1.33), P=0.24: uncertain benefit, not proof of no benefit. Matched within-Milan HR 0.18 (0.06–0.52). Among LT recipients, G2 versus G1 adjusted OS HR 2.52 (1.15–5.52); five-year OS 70.0% versus 92.9%. Median-derived Ki-67 split 5% is exploratory, not a validated new exclusion threshold. 90-day mortality 13/225 (5.8%) LT versus 3/230 (1.3%) LR overall; matched 7/96 (7.3%) versus 2/96 (2.1%).</w:t>
            </w:r>
          </w:p>
          <w:p>
            <w:pPr>
              <w:pStyle w:val="Normal"/>
              <w:widowControl/>
              <w:spacing w:before="60" w:after="20"/>
            </w:pPr>
            <w:r>
              <w:rPr>
                <w:b/>
              </w:rPr>
              <w:t xml:space="preserve">Do not infer: </w:t>
            </w:r>
            <w:r>
              <w:t xml:space="preserve">Abstract's matched five-year OS 73% versus 52.8%, median 197 versus 119 and HR 0.59 differ from the labelled main Results/Figure 3. Do not blend them. Retrospective selection, substantial missing grade/stage, broad historical era, residual confounding and surgery-time origin; cannot infer causal superiority over resection or modern nonoperative therapy for an individual. Main tables contain other transcription inconsistencies (e.g. grade count/percent, primary-site labels); use internally concordant main outcomes and state reporting limitations. Milan-centre patients overlap other Milan reports. G3 subset insufficient to support expansion. Post-LT mTOR discussion is extrapolative, not a comparative NET regimen trial. Supplement access: Supplementary Material 1, http://links.lww.com/SLA/E183, not included in this download.</w:t>
            </w:r>
          </w:p>
        </w:tc>
      </w:tr>
      <w:tr>
        <w:trPr/>
        <w:tc>
          <w:tcPr>
            <w:tcW w:w="3400" w:type="dxa"/>
            <w:tcMar>
              <w:top w:w="90" w:type="dxa"/>
              <w:left w:w="90" w:type="dxa"/>
              <w:bottom w:w="90" w:type="dxa"/>
              <w:right w:w="90" w:type="dxa"/>
            </w:tcMar>
          </w:tcPr>
          <w:p>
            <w:pPr>
              <w:pStyle w:val="Normal"/>
              <w:widowControl/>
              <w:spacing w:before="60" w:after="20"/>
            </w:pPr>
            <w:r>
              <w:rPr>
                <w:b/>
              </w:rPr>
              <w:t xml:space="preserve">Strosberg 2021 · NETTER-1 final OS</w:t>
            </w:r>
            <w:r>
              <w:t xml:space="preserve"> </w:t>
            </w:r>
            <w:r>
              <w:t xml:space="preserve"> </w:t>
            </w:r>
            <w:r>
              <w:fldChar w:fldCharType="begin"/>
            </w:r>
            <w:r>
              <w:instrText xml:space="preserve"> ADDIN EN.CITE </w:instrText>
            </w:r>
            <w:r>
              <w:fldChar w:fldCharType="begin">
                <w:fldData>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p>
          <w:p>
            <w:pPr>
              <w:pStyle w:val="Normal"/>
              <w:widowControl/>
              <w:spacing w:before="60" w:after="20"/>
            </w:pPr>
            <w:r>
              <w:t xml:space="preserve">Open-label phase III trial, 231 randomised (117 Lu-177 DOTATATE plus octreotide/114 high-dose octreotide), 41 sites. Progressive advanced/inoperable SSTR-positive well-differentiated midgut NET, Ki-67 ≤20%, Karnofsky ≥60, progression on fixed-dose octreotide. No prior PRRT; marrow/renal/hepatic eligibility restrictions. Not a liver-only transplant population and not G3/NEC.</w:t>
            </w:r>
          </w:p>
          <w:p>
            <w:pPr>
              <w:pStyle w:val="Normal"/>
              <w:widowControl/>
              <w:spacing w:before="60" w:after="20"/>
            </w:pPr>
            <w:hyperlink r:id="rId43">
              <w:r>
                <w:rPr>
                  <w:color w:val="77230C"/>
                  <w:sz w:val="20"/>
                  <w:u w:val="single"/>
                </w:rPr>
                <w:t>Primary source</w:t>
              </w:r>
            </w:hyperlink>
            <w:r>
              <w:t xml:space="preserve"> | </w:t>
            </w:r>
            <w:hyperlink r:id="rId44">
              <w:r>
                <w:rPr>
                  <w:color w:val="77230C"/>
                  <w:sz w:val="20"/>
                  <w:u w:val="single"/>
                </w:rPr>
                <w:t>Full-text PDF</w:t>
              </w:r>
            </w:hyperlink>
          </w:p>
          <w:p>
            <w:pPr>
              <w:pStyle w:val="Normal"/>
              <w:widowControl/>
              <w:spacing w:before="60" w:after="20"/>
            </w:pPr>
            <w:r>
              <w:t xml:space="preserve">Locator: Eligibility pp 1754–1755; statistical methods/time zero pp 1755–1756; trial flow p 1756; OS/crossover p 1757; RMST and safety p 1759; limitations pp 1760–1761.</w:t>
            </w:r>
          </w:p>
          <w:p>
            <w:pPr>
              <w:pStyle w:val="Normal"/>
              <w:widowControl/>
              <w:spacing w:before="60" w:after="20"/>
            </w:pPr>
            <w:r>
              <w:t xml:space="preserve">Review depth: Complete 12-page corrected main article read; first page explicitly states corrected version appeared 31 January 2022.</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360 assessed, 231 randomised; separate dosimetry 22 not randomised. ITT OS from randomisation. Safety 223: 111 Lu-177, 112 control because one misallocated patient received control. Median follow-up 76.3/76.5 months; final analysis January 2021 at five years after final enrolment, 142 rather than planned 158 deaths. Final OS 48.0 versus 36.3 months; HR 0.84 (95% CI 0.60–1.17), P=0.30. Five-year OS 37.1% versus 35.4%. OS superiority not established; the observed 11.7-month median difference is not proven treatment-attributable life extension. Control crossover to any PRRT 41/114 (36%); model-adjusted HR 0.73 (0.40–1.34) remains uncertain. Proportional-hazards assumption failed (P=0.03); five-year RMST difference 5.1 months (95% CI −0.5 to 10.7). Prior PFS benefit was maintained as context: regulatory baseline reanalysis HR 0.18 (0.11–0.29), versus original publication HR 0.21; these are reanalyses of the same early cutoff, not independent studies. Two of 111 developed MDS, one treatment-related death. No AML reported. Grade ≥3 nephrotoxicity regardless of causality six of 111 versus four of 112; late renal comparison has small surviving evaluable groups. Long-term adverse-event collection was asymmetric: treatment-related serious/special-interest AEs principally collected in Lu-177 group, not all AEs in both arms. Do not infer equal comprehensive late toxicity.</w:t>
            </w:r>
          </w:p>
          <w:p>
            <w:pPr>
              <w:pStyle w:val="Normal"/>
              <w:widowControl/>
              <w:spacing w:before="60" w:after="20"/>
            </w:pPr>
            <w:r>
              <w:rPr>
                <w:b/>
              </w:rPr>
              <w:t xml:space="preserve">Do not infer: </w:t>
            </w:r>
            <w:r>
              <w:t xml:space="preserve">Crossover, subsequent treatments, 20% missing due to withdrawal/loss and nonproportional hazards complicate OS inference. Failure to show OS superiority is not proof of no clinical benefit: PFS/QOL findings from earlier reports support treatment in the studied setting. No evidence about LT eligibility after PRRT response, post-LT PRRT safety or liver-only cure; these require separate evidence. Supplement access: Separate online appendix and earlier trial protocol not included; corrected main article is complete.</w:t>
            </w:r>
          </w:p>
        </w:tc>
      </w:tr>
      <w:tr>
        <w:trPr/>
        <w:tc>
          <w:tcPr>
            <w:tcW w:w="3400" w:type="dxa"/>
            <w:tcMar>
              <w:top w:w="90" w:type="dxa"/>
              <w:left w:w="90" w:type="dxa"/>
              <w:bottom w:w="90" w:type="dxa"/>
              <w:right w:w="90" w:type="dxa"/>
            </w:tcMar>
          </w:tcPr>
          <w:p>
            <w:pPr>
              <w:pStyle w:val="Normal"/>
              <w:widowControl/>
              <w:spacing w:before="60" w:after="20"/>
            </w:pPr>
            <w:r>
              <w:rPr>
                <w:b/>
              </w:rPr>
              <w:t xml:space="preserve">Chen 2026 · PRRT after LT</w:t>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NWFjOTU5NjUtOGViOS01ZjgzLThlNjYtN2NiZDRhNTYwMjli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spacing w:before="60" w:after="20"/>
            </w:pPr>
            <w:r>
              <w:t xml:space="preserve">Single-centre retrospective series. Of 859 liver transplants (November 2019–November 2024), 27 were for GEP-NET; all had &gt;50% hepatic tumour burden. The centre permitted resection of the primary during LT or within three months afterward, so its stated NET-Milan label is not Milan-concordant. Seven patients with post-LT recurrence received PRRT April 2023–June 2025: three pancreatic and four rectal primaries, all actual Ki-67 values 4–15% (G2), age 30–57, tumour replacement 55–95% (median 80%). Rectal level was not specified.</w:t>
            </w:r>
          </w:p>
          <w:p>
            <w:pPr>
              <w:pStyle w:val="Normal"/>
              <w:widowControl/>
              <w:spacing w:before="60" w:after="20"/>
            </w:pPr>
            <w:hyperlink r:id="rId45">
              <w:r>
                <w:rPr>
                  <w:color w:val="77230C"/>
                  <w:sz w:val="20"/>
                  <w:u w:val="single"/>
                </w:rPr>
                <w:t>Primary source</w:t>
              </w:r>
            </w:hyperlink>
            <w:r>
              <w:t xml:space="preserve"> | </w:t>
            </w:r>
            <w:hyperlink r:id="rId46">
              <w:r>
                <w:rPr>
                  <w:color w:val="77230C"/>
                  <w:sz w:val="20"/>
                  <w:u w:val="single"/>
                </w:rPr>
                <w:t>Full-text PDF</w:t>
              </w:r>
            </w:hyperlink>
          </w:p>
          <w:p>
            <w:pPr>
              <w:pStyle w:val="Normal"/>
              <w:widowControl/>
              <w:spacing w:before="60" w:after="20"/>
            </w:pPr>
            <w:r>
              <w:t xml:space="preserve">Locator: PDF pp 1–6; printed pp 526–531. Methods pp 527–528; Tables 1–2 pp 528–529; toxicity and limitations pp 529–530.</w:t>
            </w:r>
          </w:p>
          <w:p>
            <w:pPr>
              <w:pStyle w:val="Normal"/>
              <w:widowControl/>
              <w:spacing w:before="60" w:after="20"/>
            </w:pPr>
            <w:r>
              <w:t xml:space="preserve">Review depth: Complete six-page main article read, including all tables, methods, results,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27 NET recipients: 15 recurrences by December 2025 and three deaths. The PRRT subset comprised seven selected patients; recurrence 3–9 months after LT and PRRT 6–42 months after LT. Response was assessed three months after completing PRRT; no cohort median follow-up, OS or PFS was reported. Seven PRRT recipients: one partial response, five stable disease, one progression; this is not an efficacy estimate suitable for counselling or comparison. All seven had nodal and bone disease, sometimes also graft, brain or renal involvement. One to four cycles, total 175–709 mCi. Two grade III, four grade II and one grade I myelosuppression were reported. One patient had persistent platelets &lt;10 ×10^9/L after a single 175 mCi cycle despite supportive treatment and never resumed PRRT; the severe platelet count and reported grade III label are discordant. Four patients had low-grade proteinuria. No acute rejection or severe hepatic/renal toxicity was observed in this selected, incompletely timed short follow-up; absence of observed events does not establish safety.</w:t>
            </w:r>
          </w:p>
          <w:p>
            <w:pPr>
              <w:pStyle w:val="Normal"/>
              <w:widowControl/>
              <w:spacing w:before="60" w:after="20"/>
            </w:pPr>
            <w:r>
              <w:rPr>
                <w:b/>
              </w:rPr>
              <w:t xml:space="preserve">Do not infer: </w:t>
            </w:r>
            <w:r>
              <w:t xml:space="preserve">Very small, uncontrolled, survivor-selected salvage series; no comparative OS, PFS or quality-of-life data. Extremely high pre-LT burden and primary surgery around/after LT preclude inference to guideline-concordant candidates. Table 1 is wrongly captioned as three aGVHD patients and donors despite presenting seven NET cases. Several citations do not support the linked PRRT/mTOR or toxicity claims. The stated rituximab induction should not be copied into an institutional regimen without independent verification. The platelet toxicity grading is internally discordant; do not relabel it definitively without individual data. Supplement access: No separate supplementary file was cited or supplied.</w:t>
            </w:r>
          </w:p>
        </w:tc>
      </w:tr>
      <w:tr>
        <w:trPr/>
        <w:tc>
          <w:tcPr>
            <w:tcW w:w="3400" w:type="dxa"/>
            <w:tcMar>
              <w:top w:w="90" w:type="dxa"/>
              <w:left w:w="90" w:type="dxa"/>
              <w:bottom w:w="90" w:type="dxa"/>
              <w:right w:w="90" w:type="dxa"/>
            </w:tcMar>
          </w:tcPr>
          <w:p>
            <w:pPr>
              <w:pStyle w:val="Normal"/>
              <w:widowControl/>
              <w:spacing w:before="60" w:after="20"/>
            </w:pPr>
            <w:r>
              <w:rPr>
                <w:b/>
              </w:rPr>
              <w:t xml:space="preserve">Frilling 2014</w:t>
            </w:r>
            <w:r>
              <w:t xml:space="preserve"> </w:t>
            </w:r>
            <w:r>
              <w:t xml:space="preserve"> </w:t>
            </w:r>
            <w:r>
              <w:fldChar w:fldCharType="begin"/>
            </w:r>
            <w:r>
              <w:instrText xml:space="preserve"> ADDIN EN.CITE </w:instrText>
            </w:r>
            <w:r>
              <w:fldChar w:fldCharType="begin">
                <w:fldData>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2012 London multidisciplinary consensus with systematic searches through October 2012, published 2014; not a new LT cohort.</w:t>
            </w:r>
          </w:p>
          <w:p>
            <w:pPr>
              <w:pStyle w:val="Normal"/>
              <w:widowControl/>
              <w:spacing w:before="60" w:after="20"/>
            </w:pPr>
            <w:hyperlink r:id="rId47">
              <w:r>
                <w:rPr>
                  <w:color w:val="77230C"/>
                  <w:sz w:val="20"/>
                  <w:u w:val="single"/>
                </w:rPr>
                <w:t>Primary source</w:t>
              </w:r>
            </w:hyperlink>
            <w:r>
              <w:t xml:space="preserve"> | </w:t>
            </w:r>
            <w:hyperlink r:id="rId48">
              <w:r>
                <w:rPr>
                  <w:color w:val="77230C"/>
                  <w:sz w:val="20"/>
                  <w:u w:val="single"/>
                </w:rPr>
                <w:t>Full-text PDF</w:t>
              </w:r>
            </w:hyperlink>
          </w:p>
          <w:p>
            <w:pPr>
              <w:pStyle w:val="Normal"/>
              <w:widowControl/>
              <w:spacing w:before="60" w:after="20"/>
            </w:pPr>
            <w:r>
              <w:t xml:space="preserve">Locator: PDF pp 1–3 recommendations; pp 5–7 diagnosis/resection; p 8 (printed e15) LT section; pp 10–11 research priorities/search limitations.</w:t>
            </w:r>
          </w:p>
          <w:p>
            <w:pPr>
              <w:pStyle w:val="Normal"/>
              <w:widowControl/>
              <w:spacing w:before="60" w:after="20"/>
            </w:pPr>
            <w:r>
              <w:t xml:space="preserve">Review depth: Complete 14-page main consensus review read, including panels, figures, methods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LT recommendations rest on low-quality observational evidence. The paper explicitly says proposed NET selection criteria were not prospectively validated; downstaging had not been assessed.; Historical LT section lists poor differentiation, non-portal primary, extrahepatic disease except perihilar nodes, and severe carcinoid heart disease among exclusions. The wording varies between panel and narrative and must not overrule modern NLRB node clearance and observation requirements.; Carcinoid cardiac contraindication refers to severe disease, not every echocardiographic abnormality. It does not establish mandatory valve replacement for all CHD.; Molecular/anatomic staging and representative pathology are useful principles, but therapeutic discussion predates CLARINET, NETTER-1, CABINET and modern WD G3/NEC differentiation.</w:t>
            </w:r>
          </w:p>
          <w:p>
            <w:pPr>
              <w:pStyle w:val="Normal"/>
              <w:widowControl/>
              <w:spacing w:before="60" w:after="20"/>
            </w:pPr>
            <w:r>
              <w:rPr>
                <w:b/>
              </w:rPr>
              <w:t xml:space="preserve">Do not infer: </w:t>
            </w:r>
            <w:r>
              <w:t xml:space="preserve">Consensus/low-certainty evidence; older grading, imaging and systemic-treatment context. No new comparative LT outcomes.; Absence of unresectable extrahepatic disease in older wording is not permission for known active nodes in a current standard pathway.; Generic liver-resection FLR language is not a validated LT benefit criterion.</w:t>
            </w:r>
          </w:p>
        </w:tc>
      </w:tr>
      <w:tr>
        <w:trPr/>
        <w:tc>
          <w:tcPr>
            <w:tcW w:w="3400" w:type="dxa"/>
            <w:tcMar>
              <w:top w:w="90" w:type="dxa"/>
              <w:left w:w="90" w:type="dxa"/>
              <w:bottom w:w="90" w:type="dxa"/>
              <w:right w:w="90" w:type="dxa"/>
            </w:tcMar>
          </w:tcPr>
          <w:p>
            <w:pPr>
              <w:pStyle w:val="Normal"/>
              <w:widowControl/>
              <w:spacing w:before="60" w:after="20"/>
            </w:pPr>
            <w:r>
              <w:rPr>
                <w:b/>
              </w:rPr>
              <w:t xml:space="preserve">Gorji 2024</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VhYzk1OTY1LThlYjktNWY4My04ZTY2LTdjYmQ0YTU2MDI5YiIgdGltZXN0YW1wPSIxNzkzMjgzNj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Narrative review; no new patient cohort or meta-analysis.</w:t>
            </w:r>
          </w:p>
          <w:p>
            <w:pPr>
              <w:pStyle w:val="Normal"/>
              <w:widowControl/>
              <w:spacing w:before="60" w:after="20"/>
            </w:pPr>
            <w:hyperlink r:id="rId49">
              <w:r>
                <w:rPr>
                  <w:color w:val="77230C"/>
                  <w:sz w:val="20"/>
                  <w:u w:val="single"/>
                </w:rPr>
                <w:t>Primary source</w:t>
              </w:r>
            </w:hyperlink>
            <w:r>
              <w:t xml:space="preserve"> | </w:t>
            </w:r>
            <w:hyperlink r:id="rId50">
              <w:r>
                <w:rPr>
                  <w:color w:val="77230C"/>
                  <w:sz w:val="20"/>
                  <w:u w:val="single"/>
                </w:rPr>
                <w:t>Full-text PDF</w:t>
              </w:r>
            </w:hyperlink>
          </w:p>
          <w:p>
            <w:pPr>
              <w:pStyle w:val="Normal"/>
              <w:widowControl/>
              <w:spacing w:before="60" w:after="20"/>
            </w:pPr>
            <w:r>
              <w:t xml:space="preserve">Locator: pp 213–216 Tables 2–3, Figure 2, CRLM/NET and allocation sections; references pp 217–218.</w:t>
            </w:r>
          </w:p>
          <w:p>
            <w:pPr>
              <w:pStyle w:val="Normal"/>
              <w:widowControl/>
              <w:spacing w:before="60" w:after="20"/>
            </w:pPr>
            <w:r>
              <w:t xml:space="preserve">Review depth: Complete eight-page narrative review read, including tables, figures/captions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Useful historical synthesis, not a substitute for current allocation guidance or primary trial denominators.; Table 2 p 213 distinguishes Milan NET age &lt;60 (relative), &lt;50% burden and &gt;6-month stability from other guidance; Figure 2 p 215 imports older risk flags (Ki-67 &gt;10%, observation &lt;12 months), which are not proven universal gates.; CRLM p 214 uses IHPBA BRAF V600E and historical CEA/PET language; these are not interchangeable with current NLRB all-BRAF and CEA rules.</w:t>
            </w:r>
          </w:p>
          <w:p>
            <w:pPr>
              <w:pStyle w:val="Normal"/>
              <w:widowControl/>
              <w:spacing w:before="60" w:after="20"/>
            </w:pPr>
            <w:r>
              <w:rPr>
                <w:b/>
              </w:rPr>
              <w:t xml:space="preserve">Do not infer: </w:t>
            </w:r>
            <w:r>
              <w:t xml:space="preserve">The paper says no iCCA/CRLM MELD exceptions and uses older allocation sources: outdated for 2026.; NET ELTR sentence p 216 reverses pre-/post-2000 five-year OS (46% versus 59%); primary ELTR shows better post-2000 outcome.; SECA-II DFS labels p 215 use 1/3/5 years although the primary paper reports 1/2/3 years for 53/44/35%.; Do not count review citations as independent outcome data or adopt Figure 2 Ki-67/observation cutoffs over current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NCCN Neuroendocrine and Adrenal Tumors v1.2026</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r>
              <w:t xml:space="preserve">Selection: Clinical guidance and allocation criteria are separate; no new independent transplant outcomes.</w:t>
            </w:r>
          </w:p>
          <w:p>
            <w:pPr>
              <w:pStyle w:val="Normal"/>
              <w:widowControl/>
              <w:spacing w:before="60" w:after="20"/>
            </w:pPr>
            <w:hyperlink r:id="rId51">
              <w:r>
                <w:rPr>
                  <w:color w:val="77230C"/>
                  <w:sz w:val="20"/>
                  <w:u w:val="single"/>
                </w:rPr>
                <w:t>Primary source</w:t>
              </w:r>
            </w:hyperlink>
            <w:r>
              <w:t xml:space="preserve"> | </w:t>
            </w:r>
            <w:hyperlink r:id="rId52">
              <w:r>
                <w:rPr>
                  <w:color w:val="77230C"/>
                  <w:sz w:val="20"/>
                  <w:u w:val="single"/>
                </w:rPr>
                <w:t>Full-text PDF</w:t>
              </w:r>
            </w:hyperlink>
          </w:p>
          <w:p>
            <w:pPr>
              <w:pStyle w:val="Normal"/>
              <w:widowControl/>
              <w:spacing w:before="60" w:after="20"/>
            </w:pPr>
            <w:r>
              <w:t xml:space="preserve">Locator: MS-34, PDF 178; NET-8 PDF 26; PanNET-11 PDF 43; MS-12 PDF 156; NE-B2 PDF 73; NE-B1 PDF 72; MS-13 PDF 157; NE-B2 PDF 73; NE-D2 PDF 85; NE-K2 PDF 123; MS-13 PDF 157; NE-D2 PDF 85; NE-K1 PDF 122; change log PDF 11 and 16; NET-9 PDF 27; update log PDF 5; MS-12/13 PDF 156–157</w:t>
            </w:r>
          </w:p>
          <w:p>
            <w:pPr>
              <w:pStyle w:val="Normal"/>
              <w:widowControl/>
              <w:spacing w:before="60" w:after="20"/>
            </w:pPr>
            <w:r>
              <w:t xml:space="preserve">Review depth: Relevant entire sections read in local complete PDF. Cover and LT page visually inspected. Not a whole-237-page review; no claim this is the latest edition available anywhere.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NCCN retains the discussion position categorizing LT for liver-limited well-differentiated G1/G2 GI/pancreatic NET metastases as investigational and not routine care. Visual inspection shows a watermark indicating that discussion updating is in progress. Identify this as a retained discussion statement, not newly revised 2026 transplant evidence. Keep it explicit beside selective NLRB exception eligibility and centre selection criteria; allocation eligibility is not unanimous clinical endorsement. Routine SSTR-based or FDG PET is not recommended for postresection surveillance. Long-term anatomic surveillance is supported, but these are non-LT schedules and do not establish a validated post-LT calendar. Use multiphasic anatomic imaging alongside SSTR PET to detect receptor-negative as well as receptor-positive disease; FDG PET remains selective for G2/higher or concerning biology. The 2026 page adds consistency of modality/contrast for follow-up and modified Krenning scoring. A high-uptake lesion score does not eliminate discordant SSTR-negative lesions. Cardiac evaluation includes valves and right-heart function with specialist review. Prehepatic-surgery valve replacement language concerns significant CHD, while hormone-control guidance indicates replacement for symptomatic disease. This does not require valve replacement for every mild/asymptomatic CHD abnormality. The 2026 revision states that prophylactic octreotide is probably ineffective for preventing intraoperative crisis and that its administration should not delay vasopressor/fluid treatment. NE-K1 also allows selective prophylactic use while questioning routine use, so do not recast this as an absolute prohibition. For ileal/jejunal/cecal NETs, obtain 5-HIAA in symptomatic patients and consider it in asymptomatic metastatic disease. This is more specific than symptom-only testing, but still does not validate a universal broad marker panel or biochemical clearance as a transplant gate.</w:t>
            </w:r>
          </w:p>
          <w:p>
            <w:pPr>
              <w:pStyle w:val="Normal"/>
              <w:widowControl/>
              <w:spacing w:before="60" w:after="20"/>
            </w:pPr>
            <w:r>
              <w:rPr>
                <w:b/>
              </w:rPr>
              <w:t xml:space="preserve">Do not infer: </w:t>
            </w:r>
            <w:r>
              <w:t xml:space="preserve">Targeted relevant-section review, not a whole-guideline audit. Version verified from the PDF; no claim that no newer portal version exists. NET discussion retains an update-in-progress notice.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fldChar w:fldCharType="begin"/>
            </w:r>
            <w:r>
              <w:instrText xml:space="preserve"> ADDIN EN.CITE </w:instrText>
            </w:r>
            <w:r>
              <w:fldChar w:fldCharType="begin">
                <w:fldData>PEVuZE5vdGU+PENpdGU+PEF1dGhvcj5UZTwvQXV0aG9yPjxZZWFyPjIwMjU8L1llYXI+PFJlY051bT4xMzwvUmVjTnVtPjxEaXNwbGF5VGV4dD5bVjE2LTEzXTwvRGlzcGxheVRleHQ+PHJlY29yZD48cmVjLW51bWJlcj4xMzwvcmVjLW51bWJlcj48Zm9yZWlnbi1rZXlzPjxrZXkgYXBwPSJFTiIgZGItaWQ9IjVhYzk1OTY1LThlYjktNWY4My04ZTY2LTdjYmQ0YTU2MDI5YiIgdGltZXN0YW1wPSIxNzkzMjgzNjg2Ij4x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53">
              <w:r>
                <w:rPr>
                  <w:color w:val="77230C"/>
                  <w:sz w:val="20"/>
                  <w:u w:val="single"/>
                </w:rPr>
                <w:t>Primary source</w:t>
              </w:r>
            </w:hyperlink>
            <w:r>
              <w:t xml:space="preserve"> | </w:t>
            </w:r>
            <w:hyperlink r:id="rId54">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Kasai 2024</w:t>
            </w:r>
            <w:r>
              <w:t xml:space="preserve"> </w:t>
            </w:r>
            <w:r>
              <w:t xml:space="preserve"> </w:t>
            </w:r>
            <w:r>
              <w:fldChar w:fldCharType="begin"/>
            </w:r>
            <w:r>
              <w:instrText xml:space="preserve"> ADDIN EN.CITE </w:instrText>
            </w:r>
            <w:r>
              <w:fldChar w:fldCharType="begin">
                <w:fldData>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Narrative review with descriptive JLTS LDLT registry data; 16 NET recipients, 14 transplanted in/before 2007, none after 2012.</w:t>
            </w:r>
          </w:p>
          <w:p>
            <w:pPr>
              <w:pStyle w:val="Normal"/>
              <w:widowControl/>
              <w:spacing w:before="60" w:after="20"/>
            </w:pPr>
            <w:hyperlink r:id="rId55">
              <w:r>
                <w:rPr>
                  <w:color w:val="77230C"/>
                  <w:sz w:val="20"/>
                  <w:u w:val="single"/>
                </w:rPr>
                <w:t>Primary source</w:t>
              </w:r>
            </w:hyperlink>
            <w:r>
              <w:t xml:space="preserve"> | </w:t>
            </w:r>
            <w:hyperlink r:id="rId56">
              <w:r>
                <w:rPr>
                  <w:color w:val="77230C"/>
                  <w:sz w:val="20"/>
                  <w:u w:val="single"/>
                </w:rPr>
                <w:t>Full-text PDF</w:t>
              </w:r>
            </w:hyperlink>
          </w:p>
          <w:p>
            <w:pPr>
              <w:pStyle w:val="Normal"/>
              <w:widowControl/>
              <w:spacing w:before="60" w:after="20"/>
            </w:pPr>
            <w:r>
              <w:t xml:space="preserve">Locator: Registry pp 2–4 and Table 2 p 4; selection pp 5–6; immunosuppression/recurrence p 7.</w:t>
            </w:r>
          </w:p>
          <w:p>
            <w:pPr>
              <w:pStyle w:val="Normal"/>
              <w:widowControl/>
              <w:spacing w:before="60" w:after="20"/>
            </w:pPr>
            <w:r>
              <w:t xml:space="preserve">Review depth: Complete nine-page review plus original 16-patient Japanese registry summary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Registry median age 30.5; 12 pancreatic, three rectal, one gastric primary; four of 16 died within 90 days; median OS 58.4 months, five-year OS 50%. Causes of intermediate/late deaths are hypothesized because detailed recurrence/course data were unavailable.; Uses historical 2007 Milan age ≤55 and burden ≤50%; contemporary comparative studies use different labelled versions. The review recognizes age as relative, not an absolute cutoff.; Primary-versus-metastatic grade discordance supports representative rebiopsy when clinically discordant, not mandatory biopsy of every lesion.; p 7 explicitly states no study has established everolimus recurrence-prevention after NET LT and distinguishes oncologic dose from transplant dose.</w:t>
            </w:r>
          </w:p>
          <w:p>
            <w:pPr>
              <w:pStyle w:val="Normal"/>
              <w:widowControl/>
              <w:spacing w:before="60" w:after="20"/>
            </w:pPr>
            <w:r>
              <w:rPr>
                <w:b/>
              </w:rPr>
              <w:t xml:space="preserve">Do not infer: </w:t>
            </w:r>
            <w:r>
              <w:t xml:space="preserve">Historical Japanese series does not prove current LDLT safety or superiority; do not use four early deaths as a present-day expected rate.; Proposed bridging algorithm and 'plan LT while controlled by PRRT' are expert suggestions, not randomized LT timing evidence.; Review-wide claimed improvement in modern Japanese outcomes is anticipated, not observed in the 16 cases.; Known active extrahepatic disease and G3 remain different from occult upstaging in retrospective comparator studies.</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2021</w:t>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NWFjOTU5NjUtOGViOS01ZjgzLThlNjYtN2NiZDRhNTYwMjli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Single-centre retrospective analysis of post-LT NET recurrence among prospectively followed recipients: 53 total LT recipients, 32 recurrent cases meeting ≥6 months of postrecurrence follow-up, 2004–2018.</w:t>
            </w:r>
          </w:p>
          <w:p>
            <w:pPr>
              <w:pStyle w:val="Normal"/>
              <w:widowControl/>
              <w:spacing w:before="60" w:after="20"/>
            </w:pPr>
            <w:hyperlink r:id="rId57">
              <w:r>
                <w:rPr>
                  <w:color w:val="77230C"/>
                  <w:sz w:val="20"/>
                  <w:u w:val="single"/>
                </w:rPr>
                <w:t>Primary source</w:t>
              </w:r>
            </w:hyperlink>
            <w:r>
              <w:t xml:space="preserve"> | </w:t>
            </w:r>
            <w:hyperlink r:id="rId58">
              <w:r>
                <w:rPr>
                  <w:color w:val="77230C"/>
                  <w:sz w:val="20"/>
                  <w:u w:val="single"/>
                </w:rPr>
                <w:t>Full-text PDF</w:t>
              </w:r>
            </w:hyperlink>
          </w:p>
          <w:p>
            <w:pPr>
              <w:pStyle w:val="Normal"/>
              <w:widowControl/>
              <w:spacing w:before="60" w:after="20"/>
            </w:pPr>
            <w:r>
              <w:t xml:space="preserve">Locator: PDF pp 3–14 main text; Tables 1–3 pp 19–22; Figures 1–3 pp 23–25, especially Fig 3D P=.062. Published pp 2579–2586.</w:t>
            </w:r>
          </w:p>
          <w:p>
            <w:pPr>
              <w:pStyle w:val="Normal"/>
              <w:widowControl/>
              <w:spacing w:before="60" w:after="20"/>
            </w:pPr>
            <w:r>
              <w:t xml:space="preserve">Review depth: Complete 25-page accepted manuscript read, including all main text, tables, figure legends, references and visual inspection of Figures 1–3 on PDF pages 23–25.</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Twenty-five of 32 were within Milan criteria at listing. Primary sites were intestinal 20, pancreatic 11, unknown one. All received deceased-donor grafts; 21/32 had positive hilar nodes at LT, which does not establish acceptability of known active nodes before selection.; Median time to recurrence was 82.9 months. Overall survival here starts at RECURRENCE, not LT: median 81 months, five-/ten-year OS 76.3%/45.5%, with median postrecurrence follow-up 73.7 months.; Fourteen underwent surgery; complete resection at initial salvage in 13. Surgery versus other therapy five-year OS 90.9% versus 64.5%, P=.062; the overall comparison did not reach statistical significance.; The seven early-recurrence cases (within 24 months) had five-year postrecurrence OS 0% versus 89.5% in 25 later recurrences; this very small nonrandomized subgroup is prognostic, not a validated 24-month prohibition on salvage.; At last follow-up four were disease-free, 17 alive with disease and 11 deceased (seven NET-related, four other causes). Rising proliferation across primary, LT and recurrence biopsies supports reassessing heterogeneous biology.; All were switched to an mTOR inhibitor upon recurrence. No non-switch comparator exists to establish antitumour benefit. Two received PRRT; this is descriptive post-LT experience, not controlled safety/efficacy evidence.</w:t>
            </w:r>
          </w:p>
          <w:p>
            <w:pPr>
              <w:pStyle w:val="Normal"/>
              <w:widowControl/>
              <w:spacing w:before="60" w:after="20"/>
            </w:pPr>
            <w:r>
              <w:rPr>
                <w:b/>
              </w:rPr>
              <w:t xml:space="preserve">Do not infer: </w:t>
            </w:r>
            <w:r>
              <w:t xml:space="preserve">Selection requires survival/follow-up for at least six months after recurrence, potentially underrepresenting very early deaths; only 32 recurrent patients and no adjusted causal comparison.; Treatment selection, late-recurrence biology and resectability confound surgical comparisons. Overlap with other Milan reports means outcomes are not independent replication.; Abstract and body have slightly different recurrence-time IQRs. The abstract's 59.4% nodal figure combines abdominal and thoracic single-site nodal recurrences; do not label all 19 as abdominal.; The &lt; versus ≤24-month boundary differs between text/table; use 'within 24 months' descriptively without creating a precise validated gate.; Study protocol's three-month observation before salvage surgery and systematic NET lymphadenectomy are centre practices, not mandatory CRLM or universal NET standards.</w:t>
            </w:r>
          </w:p>
        </w:tc>
      </w:tr>
      <w:tr>
        <w:trPr/>
        <w:tc>
          <w:tcPr>
            <w:tcW w:w="3400" w:type="dxa"/>
            <w:tcMar>
              <w:top w:w="90" w:type="dxa"/>
              <w:left w:w="90" w:type="dxa"/>
              <w:bottom w:w="90" w:type="dxa"/>
              <w:right w:w="90" w:type="dxa"/>
            </w:tcMar>
          </w:tcPr>
          <w:p>
            <w:pPr>
              <w:pStyle w:val="Normal"/>
              <w:widowControl/>
              <w:spacing w:before="60" w:after="20"/>
            </w:pPr>
            <w:r>
              <w:rPr>
                <w:b/>
              </w:rPr>
              <w:t xml:space="preserve">Nashan 2018</w:t>
            </w:r>
            <w:r>
              <w:t xml:space="preserve"> </w:t>
            </w:r>
            <w:r>
              <w:t xml:space="preserve"> </w:t>
            </w:r>
            <w:r>
              <w:fldChar w:fldCharType="begin"/>
            </w:r>
            <w:r>
              <w:instrText xml:space="preserve"> ADDIN EN.CITE </w:instrText>
            </w:r>
            <w:r>
              <w:fldChar w:fldCharType="begin">
                <w:fldData>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2018 narrative review of general LT mTOR immunosuppression; not a NET/CRLM antirecurrence trial.</w:t>
            </w:r>
          </w:p>
          <w:p>
            <w:pPr>
              <w:pStyle w:val="Normal"/>
              <w:widowControl/>
              <w:spacing w:before="60" w:after="20"/>
            </w:pPr>
            <w:hyperlink r:id="rId59">
              <w:r>
                <w:rPr>
                  <w:color w:val="77230C"/>
                  <w:sz w:val="20"/>
                  <w:u w:val="single"/>
                </w:rPr>
                <w:t>Primary source</w:t>
              </w:r>
            </w:hyperlink>
            <w:r>
              <w:t xml:space="preserve"> | </w:t>
            </w:r>
            <w:hyperlink r:id="rId60">
              <w:r>
                <w:rPr>
                  <w:color w:val="77230C"/>
                  <w:sz w:val="20"/>
                  <w:u w:val="single"/>
                </w:rPr>
                <w:t>Full-text PDF</w:t>
              </w:r>
            </w:hyperlink>
          </w:p>
          <w:p>
            <w:pPr>
              <w:pStyle w:val="Normal"/>
              <w:widowControl/>
              <w:spacing w:before="60" w:after="20"/>
            </w:pPr>
            <w:r>
              <w:t xml:space="preserve">Locator: ppS20–S22 H2304/table; pS23 SiLVER; ppS24–S25 safety and conclusions.</w:t>
            </w:r>
          </w:p>
          <w:p>
            <w:pPr>
              <w:pStyle w:val="Normal"/>
              <w:widowControl/>
              <w:spacing w:before="60" w:after="20"/>
            </w:pPr>
            <w:r>
              <w:t xml:space="preserve">Review depth: Complete eight-page review read, including trial table, safety sections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H2304 randomized 719 general LT recipients; everolimus plus reduced tacrolimus from day 30 improved estimated renal function versus standard tacrolimus. Review reports 80.9 versus 70.3 mL/min/1.73m2 at one year and discontinuation 25.7% versus 14.1%.; CNI-elimination arm was stopped for more acute rejection; combination/minimization and complete withdrawal are not interchangeable.; Review describes SiLVER HCC primary endpoint as negative: RFS 70.2% versus 64.5%, HR .84 (95% CI .62–1.15), P=.280.; Proteinuria, cytopenias, stomatitis, edema, dyslipidemia, wound and vascular concerns require individualized monitoring. Renal advantage is not proof of NET/CRLM recurrence prevention.</w:t>
            </w:r>
          </w:p>
          <w:p>
            <w:pPr>
              <w:pStyle w:val="Normal"/>
              <w:widowControl/>
              <w:spacing w:before="60" w:after="20"/>
            </w:pPr>
            <w:r>
              <w:rPr>
                <w:b/>
              </w:rPr>
              <w:t xml:space="preserve">Do not infer: </w:t>
            </w:r>
            <w:r>
              <w:t xml:space="preserve">No NET/CRLM-specific recurrence or PRRT-concurrent regimen validation.; Several cited results were conference abstracts; no new independent trial data.; Old regulatory/timing summaries require current institutional pharmacy standards; do not use the review to prescribe an automatic trough target.</w:t>
            </w:r>
          </w:p>
        </w:tc>
      </w:tr>
    </w:tbl>
    <w:p>
      <w:pPr>
        <w:pStyle w:val="Normal"/>
        <w:widowControl/>
      </w:pPr>
      <w:hyperlink r:id="rId61">
        <w:r>
          <w:rPr>
            <w:color w:val="77230C"/>
            <w:sz w:val="20"/>
            <w:u w:val="single"/>
          </w:rPr>
          <w:t>Separate evidence/alignment meeting record — OPEN boundary decisions</w:t>
        </w:r>
      </w:hyperlink>
    </w:p>
    <w:p>
      <w:pPr>
        <w:pStyle w:val="Normal"/>
        <w:widowControl/>
      </w:pPr>
      <w:r>
        <w:t xml:space="preserve">Evidence review record: </w:t>
      </w:r>
      <w:hyperlink r:id="rId62">
        <w:r>
          <w:rPr>
            <w:color w:val="77230C"/>
            <w:sz w:val="20"/>
            <w:u w:val="single"/>
          </w:rPr>
          <w:t>Five analyst comments and reconciliation</w:t>
        </w:r>
      </w:hyperlink>
      <w:r>
        <w:t xml:space="preserve">  |  </w:t>
      </w:r>
      <w:hyperlink r:id="rId63">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bookmarkStart w:id="16010" w:name="NET_B4"/>
      <w:r>
        <w:t xml:space="preserve">NET-B4 — Previously treated extrahepatic disease</w:t>
      </w:r>
      <w:bookmarkEnd w:id="16010"/>
    </w:p>
    <w:p>
      <w:pPr>
        <w:pStyle w:val="Normal"/>
        <w:widowControl/>
        <w:spacing w:after="120"/>
      </w:pPr>
      <w:r>
        <w:t xml:space="preserve">Status: Resected regional nodes only, after clearance. OPEN proposal for multidisciplinary review; not activated.</w:t>
      </w:r>
    </w:p>
    <w:p>
      <w:pPr>
        <w:pStyle w:val="Normal"/>
        <w:widowControl/>
        <w:spacing w:after="120"/>
      </w:pPr>
      <w:r>
        <w:t xml:space="preserve">Question: Which previously treated extrahepatic NET sites may enter the transplant route: resected regional nodes only, or also distant nodes and a solitary treated bone lesion as ENETS 2026 suggests?</w:t>
      </w:r>
    </w:p>
    <w:p>
      <w:pPr>
        <w:pStyle w:val="Normal"/>
        <w:widowControl/>
        <w:spacing w:after="120"/>
      </w:pPr>
      <w:r>
        <w:t xml:space="preserve">Proposed position (OPEN): Previously resected regional nodal disease is already within Milan-NET when the primary and all extrahepatic deposits were removed in a separate curative operation and restaging at least 6 months later shows no disease. Previously resected distant nodes need individual review. Previous lung, bone or other solid-organ metastasis stays closed, including after complete treatment; ENETS 2026 would accept a solitary locally treated bone lesion as expert opinion, recorded as a disagreement.</w:t>
      </w:r>
    </w:p>
    <w:p>
      <w:pPr>
        <w:pStyle w:val="Heading3"/>
        <w:widowControl/>
        <w:keepNext/>
      </w:pPr>
      <w:r>
        <w:t xml:space="preserve">Proposed rules</w:t>
      </w:r>
    </w:p>
    <w:p>
      <w:pPr>
        <w:pStyle w:val="Normal"/>
        <w:widowControl/>
        <w:spacing w:after="120"/>
        <w:numPr>
          <w:ilvl w:val="0"/>
          <w:numId w:val="4"/>
        </w:numPr>
      </w:pPr>
      <w:r>
        <w:t xml:space="preserve">Regional (mesenteric, peripancreatic) nodes resected with the primary in a separate operation: eligible after ≥6 months without recurrence and negative SSTR-PET with CT/MRI within 3 months of transplant consideration.</w:t>
      </w:r>
    </w:p>
    <w:p>
      <w:pPr>
        <w:pStyle w:val="Normal"/>
        <w:widowControl/>
        <w:spacing w:after="120"/>
        <w:numPr>
          <w:ilvl w:val="0"/>
          <w:numId w:val="4"/>
        </w:numPr>
      </w:pPr>
      <w:r>
        <w:t xml:space="preserve">Distant nodes previously resected, or nodal disease cleared only by PRRT, ablation or radiotherapy: individual review only, with SSTR-PET-negative status for ≥6 months.</w:t>
      </w:r>
    </w:p>
    <w:p>
      <w:pPr>
        <w:pStyle w:val="Normal"/>
        <w:widowControl/>
        <w:spacing w:after="120"/>
        <w:numPr>
          <w:ilvl w:val="0"/>
          <w:numId w:val="4"/>
        </w:numPr>
      </w:pPr>
      <w:r>
        <w:t xml:space="preserve">Lung, bone (including a solitary treated lesion), peritoneal or other organ metastasis: closed. Spinal or brain metastases and unresectable mesenteric root disease: closed in every framework.</w:t>
      </w:r>
    </w:p>
    <w:p>
      <w:pPr>
        <w:pStyle w:val="Normal"/>
        <w:widowControl/>
        <w:spacing w:after="120"/>
        <w:numPr>
          <w:ilvl w:val="0"/>
          <w:numId w:val="4"/>
        </w:numPr>
      </w:pPr>
      <w:r>
        <w:t xml:space="preserve">Stage the primary and any major organ resection before transplantation, not at it. Plan hilar lymphadenectomy; counsel that nodal involvement on final pathology is associated with worse survival.</w:t>
      </w:r>
    </w:p>
    <w:p>
      <w:pPr>
        <w:pStyle w:val="Normal"/>
        <w:widowControl/>
        <w:spacing w:after="120"/>
      </w:pPr>
      <w:r>
        <w:t xml:space="preserve">Why: Milan-NET itself requires all extrahepatic deposits removed before transplant consideration, and 81% of the Milan recipients had resected node-positive primaries. No series in this evidence set reports outcomes after previously treated distant disease; the registry series did not record pre-transplant extrahepatic status. Bone metastases are independently adverse and rarely cleared.</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Mazzaferro 2016 · Milan-NET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Milan prospective cohort, 88 eligible (42 transplanted). Milan-NET: primary removed “with all extrahepatic deposits in a separate curative resection prior to transplant consideration”; restaging 6 months after removal.</w:t>
            </w:r>
          </w:p>
        </w:tc>
        <w:tc>
          <w:tcPr>
            <w:tcW w:w="3743" w:type="dxa"/>
            <w:vAlign w:val="top"/>
            <w:shd w:fill="F1F5F8"/>
          </w:tcPr>
          <w:p>
            <w:pPr>
              <w:pStyle w:val="Normal"/>
              <w:widowControl/>
              <w:spacing w:after="55" w:line="240" w:lineRule="auto"/>
              <w:keepNext w:val="0"/>
              <w:keepLines/>
            </w:pPr>
            <w:r>
              <w:rPr>
                <w:sz w:val="21"/>
                <w:szCs w:val="21"/>
              </w:rPr>
              <w:t xml:space="preserve">Results: 81% of recipients had node-positive primaries and 57% hilar node-positive; 5- and 10-year survival 97.2% and 88.8%.</w:t>
            </w:r>
          </w:p>
          <w:p>
            <w:pPr>
              <w:pStyle w:val="Normal"/>
              <w:widowControl/>
              <w:spacing w:after="55" w:line="240" w:lineRule="auto"/>
              <w:keepNext w:val="0"/>
              <w:keepLines/>
            </w:pPr>
            <w:r>
              <w:rPr>
                <w:sz w:val="21"/>
                <w:szCs w:val="21"/>
              </w:rPr>
              <w:t xml:space="preserve">Limits: Non-randomized; no outcome split by nodal status.</w:t>
            </w:r>
          </w:p>
          <w:p>
            <w:pPr>
              <w:pStyle w:val="Normal"/>
              <w:widowControl/>
              <w:spacing w:after="55" w:line="240" w:lineRule="auto"/>
              <w:keepNext w:val="0"/>
              <w:keepLines/>
            </w:pPr>
            <w:r>
              <w:rPr>
                <w:sz w:val="21"/>
                <w:szCs w:val="21"/>
              </w:rPr>
              <w:t xml:space="preserve">Am J Transplant 2016; Tables 1–3.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r>
              <w:br/>
            </w:r>
            <w:hyperlink r:id="rId112">
              <w:r>
                <w:rPr>
                  <w:color w:val="0563C1"/>
                  <w:u w:val="single"/>
                </w:rPr>
                <w:t>Source</w:t>
              </w:r>
            </w:hyperlink>
            <w:r>
              <w:t xml:space="preserve"> · </w:t>
            </w:r>
            <w:hyperlink r:id="rId113">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Maspero 2022 · LT vs resection, Milan</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Milan, 48 transplants vs 56 resections. Exclusion of extrahepatic disease; hilar lymphadenectomy at transplant.</w:t>
            </w:r>
          </w:p>
        </w:tc>
        <w:tc>
          <w:tcPr>
            <w:tcW w:w="3743" w:type="dxa"/>
            <w:vAlign w:val="top"/>
            <w:shd w:fill="FFFFFF"/>
          </w:tcPr>
          <w:p>
            <w:pPr>
              <w:pStyle w:val="Normal"/>
              <w:widowControl/>
              <w:spacing w:after="55" w:line="240" w:lineRule="auto"/>
              <w:keepNext w:val="0"/>
              <w:keepLines/>
            </w:pPr>
            <w:r>
              <w:rPr>
                <w:sz w:val="21"/>
                <w:szCs w:val="21"/>
              </w:rPr>
              <w:t xml:space="preserve">Results: Nodal involvement on final pathology: survival HR 5.7 (1.3–24), univariate; after transplantation, first recurrences most often involved distant nodes (16 of 25, 64%) and bone (9 of 25, 36%).</w:t>
            </w:r>
          </w:p>
          <w:p>
            <w:pPr>
              <w:pStyle w:val="Normal"/>
              <w:widowControl/>
              <w:spacing w:after="55" w:line="240" w:lineRule="auto"/>
              <w:keepNext w:val="0"/>
              <w:keepLines/>
            </w:pPr>
            <w:r>
              <w:rPr>
                <w:sz w:val="21"/>
                <w:szCs w:val="21"/>
              </w:rPr>
              <w:t xml:space="preserve">Limits: Univariate only.</w:t>
            </w:r>
          </w:p>
          <w:p>
            <w:pPr>
              <w:pStyle w:val="Normal"/>
              <w:widowControl/>
              <w:spacing w:after="55" w:line="240" w:lineRule="auto"/>
              <w:keepNext w:val="0"/>
              <w:keepLines/>
            </w:pPr>
            <w:r>
              <w:rPr>
                <w:sz w:val="21"/>
                <w:szCs w:val="21"/>
              </w:rPr>
              <w:t xml:space="preserve">Am J Transplant 2022; Tables 2–3.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XNwZXJvPC9BdXRob3I+PFllYXI+MjAyMjwvWWVhcj48UmVjTnVtPjk8L1JlY051bT48RGlzcGxheVRleHQ+W1YxNi05XTwvRGlzcGxheVRleHQ+PHJlY29yZD48cmVjLW51bWJlcj45PC9yZWMtbnVtYmVyPjxmb3JlaWduLWtleXM+PGtleSBhcHA9IkVOIiBkYi1pZD0iNWFjOTU5NjUtOGViOS01ZjgzLThlNjYtN2NiZDRhNTYwMjliIiB0aW1lc3RhbXA9IjE3OTMyODM2ODYiPjk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r>
              <w:br/>
            </w:r>
            <w:hyperlink r:id="rId114">
              <w:r>
                <w:rPr>
                  <w:color w:val="0563C1"/>
                  <w:u w:val="single"/>
                </w:rPr>
                <w:t>Source</w:t>
              </w:r>
            </w:hyperlink>
            <w:r>
              <w:t xml:space="preserve"> · </w:t>
            </w:r>
            <w:hyperlink r:id="rId115">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ENETS 2026 position statement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ENETS 2026 position statement. Replace “no extrahepatic disease” with “no macroscopic, non-targetable” disease; examples: isolated resectable nodes or a solitary bone lesion amenable to local treatment.</w:t>
            </w:r>
          </w:p>
        </w:tc>
        <w:tc>
          <w:tcPr>
            <w:tcW w:w="3743" w:type="dxa"/>
            <w:vAlign w:val="top"/>
            <w:shd w:fill="F1F5F8"/>
          </w:tcPr>
          <w:p>
            <w:pPr>
              <w:pStyle w:val="Normal"/>
              <w:widowControl/>
              <w:spacing w:after="55" w:line="240" w:lineRule="auto"/>
              <w:keepNext w:val="0"/>
              <w:keepLines/>
            </w:pPr>
            <w:r>
              <w:rPr>
                <w:sz w:val="21"/>
                <w:szCs w:val="21"/>
              </w:rPr>
              <w:t xml:space="preserve">Results: Excludes unresectable mesenteric nodes, spinal and brain metastases; sets no interval after extrahepatic treatment.</w:t>
            </w:r>
          </w:p>
          <w:p>
            <w:pPr>
              <w:pStyle w:val="Normal"/>
              <w:widowControl/>
              <w:spacing w:after="55" w:line="240" w:lineRule="auto"/>
              <w:keepNext w:val="0"/>
              <w:keepLines/>
            </w:pPr>
            <w:r>
              <w:rPr>
                <w:sz w:val="21"/>
                <w:szCs w:val="21"/>
              </w:rPr>
              <w:t xml:space="preserve">Limits: Expert opinion; not outcome-validated.</w:t>
            </w:r>
          </w:p>
          <w:p>
            <w:pPr>
              <w:pStyle w:val="Normal"/>
              <w:widowControl/>
              <w:spacing w:after="55" w:line="240" w:lineRule="auto"/>
              <w:keepNext w:val="0"/>
              <w:keepLines/>
            </w:pPr>
            <w:r>
              <w:rPr>
                <w:sz w:val="21"/>
                <w:szCs w:val="21"/>
              </w:rPr>
              <w:t xml:space="preserve">J Neuroendocrinol 2026; Sections 4 and 7.</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CYjMjI5O2xiZXJnPC9BdXRob3I+PFllYXI+MjAyNjwvWWVhcj48UmVjTnVtPjg8L1JlY051bT48RGlzcGxheVRleHQ+W1YxNi04XTwvRGlzcGxheVRleHQ+PHJlY29yZD48cmVjLW51bWJlcj44PC9yZWMtbnVtYmVyPjxmb3JlaWduLWtleXM+PGtleSBhcHA9IkVOIiBkYi1pZD0iNWFjOTU5NjUtOGViOS01ZjgzLThlNjYtN2NiZDRhNTYwMjliIiB0aW1lc3RhbXA9IjE3OTMyODM2ODYiPjg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br/>
            </w:r>
            <w:hyperlink r:id="rId116">
              <w:r>
                <w:rPr>
                  <w:color w:val="0563C1"/>
                  <w:u w:val="single"/>
                </w:rPr>
                <w:t>Source</w:t>
              </w:r>
            </w:hyperlink>
            <w:r>
              <w:t xml:space="preserve"> · </w:t>
            </w:r>
            <w:hyperlink r:id="rId117">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Wedin 2025 · bone metastases in SI-NET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Two Swedish centres, 138 with bone metastases. Bone metastases on SSTR-PET; rarely biopsied; never curatively treated.</w:t>
            </w:r>
          </w:p>
        </w:tc>
        <w:tc>
          <w:tcPr>
            <w:tcW w:w="3743" w:type="dxa"/>
            <w:vAlign w:val="top"/>
            <w:shd w:fill="FFFFFF"/>
          </w:tcPr>
          <w:p>
            <w:pPr>
              <w:pStyle w:val="Normal"/>
              <w:widowControl/>
              <w:spacing w:after="55" w:line="240" w:lineRule="auto"/>
              <w:keepNext w:val="0"/>
              <w:keepLines/>
            </w:pPr>
            <w:r>
              <w:rPr>
                <w:sz w:val="21"/>
                <w:szCs w:val="21"/>
              </w:rPr>
              <w:t xml:space="preserve">Results: Any bone metastasis HR 1.94; 21% with ≤5 lesions progressed to &gt;5.</w:t>
            </w:r>
          </w:p>
          <w:p>
            <w:pPr>
              <w:pStyle w:val="Normal"/>
              <w:widowControl/>
              <w:spacing w:after="55" w:line="240" w:lineRule="auto"/>
              <w:keepNext w:val="0"/>
              <w:keepLines/>
            </w:pPr>
            <w:r>
              <w:rPr>
                <w:sz w:val="21"/>
                <w:szCs w:val="21"/>
              </w:rPr>
              <w:t xml:space="preserve">Limits: Small-intestine NET only.</w:t>
            </w:r>
          </w:p>
          <w:p>
            <w:pPr>
              <w:pStyle w:val="Normal"/>
              <w:widowControl/>
              <w:spacing w:after="55" w:line="240" w:lineRule="auto"/>
              <w:keepNext w:val="0"/>
              <w:keepLines/>
            </w:pPr>
            <w:r>
              <w:rPr>
                <w:sz w:val="21"/>
                <w:szCs w:val="21"/>
              </w:rPr>
              <w:t xml:space="preserve">J Neuroendocrinol 2025; Results, Table 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am5lLjcwMDczPC91cmw+PC9yZWxhdGVkLXVybHM+PC91cmxzPjwvcmVjb3JkPjwvQ2l0ZT48L0VuZE5vdGU+</w:fldData>
              </w:fldChar>
            </w:r>
            <w:r>
              <w:instrText xml:space="preserve"> ADDIN EN.CITE.DATA </w:instrText>
            </w:r>
            <w:r>
              <w:fldChar w:fldCharType="end"/>
            </w:r>
            <w:r>
              <w:fldChar w:fldCharType="separate"/>
            </w:r>
            <w:r>
              <w:t xml:space="preserve">[V16-26]</w:t>
            </w:r>
            <w:r>
              <w:fldChar w:fldCharType="end"/>
            </w:r>
            <w:r>
              <w:br/>
            </w:r>
            <w:hyperlink r:id="rId118">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Le Treut 2013 · ELTR NET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European registry, 213 transplants. Concurrent surgery at transplant (84 patients) included extended lymphadenectomy (38), primary resection (29), organ resections and peritonectomy.</w:t>
            </w:r>
          </w:p>
        </w:tc>
        <w:tc>
          <w:tcPr>
            <w:tcW w:w="3743" w:type="dxa"/>
            <w:vAlign w:val="top"/>
            <w:shd w:fill="F1F5F8"/>
          </w:tcPr>
          <w:p>
            <w:pPr>
              <w:pStyle w:val="Normal"/>
              <w:widowControl/>
              <w:spacing w:after="55" w:line="240" w:lineRule="auto"/>
              <w:keepNext w:val="0"/>
              <w:keepLines/>
            </w:pPr>
            <w:r>
              <w:rPr>
                <w:sz w:val="21"/>
                <w:szCs w:val="21"/>
              </w:rPr>
              <w:t xml:space="preserve">Results: Major concurrent resection HR 3.1 (all eras); after 2000, any concurrent resection HR 1.9 (p=0.058).</w:t>
            </w:r>
          </w:p>
          <w:p>
            <w:pPr>
              <w:pStyle w:val="Normal"/>
              <w:widowControl/>
              <w:spacing w:after="55" w:line="240" w:lineRule="auto"/>
              <w:keepNext w:val="0"/>
              <w:keepLines/>
            </w:pPr>
            <w:r>
              <w:rPr>
                <w:sz w:val="21"/>
                <w:szCs w:val="21"/>
              </w:rPr>
              <w:t xml:space="preserve">Limits: Pre-transplant extrahepatic status not recorded.</w:t>
            </w:r>
          </w:p>
          <w:p>
            <w:pPr>
              <w:pStyle w:val="Normal"/>
              <w:widowControl/>
              <w:spacing w:after="55" w:line="240" w:lineRule="auto"/>
              <w:keepNext w:val="0"/>
              <w:keepLines/>
            </w:pPr>
            <w:r>
              <w:rPr>
                <w:sz w:val="21"/>
                <w:szCs w:val="21"/>
              </w:rPr>
              <w:t xml:space="preserve">Ann Surg 2013; Tables 4–6.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ZSBUcmV1dDwvQXV0aG9yPjxZZWFyPjIwMTM8L1llYXI+PFJlY051bT4xMDwvUmVjTnVtPjxEaXNwbGF5VGV4dD5bVjE2LTEwXTwvRGlzcGxheVRleHQ+PHJlY29yZD48cmVjLW51bWJlcj4xMDwvcmVjLW51bWJlcj48Zm9yZWlnbi1rZXlzPjxrZXkgYXBwPSJFTiIgZGItaWQ9IjVhYzk1OTY1LThlYjktNWY4My04ZTY2LTdjYmQ0YTU2MDI5YiIgdGltZXN0YW1wPSIxNzkzMjgzNjg2Ij4xMD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br/>
            </w:r>
            <w:hyperlink r:id="rId119">
              <w:r>
                <w:rPr>
                  <w:color w:val="0563C1"/>
                  <w:u w:val="single"/>
                </w:rPr>
                <w:t>Source</w:t>
              </w:r>
            </w:hyperlink>
            <w:r>
              <w:t xml:space="preserve"> · </w:t>
            </w:r>
            <w:hyperlink r:id="rId120">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Sher 2015 · US multicentre NET LT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28 centres (mostly US, also Canadian and European), 85 transplants. “Extent of resection” = concurrent primary or multivisceral surgery, not metastasis clearance.</w:t>
            </w:r>
          </w:p>
        </w:tc>
        <w:tc>
          <w:tcPr>
            <w:tcW w:w="3743" w:type="dxa"/>
            <w:vAlign w:val="top"/>
            <w:shd w:fill="FFFFFF"/>
          </w:tcPr>
          <w:p>
            <w:pPr>
              <w:pStyle w:val="Normal"/>
              <w:widowControl/>
              <w:spacing w:after="55" w:line="240" w:lineRule="auto"/>
              <w:keepNext w:val="0"/>
              <w:keepLines/>
            </w:pPr>
            <w:r>
              <w:rPr>
                <w:sz w:val="21"/>
                <w:szCs w:val="21"/>
              </w:rPr>
              <w:t xml:space="preserve">Results: Extensive concurrent surgery associated with worse survival (p=0.015).</w:t>
            </w:r>
          </w:p>
          <w:p>
            <w:pPr>
              <w:pStyle w:val="Normal"/>
              <w:widowControl/>
              <w:spacing w:after="55" w:line="240" w:lineRule="auto"/>
              <w:keepNext w:val="0"/>
              <w:keepLines/>
            </w:pPr>
            <w:r>
              <w:rPr>
                <w:sz w:val="21"/>
                <w:szCs w:val="21"/>
              </w:rPr>
              <w:t xml:space="preserve">Limits: No extrahepatic-disease variable.</w:t>
            </w:r>
          </w:p>
          <w:p>
            <w:pPr>
              <w:pStyle w:val="Normal"/>
              <w:widowControl/>
              <w:spacing w:after="55" w:line="240" w:lineRule="auto"/>
              <w:keepNext w:val="0"/>
              <w:keepLines/>
            </w:pPr>
            <w:r>
              <w:rPr>
                <w:sz w:val="21"/>
                <w:szCs w:val="21"/>
              </w:rPr>
              <w:t xml:space="preserve">J Surg Oncol 2015; Methods.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AyL2pzby4yMzk3MzwvdXJsPjwvcmVsYXRlZC11cmxzPjwvdXJscz48L3JlY29yZD48L0NpdGU+PC9FbmROb3RlPg==</w:fldData>
              </w:fldChar>
            </w:r>
            <w:r>
              <w:instrText xml:space="preserve"> ADDIN EN.CITE.DATA </w:instrText>
            </w:r>
            <w:r>
              <w:fldChar w:fldCharType="end"/>
            </w:r>
            <w:r>
              <w:fldChar w:fldCharType="separate"/>
            </w:r>
            <w:r>
              <w:t xml:space="preserve">[V16-27]</w:t>
            </w:r>
            <w:r>
              <w:fldChar w:fldCharType="end"/>
            </w:r>
            <w:r>
              <w:br/>
            </w:r>
            <w:hyperlink r:id="rId121">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Frilling 2010 · 68Ga-DOTATOC PET before LT</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68Ga-DOTATOC PET before transplantation. Transplant candidates.</w:t>
            </w:r>
          </w:p>
        </w:tc>
        <w:tc>
          <w:tcPr>
            <w:tcW w:w="3743" w:type="dxa"/>
            <w:vAlign w:val="top"/>
            <w:shd w:fill="F1F5F8"/>
          </w:tcPr>
          <w:p>
            <w:pPr>
              <w:pStyle w:val="Normal"/>
              <w:widowControl/>
              <w:spacing w:after="55" w:line="240" w:lineRule="auto"/>
              <w:keepNext w:val="0"/>
              <w:keepLines/>
            </w:pPr>
            <w:r>
              <w:rPr>
                <w:sz w:val="21"/>
                <w:szCs w:val="21"/>
              </w:rPr>
              <w:t xml:space="preserve">Results: PET removed 7 of 15 candidates.</w:t>
            </w:r>
          </w:p>
          <w:p>
            <w:pPr>
              <w:pStyle w:val="Normal"/>
              <w:widowControl/>
              <w:spacing w:after="55" w:line="240" w:lineRule="auto"/>
              <w:keepNext w:val="0"/>
              <w:keepLines/>
            </w:pPr>
            <w:r>
              <w:rPr>
                <w:sz w:val="21"/>
                <w:szCs w:val="21"/>
              </w:rPr>
              <w:t xml:space="preserve">Limits: Small.</w:t>
            </w:r>
          </w:p>
          <w:p>
            <w:pPr>
              <w:pStyle w:val="Normal"/>
              <w:widowControl/>
              <w:spacing w:after="55" w:line="240" w:lineRule="auto"/>
              <w:keepNext w:val="0"/>
              <w:keepLines/>
            </w:pPr>
            <w:r>
              <w:rPr>
                <w:sz w:val="21"/>
                <w:szCs w:val="21"/>
              </w:rPr>
              <w:t xml:space="preserve">Ann Surg 2010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br/>
            </w:r>
            <w:hyperlink r:id="rId122">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ENETS 2026 and some series suggest limited bone disease may not worsen survival; the bone exclusion is a conservative local choice.</w:t>
      </w:r>
    </w:p>
    <w:p>
      <w:pPr>
        <w:pStyle w:val="Normal"/>
        <w:widowControl/>
        <w:spacing w:after="120"/>
      </w:pPr>
      <w:r>
        <w:t xml:space="preserve">Certainty: Low for resected regional nodes after a recurrence-free interval; very low for distant nodes, PRRT-only clearance and solid-organ metastases.</w:t>
      </w:r>
    </w:p>
    <w:p>
      <w:pPr>
        <w:pStyle w:val="Normal"/>
        <w:widowControl/>
        <w:spacing w:after="120"/>
      </w:pPr>
      <w:r>
        <w:t xml:space="preserve">What would change the answer: Transplant outcomes in recipients with previously treated distant or bone disease.</w:t>
      </w:r>
    </w:p>
    <w:p>
      <w:pPr>
        <w:pStyle w:val="Normal"/>
        <w:widowControl/>
        <w:spacing w:after="120"/>
      </w:pPr>
      <w:r>
        <w:t xml:space="preserve">Meeting question NET-B4,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Selected or occult postoperative high-risk NET features could be mistaken for validated pre-LT expansion criteria. </w:t>
      </w:r>
      <w:r>
        <w:rPr>
          <w:b/>
        </w:rPr>
        <w:t xml:space="preserve">Correction and reason: </w:t>
      </w:r>
      <w:r>
        <w:t xml:space="preserve">Distinguished preoperative selection from explant upstaging, removed overstated age evidence and added late recurrence and post-LT PRRT hematologic toxicity.</w:t>
      </w:r>
    </w:p>
    <w:p>
      <w:pPr>
        <w:pStyle w:val="Normal"/>
        <w:keepNext/>
        <w:widowControl/>
        <w:keepLines/>
      </w:pPr>
      <w:r>
        <w:rPr>
          <w:b/>
        </w:rPr>
        <w:t xml:space="preserve">Problem: </w:t>
      </w:r>
      <w:r>
        <w:t xml:space="preserve">Nodal, burden and grading exceptions could be read as established expansion criteria. </w:t>
      </w:r>
      <w:r>
        <w:rPr>
          <w:b/>
        </w:rPr>
        <w:t xml:space="preserve">Correction and reason: </w:t>
      </w:r>
      <w:r>
        <w:t xml:space="preserve">Separated prospective eligibility from occult explant findings, preserved extrahepatic clearance requirements and kept broader cutoffs OPEN.</w:t>
      </w:r>
    </w:p>
    <w:p>
      <w:pPr>
        <w:pStyle w:val="Normal"/>
        <w:keepNext/>
        <w:widowControl/>
        <w:keepLines/>
      </w:pPr>
      <w:r>
        <w:rPr>
          <w:b/>
        </w:rPr>
        <w:t xml:space="preserve">Problem: </w:t>
      </w:r>
      <w:r>
        <w:t xml:space="preserve">Routine PET calendars, blanket FDG/biomarker testing and valve replacement were overprescriptive. </w:t>
      </w:r>
      <w:r>
        <w:rPr>
          <w:b/>
        </w:rPr>
        <w:t xml:space="preserve">Correction and reason: </w:t>
      </w:r>
      <w:r>
        <w:t xml:space="preserve">Used indication-specific imaging and functional testing, significant/symptomatic cardiac assessment, and an explicitly agreed post-LT surveillance plan.</w:t>
      </w:r>
    </w:p>
    <w:p>
      <w:pPr>
        <w:pStyle w:val="Normal"/>
        <w:keepNext/>
        <w:widowControl/>
        <w:keepLines/>
      </w:pPr>
      <w:r>
        <w:rPr>
          <w:b/>
        </w:rPr>
        <w:t xml:space="preserve">Problem: </w:t>
      </w:r>
      <w:r>
        <w:t xml:space="preserve">Postrecurrence survival and immunosuppression claims overstated benefit. </w:t>
      </w:r>
      <w:r>
        <w:rPr>
          <w:b/>
        </w:rPr>
        <w:t xml:space="preserve">Correction and reason: </w:t>
      </w:r>
      <w:r>
        <w:t xml:space="preserve">Corrected the 32-patient survival denominator and non-significant surgical comparison; removed unsupported NET-specific drug targets and anticancer prophylaxis claims.</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123">
        <w:r>
          <w:rPr>
            <w:color w:val="0563C1"/>
            <w:u w:val="single"/>
          </w:rPr>
          <w:t>Source</w:t>
        </w:r>
      </w:hyperlink>
      <w:r>
        <w:t xml:space="preserve"> | </w:t>
      </w:r>
      <w:hyperlink r:id="rId124">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125">
        <w:r>
          <w:rPr>
            <w:color w:val="0563C1"/>
            <w:u w:val="single"/>
          </w:rPr>
          <w:t>Source</w:t>
        </w:r>
      </w:hyperlink>
      <w:r>
        <w:t xml:space="preserve"> | </w:t>
      </w:r>
      <w:hyperlink r:id="rId126">
        <w:r>
          <w:rPr>
            <w:color w:val="0563C1"/>
            <w:u w:val="single"/>
          </w:rPr>
          <w:t>Full-text access</w:t>
        </w:r>
      </w:hyperlink>
    </w:p>
    <w:p>
      <w:pPr>
        <w:pStyle w:val="Normal"/>
        <w:widowControl/>
        <w:spacing w:after="120"/>
      </w:pPr>
      <w:r>
        <w:t xml:space="preserve"/>
      </w:r>
      <w:r>
        <w:t xml:space="preserve">[V16-3] National Comprehensive Cancer Network. NCCN Clinical Practice Guidelines in Oncology: Neuroendocrine and Adrenal Tumors, Version 1.2026 (21 April 2026). . 2026. </w:t>
      </w:r>
      <w:hyperlink r:id="rId127">
        <w:r>
          <w:rPr>
            <w:color w:val="0563C1"/>
            <w:u w:val="single"/>
          </w:rPr>
          <w:t>Source</w:t>
        </w:r>
      </w:hyperlink>
      <w:r>
        <w:t xml:space="preserve"> | </w:t>
      </w:r>
      <w:hyperlink r:id="rId128">
        <w:r>
          <w:rPr>
            <w:color w:val="0563C1"/>
            <w:u w:val="single"/>
          </w:rPr>
          <w:t>Full-text access</w:t>
        </w:r>
      </w:hyperlink>
    </w:p>
    <w:p>
      <w:pPr>
        <w:pStyle w:val="Normal"/>
        <w:widowControl/>
        <w:spacing w:after="120"/>
      </w:pPr>
      <w:r>
        <w:t xml:space="preserve"/>
      </w:r>
      <w:r>
        <w:t xml:space="preserve">[V16-4] Dove, Lorna; Chadha, Ryan M.; Lai, Jennifer C.; et al. AASLD AST Practice Guideline on adult liver transplantation: Candidate evaluation. Hepatology. 2026; 83(6):1609-1645. </w:t>
      </w:r>
      <w:hyperlink r:id="rId129">
        <w:r>
          <w:rPr>
            <w:color w:val="0563C1"/>
            <w:u w:val="single"/>
          </w:rPr>
          <w:t>Source</w:t>
        </w:r>
      </w:hyperlink>
      <w:r>
        <w:t xml:space="preserve"> | </w:t>
      </w:r>
      <w:hyperlink r:id="rId130">
        <w:r>
          <w:rPr>
            <w:color w:val="0563C1"/>
            <w:u w:val="single"/>
          </w:rPr>
          <w:t>Full-text access</w:t>
        </w:r>
      </w:hyperlink>
    </w:p>
    <w:p>
      <w:pPr>
        <w:pStyle w:val="Normal"/>
        <w:widowControl/>
        <w:spacing w:after="120"/>
      </w:pPr>
      <w:r>
        <w:t xml:space="preserve"/>
      </w:r>
      <w:r>
        <w:t xml:space="preserve">[V16-5] Gorji, Leva; Brown, Zachary J.; Limkemann, Ashley; et al. Liver Transplant as a Treatment of Primary and Secondary Liver Neoplasms. JAMA Surgery. 2024; 159(2):211. </w:t>
      </w:r>
      <w:hyperlink r:id="rId131">
        <w:r>
          <w:rPr>
            <w:color w:val="0563C1"/>
            <w:u w:val="single"/>
          </w:rPr>
          <w:t>Source</w:t>
        </w:r>
      </w:hyperlink>
      <w:r>
        <w:t xml:space="preserve"> | </w:t>
      </w:r>
      <w:hyperlink r:id="rId132">
        <w:r>
          <w:rPr>
            <w:color w:val="0563C1"/>
            <w:u w:val="single"/>
          </w:rPr>
          <w:t>Full-text access</w:t>
        </w:r>
      </w:hyperlink>
    </w:p>
    <w:p>
      <w:pPr>
        <w:pStyle w:val="Normal"/>
        <w:widowControl/>
        <w:spacing w:after="120"/>
      </w:pPr>
      <w:r>
        <w:t xml:space="preserve"/>
      </w:r>
      <w:r>
        <w:t xml:space="preserve">[V16-6] Kasai, Yosuke; Ito, Takashi; Masui, Toshihiko; et al. Liver transplantation for gastroenteropancreatic neuroendocrine liver metastasis: optimal patient selection and perioperative management in the era of multimodal treatments. Journal of Gastroenterology. 2024; 60(1):1-9. </w:t>
      </w:r>
      <w:hyperlink r:id="rId133">
        <w:r>
          <w:rPr>
            <w:color w:val="0563C1"/>
            <w:u w:val="single"/>
          </w:rPr>
          <w:t>Source</w:t>
        </w:r>
      </w:hyperlink>
      <w:r>
        <w:t xml:space="preserve"> | </w:t>
      </w:r>
      <w:hyperlink r:id="rId134">
        <w:r>
          <w:rPr>
            <w:color w:val="0563C1"/>
            <w:u w:val="single"/>
          </w:rPr>
          <w:t>Full-text access</w:t>
        </w:r>
      </w:hyperlink>
    </w:p>
    <w:p>
      <w:pPr>
        <w:pStyle w:val="Normal"/>
        <w:widowControl/>
        <w:spacing w:after="120"/>
      </w:pPr>
      <w:r>
        <w:t xml:space="preserve"/>
      </w:r>
      <w:r>
        <w:t xml:space="preserve">[V16-7] Eshmuminov, Dilmurodjon; Studer, Debora J.; Lopez Lopez, Victor; et al. Controversy Over Liver Transplantation or Resection for Neuroendocrine Liver Metastasis: Tumor Biology Cuts the Deal. Annals of Surgery. 2023; 277(5):e1063-e1071. </w:t>
      </w:r>
      <w:hyperlink r:id="rId135">
        <w:r>
          <w:rPr>
            <w:color w:val="0563C1"/>
            <w:u w:val="single"/>
          </w:rPr>
          <w:t>Source</w:t>
        </w:r>
      </w:hyperlink>
      <w:r>
        <w:t xml:space="preserve"> | </w:t>
      </w:r>
      <w:hyperlink r:id="rId136">
        <w:r>
          <w:rPr>
            <w:color w:val="0563C1"/>
            <w:u w:val="single"/>
          </w:rPr>
          <w:t>Full-text access</w:t>
        </w:r>
      </w:hyperlink>
    </w:p>
    <w:p>
      <w:pPr>
        <w:pStyle w:val="Normal"/>
        <w:widowControl/>
        <w:spacing w:after="120"/>
      </w:pPr>
      <w:r>
        <w:t xml:space="preserve"/>
      </w:r>
      <w:r>
        <w:t xml:space="preserve">[V16-8] Stålberg, Peter; McNamara, Mairéad G; Grozinsky-Glasberg, Simona; et al. Controversies in NEN: An ENETS position statement on the role of liver transplantation (LT) in patients with advanced small-intestinal and pancreatic NETs. Journal of neuroendocrinology. 2026; 38(10):e70250. </w:t>
      </w:r>
      <w:hyperlink r:id="rId137">
        <w:r>
          <w:rPr>
            <w:color w:val="0563C1"/>
            <w:u w:val="single"/>
          </w:rPr>
          <w:t>Source</w:t>
        </w:r>
      </w:hyperlink>
      <w:r>
        <w:t xml:space="preserve"> | </w:t>
      </w:r>
      <w:hyperlink r:id="rId138">
        <w:r>
          <w:rPr>
            <w:color w:val="0563C1"/>
            <w:u w:val="single"/>
          </w:rPr>
          <w:t>Full-text access</w:t>
        </w:r>
      </w:hyperlink>
    </w:p>
    <w:p>
      <w:pPr>
        <w:pStyle w:val="Normal"/>
        <w:widowControl/>
        <w:spacing w:after="120"/>
      </w:pPr>
      <w:r>
        <w:t xml:space="preserve"/>
      </w:r>
      <w:r>
        <w:t xml:space="preserve">[V16-9] Maspero, Marianna; Rossi, Roberta Elisa; Sposito, Carlo; et al. Long-term outcomes of resection versus transplantation for neuroendocrine liver metastases meeting the Milan criteria. American Journal of Transplantation. 2022; 22(11):2598-2607. </w:t>
      </w:r>
      <w:hyperlink r:id="rId139">
        <w:r>
          <w:rPr>
            <w:color w:val="0563C1"/>
            <w:u w:val="single"/>
          </w:rPr>
          <w:t>Source</w:t>
        </w:r>
      </w:hyperlink>
      <w:r>
        <w:t xml:space="preserve"> | </w:t>
      </w:r>
      <w:hyperlink r:id="rId140">
        <w:r>
          <w:rPr>
            <w:color w:val="0563C1"/>
            <w:u w:val="single"/>
          </w:rPr>
          <w:t>Full-text access</w:t>
        </w:r>
      </w:hyperlink>
    </w:p>
    <w:p>
      <w:pPr>
        <w:pStyle w:val="Normal"/>
        <w:widowControl/>
        <w:spacing w:after="120"/>
      </w:pPr>
      <w:r>
        <w:t xml:space="preserve"/>
      </w:r>
      <w:r>
        <w:t xml:space="preserve">[V16-10] Le Treut, Yves Patrice; Grégoire, Emilie; Klempnauer, Jürgen; et al. Liver Transplantation for Neuroendocrine Tumors in Europe—Results and Trends in Patient Selection. Annals of Surgery. 2013; 257(5):807-815. </w:t>
      </w:r>
      <w:hyperlink r:id="rId141">
        <w:r>
          <w:rPr>
            <w:color w:val="0563C1"/>
            <w:u w:val="single"/>
          </w:rPr>
          <w:t>Source</w:t>
        </w:r>
      </w:hyperlink>
      <w:r>
        <w:t xml:space="preserve"> | </w:t>
      </w:r>
      <w:hyperlink r:id="rId142">
        <w:r>
          <w:rPr>
            <w:color w:val="0563C1"/>
            <w:u w:val="single"/>
          </w:rPr>
          <w:t>Full-text access</w:t>
        </w:r>
      </w:hyperlink>
    </w:p>
    <w:p>
      <w:pPr>
        <w:pStyle w:val="Normal"/>
        <w:widowControl/>
        <w:spacing w:after="120"/>
      </w:pPr>
      <w:r>
        <w:t xml:space="preserve"/>
      </w:r>
      <w:r>
        <w:t xml:space="preserve">[V16-11] Caplin ME; Pavel M; Ćwikła JB; et al. Lanreotide in metastatic enteropancreatic neuroendocrine tumors.. The New England journal of medicine. 2014; 371(3):224-33. </w:t>
      </w:r>
      <w:hyperlink r:id="rId143">
        <w:r>
          <w:rPr>
            <w:color w:val="0563C1"/>
            <w:u w:val="single"/>
          </w:rPr>
          <w:t>Source</w:t>
        </w:r>
      </w:hyperlink>
      <w:r>
        <w:t xml:space="preserve"> | </w:t>
      </w:r>
      <w:hyperlink r:id="rId144">
        <w:r>
          <w:rPr>
            <w:color w:val="0563C1"/>
            <w:u w:val="single"/>
          </w:rPr>
          <w:t>Full-text access</w:t>
        </w:r>
      </w:hyperlink>
    </w:p>
    <w:p>
      <w:pPr>
        <w:pStyle w:val="Normal"/>
        <w:widowControl/>
        <w:spacing w:after="120"/>
      </w:pPr>
      <w:r>
        <w:t xml:space="preserve"/>
      </w:r>
      <w:r>
        <w:t xml:space="preserve">[V16-12] Frilling, Andrea; Modlin, Irvin M; Kidd, Mark; et al. Recommendations for management of patients with neuroendocrine liver metastases. The Lancet Oncology. 2014; 15(1):e8-e21. </w:t>
      </w:r>
      <w:hyperlink r:id="rId145">
        <w:r>
          <w:rPr>
            <w:color w:val="0563C1"/>
            <w:u w:val="single"/>
          </w:rPr>
          <w:t>Source</w:t>
        </w:r>
      </w:hyperlink>
      <w:r>
        <w:t xml:space="preserve"> | </w:t>
      </w:r>
      <w:hyperlink r:id="rId146">
        <w:r>
          <w:rPr>
            <w:color w:val="0563C1"/>
            <w:u w:val="single"/>
          </w:rPr>
          <w:t>Full-text access</w:t>
        </w:r>
      </w:hyperlink>
    </w:p>
    <w:p>
      <w:pPr>
        <w:pStyle w:val="Normal"/>
        <w:widowControl/>
        <w:spacing w:after="120"/>
      </w:pPr>
      <w:r>
        <w:t xml:space="preserve"/>
      </w:r>
      <w:r>
        <w:t xml:space="preserve">[V16-13] Te, Helen S.; Agopian, Vatche G.; Demetris, Anthony J.; et al. AASLD AST Practice Guideline on adult liver transplantation: Diagnosis and management of graft-related complications. Liver Transplantation. 2025; 32(3):444-490. </w:t>
      </w:r>
      <w:hyperlink r:id="rId147">
        <w:r>
          <w:rPr>
            <w:color w:val="0563C1"/>
            <w:u w:val="single"/>
          </w:rPr>
          <w:t>Source</w:t>
        </w:r>
      </w:hyperlink>
      <w:r>
        <w:t xml:space="preserve"> | </w:t>
      </w:r>
      <w:hyperlink r:id="rId148">
        <w:r>
          <w:rPr>
            <w:color w:val="0563C1"/>
            <w:u w:val="single"/>
          </w:rPr>
          <w:t>Full-text access</w:t>
        </w:r>
      </w:hyperlink>
    </w:p>
    <w:p>
      <w:pPr>
        <w:pStyle w:val="Normal"/>
        <w:widowControl/>
        <w:spacing w:after="120"/>
      </w:pPr>
      <w:r>
        <w:t xml:space="preserve"/>
      </w:r>
      <w:r>
        <w:t xml:space="preserve">[V16-14]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149">
        <w:r>
          <w:rPr>
            <w:color w:val="0563C1"/>
            <w:u w:val="single"/>
          </w:rPr>
          <w:t>Source</w:t>
        </w:r>
      </w:hyperlink>
      <w:r>
        <w:t xml:space="preserve"> | </w:t>
      </w:r>
      <w:hyperlink r:id="rId150">
        <w:r>
          <w:rPr>
            <w:color w:val="0563C1"/>
            <w:u w:val="single"/>
          </w:rPr>
          <w:t>Full-text access</w:t>
        </w:r>
      </w:hyperlink>
    </w:p>
    <w:p>
      <w:pPr>
        <w:pStyle w:val="Normal"/>
        <w:widowControl/>
        <w:spacing w:after="120"/>
      </w:pPr>
      <w:r>
        <w:t xml:space="preserve"/>
      </w:r>
      <w:r>
        <w:t xml:space="preserve">[V16-15] Nashan, Björn. mTOR Inhibition and Clinical Transplantation. Transplantation. 2018; 102(2S):S19-S26. </w:t>
      </w:r>
      <w:hyperlink r:id="rId151">
        <w:r>
          <w:rPr>
            <w:color w:val="0563C1"/>
            <w:u w:val="single"/>
          </w:rPr>
          <w:t>Source</w:t>
        </w:r>
      </w:hyperlink>
      <w:r>
        <w:t xml:space="preserve"> | </w:t>
      </w:r>
      <w:hyperlink r:id="rId152">
        <w:r>
          <w:rPr>
            <w:color w:val="0563C1"/>
            <w:u w:val="single"/>
          </w:rPr>
          <w:t>Full-text access</w:t>
        </w:r>
      </w:hyperlink>
    </w:p>
    <w:p>
      <w:pPr>
        <w:pStyle w:val="Normal"/>
        <w:widowControl/>
        <w:spacing w:after="120"/>
      </w:pPr>
      <w:r>
        <w:t xml:space="preserve"/>
      </w:r>
      <w:r>
        <w:t xml:space="preserve">[V16-16] Novartis Pharmaceuticals Corporation. Zortress (everolimus) US prescribing information, updated 16 September 2026. DailyMed. 2026. </w:t>
      </w:r>
      <w:hyperlink r:id="rId153">
        <w:r>
          <w:rPr>
            <w:color w:val="0563C1"/>
            <w:u w:val="single"/>
          </w:rPr>
          <w:t>Source</w:t>
        </w:r>
      </w:hyperlink>
      <w:r>
        <w:t xml:space="preserve"> | </w:t>
      </w:r>
      <w:hyperlink r:id="rId154">
        <w:r>
          <w:rPr>
            <w:color w:val="0563C1"/>
            <w:u w:val="single"/>
          </w:rPr>
          <w:t>Full-text access</w:t>
        </w:r>
      </w:hyperlink>
    </w:p>
    <w:p>
      <w:pPr>
        <w:pStyle w:val="Normal"/>
        <w:widowControl/>
        <w:spacing w:after="120"/>
      </w:pPr>
      <w:r>
        <w:t xml:space="preserve"/>
      </w:r>
      <w:r>
        <w:t xml:space="preserve">[V16-17] Chen, Chiyi; Zheng, Qiming; Zhang, Li; et al. Peptide Receptor Radionuclide Therapy for Recurrent Neuroendocrine Tumor Liver Metastases After Liver transplantation: A Case Series. Transplantation proceedings. 2026; 58(3):526-531. </w:t>
      </w:r>
      <w:hyperlink r:id="rId155">
        <w:r>
          <w:rPr>
            <w:color w:val="0563C1"/>
            <w:u w:val="single"/>
          </w:rPr>
          <w:t>Source</w:t>
        </w:r>
      </w:hyperlink>
      <w:r>
        <w:t xml:space="preserve"> | </w:t>
      </w:r>
      <w:hyperlink r:id="rId156">
        <w:r>
          <w:rPr>
            <w:color w:val="0563C1"/>
            <w:u w:val="single"/>
          </w:rPr>
          <w:t>Full-text access</w:t>
        </w:r>
      </w:hyperlink>
    </w:p>
    <w:p>
      <w:pPr>
        <w:pStyle w:val="Normal"/>
        <w:widowControl/>
        <w:spacing w:after="120"/>
      </w:pPr>
      <w:r>
        <w:t xml:space="preserve"/>
      </w:r>
      <w:r>
        <w:t xml:space="preserve">[V16-18] Sposito, Carlo; Rossi, Roberta Elisa; Monteleone, Michela; et al. Postrecurrence Survival After Liver Transplantation for Liver Metastases From Neuroendocrine Tumors. Transplantation. 2021; 105(12):2579-2586. </w:t>
      </w:r>
      <w:hyperlink r:id="rId157">
        <w:r>
          <w:rPr>
            <w:color w:val="0563C1"/>
            <w:u w:val="single"/>
          </w:rPr>
          <w:t>Source</w:t>
        </w:r>
      </w:hyperlink>
      <w:r>
        <w:t xml:space="preserve"> | </w:t>
      </w:r>
      <w:hyperlink r:id="rId158">
        <w:r>
          <w:rPr>
            <w:color w:val="0563C1"/>
            <w:u w:val="single"/>
          </w:rPr>
          <w:t>Full-text access</w:t>
        </w:r>
      </w:hyperlink>
    </w:p>
    <w:p>
      <w:pPr>
        <w:pStyle w:val="Normal"/>
        <w:widowControl/>
        <w:spacing w:after="120"/>
      </w:pPr>
      <w:r>
        <w:t xml:space="preserve"/>
      </w:r>
      <w:r>
        <w:t xml:space="preserve">[V16-19] Chan JA; Geyer S; Zemla T; et al. Phase 3 Trial of Cabozantinib to Treat Advanced Neuroendocrine Tumors.. The New England journal of medicine. 2025; 392(7):653-665. </w:t>
      </w:r>
      <w:hyperlink r:id="rId159">
        <w:r>
          <w:rPr>
            <w:color w:val="0563C1"/>
            <w:u w:val="single"/>
          </w:rPr>
          <w:t>Source</w:t>
        </w:r>
      </w:hyperlink>
      <w:r>
        <w:t xml:space="preserve"> | </w:t>
      </w:r>
      <w:hyperlink r:id="rId160">
        <w:r>
          <w:rPr>
            <w:color w:val="0563C1"/>
            <w:u w:val="single"/>
          </w:rPr>
          <w:t>Full-text access</w:t>
        </w:r>
      </w:hyperlink>
    </w:p>
    <w:p>
      <w:pPr>
        <w:pStyle w:val="Normal"/>
        <w:widowControl/>
        <w:spacing w:after="120"/>
      </w:pPr>
      <w:r>
        <w:t xml:space="preserve"/>
      </w:r>
      <w:r>
        <w:t xml:space="preserve">[V16-20] Strosberg, Jonathan R; Caplin, Martyn E; Kunz, Pamela L; et al. 177Lu-Dotatate plus long-acting octreotide versus high‑dose long-acting octreotide in patients with midgut neuroendocrine tumours (NETTER-1): final overall survival and long-term safety results from an open-label, randomised, controlled, phase 3 trial. The Lancet Oncology. 2021; 22(12):1752-1763. </w:t>
      </w:r>
      <w:hyperlink r:id="rId161">
        <w:r>
          <w:rPr>
            <w:color w:val="0563C1"/>
            <w:u w:val="single"/>
          </w:rPr>
          <w:t>Source</w:t>
        </w:r>
      </w:hyperlink>
      <w:r>
        <w:t xml:space="preserve"> | </w:t>
      </w:r>
      <w:hyperlink r:id="rId162">
        <w:r>
          <w:rPr>
            <w:color w:val="0563C1"/>
            <w:u w:val="single"/>
          </w:rPr>
          <w:t>Full-text access</w:t>
        </w:r>
      </w:hyperlink>
    </w:p>
    <w:p>
      <w:pPr>
        <w:pStyle w:val="Normal"/>
        <w:widowControl/>
        <w:spacing w:after="120"/>
      </w:pPr>
      <w:r>
        <w:t xml:space="preserve"/>
      </w:r>
      <w:r>
        <w:t xml:space="preserve">[V16-21] Abecassis, M.M.; Fisher, R.A.; Olthoff, K.M.; et al. Complications of Living Donor Hepatic Lobectomy—A Comprehensive Report. American Journal of Transplantation. 2012; 12(5):1208-1217. </w:t>
      </w:r>
      <w:hyperlink r:id="rId163">
        <w:r>
          <w:rPr>
            <w:color w:val="0563C1"/>
            <w:u w:val="single"/>
          </w:rPr>
          <w:t>Source</w:t>
        </w:r>
      </w:hyperlink>
      <w:r>
        <w:t xml:space="preserve"> | </w:t>
      </w:r>
      <w:hyperlink r:id="rId164">
        <w:r>
          <w:rPr>
            <w:color w:val="0563C1"/>
            <w:u w:val="single"/>
          </w:rPr>
          <w:t>Full-text access</w:t>
        </w:r>
      </w:hyperlink>
    </w:p>
    <w:p>
      <w:pPr>
        <w:pStyle w:val="Normal"/>
        <w:widowControl/>
        <w:spacing w:after="120"/>
      </w:pPr>
      <w:r>
        <w:t xml:space="preserve"/>
      </w:r>
      <w:r>
        <w:t xml:space="preserve">[V16-22] DiMartini, A.; Dew, M.A.; Liu, Q.; et al. Social and Financial Outcomes of Living Liver Donation: A Prospective Investigation Within the Adult-to-Adult Living Donor Liver Transplantation Cohort Study 2 (A2ALL-2). American Journal of Transplantation. 2017; 17(4):1081-1096. </w:t>
      </w:r>
      <w:hyperlink r:id="rId165">
        <w:r>
          <w:rPr>
            <w:color w:val="0563C1"/>
            <w:u w:val="single"/>
          </w:rPr>
          <w:t>Source</w:t>
        </w:r>
      </w:hyperlink>
      <w:r>
        <w:t xml:space="preserve"> | </w:t>
      </w:r>
      <w:hyperlink r:id="rId166">
        <w:r>
          <w:rPr>
            <w:color w:val="0563C1"/>
            <w:u w:val="single"/>
          </w:rPr>
          <w:t>Full-text access</w:t>
        </w:r>
      </w:hyperlink>
    </w:p>
    <w:p>
      <w:pPr>
        <w:pStyle w:val="Normal"/>
        <w:widowControl/>
        <w:spacing w:after="120"/>
      </w:pPr>
      <w:r>
        <w:t xml:space="preserve"/>
      </w:r>
      <w:r>
        <w:t xml:space="preserve">[V16-23] Xiao, Jieling; Zeng, Rebecca Wenling; Lim, Wen Hui; et al. The incidence of adverse outcome in donors after living donor liver transplantation: A meta-analysis of 60,829 donors. Liver Transplantation. 2024; 30(5):493-504. </w:t>
      </w:r>
      <w:hyperlink r:id="rId167">
        <w:r>
          <w:rPr>
            <w:color w:val="0563C1"/>
            <w:u w:val="single"/>
          </w:rPr>
          <w:t>Source</w:t>
        </w:r>
      </w:hyperlink>
      <w:r>
        <w:t xml:space="preserve"> | </w:t>
      </w:r>
      <w:hyperlink r:id="rId168">
        <w:r>
          <w:rPr>
            <w:color w:val="0563C1"/>
            <w:u w:val="single"/>
          </w:rPr>
          <w:t>Full-text access</w:t>
        </w:r>
      </w:hyperlink>
    </w:p>
    <w:p>
      <w:pPr>
        <w:pStyle w:val="Normal"/>
        <w:widowControl/>
        <w:spacing w:after="120"/>
      </w:pPr>
      <w:r>
        <w:t xml:space="preserve"/>
      </w:r>
      <w:r>
        <w:t xml:space="preserve">[V16-24] Kjaer, Josefine; Smith, Sara; Hellman, Per; et al. Overall Survival in Patients with Stage IV Pan-NET Eligible for Liver Transplantation. World Journal of Surgery. 2023. </w:t>
      </w:r>
      <w:hyperlink r:id="rId169">
        <w:r>
          <w:rPr>
            <w:color w:val="0563C1"/>
            <w:u w:val="single"/>
          </w:rPr>
          <w:t>Source</w:t>
        </w:r>
      </w:hyperlink>
      <w:r>
        <w:t xml:space="preserve"> | </w:t>
      </w:r>
      <w:hyperlink r:id="rId170">
        <w:r>
          <w:rPr>
            <w:color w:val="0563C1"/>
            <w:u w:val="single"/>
          </w:rPr>
          <w:t>Full-text access</w:t>
        </w:r>
      </w:hyperlink>
    </w:p>
    <w:p>
      <w:pPr>
        <w:pStyle w:val="Normal"/>
        <w:widowControl/>
        <w:spacing w:after="120"/>
      </w:pPr>
      <w:r>
        <w:t xml:space="preserve"/>
      </w:r>
      <w:r>
        <w:t xml:space="preserve">[V16-25] Mazzaferro, V; Sposito, C; Coppa, J; et al. The Long-Term Benefit of Liver Transplantation for Hepatic Metastases From Neuroendocrine Tumors. American journal of transplantation : official journal of the American Society of Transplantation and the American Society of Transplant Surgeons. 2016; 16(10):2892-2902. </w:t>
      </w:r>
      <w:hyperlink r:id="rId171">
        <w:r>
          <w:rPr>
            <w:color w:val="0563C1"/>
            <w:u w:val="single"/>
          </w:rPr>
          <w:t>Source</w:t>
        </w:r>
      </w:hyperlink>
      <w:r>
        <w:t xml:space="preserve"> | </w:t>
      </w:r>
      <w:hyperlink r:id="rId172">
        <w:r>
          <w:rPr>
            <w:color w:val="0563C1"/>
            <w:u w:val="single"/>
          </w:rPr>
          <w:t>Full-text access</w:t>
        </w:r>
      </w:hyperlink>
    </w:p>
    <w:p>
      <w:pPr>
        <w:pStyle w:val="Normal"/>
        <w:widowControl/>
        <w:spacing w:after="120"/>
      </w:pPr>
      <w:r>
        <w:t xml:space="preserve"/>
      </w:r>
      <w:r>
        <w:t xml:space="preserve">[V16-26] Wedin, Maria; Janson, Eva Tiensuu; Wallin, Göran; et al. Impact on symptoms and survival of bone metastases in patients with small-intestinal neuroendocrine tumours. Journal of neuroendocrinology. 2025; 37(10):e70073. </w:t>
      </w:r>
      <w:hyperlink r:id="rId173">
        <w:r>
          <w:rPr>
            <w:color w:val="0563C1"/>
            <w:u w:val="single"/>
          </w:rPr>
          <w:t>Source</w:t>
        </w:r>
      </w:hyperlink>
      <w:r>
        <w:t xml:space="preserve"> | Local PDF not available in this update</w:t>
      </w:r>
    </w:p>
    <w:p>
      <w:pPr>
        <w:pStyle w:val="Normal"/>
        <w:widowControl/>
        <w:spacing w:after="120"/>
      </w:pPr>
      <w:r>
        <w:t xml:space="preserve"/>
      </w:r>
      <w:r>
        <w:t xml:space="preserve">[V16-27] Sher, Linda S; Levi, David M; Wecsler, Julie S; et al. Liver transplantation for metastatic neuroendocrine tumors: Outcomes and prognostic variables. Journal of surgical oncology. 2015; 112(2):125-32. </w:t>
      </w:r>
      <w:hyperlink r:id="rId174">
        <w:r>
          <w:rPr>
            <w:color w:val="0563C1"/>
            <w:u w:val="single"/>
          </w:rPr>
          <w:t>Source</w:t>
        </w:r>
      </w:hyperlink>
      <w:r>
        <w:t xml:space="preserve"> | Local PDF not available in this update</w:t>
      </w:r>
    </w:p>
    <w:p>
      <w:pPr>
        <w:pStyle w:val="Normal"/>
        <w:widowControl/>
        <w:spacing w:after="120"/>
      </w:pPr>
      <w:r>
        <w:t xml:space="preserve"/>
      </w:r>
      <w:r>
        <w:t xml:space="preserve">[V16-28] Frilling. The impact of 68Ga-DOTATOC positron emission tomography/computed tomography on the multimodal management of patients with neuroendocrine tumors. Annals of surgery. 2010. </w:t>
      </w:r>
      <w:hyperlink r:id="rId175">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NET-B4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6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s-wdsufqyxf2rxmes6dj" Type="http://schemas.openxmlformats.org/officeDocument/2006/relationships/hyperlink" Target="https://doi.org/10.1097/HEP.0000000000001644" TargetMode="External"/><Relationship Id="rIdtcfr3obbkkcbhxhuzpwy-" Type="http://schemas.openxmlformats.org/officeDocument/2006/relationships/hyperlink" Target="https://jamanetwork.com/journals/jamasurgery/fullarticle/10.1001/jamasurg.2023.6083?utm_source=openevidence&amp;utm_medium=referral" TargetMode="External"/><Relationship Id="rIdeznrhtsq7h54sptqk9n88" Type="http://schemas.openxmlformats.org/officeDocument/2006/relationships/hyperlink" Target="https://pubmed.ncbi.nlm.nih.gov/39547997" TargetMode="External"/><Relationship Id="rIdrqftlgqc6gh4johdfomxs" Type="http://schemas.openxmlformats.org/officeDocument/2006/relationships/hyperlink" Target="https://pubmed.ncbi.nlm.nih.gov/35975918" TargetMode="External"/><Relationship Id="rIdsexfqrynmopwsnzwcaeby" Type="http://schemas.openxmlformats.org/officeDocument/2006/relationships/hyperlink" Target="https://pubmed.ncbi.nlm.nih.gov/24384494" TargetMode="External"/><Relationship Id="rIdqqjatj-j_qy8ssb2ncq4x" Type="http://schemas.openxmlformats.org/officeDocument/2006/relationships/hyperlink" Target="https://www.nccn.org/professionals/physician_gls/pdf/neuroendocrine.pdf#page=85" TargetMode="External"/><Relationship Id="rIdwnn-irhqxyamozrph8ip0" Type="http://schemas.openxmlformats.org/officeDocument/2006/relationships/hyperlink" Target="https://meetings.asco.org/abstracts-presentations/265146" TargetMode="External"/><Relationship Id="rIdpeghdabylkcldl_men63k" Type="http://schemas.openxmlformats.org/officeDocument/2006/relationships/hyperlink" Target="https://pubmed.ncbi.nlm.nih.gov/32520679" TargetMode="External"/><Relationship Id="rIduotsek3z0zjbexxxhz4ed" Type="http://schemas.openxmlformats.org/officeDocument/2006/relationships/hyperlink" Target="https://pubmed.ncbi.nlm.nih.gov/39306468" TargetMode="External"/><Relationship Id="rId6ich49yccmu90slafwzqn" Type="http://schemas.openxmlformats.org/officeDocument/2006/relationships/hyperlink" Target="https://pubmed.ncbi.nlm.nih.gov/28230639" TargetMode="External"/><Relationship Id="rIdmk6hdw8gnueekylov--lw" Type="http://schemas.openxmlformats.org/officeDocument/2006/relationships/hyperlink" Target="https://doi.org/10.1097/LVT.0000000000000715" TargetMode="External"/><Relationship Id="rId_j0ycn_h3oziqsj3ofsz8" Type="http://schemas.openxmlformats.org/officeDocument/2006/relationships/hyperlink" Target="https://pubmed.ncbi.nlm.nih.gov/33908381" TargetMode="External"/><Relationship Id="rIdyrr_m5zb_ygx24k-h0q47" Type="http://schemas.openxmlformats.org/officeDocument/2006/relationships/hyperlink" Target="https://pubmed.ncbi.nlm.nih.gov/41760506" TargetMode="External"/><Relationship Id="rIdjetizatnpmv9j7si54kpj" Type="http://schemas.openxmlformats.org/officeDocument/2006/relationships/hyperlink" Target="https://pubmed.ncbi.nlm.nih.gov/37208101" TargetMode="External"/><Relationship Id="rIdw1jzn_g1vtqsmv9yqhjte" Type="http://schemas.openxmlformats.org/officeDocument/2006/relationships/hyperlink" Target="https://pubmed.ncbi.nlm.nih.gov/42234009" TargetMode="External"/><Relationship Id="rIdvicdzinwhbffzc-amx4ne" Type="http://schemas.openxmlformats.org/officeDocument/2006/relationships/hyperlink" Target="https://pubmed.ncbi.nlm.nih.gov/32213292" TargetMode="External"/><Relationship Id="rId22" Type="http://schemas.openxmlformats.org/officeDocument/2006/relationships/fontTable" Target="fontTable.xml"/><Relationship Id="rId23" Type="http://schemas.openxmlformats.org/officeDocument/2006/relationships/hyperlink" Target="https://doi.org/10.1056/NEJMoa2403991"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97/HEP.0000000000001644"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056/NEJMoa1316158"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111/j.1600-6143.2011.03972.x"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111/ajt.14055"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097/LVT.0000000000000303"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97/SLA.0b013e31828ee17c"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oi.org/10.1007/s00268-022-06736-1"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oi.org/10.1111/ajt.17156"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oi.org/10.1097/SLA.0000000000005663"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1016/S1470-2045(21)00572-6"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doi.org/10.1016/j.transproceed.2026.02.019"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pubmed.ncbi.nlm.nih.gov/24384494"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jamanetwork.com/journals/jamasurgery/fullarticle/10.1001/jamasurg.2023.6083?utm_source=openevidence&amp;utm_medium=referral"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www.nccn.org/professionals/physician_gls/pdf/neuroendocrine.pdf#page=85"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97/lvt.0000000000000715"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pubmed.ncbi.nlm.nih.gov/39547997"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pubmed.ncbi.nlm.nih.gov/33908381"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pubmed.ncbi.nlm.nih.gov/28230639" TargetMode="External"/><Relationship Id="rId60" Type="http://schemas.openxmlformats.org/officeDocument/2006/relationships/hyperlink" Target="https://drliuhao.github.io/mh-liver-pathways/evidence-libraries/"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www.hrsa.gov/sites/default/files/hrsa/optn/optn_policies.pdf"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www.hrsa.gov/sites/default/files/hrsa/optn/adult-meld-exception-transplant-oncology-review-guidance.pdf"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www.nccn.org/professionals/physician_gls/pdf/neuroendocrine.pdf#page=85"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97/HEP.0000000000001644"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jamanetwork.com/journals/jamasurgery/fullarticle/10.1001/jamasurg.2023.6083?utm_source=openevidence&amp;utm_medium=referral"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pubmed.ncbi.nlm.nih.gov/39547997"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doi.org/10.1097/SLA.0000000000005663"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doi.org/10.1111/jne.70250"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doi.org/10.1111/ajt.17156"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doi.org/10.1097/SLA.0b013e31828ee17c"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1056/NEJMoa1316158"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pubmed.ncbi.nlm.nih.gov/24384494"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doi.org/10.1097/lvt.0000000000000715"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doi.org/10.1016/S0140-6736(24)01595-2"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pubmed.ncbi.nlm.nih.gov/28230639"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dailymed.nlm.nih.gov/dailymed/drugInfo.cfm?setid=e082a024-7850-400b-a5c2-2a140612562a"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oi.org/10.1016/j.transproceed.2026.02.019"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pubmed.ncbi.nlm.nih.gov/33908381"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oi.org/10.1056/NEJMoa2403991"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doi.org/10.1016/S1470-2045(21)00572-6"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doi.org/10.1111/j.1600-6143.2011.03972.x"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doi.org/10.1111/ajt.14055"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97/LVT.0000000000000303"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07/s00268-022-06736-1"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111/ajt.13831"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111/ajt.17156"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111/jne.70250"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111/jne.70073" TargetMode="External"/><Relationship Id="rId119" Type="http://schemas.openxmlformats.org/officeDocument/2006/relationships/hyperlink" Target="https://doi.org/10.1097/SLA.0b013e31828ee17c"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doi.org/10.1002/jso.23973" TargetMode="External"/><Relationship Id="rId122" Type="http://schemas.openxmlformats.org/officeDocument/2006/relationships/hyperlink" Target="https://doi.org/10.1097/SLA.0b013e3181fd37e8" TargetMode="External"/><Relationship Id="rId123" Type="http://schemas.openxmlformats.org/officeDocument/2006/relationships/hyperlink" Target="https://www.hrsa.gov/sites/default/files/hrsa/optn/optn_policies.pdf" TargetMode="External"/><Relationship Id="rId124" Type="http://schemas.openxmlformats.org/officeDocument/2006/relationships/hyperlink" Target="https://drliuhao.github.io/mh-liver-pathways/evidence-libraries/" TargetMode="External"/><Relationship Id="rId125" Type="http://schemas.openxmlformats.org/officeDocument/2006/relationships/hyperlink" Target="https://www.hrsa.gov/sites/default/files/hrsa/optn/adult-meld-exception-transplant-oncology-review-guidance.pdf"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www.nccn.org/professionals/physician_gls/pdf/neuroendocrine.pdf#page=85" TargetMode="External"/><Relationship Id="rId128" Type="http://schemas.openxmlformats.org/officeDocument/2006/relationships/hyperlink" Target="https://drliuhao.github.io/mh-liver-pathways/evidence-libraries/" TargetMode="External"/><Relationship Id="rId129" Type="http://schemas.openxmlformats.org/officeDocument/2006/relationships/hyperlink" Target="https://doi.org/10.1097/HEP.0000000000001644" TargetMode="External"/><Relationship Id="rId130" Type="http://schemas.openxmlformats.org/officeDocument/2006/relationships/hyperlink" Target="https://drliuhao.github.io/mh-liver-pathways/evidence-libraries/" TargetMode="External"/><Relationship Id="rId131" Type="http://schemas.openxmlformats.org/officeDocument/2006/relationships/hyperlink" Target="https://jamanetwork.com/journals/jamasurgery/fullarticle/10.1001/jamasurg.2023.6083?utm_source=openevidence&amp;utm_medium=referral" TargetMode="External"/><Relationship Id="rId132" Type="http://schemas.openxmlformats.org/officeDocument/2006/relationships/hyperlink" Target="https://drliuhao.github.io/mh-liver-pathways/evidence-libraries/" TargetMode="External"/><Relationship Id="rId133" Type="http://schemas.openxmlformats.org/officeDocument/2006/relationships/hyperlink" Target="https://pubmed.ncbi.nlm.nih.gov/39547997" TargetMode="External"/><Relationship Id="rId134" Type="http://schemas.openxmlformats.org/officeDocument/2006/relationships/hyperlink" Target="https://drliuhao.github.io/mh-liver-pathways/evidence-libraries/" TargetMode="External"/><Relationship Id="rId135" Type="http://schemas.openxmlformats.org/officeDocument/2006/relationships/hyperlink" Target="https://doi.org/10.1097/SLA.0000000000005663" TargetMode="External"/><Relationship Id="rId136" Type="http://schemas.openxmlformats.org/officeDocument/2006/relationships/hyperlink" Target="https://drliuhao.github.io/mh-liver-pathways/evidence-libraries/" TargetMode="External"/><Relationship Id="rId137" Type="http://schemas.openxmlformats.org/officeDocument/2006/relationships/hyperlink" Target="https://doi.org/10.1111/jne.70250" TargetMode="External"/><Relationship Id="rId138" Type="http://schemas.openxmlformats.org/officeDocument/2006/relationships/hyperlink" Target="https://drliuhao.github.io/mh-liver-pathways/evidence-libraries/" TargetMode="External"/><Relationship Id="rId139" Type="http://schemas.openxmlformats.org/officeDocument/2006/relationships/hyperlink" Target="https://doi.org/10.1111/ajt.17156" TargetMode="External"/><Relationship Id="rId140" Type="http://schemas.openxmlformats.org/officeDocument/2006/relationships/hyperlink" Target="https://drliuhao.github.io/mh-liver-pathways/evidence-libraries/" TargetMode="External"/><Relationship Id="rId141" Type="http://schemas.openxmlformats.org/officeDocument/2006/relationships/hyperlink" Target="https://doi.org/10.1097/SLA.0b013e31828ee17c" TargetMode="External"/><Relationship Id="rId142" Type="http://schemas.openxmlformats.org/officeDocument/2006/relationships/hyperlink" Target="https://drliuhao.github.io/mh-liver-pathways/evidence-libraries/" TargetMode="External"/><Relationship Id="rId143" Type="http://schemas.openxmlformats.org/officeDocument/2006/relationships/hyperlink" Target="https://doi.org/10.1056/NEJMoa1316158" TargetMode="External"/><Relationship Id="rId144" Type="http://schemas.openxmlformats.org/officeDocument/2006/relationships/hyperlink" Target="https://drliuhao.github.io/mh-liver-pathways/evidence-libraries/" TargetMode="External"/><Relationship Id="rId145" Type="http://schemas.openxmlformats.org/officeDocument/2006/relationships/hyperlink" Target="https://pubmed.ncbi.nlm.nih.gov/24384494" TargetMode="External"/><Relationship Id="rId146" Type="http://schemas.openxmlformats.org/officeDocument/2006/relationships/hyperlink" Target="https://drliuhao.github.io/mh-liver-pathways/evidence-libraries/" TargetMode="External"/><Relationship Id="rId147" Type="http://schemas.openxmlformats.org/officeDocument/2006/relationships/hyperlink" Target="https://doi.org/10.1097/lvt.0000000000000715" TargetMode="External"/><Relationship Id="rId148" Type="http://schemas.openxmlformats.org/officeDocument/2006/relationships/hyperlink" Target="https://drliuhao.github.io/mh-liver-pathways/evidence-libraries/" TargetMode="External"/><Relationship Id="rId149" Type="http://schemas.openxmlformats.org/officeDocument/2006/relationships/hyperlink" Target="https://doi.org/10.1016/S0140-6736(24)01595-2" TargetMode="External"/><Relationship Id="rId150" Type="http://schemas.openxmlformats.org/officeDocument/2006/relationships/hyperlink" Target="https://drliuhao.github.io/mh-liver-pathways/evidence-libraries/" TargetMode="External"/><Relationship Id="rId151" Type="http://schemas.openxmlformats.org/officeDocument/2006/relationships/hyperlink" Target="https://pubmed.ncbi.nlm.nih.gov/28230639" TargetMode="External"/><Relationship Id="rId152" Type="http://schemas.openxmlformats.org/officeDocument/2006/relationships/hyperlink" Target="https://drliuhao.github.io/mh-liver-pathways/evidence-libraries/" TargetMode="External"/><Relationship Id="rId153" Type="http://schemas.openxmlformats.org/officeDocument/2006/relationships/hyperlink" Target="https://dailymed.nlm.nih.gov/dailymed/drugInfo.cfm?setid=e082a024-7850-400b-a5c2-2a140612562a" TargetMode="External"/><Relationship Id="rId154" Type="http://schemas.openxmlformats.org/officeDocument/2006/relationships/hyperlink" Target="https://drliuhao.github.io/mh-liver-pathways/evidence-libraries/" TargetMode="External"/><Relationship Id="rId155" Type="http://schemas.openxmlformats.org/officeDocument/2006/relationships/hyperlink" Target="https://doi.org/10.1016/j.transproceed.2026.02.019"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pubmed.ncbi.nlm.nih.gov/33908381"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doi.org/10.1056/NEJMoa2403991" TargetMode="External"/><Relationship Id="rId160" Type="http://schemas.openxmlformats.org/officeDocument/2006/relationships/hyperlink" Target="https://drliuhao.github.io/mh-liver-pathways/evidence-libraries/" TargetMode="External"/><Relationship Id="rId161" Type="http://schemas.openxmlformats.org/officeDocument/2006/relationships/hyperlink" Target="https://doi.org/10.1016/S1470-2045(21)00572-6" TargetMode="External"/><Relationship Id="rId162" Type="http://schemas.openxmlformats.org/officeDocument/2006/relationships/hyperlink" Target="https://drliuhao.github.io/mh-liver-pathways/evidence-libraries/" TargetMode="External"/><Relationship Id="rId163" Type="http://schemas.openxmlformats.org/officeDocument/2006/relationships/hyperlink" Target="https://doi.org/10.1111/j.1600-6143.2011.03972.x" TargetMode="External"/><Relationship Id="rId164" Type="http://schemas.openxmlformats.org/officeDocument/2006/relationships/hyperlink" Target="https://drliuhao.github.io/mh-liver-pathways/evidence-libraries/" TargetMode="External"/><Relationship Id="rId165" Type="http://schemas.openxmlformats.org/officeDocument/2006/relationships/hyperlink" Target="https://doi.org/10.1111/ajt.14055" TargetMode="External"/><Relationship Id="rId166" Type="http://schemas.openxmlformats.org/officeDocument/2006/relationships/hyperlink" Target="https://drliuhao.github.io/mh-liver-pathways/evidence-libraries/" TargetMode="External"/><Relationship Id="rId167" Type="http://schemas.openxmlformats.org/officeDocument/2006/relationships/hyperlink" Target="https://doi.org/10.1097/LVT.0000000000000303" TargetMode="External"/><Relationship Id="rId168" Type="http://schemas.openxmlformats.org/officeDocument/2006/relationships/hyperlink" Target="https://drliuhao.github.io/mh-liver-pathways/evidence-libraries/" TargetMode="External"/><Relationship Id="rId169" Type="http://schemas.openxmlformats.org/officeDocument/2006/relationships/hyperlink" Target="https://doi.org/10.1007/s00268-022-06736-1" TargetMode="External"/><Relationship Id="rId170" Type="http://schemas.openxmlformats.org/officeDocument/2006/relationships/hyperlink" Target="https://drliuhao.github.io/mh-liver-pathways/evidence-libraries/" TargetMode="External"/><Relationship Id="rId171" Type="http://schemas.openxmlformats.org/officeDocument/2006/relationships/hyperlink" Target="https://doi.org/10.1111/ajt.13831" TargetMode="External"/><Relationship Id="rId172" Type="http://schemas.openxmlformats.org/officeDocument/2006/relationships/hyperlink" Target="https://drliuhao.github.io/mh-liver-pathways/evidence-libraries/" TargetMode="External"/><Relationship Id="rId173" Type="http://schemas.openxmlformats.org/officeDocument/2006/relationships/hyperlink" Target="https://doi.org/10.1111/jne.70073" TargetMode="External"/><Relationship Id="rId174" Type="http://schemas.openxmlformats.org/officeDocument/2006/relationships/hyperlink" Target="https://doi.org/10.1002/jso.23973" TargetMode="External"/><Relationship Id="rId175" Type="http://schemas.openxmlformats.org/officeDocument/2006/relationships/hyperlink" Target="https://doi.org/10.1097/SLA.0b013e3181fd37e8"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2026-07-15T23:24:18.551Z</dcterms:created>
  <dcterms:modified xsi:type="dcterms:W3CDTF">2026-10-29T14:21:26Z</dcterms:modified>
  <dc:title>UTHealth Houston / Memorial Hermann — Neuroendocrine liver metastases Standard / Guidance-Aligned Transplant Protocol V8</dc:title>
  <dc:subject>Non-standard NLRB pathway under December 2025 transplant-oncology guidance</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