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line="252" w:lineRule="auto" w:after="120"/>
      </w:pPr>
      <w:r>
        <w:rPr>
          <w:b w:val="0"/>
          <w:i w:val="0"/>
          <w:sz w:val="44"/>
        </w:rPr>
        <w:t>Neuroendocrine liver metastases — Standard transplant pathway: questions for consensus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UTHealth Houston and Memorial Hermann · HPB oncology · 29 October 2026 · V17 standardized documents</w:t>
      </w:r>
    </w:p>
    <w:p>
      <w:pPr>
        <w:spacing w:after="80"/>
      </w:pPr>
      <w:r>
        <w:rPr>
          <w:b w:val="0"/>
          <w:i w:val="0"/>
        </w:rPr>
        <w:t>Every question in the standard transplant pathway that still needs a consensus answer. Each one shows what guidelines, trials and papers say, our proposed selection, and space for the group decision. All proposals are OPEN; nothing in this document is activated or approved.</w:t>
      </w:r>
    </w:p>
    <w:p>
      <w:pPr>
        <w:spacing w:after="80"/>
      </w:pPr>
      <w:r>
        <w:rPr>
          <w:b w:val="0"/>
          <w:i w:val="0"/>
        </w:rPr>
        <w:t>Web page: https://drliuhao.github.io/mh-liver-pathways/transplant/nelm/#meeting</w:t>
      </w:r>
    </w:p>
    <w:p>
      <w:pPr>
        <w:spacing w:after="160"/>
      </w:pPr>
      <w:r>
        <w:rPr>
          <w:b/>
          <w:i w:val="0"/>
        </w:rPr>
        <w:t xml:space="preserve">Companion files: </w:t>
      </w:r>
      <w:r>
        <w:rPr>
          <w:b w:val="0"/>
          <w:i w:val="0"/>
          <w:sz w:val="20"/>
        </w:rPr>
        <w:t xml:space="preserve">Full content: </w:t>
      </w:r>
      <w:r>
        <w:rPr>
          <w:b w:val="0"/>
          <w:i/>
        </w:rPr>
        <w:t>NELM_3_Standard_Transplant_Protocol.docx</w:t>
      </w:r>
      <w:r>
        <w:rPr>
          <w:b w:val="0"/>
          <w:i w:val="0"/>
          <w:sz w:val="20"/>
        </w:rPr>
        <w:t xml:space="preserve"> · Decision discussion for all settings: </w:t>
      </w:r>
      <w:r>
        <w:rPr>
          <w:b w:val="0"/>
          <w:i/>
        </w:rPr>
        <w:t>NELM_7_Decision_Discussion.docx</w:t>
      </w:r>
    </w:p>
    <w:p>
      <w:pPr>
        <w:pStyle w:val="Heading1"/>
        <w:keepNext/>
        <w:spacing w:before="280" w:after="80"/>
      </w:pPr>
      <w:r>
        <w:rPr>
          <w:b w:val="0"/>
          <w:i w:val="0"/>
        </w:rPr>
        <w:t>Summary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1300"/>
        <w:gridCol w:w="3500"/>
        <w:gridCol w:w="3780"/>
        <w:gridCol w:w="1500"/>
      </w:tblGrid>
      <w:tr>
        <w:trPr>
          <w:tblHeader/>
        </w:trPr>
        <w:tc>
          <w:tcPr>
            <w:tcW w:type="dxa" w:w="2520"/>
            <w:tcW w:w="13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ID</w:t>
            </w:r>
          </w:p>
        </w:tc>
        <w:tc>
          <w:tcPr>
            <w:tcW w:type="dxa" w:w="2520"/>
            <w:tcW w:w="35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Question</w:t>
            </w:r>
          </w:p>
        </w:tc>
        <w:tc>
          <w:tcPr>
            <w:tcW w:type="dxa" w:w="2520"/>
            <w:tcW w:w="37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Proposed selection (summary)</w:t>
            </w:r>
          </w:p>
        </w:tc>
        <w:tc>
          <w:tcPr>
            <w:tcW w:type="dxa" w:w="2520"/>
            <w:tcW w:w="15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Status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NELM G1</w:t>
            </w:r>
          </w:p>
        </w:tc>
        <w:tc>
          <w:tcPr>
            <w:tcW w:type="dxa" w:w="2520"/>
            <w:tcW w:w="3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How should discordant grade, Ki-67 or an unusual primary be handled?</w:t>
            </w:r>
          </w:p>
        </w:tc>
        <w:tc>
          <w:tcPr>
            <w:tcW w:type="dxa" w:w="2520"/>
            <w:tcW w:w="37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Obtain expert pathology review and reconcile discordant samples/units. Do not carry a historical G1 label forward if current biology suggests G3 or NEC.</w:t>
            </w:r>
          </w:p>
        </w:tc>
        <w:tc>
          <w:tcPr>
            <w:tcW w:type="dxa" w:w="2520"/>
            <w:tcW w:w="1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NELM G2 / G5</w:t>
            </w:r>
          </w:p>
        </w:tc>
        <w:tc>
          <w:tcPr>
            <w:tcW w:type="dxa" w:w="2520"/>
            <w:tcW w:w="3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Can prior nodal disease be distinguished from active or solid-organ metastasis?</w:t>
            </w:r>
          </w:p>
        </w:tc>
        <w:tc>
          <w:tcPr>
            <w:tcW w:type="dxa" w:w="2520"/>
            <w:tcW w:w="37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Document treatment of previously involved nodes and the recurrence-free interval separately from current staging. Active nodal disease prevents transplant listing under this approach; treated nodes may be reconsidered under NLRB…</w:t>
            </w:r>
          </w:p>
        </w:tc>
        <w:tc>
          <w:tcPr>
            <w:tcW w:type="dxa" w:w="2520"/>
            <w:tcW w:w="1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NELM G3 / G5</w:t>
            </w:r>
          </w:p>
        </w:tc>
        <w:tc>
          <w:tcPr>
            <w:tcW w:type="dxa" w:w="2520"/>
            <w:tcW w:w="3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Will our local program use Milan-NET age and liver-volume restrictions?</w:t>
            </w:r>
          </w:p>
        </w:tc>
        <w:tc>
          <w:tcPr>
            <w:tcW w:type="dxa" w:w="2520"/>
            <w:tcW w:w="37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Decide and label local age/burden thresholds explicitly; compare expected transplant benefit with nontransplant options.</w:t>
            </w:r>
          </w:p>
        </w:tc>
        <w:tc>
          <w:tcPr>
            <w:tcW w:type="dxa" w:w="2520"/>
            <w:tcW w:w="1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NELM G4</w:t>
            </w:r>
          </w:p>
        </w:tc>
        <w:tc>
          <w:tcPr>
            <w:tcW w:type="dxa" w:w="2520"/>
            <w:tcW w:w="3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How should PRRT and hepatic radiation/embolization be sequenced?</w:t>
            </w:r>
          </w:p>
        </w:tc>
        <w:tc>
          <w:tcPr>
            <w:tcW w:type="dxa" w:w="2520"/>
            <w:tcW w:w="37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Require a treatment-exposure and reserve review by nuclear medicine, IR and transplant teams before further liver-directed treatment.</w:t>
            </w:r>
          </w:p>
        </w:tc>
        <w:tc>
          <w:tcPr>
            <w:tcW w:type="dxa" w:w="2520"/>
            <w:tcW w:w="1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NELM G5 / G6</w:t>
            </w:r>
          </w:p>
        </w:tc>
        <w:tc>
          <w:tcPr>
            <w:tcW w:type="dxa" w:w="2520"/>
            <w:tcW w:w="3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How do we interpret the “at least 3 months prior” imaging wording?</w:t>
            </w:r>
          </w:p>
        </w:tc>
        <w:tc>
          <w:tcPr>
            <w:tcW w:type="dxa" w:w="2520"/>
            <w:tcW w:w="37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Track clearance, control and scan dates separately. Confirm allocation interpretation rather than assuming the wording means a simple maximum scan age.</w:t>
            </w:r>
          </w:p>
        </w:tc>
        <w:tc>
          <w:tcPr>
            <w:tcW w:type="dxa" w:w="2520"/>
            <w:tcW w:w="1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NELM G6</w:t>
            </w:r>
          </w:p>
        </w:tc>
        <w:tc>
          <w:tcPr>
            <w:tcW w:type="dxa" w:w="2520"/>
            <w:tcW w:w="3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Who is responsible for functional restaging and long-term recurrence surveillance?</w:t>
            </w:r>
          </w:p>
        </w:tc>
        <w:tc>
          <w:tcPr>
            <w:tcW w:type="dxa" w:w="2520"/>
            <w:tcW w:w="37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Assign nuclear-medicine/radiology review, renewal and post-transplant follow-up owners in the local program.</w:t>
            </w:r>
          </w:p>
        </w:tc>
        <w:tc>
          <w:tcPr>
            <w:tcW w:type="dxa" w:w="2520"/>
            <w:tcW w:w="1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80"/>
      </w:pPr>
      <w:r>
        <w:rPr>
          <w:b w:val="0"/>
          <w:i w:val="0"/>
        </w:rPr>
        <w:t>Questions</w:t>
      </w:r>
    </w:p>
    <w:p>
      <w:pPr>
        <w:pStyle w:val="Heading2"/>
        <w:keepNext/>
        <w:spacing w:before="200" w:after="80"/>
      </w:pPr>
      <w:r>
        <w:rPr>
          <w:b w:val="0"/>
          <w:i w:val="0"/>
        </w:rPr>
        <w:t>NELM G1 — How should discordant grade, Ki-67 or an unusual primary be handled?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6">
        <w:r>
          <w:rPr>
            <w:color w:val="0563C1"/>
            <w:u w:val="single"/>
          </w:rPr>
          <w:t xml:space="preserve">Confirm differentiation and grade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9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NLRB · NET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“mitotic rate less than 20 per 10 HPF and index less than 20%”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NET selection criterion 3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Milan-NET · cohort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“Confirmed histology of low-grade (G1-G2) NET”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Table 1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Obtain expert pathology review and reconcile discordant samples/units. Do not carry a historical G1 label forward if current biology suggests G3 or NEC.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Tumor grade affects transplant selection as well as prognosis.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NET pathology · oncology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NELM G1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NELM G2 / G5 — Can prior nodal disease be distinguished from active or solid-organ metastasis?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10">
        <w:r>
          <w:rPr>
            <w:color w:val="0563C1"/>
            <w:u w:val="single"/>
          </w:rPr>
          <w:t xml:space="preserve">Stage disease and confirm primary treatment</w:t>
        </w:r>
      </w:hyperlink>
      <w:r>
        <w:rPr>
          <w:b w:val="0"/>
          <w:i w:val="0"/>
        </w:rPr>
        <w:t xml:space="preserve"> · </w:t>
      </w:r>
      <w:hyperlink r:id="rId11">
        <w:r>
          <w:rPr>
            <w:color w:val="0563C1"/>
            <w:u w:val="single"/>
          </w:rPr>
          <w:t xml:space="preserve">Verify disease control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12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NLRB · NET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“lymph-nodal Ga68 positive locations”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Example of extrahepatic progression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NLRB · NET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“zeroed and remained so for at least 6 months”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Reconsideration wording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NLRB · NET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“Presence of extra-hepatic solid organ metastases (i.e. lungs, bones) should be a permanent exclusion.”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NET exclusions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Document treatment of previously involved nodes and the recurrence-free interval separately from current staging. Active nodal disease prevents transplant listing under this approach; treated nodes may be reconsidered under NLRB guidance. Lung or bone metastases remain a separate exclusion.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Prior nodal disease that has been removed is assessed differently from active nodal metastasis when considering NET transplantation.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NET MDT · nuclear medicine · transplant surgery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NELM G2 / G5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NELM G3 / G5 — Will our local program use Milan-NET age and liver-volume restrictions?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13">
        <w:r>
          <w:rPr>
            <w:color w:val="0563C1"/>
            <w:u w:val="single"/>
          </w:rPr>
          <w:t xml:space="preserve">Compare treatment options</w:t>
        </w:r>
      </w:hyperlink>
      <w:r>
        <w:rPr>
          <w:b w:val="0"/>
          <w:i w:val="0"/>
        </w:rPr>
        <w:t xml:space="preserve"> · </w:t>
      </w:r>
      <w:hyperlink r:id="rId14">
        <w:r>
          <w:rPr>
            <w:color w:val="0563C1"/>
            <w:u w:val="single"/>
          </w:rPr>
          <w:t xml:space="preserve">Request and renew the MELD exception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15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Milan-NET · cohort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“Metastatic diffusion to &lt;50% of the total liver volume”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Table 1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Milan-NET · cohort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“Age &lt; 60 (relative criteria)”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Table 1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NLRB · NET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The current NLRB list does not repeat these exact age/volume restrictions.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December 2025 · pp.8–9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Decide and label local age/burden thresholds explicitly; compare expected transplant benefit with nontransplant options.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Cohort selection rules must not be presented as universally binding allocation policy.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NET MDT · transplant governance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NELM G3 / G5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NELM G4 — How should PRRT and hepatic radiation/embolization be sequenced?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16">
        <w:r>
          <w:rPr>
            <w:color w:val="0563C1"/>
            <w:u w:val="single"/>
          </w:rPr>
          <w:t xml:space="preserve">Review treatment exposure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17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NLRB · NET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Guidance defines disease features and staging, not a mandatory PRRT/Y90 sequence.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December 2025 · pp.8–9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Milan-NET · cohort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Selected NET transplant experience does not validate a universal cumulative radiation threshold.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Mazzaferro et al. · AJT · 2016 · Table 1, PDF p.2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Require a treatment-exposure and reserve review by nuclear medicine, IR and transplant teams before further liver-directed treatment.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This is a local multidisciplinary safety decision; avoid unsupported numeric stop rules.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Nuclear medicine · IR · oncology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NELM G4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NELM G5 / G6 — How do we interpret the “at least 3 months prior” imaging wording?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11">
        <w:r>
          <w:rPr>
            <w:color w:val="0563C1"/>
            <w:u w:val="single"/>
          </w:rPr>
          <w:t xml:space="preserve">Verify disease control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18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NLRB · NET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“at least 3 months prior to initial or extension MELD exception request”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NET metastatic-workup criterion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Milan-NET · cohort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“Stable disease/response to therapies for at least 6 months prior to transplant consideration”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Table 1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Track clearance, control and scan dates separately. Confirm allocation interpretation rather than assuming the wording means a simple maximum scan age.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Different observation periods and imaging intervals must not be collapsed.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Coordinator · NET oncology · allocation leadership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NELM G5 / G6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NELM G6 — Who is responsible for functional restaging and long-term recurrence surveillance?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14">
        <w:r>
          <w:rPr>
            <w:color w:val="0563C1"/>
            <w:u w:val="single"/>
          </w:rPr>
          <w:t xml:space="preserve">Request and renew the MELD exception</w:t>
        </w:r>
      </w:hyperlink>
      <w:r>
        <w:rPr>
          <w:b w:val="0"/>
          <w:i w:val="0"/>
        </w:rPr>
        <w:t xml:space="preserve"> · </w:t>
      </w:r>
      <w:hyperlink r:id="rId19">
        <w:r>
          <w:rPr>
            <w:color w:val="0563C1"/>
            <w:u w:val="single"/>
          </w:rPr>
          <w:t xml:space="preserve">Transplant and follow-up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20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NLRB · NET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Requires evidence of no extrahepatic recurrence at initial and extension review.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December 2025 · pp.8–9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Milan-NET · cohort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Long-term benefit/recurrence data support continuing surveillance but do not mandate one schedule.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Mazzaferro et al. · AJT · 2016 · Table 1, PDF p.2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Assign nuclear-medicine/radiology review, renewal and post-transplant follow-up owners in the local program.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Avoid gaps between transplant and NET oncology care.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Transplant team · NET oncology · coordinator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NELM G6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1"/>
        <w:keepNext/>
        <w:spacing w:before="280" w:after="80"/>
      </w:pPr>
      <w:r>
        <w:rPr>
          <w:b w:val="0"/>
          <w:i w:val="0"/>
        </w:rPr>
        <w:t>Sources</w:t>
      </w:r>
    </w:p>
    <w:p>
      <w:pPr>
        <w:spacing w:after="60"/>
      </w:pPr>
      <w:r>
        <w:rPr>
          <w:b/>
          <w:i w:val="0"/>
          <w:sz w:val="19"/>
        </w:rPr>
        <w:t>Milan-NET · cohort</w:t>
      </w:r>
      <w:r>
        <w:rPr>
          <w:b w:val="0"/>
          <w:i w:val="0"/>
          <w:sz w:val="19"/>
        </w:rPr>
        <w:t xml:space="preserve"> — The long-term benefit of liver transplantation for hepatic metastases from NETs</w:t>
      </w:r>
      <w:r>
        <w:rPr>
          <w:b w:val="0"/>
          <w:i w:val="0"/>
          <w:sz w:val="19"/>
        </w:rPr>
        <w:t xml:space="preserve">  </w:t>
      </w:r>
      <w:hyperlink r:id="rId21">
        <w:r>
          <w:rPr>
            <w:color w:val="0563C1"/>
            <w:u w:val="single"/>
            <w:sz w:val="19"/>
          </w:rPr>
          <w:t xml:space="preserve">Source</w:t>
        </w:r>
      </w:hyperlink>
    </w:p>
    <w:p>
      <w:pPr>
        <w:spacing w:after="60"/>
      </w:pPr>
      <w:r>
        <w:rPr>
          <w:b/>
          <w:i w:val="0"/>
          <w:sz w:val="19"/>
        </w:rPr>
        <w:t>NLRB · NET</w:t>
      </w:r>
      <w:r>
        <w:rPr>
          <w:b w:val="0"/>
          <w:i w:val="0"/>
          <w:sz w:val="19"/>
        </w:rPr>
        <w:t xml:space="preserve"> — Adult MELD exception review guidance — NET</w:t>
      </w:r>
      <w:r>
        <w:rPr>
          <w:b w:val="0"/>
          <w:i w:val="0"/>
          <w:sz w:val="19"/>
        </w:rPr>
        <w:t xml:space="preserve">  </w:t>
      </w:r>
      <w:hyperlink r:id="rId22">
        <w:r>
          <w:rPr>
            <w:color w:val="0563C1"/>
            <w:u w:val="single"/>
            <w:sz w:val="19"/>
          </w:rPr>
          <w:t xml:space="preserve">Source</w:t>
        </w:r>
      </w:hyperlink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5A6069"/>
        <w:sz w:val="15"/>
        <w:szCs w:val="15"/>
      </w:rPr>
      <w:t xml:space="preserve">HPB oncology working reference  |  </w:t>
    </w:r>
    <w:r>
      <w:rPr>
        <w:sz w:val="15"/>
        <w:szCs w:val="15"/>
      </w:rPr>
      <w:t xml:space="preserve"/>
    </w:r>
    <w:r>
      <w:rPr>
        <w:color w:val="5A6069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–"/>
      <w:lvlJc w:val="left"/>
      <w:pPr>
        <w:ind w:left="72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abstractNum w:abstractNumId="4">
    <w:multiLevelType w:val="multilevel"/>
    <w:lvl w:ilvl="0">
      <w:start w:val="1"/>
      <w:numFmt w:val="bullet"/>
      <w:lvlText w:val="•"/>
      <w:lvlJc w:val="left"/>
      <w:pPr>
        <w:ind w:left="360" w:hanging="180"/>
      </w:pPr>
    </w:lvl>
    <w:lvl w:ilvl="1">
      <w:start w:val="1"/>
      <w:numFmt w:val="bullet"/>
      <w:lvlText w:val="•"/>
      <w:lvlJc w:val="left"/>
      <w:pPr>
        <w:ind w:left="720" w:hanging="180"/>
      </w:pPr>
    </w:lvl>
    <w:lvl w:ilvl="2">
      <w:start w:val="1"/>
      <w:numFmt w:val="bullet"/>
      <w:lvlText w:val="•"/>
      <w:lvlJc w:val="left"/>
      <w:pPr>
        <w:ind w:left="1080" w:hanging="180"/>
      </w:pPr>
    </w:lvl>
  </w:abstractNum>
  <w:num w:numId="3">
    <w:abstractNumId w:val="4"/>
  </w:num>
  <w:abstractNum w:abstractNumId="5">
    <w:multiLevelType w:val="multilevel"/>
    <w:lvl w:ilvl="0">
      <w:start w:val="1"/>
      <w:numFmt w:val="bullet"/>
      <w:lvlText w:val="•"/>
      <w:lvlJc w:val="left"/>
      <w:pPr>
        <w:ind w:left="360" w:hanging="180"/>
      </w:pPr>
    </w:lvl>
    <w:lvl w:ilvl="1">
      <w:start w:val="1"/>
      <w:numFmt w:val="bullet"/>
      <w:lvlText w:val="•"/>
      <w:lvlJc w:val="left"/>
      <w:pPr>
        <w:ind w:left="720" w:hanging="180"/>
      </w:pPr>
    </w:lvl>
    <w:lvl w:ilvl="2">
      <w:start w:val="1"/>
      <w:numFmt w:val="bullet"/>
      <w:lvlText w:val="•"/>
      <w:lvlJc w:val="left"/>
      <w:pPr>
        <w:ind w:left="1080" w:hanging="180"/>
      </w:pPr>
    </w:lvl>
  </w:abstractNum>
  <w:num w:numId="4">
    <w:abstractNumId w:val="5"/>
  </w:num>
  <w:abstractNum w:abstractNumId="6">
    <w:multiLevelType w:val="multilevel"/>
    <w:lvl w:ilvl="0">
      <w:start w:val="1"/>
      <w:numFmt w:val="bullet"/>
      <w:lvlText w:val="•"/>
      <w:lvlJc w:val="left"/>
      <w:pPr>
        <w:ind w:left="360" w:hanging="180"/>
      </w:pPr>
    </w:lvl>
    <w:lvl w:ilvl="1">
      <w:start w:val="1"/>
      <w:numFmt w:val="bullet"/>
      <w:lvlText w:val="•"/>
      <w:lvlJc w:val="left"/>
      <w:pPr>
        <w:ind w:left="720" w:hanging="180"/>
      </w:pPr>
    </w:lvl>
    <w:lvl w:ilvl="2">
      <w:start w:val="1"/>
      <w:numFmt w:val="bullet"/>
      <w:lvlText w:val="•"/>
      <w:lvlJc w:val="left"/>
      <w:pPr>
        <w:ind w:left="1080" w:hanging="180"/>
      </w:pPr>
    </w:lvl>
  </w:abstractNum>
  <w:num w:numId="5">
    <w:abstractNumId w:val="6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5181F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  <w:color w:val="000000"/>
      <w:u w:val="none"/>
    </w:rPr>
  </w:style>
  <w:style w:type="paragraph" w:styleId="Heading1">
    <w:name w:val="Heading 1"/>
    <w:basedOn w:val="Normal"/>
    <w:next w:val="Normal"/>
    <w:qFormat/>
    <w:rPr>
      <w:rFonts w:ascii="Cambria" w:cs="Cambria" w:eastAsia="Cambria" w:hAnsi="Cambria"/>
      <w:b/>
      <w:bCs/>
      <w:color w:val="17365D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mbria" w:cs="Cambria" w:eastAsia="Cambria" w:hAnsi="Cambria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ambria" w:cs="Cambria" w:eastAsia="Cambria" w:hAnsi="Cambria"/>
      <w:b/>
      <w:bCs/>
      <w:color w:val="17365D"/>
      <w:sz w:val="22"/>
      <w:szCs w:val="22"/>
    </w:rPr>
  </w:style>
  <w:style w:type="paragraph" w:styleId="Heading4">
    <w:name w:val="Heading 4"/>
    <w:basedOn w:val="Normal"/>
    <w:next w:val="Normal"/>
    <w:qFormat/>
    <w:rPr>
      <w:rFonts w:ascii="Calibri" w:cs="Calibri" w:eastAsia="Calibri" w:hAnsi="Calibri"/>
      <w:b/>
      <w:bCs/>
      <w:color w:val="176A87"/>
      <w:sz w:val="20"/>
      <w:szCs w:val="20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6" Type="http://schemas.openxmlformats.org/officeDocument/2006/relationships/hyperlink" Target="https://drliuhao.github.io/mh-liver-pathways/transplant/nelm/#biology" TargetMode="External"/><Relationship Id="rId9" Type="http://schemas.openxmlformats.org/officeDocument/2006/relationships/hyperlink" Target="https://drliuhao.github.io/mh-liver-pathways/transplant/nelm/#meeting-biology" TargetMode="External"/><Relationship Id="rId10" Type="http://schemas.openxmlformats.org/officeDocument/2006/relationships/hyperlink" Target="https://drliuhao.github.io/mh-liver-pathways/transplant/nelm/#distribution" TargetMode="External"/><Relationship Id="rId11" Type="http://schemas.openxmlformats.org/officeDocument/2006/relationships/hyperlink" Target="https://drliuhao.github.io/mh-liver-pathways/transplant/nelm/#observation" TargetMode="External"/><Relationship Id="rId12" Type="http://schemas.openxmlformats.org/officeDocument/2006/relationships/hyperlink" Target="https://drliuhao.github.io/mh-liver-pathways/transplant/nelm/#meeting-extrahepatic" TargetMode="External"/><Relationship Id="rId13" Type="http://schemas.openxmlformats.org/officeDocument/2006/relationships/hyperlink" Target="https://drliuhao.github.io/mh-liver-pathways/transplant/nelm/#options" TargetMode="External"/><Relationship Id="rId14" Type="http://schemas.openxmlformats.org/officeDocument/2006/relationships/hyperlink" Target="https://drliuhao.github.io/mh-liver-pathways/transplant/nelm/#review" TargetMode="External"/><Relationship Id="rId15" Type="http://schemas.openxmlformats.org/officeDocument/2006/relationships/hyperlink" Target="https://drliuhao.github.io/mh-liver-pathways/transplant/nelm/#meeting-selection" TargetMode="External"/><Relationship Id="rId16" Type="http://schemas.openxmlformats.org/officeDocument/2006/relationships/hyperlink" Target="https://drliuhao.github.io/mh-liver-pathways/transplant/nelm/#exposure" TargetMode="External"/><Relationship Id="rId17" Type="http://schemas.openxmlformats.org/officeDocument/2006/relationships/hyperlink" Target="https://drliuhao.github.io/mh-liver-pathways/transplant/nelm/#meeting-sequencing" TargetMode="External"/><Relationship Id="rId18" Type="http://schemas.openxmlformats.org/officeDocument/2006/relationships/hyperlink" Target="https://drliuhao.github.io/mh-liver-pathways/transplant/nelm/#meeting-observation" TargetMode="External"/><Relationship Id="rId19" Type="http://schemas.openxmlformats.org/officeDocument/2006/relationships/hyperlink" Target="https://drliuhao.github.io/mh-liver-pathways/transplant/nelm/#follow-up" TargetMode="External"/><Relationship Id="rId20" Type="http://schemas.openxmlformats.org/officeDocument/2006/relationships/hyperlink" Target="https://drliuhao.github.io/mh-liver-pathways/transplant/nelm/#meeting-ownership" TargetMode="External"/><Relationship Id="rId21" Type="http://schemas.openxmlformats.org/officeDocument/2006/relationships/hyperlink" Target="https://doi.org/10.1111/ajt.13831" TargetMode="External"/><Relationship Id="rId22" Type="http://schemas.openxmlformats.org/officeDocument/2006/relationships/hyperlink" Target="https://www.hrsa.gov/sites/default/files/hrsa/optn/adult-meld-exception-transplant-oncology-review-guidance.pdf#page=8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Hermann HCC system roadmap v0.9</dc:title>
  <dc:subject>Hepatocellular carcinoma</dc:subject>
  <dc:creator>Memorial Hermann / UTHealth Houston tumour roadmap programme</dc:creator>
  <dc:description>Draft under development. Not ratified clinical policy.</dc:description>
  <cp:lastModifiedBy>Un-named</cp:lastModifiedBy>
  <cp:revision>1</cp:revision>
  <dcterms:created xsi:type="dcterms:W3CDTF">2026-10-10T04:29:15.270Z</dcterms:created>
  <dcterms:modified xsi:type="dcterms:W3CDTF">2026-10-29T14:21:32Z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