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and Memorial Hermann High Risk Liver Transplant Protocol for Neuroendocrine Liver Metastases V16</w:t>
      </w:r>
    </w:p>
    <w:p>
      <w:pPr>
        <w:pStyle w:val="Normal"/>
        <w:widowControl/>
      </w:pPr>
      <w:r>
        <w:t xml:space="preserve">Determine whether LT offers meaningful additional benefit over contemporary NET treatment, then distinguish national exception guidance from local prognostic selection and true experimental expansion. Indolent disease with excellent expected non-LT survival must not be transplanted merely to produce favorable recipient survival.</w:t>
      </w:r>
    </w:p>
    <w:p>
      <w:pPr>
        <w:spacing w:after="120"/>
      </w:pPr>
      <w:r>
        <w:rPr>
          <w:i/>
          <w:sz w:val="18"/>
        </w:rPr>
        <w:t xml:space="preserve">Standardized document set, 29 October 2026: this is the full-content document for the high-risk transplant protocol. Questions for consensus: NELM_6_High_Risk_Transplant_Questions.docx. Decision discussion for all settings: NELM_7_Decision_Discussion.docx. Web page: https://drliuhao.github.io/mh-liver-pathways/transplant/nelm/#high-risk</w:t>
      </w:r>
    </w:p>
    <w:p>
      <w:pPr>
        <w:pStyle w:val="Normal"/>
        <w:widowControl/>
      </w:pPr>
      <w:r>
        <w:t xml:space="preserve">Version 16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iNzIyMzA3Mi0zMWI3LTU0NDAtYWNkOS02ZGRiM2MyMzZjOW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1 Purpose and evidence basis</w:t>
      </w:r>
    </w:p>
    <w:p>
      <w:pPr>
        <w:pStyle w:val="Normal"/>
        <w:widowControl/>
      </w:pPr>
      <w:r>
        <w:t xml:space="preserve">The Milan-NET comparison included 42 recipients and 46 nontransplanted patients, with substantial age and treatment differences. Five-/ten-year OS was 97.2%/88.8% versus 50.9%/22.4%. It was nonrandomized and predates many current treatment strategies; it does not determine benefit versus contemporary PRRT, targeted therapy or liver-directed care.</w:t>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pPr>
      <w:r>
        <w:t xml:space="preserve">The Spanish historical series included 91 recipients, 41 transplanted before 2007. Table 5 reported five-year OS 71.0% within Milan versus 58.7% outside Milan, with an OS difference; the nonsignificant DFS comparison did not show equivalence. There were 52 recurrences, nine 90-day deaths and nine reported retransplant events: two primary nonfunction, six hepatic-artery thrombosis and one late rejection. These are historical recipient data, not modern center-specific risks or a non-LT comparison.</w:t>
      </w:r>
      <w:r>
        <w:t xml:space="preserve"> </w:t>
      </w:r>
      <w:r>
        <w:t xml:space="preserve"> </w:t>
      </w:r>
      <w:r>
        <w:fldChar w:fldCharType="begin"/>
      </w:r>
      <w:r>
        <w:instrText xml:space="preserve"> ADDIN EN.CITE </w:instrText>
      </w:r>
      <w:r>
        <w:fldChar w:fldCharType="begin">
          <w:fldData>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p>
    <w:p>
      <w:pPr>
        <w:pStyle w:val="Heading3"/>
        <w:keepNext/>
        <w:widowControl/>
      </w:pPr>
      <w:bookmarkStart w:id="1" w:name="NET_B1"/>
      <w:r>
        <w:t xml:space="preserve">NET-B1 — Which patients gain enough over modern non-LT treatment?</w:t>
      </w:r>
      <w:bookmarkEnd w:id="1"/>
    </w:p>
    <w:p>
      <w:pPr>
        <w:pStyle w:val="Heading3"/>
        <w:keepNext/>
        <w:widowControl/>
      </w:pPr>
      <w:r>
        <w:t xml:space="preserve">Question and comparison</w:t>
      </w:r>
    </w:p>
    <w:p>
      <w:pPr>
        <w:pStyle w:val="Normal"/>
        <w:widowControl/>
        <w:spacing w:before="60" w:after="20"/>
      </w:pPr>
      <w:r>
        <w:t xml:space="preserve">Among technically eligible liver-dominant GEP-NET patients, who is likely to gain enough from LT compared with feasible contemporary non-LT care, rather than simply survive well after LT?</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Mazzaferro 2016 · Milan-NET</w:t>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Single-centre comparative Milan-NET study, 88 eligible patients: 42 LT and 46 non-LT, 1995–2010 era, nonrandomized.</w:t>
            </w:r>
          </w:p>
          <w:p>
            <w:pPr>
              <w:pStyle w:val="Normal"/>
              <w:widowControl/>
              <w:spacing w:before="60" w:after="20"/>
            </w:pPr>
            <w:hyperlink r:id="rId23">
              <w:r>
                <w:rPr>
                  <w:color w:val="77230C"/>
                  <w:sz w:val="20"/>
                  <w:u w:val="single"/>
                </w:rPr>
                <w:t>Primary source</w:t>
              </w:r>
            </w:hyperlink>
            <w:r>
              <w:t xml:space="preserve"> | </w:t>
            </w:r>
            <w:hyperlink r:id="rId24">
              <w:r>
                <w:rPr>
                  <w:color w:val="77230C"/>
                  <w:sz w:val="20"/>
                  <w:u w:val="single"/>
                </w:rPr>
                <w:t>Full-text PDF</w:t>
              </w:r>
            </w:hyperlink>
          </w:p>
          <w:p>
            <w:pPr>
              <w:pStyle w:val="Normal"/>
              <w:widowControl/>
              <w:spacing w:before="60" w:after="20"/>
            </w:pPr>
            <w:r>
              <w:t xml:space="preserve">Locator: Am J Transplant 2016;16:2892–2902; full PDF Methods statistical time origin/left truncation, Tables 1–2 eligibility/characteristics, survival and restricted-mean analyses.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pStyle w:val="Normal"/>
              <w:widowControl/>
              <w:spacing w:before="60" w:after="20"/>
            </w:pPr>
            <w:r>
              <w:rPr>
                <w:b/>
              </w:rPr>
              <w:t xml:space="preserve">Do not infer: </w:t>
            </w:r>
            <w:r>
              <w:t xml:space="preserve">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tc>
      </w:tr>
      <w:tr>
        <w:trPr/>
        <w:tc>
          <w:tcPr>
            <w:tcW w:w="3400" w:type="dxa"/>
            <w:tcMar>
              <w:top w:w="90" w:type="dxa"/>
              <w:left w:w="90" w:type="dxa"/>
              <w:bottom w:w="90" w:type="dxa"/>
              <w:right w:w="90" w:type="dxa"/>
            </w:tcMar>
          </w:tcPr>
          <w:p>
            <w:pPr>
              <w:pStyle w:val="Normal"/>
              <w:widowControl/>
              <w:spacing w:before="60" w:after="20"/>
            </w:pPr>
            <w:r>
              <w:rPr>
                <w:b/>
              </w:rPr>
              <w:t xml:space="preserve">Eshmuminov 2023 · LT versus resection</w:t>
            </w:r>
            <w:r>
              <w:t xml:space="preserve"> </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1YxNi02XTwvRGlzcGxheVRleHQ+PHJlY29yZD48cmVjLW51bWJlcj42PC9yZWMtbnVtYmVyPjxmb3JlaWduLWtleXM+PGtleSBhcHA9IkVOIiBkYi1pZD0iYjcyMjMwNzItMzFiNy01NDQwLWFjZDktNmRkYjNjMjM2YzlkIiB0aW1lc3RhbXA9IjE3OTMyODM2ODYiPjY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Retrospective 15-centre study 1988–2021, 455 surgically treated patients (225 LT, 230 LR). Centre-specific selection varied. Propensity matching on age, grade and primary location yielded 96 LT and 96 R0-resected LR patients, with persistent marked lesion-number imbalance. Prior systemic treatment details were unavailable. Twenty-seven percent of LT patients lacked grade; only 10 overall LT recipients had G3, without modern WD-G3 versus NEC discrimination.</w:t>
            </w:r>
          </w:p>
          <w:p>
            <w:pPr>
              <w:pStyle w:val="Normal"/>
              <w:widowControl/>
              <w:spacing w:before="60" w:after="20"/>
            </w:pPr>
            <w:hyperlink r:id="rId25">
              <w:r>
                <w:rPr>
                  <w:color w:val="77230C"/>
                  <w:sz w:val="20"/>
                  <w:u w:val="single"/>
                </w:rPr>
                <w:t>Primary source</w:t>
              </w:r>
            </w:hyperlink>
            <w:r>
              <w:t xml:space="preserve"> | </w:t>
            </w:r>
            <w:hyperlink r:id="rId26">
              <w:r>
                <w:rPr>
                  <w:color w:val="77230C"/>
                  <w:sz w:val="20"/>
                  <w:u w:val="single"/>
                </w:rPr>
                <w:t>Full-text PDF</w:t>
              </w:r>
            </w:hyperlink>
          </w:p>
          <w:p>
            <w:pPr>
              <w:pStyle w:val="Normal"/>
              <w:widowControl/>
              <w:spacing w:before="60" w:after="20"/>
            </w:pPr>
            <w:r>
              <w:t xml:space="preserve">Locator: Methods e1064; unmatched outcomes/Table 1 e1065; grading e1066; matched Results/Table 4 e1067 and Figure 3 e1068; limitations e1069.</w:t>
            </w:r>
          </w:p>
          <w:p>
            <w:pPr>
              <w:pStyle w:val="Normal"/>
              <w:widowControl/>
              <w:spacing w:before="60" w:after="20"/>
            </w:pPr>
            <w:r>
              <w:t xml:space="preserve">Review depth: All nine pages of the complete published main paper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OS/PFS start at operation, not diagnosis, eligibility or treatment assignment; median follow-up 97 months overall, 93 LT and 102 LR. No all-screened or wait-list comparison. Matched analysis n=192. Use main Results/Figure 3, not contradictory abstract: matched five-year OS 75% LT versus 68.3% LR; median OS 205 versus 120 months; HR 0.56 (95% CI 0.35–0.90), P=0.015. Matched five-year PFS 64.2% versus 14.2%; median 107 versus 18 months; HR 0.25 (0.16–0.39). Matched outside-Milan comparison HR 0.64 (0.31–1.33), P=0.24: uncertain benefit, not proof of no benefit. Matched within-Milan HR 0.18 (0.06–0.52). Among LT recipients, G2 versus G1 adjusted OS HR 2.52 (1.15–5.52); five-year OS 70.0% versus 92.9%. Median-derived Ki-67 split 5% is exploratory, not a validated new exclusion threshold. 90-day mortality 13/225 (5.8%) LT versus 3/230 (1.3%) LR overall; matched 7/96 (7.3%) versus 2/96 (2.1%).</w:t>
            </w:r>
          </w:p>
          <w:p>
            <w:pPr>
              <w:pStyle w:val="Normal"/>
              <w:widowControl/>
              <w:spacing w:before="60" w:after="20"/>
            </w:pPr>
            <w:r>
              <w:rPr>
                <w:b/>
              </w:rPr>
              <w:t xml:space="preserve">Do not infer: </w:t>
            </w:r>
            <w:r>
              <w:t xml:space="preserve">Abstract's matched five-year OS 73% versus 52.8%, median 197 versus 119 and HR 0.59 differ from the labelled main Results/Figure 3. Do not blend them. Retrospective selection, substantial missing grade/stage, broad historical era, residual confounding and surgery-time origin; cannot infer causal superiority over resection or modern nonoperative therapy for an individual. Main tables contain other transcription inconsistencies (e.g. grade count/percent, primary-site labels); use internally concordant main outcomes and state reporting limitations. Milan-centre patients overlap other Milan reports. G3 subset insufficient to support expansion. Post-LT mTOR discussion is extrapolative, not a comparative NET regimen trial. Supplement access: Supplementary Material 1, http://links.lww.com/SLA/E183, not included in this download.</w:t>
            </w:r>
          </w:p>
        </w:tc>
      </w:tr>
      <w:tr>
        <w:trPr/>
        <w:tc>
          <w:tcPr>
            <w:tcW w:w="3400" w:type="dxa"/>
            <w:tcMar>
              <w:top w:w="90" w:type="dxa"/>
              <w:left w:w="90" w:type="dxa"/>
              <w:bottom w:w="90" w:type="dxa"/>
              <w:right w:w="90" w:type="dxa"/>
            </w:tcMar>
          </w:tcPr>
          <w:p>
            <w:pPr>
              <w:pStyle w:val="Normal"/>
              <w:widowControl/>
              <w:spacing w:before="60" w:after="20"/>
            </w:pPr>
            <w:r>
              <w:rPr>
                <w:b/>
              </w:rPr>
              <w:t xml:space="preserve">Maspero 2022 · Milan long-term</w:t>
            </w:r>
            <w:r>
              <w:t xml:space="preserve"> </w:t>
            </w:r>
            <w:r>
              <w:t xml:space="preserve"> </w:t>
            </w:r>
            <w:r>
              <w:fldChar w:fldCharType="begin"/>
            </w:r>
            <w:r>
              <w:instrText xml:space="preserve"> ADDIN EN.CITE </w:instrText>
            </w:r>
            <w:r>
              <w:fldChar w:fldCharType="begin">
                <w:fldData>PEVuZE5vdGU+PENpdGU+PEF1dGhvcj5NYXNwZXJvPC9BdXRob3I+PFllYXI+MjAyMjwvWWVhcj48UmVjTnVtPjc8L1JlY051bT48RGlzcGxheVRleHQ+W1YxNi03XTwvRGlzcGxheVRleHQ+PHJlY29yZD48cmVjLW51bWJlcj43PC9yZWMtbnVtYmVyPjxmb3JlaWduLWtleXM+PGtleSBhcHA9IkVOIiBkYi1pZD0iYjcyMjMwNzItMzFiNy01NDQwLWFjZDktNmRkYjNjMjM2YzlkIiB0aW1lc3RhbXA9IjE3OTMyODM2ODYiPjc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Single-centre retrospective analysis of consecutive prospective surgical series 1984–2019: 53 LT and 96 LR; 48 LT/56 LR met Milan criteria on preoperative staging. Criteria: portal-drained resected primary, G1/G2, &lt;50% burden, no extrahepatic disease, ≥6-month stability, age &lt;60 relative. Required ≥6 months postoperative follow-up. Resection versus LT chosen for technical feasibility; estimated &gt;3% perioperative mortality for complex regenerative resection was this centre's definition, not a validated universal threshold.</w:t>
            </w:r>
          </w:p>
          <w:p>
            <w:pPr>
              <w:pStyle w:val="Normal"/>
              <w:widowControl/>
              <w:spacing w:before="60" w:after="20"/>
            </w:pPr>
            <w:hyperlink r:id="rId27">
              <w:r>
                <w:rPr>
                  <w:color w:val="77230C"/>
                  <w:sz w:val="20"/>
                  <w:u w:val="single"/>
                </w:rPr>
                <w:t>Primary source</w:t>
              </w:r>
            </w:hyperlink>
            <w:r>
              <w:t xml:space="preserve"> | </w:t>
            </w:r>
            <w:hyperlink r:id="rId28">
              <w:r>
                <w:rPr>
                  <w:color w:val="77230C"/>
                  <w:sz w:val="20"/>
                  <w:u w:val="single"/>
                </w:rPr>
                <w:t>Full-text PDF</w:t>
              </w:r>
            </w:hyperlink>
          </w:p>
          <w:p>
            <w:pPr>
              <w:pStyle w:val="Normal"/>
              <w:widowControl/>
              <w:spacing w:before="60" w:after="20"/>
            </w:pPr>
            <w:r>
              <w:t xml:space="preserve">Locator: Methods/Milan definitions p 2599; outcomes p 2600; nodal analysis p 2601; Tables 2–3 p 2602; limitations pp 2605–2606.</w:t>
            </w:r>
          </w:p>
          <w:p>
            <w:pPr>
              <w:pStyle w:val="Normal"/>
              <w:widowControl/>
              <w:spacing w:before="60" w:after="20"/>
            </w:pPr>
            <w:r>
              <w:t xml:space="preserve">Review depth: Complete ten-page main paper read. All numerical results were taken from the labelled text/tables rather than estimating plotted curves.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OS/DFS from surgery, not listing or primary diagnosis. Median follow-up 158 months LT and 126 LR. Time primary resection-to-liver surgery 38.5 versus 6.5 months, introducing major test-of-time selection. Five-/ten-year OS 95.5%/93% LT versus 90%/75% LR; ten-year DFS 52% versus 18%. LT-associated univariate HR for OS 0.35 (0.16–0.78), not an adjusted causal effect. Recurrence 25/48 LT versus 42/56 LR; median time to recurrence among recurrence cases 78 versus 24 months, not median DFS for the entire group. LT recurrence range 13–204 months demonstrates very late risk. LT recurrence more often multisite (12/25 versus 5/42), nodal/bone; LR mostly involved liver (37/42 versus 2/25). Postrecurrence five-year survival 72% versus 69%. Nine deaths after LT: three NET-related and six other causes (three new solid cancers, sepsis, lymphoproliferative disease, cardiovascular event). Perioperative risk cannot be assessed reliably from a cohort requiring six-month follow-up. Despite preoperative Milan selection, postoperative Table 2 includes seven &gt;50% burden, two G3 and 16 hilar node-positive LT recipients. This is pathological upstaging/occult findings, not prospective validation of knowingly transplanting these categories. Hilar node positivity was associated with worse OS in a univariate LT analysis, HR 5.7 (1.3–24), P=0.004. DFS HR 2.6 (1.1–5.9) is printed with P=0.22, an internal inconsistency; do not silently correct to 0.022.</w:t>
            </w:r>
          </w:p>
          <w:p>
            <w:pPr>
              <w:pStyle w:val="Normal"/>
              <w:widowControl/>
              <w:spacing w:before="60" w:after="20"/>
            </w:pPr>
            <w:r>
              <w:rPr>
                <w:b/>
              </w:rPr>
              <w:t xml:space="preserve">Do not infer: </w:t>
            </w:r>
            <w:r>
              <w:t xml:space="preserve">Historical single-centre nonrandom selection, no ITT or wait-list dropout data, imbalanced ages/burden/timing; overlap with Milan 2016 and later multicentre series. At least six-month postoperative follow-up criterion risks under-representing early harms. Univariate analyses cannot establish independent risk-adjusted benefit. Only four excluded high-burden cases and one excluded G3 at preoperative selection; failure to find associations in tiny posthoc groups does not validate expanded eligibility. No LT patient &gt;60 was added in the age-expanded comparison (LT remained 48, LR increased to 89), so this is not direct evidence for LT above 60. Supplement access: No separate supplemental file cited; figures and all tables included.</w:t>
            </w:r>
          </w:p>
        </w:tc>
      </w:tr>
      <w:tr>
        <w:trPr/>
        <w:tc>
          <w:tcPr>
            <w:tcW w:w="3400" w:type="dxa"/>
            <w:tcMar>
              <w:top w:w="90" w:type="dxa"/>
              <w:left w:w="90" w:type="dxa"/>
              <w:bottom w:w="90" w:type="dxa"/>
              <w:right w:w="90" w:type="dxa"/>
            </w:tcMar>
          </w:tcPr>
          <w:p>
            <w:pPr>
              <w:pStyle w:val="Normal"/>
              <w:widowControl/>
              <w:spacing w:before="60" w:after="20"/>
            </w:pPr>
            <w:r>
              <w:rPr>
                <w:b/>
              </w:rPr>
              <w:t xml:space="preserve">Kjaer 2023 · eligible non-LT panNET</w:t>
            </w:r>
            <w:r>
              <w:t xml:space="preserve"> </w:t>
            </w:r>
            <w:r>
              <w:t xml:space="preserve"> </w:t>
            </w:r>
            <w:r>
              <w:fldChar w:fldCharType="begin"/>
            </w:r>
            <w:r>
              <w:instrText xml:space="preserve"> ADDIN EN.CITE </w:instrText>
            </w:r>
            <w:r>
              <w:fldChar w:fldCharType="begin">
                <w:fldData>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IENvbXBsZXRlIGVpZ2h0LXBhZ2UgcHVibGlzaGVkIG1haW4gcGFwZXIgcmVhZCwgaW5jbHVkaW5nIGFsbCBtZXRob2RzLCB0YWJsZXMsIGZpZ3VyZXMsIGRpc2N1c3Npb24gYW5kIHJlZmVyZW5jZXMuIFY4IGV4dHJhY3Rpb24gYW5kIGxpbWl0YXRpb25zOiBzb3VyY2UvbWV0YXN0YXNlc19mdWxsdGV4dF9yZXZpZXcuanNvbjwvbm90ZXM+PHVybHM+PHJlbGF0ZWQtdXJscz48dXJsPmh0dHBzOi8vZG9pLm9yZy8xMC4xMDA3L3MwMDI2OC0wMjItMDY3MzYtMT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Retrospective Swedish tertiary-centre pan-NET cohort, 519 screened (2000–2021), 41 with resected primary, G1/G2, liver metastases and no extra-abdominal disease included. Sixteen satisfied one or more study-adapted LT definitions: Milan 11, ENETS 8, UNOS 13 (overlapping). These were not literal current allocation criteria: Milan age extended to &lt;65; two patients with suspicious persistent but stable regional nodes were counted UNOS-eligible after three-month follow-up.</w:t>
            </w:r>
          </w:p>
          <w:p>
            <w:pPr>
              <w:pStyle w:val="Normal"/>
              <w:widowControl/>
              <w:spacing w:before="60" w:after="20"/>
            </w:pPr>
            <w:hyperlink r:id="rId29">
              <w:r>
                <w:rPr>
                  <w:color w:val="77230C"/>
                  <w:sz w:val="20"/>
                  <w:u w:val="single"/>
                </w:rPr>
                <w:t>Primary source</w:t>
              </w:r>
            </w:hyperlink>
            <w:r>
              <w:t xml:space="preserve"> | </w:t>
            </w:r>
            <w:hyperlink r:id="rId30">
              <w:r>
                <w:rPr>
                  <w:color w:val="77230C"/>
                  <w:sz w:val="20"/>
                  <w:u w:val="single"/>
                </w:rPr>
                <w:t>Full-text PDF</w:t>
              </w:r>
            </w:hyperlink>
          </w:p>
          <w:p>
            <w:pPr>
              <w:pStyle w:val="Normal"/>
              <w:widowControl/>
              <w:spacing w:before="60" w:after="20"/>
            </w:pPr>
            <w:r>
              <w:t xml:space="preserve">Locator: Methods/time zero p 341; modified eligibility definitions p 342; baseline/treatments/outcomes pp 343–344; interpretation/limitations pp 345–346.</w:t>
            </w:r>
          </w:p>
          <w:p>
            <w:pPr>
              <w:pStyle w:val="Normal"/>
              <w:widowControl/>
              <w:spacing w:before="60" w:after="20"/>
            </w:pPr>
            <w:r>
              <w:t xml:space="preserve">Review depth: Complete eight-page published main paper read, including all methods, tables, 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set at eligibility for each LT-criteria group; otherwise after first centre visit, primary resection and liver metastasis presence. Mean follow-up 5.4 years; 23 deaths. No actual LT comparator. Eligibility time zero reduces one form of immortal-time bias but retrospective selection remains. All 41: median OS 9.3 years (95% CI 6.8–11.7); five-year OS 64.7% (48.2–81.2). Milan-adapted n=11 five-year OS 64.9% (32.2–97.6); ENETS n=8 85.7% (59.8–100); UNOS-adapted n=13 55.4% (26.0–84.8). Treatment was multimodal, not medical therapy alone: five hepatic resections, 15 ablations, six embolizations, systemic therapy in 40 and later-line PRRT. No standardised toxicity or quality-of-life comparison reported. Most patients had small maximum lesions (overall median 1.5 cm); eligibility/low-burden biology differs from refractory high-burden transplant candidates.</w:t>
            </w:r>
          </w:p>
          <w:p>
            <w:pPr>
              <w:pStyle w:val="Normal"/>
              <w:widowControl/>
              <w:spacing w:before="60" w:after="20"/>
            </w:pPr>
            <w:r>
              <w:rPr>
                <w:b/>
              </w:rPr>
              <w:t xml:space="preserve">Do not infer: </w:t>
            </w:r>
            <w:r>
              <w:t xml:space="preserve">Very small overlapping subgroups, broad CIs, nonrandom historical comparisons; cannot conclude non-LT superiority or that LT is ineffective. Study-adapted UNOS/Milan rules and old ENETS 2012 definitions should not be relabelled as current guidance. A stable suspicious node is not proof of cleared extrahepatic disease. Some percentages/table entries are internally inconsistent; use counts and survival estimates rather than erroneous derived percentages. Source authors' strong anti-LT conclusion exceeds what this uncontrolled non-LT series can establish. Supplement access: No supplementary file cited.</w:t>
            </w:r>
          </w:p>
        </w:tc>
      </w:tr>
      <w:tr>
        <w:trPr/>
        <w:tc>
          <w:tcPr>
            <w:tcW w:w="3400" w:type="dxa"/>
            <w:tcMar>
              <w:top w:w="90" w:type="dxa"/>
              <w:left w:w="90" w:type="dxa"/>
              <w:bottom w:w="90" w:type="dxa"/>
              <w:right w:w="90" w:type="dxa"/>
            </w:tcMar>
          </w:tcPr>
          <w:p>
            <w:pPr>
              <w:pStyle w:val="Normal"/>
              <w:widowControl/>
              <w:spacing w:before="60" w:after="20"/>
            </w:pPr>
            <w:r>
              <w:rPr>
                <w:b/>
              </w:rPr>
              <w:t xml:space="preserve">Chan 2025 · CABINET</w:t>
            </w:r>
            <w:r>
              <w:t xml:space="preserve"> </w:t>
            </w:r>
            <w:r>
              <w:t xml:space="preserve"> </w:t>
            </w:r>
            <w:r>
              <w:fldChar w:fldCharType="begin"/>
            </w:r>
            <w:r>
              <w:instrText xml:space="preserve"> ADDIN EN.CITE </w:instrText>
            </w:r>
            <w:r>
              <w:fldChar w:fldCharType="begin">
                <w:fldData>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I0MDM5OTE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Double-blind phase III trial at 62 US sites, 298 previously treated progressive well-/moderately differentiated advanced NET patients. Two independent randomised cohorts: extrapancreatic n=203 (134 cabozantinib/69 placebo), pancreatic n=95 (64/31). Required prior relevant PRRT/targeted therapy; grades 1–3 and ECOG 0–2 eligible; poorly differentiated NEC excluded. Twenty-four G3 patients overall. This is not a liver-only transplant-eligible population.</w:t>
            </w:r>
          </w:p>
          <w:p>
            <w:pPr>
              <w:pStyle w:val="Normal"/>
              <w:widowControl/>
              <w:spacing w:before="60" w:after="20"/>
            </w:pPr>
            <w:hyperlink r:id="rId31">
              <w:r>
                <w:rPr>
                  <w:color w:val="77230C"/>
                  <w:sz w:val="20"/>
                  <w:u w:val="single"/>
                </w:rPr>
                <w:t>Primary source</w:t>
              </w:r>
            </w:hyperlink>
            <w:r>
              <w:t xml:space="preserve"> | </w:t>
            </w:r>
            <w:hyperlink r:id="rId32">
              <w:r>
                <w:rPr>
                  <w:color w:val="77230C"/>
                  <w:sz w:val="20"/>
                  <w:u w:val="single"/>
                </w:rPr>
                <w:t>Full-text PDF</w:t>
              </w:r>
            </w:hyperlink>
          </w:p>
          <w:p>
            <w:pPr>
              <w:pStyle w:val="Normal"/>
              <w:widowControl/>
              <w:spacing w:before="60" w:after="20"/>
            </w:pPr>
            <w:r>
              <w:t xml:space="preserve">Locator: Eligibility/design pp 654–656; PFS and OS pp 657–661; safety/Table 3 pp 661–663; limitations p 663.</w:t>
            </w:r>
          </w:p>
          <w:p>
            <w:pPr>
              <w:pStyle w:val="Normal"/>
              <w:widowControl/>
              <w:spacing w:before="60" w:after="20"/>
            </w:pPr>
            <w:r>
              <w:t xml:space="preserve">Review depth: All 13 pages of complete NEJM main article read, including Methods, Figures 1–2, Tables 1–3,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ITT by randomised cohort despite ten site misallocations (seven pancreatic enrolled as extra-pancreatic, three reverse); sensitivity analyses consistent. Time zero randomisation. Early stopping/unblinding August 2023; PFS median follow-up 10.2 and 13.8 months; OS follow-up 24.2 and 23.1 months. Safety populations 132/67 and 63/31. Extrapancreatic PFS 8.4 versus 3.9 months, HR 0.38 (95% CI 0.25–0.59), P&lt;0.001; pancreatic PFS 13.8 versus 4.4 months, HR 0.23 (0.12–0.42), P&lt;0.001. Confirmed partial response 7/134 (5%) versus 0/69; pancreatic 12/64 (19%) versus 0/31. No complete responses. No OS benefit established: extra-pancreatic median OS 21.9 versus 19.7 months, HR 0.86 (0.56–1.31); pancreatic 40.0 versus 31.1, HR 0.95 (0.45–2.00). Immature OS, crossover and later therapies complicate interpretation. Treatment-related grade ≥3 adverse events 82/132 (62%) versus 18/67 (27%) and 41/63 (65%) versus 7/31 (23%). Dose reduction in 66%/68% cabozantinib arms; average daily dose around 38 mg despite 60 mg starting dose. Four extra-pancreatic cabozantinib recipients had deaths at least possibly treatment-related (gastric haemorrhage, cardiac arrest, two unspecified). Hypertension, fatigue, diarrhoea and thromboembolic events important. No grade 5 event in pancreatic cohort.</w:t>
            </w:r>
          </w:p>
          <w:p>
            <w:pPr>
              <w:pStyle w:val="Normal"/>
              <w:widowControl/>
              <w:spacing w:before="60" w:after="20"/>
            </w:pPr>
            <w:r>
              <w:rPr>
                <w:b/>
              </w:rPr>
              <w:t xml:space="preserve">Do not infer: </w:t>
            </w:r>
            <w:r>
              <w:t xml:space="preserve">High-quality randomised evidence for PFS in this late-line setting, but placebo comparator, early stopping and no proven OS advantage. Small G3 subgroup does not establish LT eligibility, nor does response to cabozantinib validate transplant downstaging. Not a comparison of LT against contemporary multimodal treatment in liver-only selected NET; post-LT safety was not studied. Quality-of-life results preliminary among questionnaire completers; no proven long-term QOL superiority. Supplement access: Supplementary Appendix, trial protocol, disclosure and data-sharing files not supplied in this PDF.</w:t>
            </w:r>
          </w:p>
        </w:tc>
      </w:tr>
      <w:tr>
        <w:trPr/>
        <w:tc>
          <w:tcPr>
            <w:tcW w:w="3400" w:type="dxa"/>
            <w:tcMar>
              <w:top w:w="90" w:type="dxa"/>
              <w:left w:w="90" w:type="dxa"/>
              <w:bottom w:w="90" w:type="dxa"/>
              <w:right w:w="90" w:type="dxa"/>
            </w:tcMar>
          </w:tcPr>
          <w:p>
            <w:pPr>
              <w:pStyle w:val="Normal"/>
              <w:widowControl/>
              <w:spacing w:before="60" w:after="20"/>
            </w:pPr>
            <w:r>
              <w:rPr>
                <w:b/>
              </w:rPr>
              <w:t xml:space="preserve">Caplin 2014 · CLARINET</w:t>
            </w:r>
            <w:r>
              <w:t xml:space="preserve"> </w:t>
            </w:r>
            <w:r>
              <w:t xml:space="preserve"> </w:t>
            </w:r>
            <w:r>
              <w:fldChar w:fldCharType="begin"/>
            </w:r>
            <w:r>
              <w:instrText xml:space="preserve"> ADDIN EN.CITE </w:instrText>
            </w:r>
            <w:r>
              <w:fldChar w:fldCharType="begin">
                <w:fldData>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EzMTYxNTg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Randomised double-blind phase III multinational trial, 204 patients: lanreotide 120 mg every 28 days n=101 versus placebo n=103 for 96 weeks. Nonfunctioning (controlled gastrinoma allowed), SSTR-positive advanced enteropancreatic NET, well/moderately differentiated with stated Ki-67 &lt;10%; most treatment-naïve (84%) and stable in prior 3–6 months (96%). Thirty-three percent had &gt;25% hepatic tumour volume. Not a refractory, liver-only LT-eligible cohort.</w:t>
            </w:r>
          </w:p>
          <w:p>
            <w:pPr>
              <w:pStyle w:val="Normal"/>
              <w:widowControl/>
              <w:spacing w:before="60" w:after="20"/>
            </w:pPr>
            <w:hyperlink r:id="rId33">
              <w:r>
                <w:rPr>
                  <w:color w:val="77230C"/>
                  <w:sz w:val="20"/>
                  <w:u w:val="single"/>
                </w:rPr>
                <w:t>Primary source</w:t>
              </w:r>
            </w:hyperlink>
            <w:r>
              <w:t xml:space="preserve"> | </w:t>
            </w:r>
            <w:hyperlink r:id="rId34">
              <w:r>
                <w:rPr>
                  <w:color w:val="77230C"/>
                  <w:sz w:val="20"/>
                  <w:u w:val="single"/>
                </w:rPr>
                <w:t>Full-text PDF</w:t>
              </w:r>
            </w:hyperlink>
          </w:p>
          <w:p>
            <w:pPr>
              <w:pStyle w:val="Normal"/>
              <w:widowControl/>
              <w:spacing w:before="60" w:after="20"/>
            </w:pPr>
            <w:r>
              <w:t xml:space="preserve">Locator: Eligibility pp 225–226; endpoint/time origin p 227; outcomes pp 228–230; toxicity Table 3 p 231; limitations p 232.</w:t>
            </w:r>
          </w:p>
          <w:p>
            <w:pPr>
              <w:pStyle w:val="Normal"/>
              <w:widowControl/>
              <w:spacing w:before="60" w:after="20"/>
            </w:pPr>
            <w:r>
              <w:t xml:space="preserve">Review depth: Complete ten-page NEJM main article read, including tables, 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204 ITT and safety. Primary PFS time starts at first injection; OS from randomisation. Thirty-two PFS events (30 progressions, two deaths) versus 60 (58 progressions, two deaths). Median exposure 24 months versus 15 months. Median PFS not reached versus 18.0 months; HR 0.47 (95% CI 0.30–0.73), P&lt;0.001. Kaplan–Meier 24-month PFS 65.1% versus 33.0%. No significant OS or quality-of-life difference demonstrated; follow-up/crossover constrain OS interpretation. Treatment-related diarrhoea 26/101 versus 9/103; cholelithiasis 10/101 versus 3/103; hyperglycaemia 5/101 versus 0. Serious treatment-related adverse events affected three versus one patient; withdrawal for any AE three in each arm. The discrete week-96 treatment-success measure 53/101 versus 26/103 differs from KM 24-month PFS because withdrawals were counted as failures; do not mix these estimates.</w:t>
            </w:r>
          </w:p>
          <w:p>
            <w:pPr>
              <w:pStyle w:val="Normal"/>
              <w:widowControl/>
              <w:spacing w:before="60" w:after="20"/>
            </w:pPr>
            <w:r>
              <w:rPr>
                <w:b/>
              </w:rPr>
              <w:t xml:space="preserve">Do not infer: </w:t>
            </w:r>
            <w:r>
              <w:t xml:space="preserve">Strong PFS evidence for indolent low-grade SSTR-positive disease, not validation for Ki-67 10–20%, rapidly progressive disease or NET transplantation. No direct LT comparator, curative claim, high-burden transplant threshold or mandate to fail SSA before considering LT. Hepatic-volume dichotomy &gt;25% versus ≤25% was a posthoc simplification of predefined strata; no LT-specific 25% decision cutoff follows. Supplement access: Supplementary Appendix and separate protocol/statistical analysis plan not included.</w:t>
            </w:r>
          </w:p>
        </w:tc>
      </w:tr>
      <w:tr>
        <w:trPr/>
        <w:tc>
          <w:tcPr>
            <w:tcW w:w="3400" w:type="dxa"/>
            <w:tcMar>
              <w:top w:w="90" w:type="dxa"/>
              <w:left w:w="90" w:type="dxa"/>
              <w:bottom w:w="90" w:type="dxa"/>
              <w:right w:w="90" w:type="dxa"/>
            </w:tcMar>
          </w:tcPr>
          <w:p>
            <w:pPr>
              <w:pStyle w:val="Normal"/>
              <w:widowControl/>
              <w:spacing w:before="60" w:after="20"/>
            </w:pPr>
            <w:r>
              <w:rPr>
                <w:b/>
              </w:rPr>
              <w:t xml:space="preserve">Strosberg 2021 · NETTER-1 final OS</w:t>
            </w:r>
            <w:r>
              <w:t xml:space="preserve"> </w:t>
            </w:r>
            <w:r>
              <w:t xml:space="preserve"> </w:t>
            </w:r>
            <w:r>
              <w:fldChar w:fldCharType="begin"/>
            </w:r>
            <w:r>
              <w:instrText xml:space="preserve"> ADDIN EN.CITE </w:instrText>
            </w:r>
            <w:r>
              <w:fldChar w:fldCharType="begin">
                <w:fldData>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</w:fldData>
              </w:fldChar>
            </w:r>
            <w:r>
              <w:instrText xml:space="preserve"> ADDIN EN.CITE.DATA </w:instrText>
            </w:r>
            <w:r>
              <w:fldChar w:fldCharType="end"/>
            </w:r>
            <w:r>
              <w:fldChar w:fldCharType="separate"/>
            </w:r>
            <w:r>
              <w:t xml:space="preserve">[V16-11]</w:t>
            </w:r>
            <w:r>
              <w:fldChar w:fldCharType="end"/>
            </w:r>
          </w:p>
          <w:p>
            <w:pPr>
              <w:pStyle w:val="Normal"/>
              <w:widowControl/>
              <w:spacing w:before="60" w:after="20"/>
            </w:pPr>
            <w:r>
              <w:t xml:space="preserve">Open-label phase III trial, 231 randomised (117 Lu-177 DOTATATE plus octreotide/114 high-dose octreotide), 41 sites. Progressive advanced/inoperable SSTR-positive well-differentiated midgut NET, Ki-67 ≤20%, Karnofsky ≥60, progression on fixed-dose octreotide. No prior PRRT; marrow/renal/hepatic eligibility restrictions. Not a liver-only transplant population and not G3/NEC.</w:t>
            </w:r>
          </w:p>
          <w:p>
            <w:pPr>
              <w:pStyle w:val="Normal"/>
              <w:widowControl/>
              <w:spacing w:before="60" w:after="20"/>
            </w:pPr>
            <w:hyperlink r:id="rId35">
              <w:r>
                <w:rPr>
                  <w:color w:val="77230C"/>
                  <w:sz w:val="20"/>
                  <w:u w:val="single"/>
                </w:rPr>
                <w:t>Primary source</w:t>
              </w:r>
            </w:hyperlink>
            <w:r>
              <w:t xml:space="preserve"> | </w:t>
            </w:r>
            <w:hyperlink r:id="rId36">
              <w:r>
                <w:rPr>
                  <w:color w:val="77230C"/>
                  <w:sz w:val="20"/>
                  <w:u w:val="single"/>
                </w:rPr>
                <w:t>Full-text PDF</w:t>
              </w:r>
            </w:hyperlink>
          </w:p>
          <w:p>
            <w:pPr>
              <w:pStyle w:val="Normal"/>
              <w:widowControl/>
              <w:spacing w:before="60" w:after="20"/>
            </w:pPr>
            <w:r>
              <w:t xml:space="preserve">Locator: Eligibility pp 1754–1755; statistical methods/time zero pp 1755–1756; trial flow p 1756; OS/crossover p 1757; RMST and safety p 1759; limitations pp 1760–1761.</w:t>
            </w:r>
          </w:p>
          <w:p>
            <w:pPr>
              <w:pStyle w:val="Normal"/>
              <w:widowControl/>
              <w:spacing w:before="60" w:after="20"/>
            </w:pPr>
            <w:r>
              <w:t xml:space="preserve">Review depth: Complete 12-page corrected main article read; first page explicitly states corrected version appeared 31 January 2022.</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360 assessed, 231 randomised; separate dosimetry 22 not randomised. ITT OS from randomisation. Safety 223: 111 Lu-177, 112 control because one misallocated patient received control. Median follow-up 76.3/76.5 months; final analysis January 2021 at five years after final enrolment, 142 rather than planned 158 deaths. Final OS 48.0 versus 36.3 months; HR 0.84 (95% CI 0.60–1.17), P=0.30. Five-year OS 37.1% versus 35.4%. OS superiority not established; the observed 11.7-month median difference is not proven treatment-attributable life extension. Control crossover to any PRRT 41/114 (36%); model-adjusted HR 0.73 (0.40–1.34) remains uncertain. Proportional-hazards assumption failed (P=0.03); five-year RMST difference 5.1 months (95% CI −0.5 to 10.7). Prior PFS benefit was maintained as context: regulatory baseline reanalysis HR 0.18 (0.11–0.29), versus original publication HR 0.21; these are reanalyses of the same early cutoff, not independent studies. Two of 111 developed MDS, one treatment-related death. No AML reported. Grade ≥3 nephrotoxicity regardless of causality six of 111 versus four of 112; late renal comparison has small surviving evaluable groups. Long-term adverse-event collection was asymmetric: treatment-related serious/special-interest AEs principally collected in Lu-177 group, not all AEs in both arms. Do not infer equal comprehensive late toxicity.</w:t>
            </w:r>
          </w:p>
          <w:p>
            <w:pPr>
              <w:pStyle w:val="Normal"/>
              <w:widowControl/>
              <w:spacing w:before="60" w:after="20"/>
            </w:pPr>
            <w:r>
              <w:rPr>
                <w:b/>
              </w:rPr>
              <w:t xml:space="preserve">Do not infer: </w:t>
            </w:r>
            <w:r>
              <w:t xml:space="preserve">Crossover, subsequent treatments, 20% missing due to withdrawal/loss and nonproportional hazards complicate OS inference. Failure to show OS superiority is not proof of no clinical benefit: PFS/QOL findings from earlier reports support treatment in the studied setting. No evidence about LT eligibility after PRRT response, post-LT PRRT safety or liver-only cure; these require separate evidence. Supplement access: Separate online appendix and earlier trial protocol not included; corrected main article is complete.</w:t>
            </w:r>
          </w:p>
        </w:tc>
      </w:tr>
      <w:tr>
        <w:trPr/>
        <w:tc>
          <w:tcPr>
            <w:tcW w:w="3400" w:type="dxa"/>
            <w:tcMar>
              <w:top w:w="90" w:type="dxa"/>
              <w:left w:w="90" w:type="dxa"/>
              <w:bottom w:w="90" w:type="dxa"/>
              <w:right w:w="90" w:type="dxa"/>
            </w:tcMar>
          </w:tcPr>
          <w:p>
            <w:pPr>
              <w:pStyle w:val="Normal"/>
              <w:widowControl/>
              <w:spacing w:before="60" w:after="20"/>
            </w:pPr>
            <w:r>
              <w:rPr>
                <w:b/>
              </w:rPr>
              <w:t xml:space="preserve">ENETS 2026</w:t>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ENETS 2026 position statement explicitly addressing controversies; expert, hypothesis-generating framework rather than original comparative outcome study.</w:t>
            </w:r>
          </w:p>
          <w:p>
            <w:pPr>
              <w:pStyle w:val="Normal"/>
              <w:widowControl/>
              <w:spacing w:before="60" w:after="20"/>
            </w:pPr>
            <w:hyperlink r:id="rId37">
              <w:r>
                <w:rPr>
                  <w:color w:val="77230C"/>
                  <w:sz w:val="20"/>
                  <w:u w:val="single"/>
                </w:rPr>
                <w:t>Primary source</w:t>
              </w:r>
            </w:hyperlink>
            <w:r>
              <w:t xml:space="preserve"> | </w:t>
            </w:r>
            <w:hyperlink r:id="rId38">
              <w:r>
                <w:rPr>
                  <w:color w:val="77230C"/>
                  <w:sz w:val="20"/>
                  <w:u w:val="single"/>
                </w:rPr>
                <w:t>Full-text PDF</w:t>
              </w:r>
            </w:hyperlink>
          </w:p>
          <w:p>
            <w:pPr>
              <w:pStyle w:val="Normal"/>
              <w:widowControl/>
              <w:spacing w:before="60" w:after="20"/>
            </w:pPr>
            <w:r>
              <w:t xml:space="preserve">Locator: J Neuroendocrinol 2026;38:e70250; complete position-statement PDF burden, benefit, age, stability and extrahepatic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outcome denominator. Proposed liver-burden bands around 25–70%, age &lt;60 as relative and six-month stability are pragmatic concepts. Illustrative non-LT five-year survival &lt;30% versus post-LT ≥70% are not a calibrated individual benefit model.</w:t>
            </w:r>
          </w:p>
          <w:p>
            <w:pPr>
              <w:pStyle w:val="Normal"/>
              <w:widowControl/>
              <w:spacing w:before="60" w:after="20"/>
            </w:pPr>
            <w:r>
              <w:rPr>
                <w:b/>
              </w:rPr>
              <w:t xml:space="preserve">Do not infer: </w:t>
            </w:r>
            <w:r>
              <w:t xml:space="preserve">Do not turn an expert future-oriented proposal into validated numerical gates. Suggested controllable extrahepatic disease, including bone, conflicts with current NLRB solid-organ-metastasis exclusion. It identifies research needs rather than approving an expansion.</w:t>
            </w:r>
          </w:p>
        </w:tc>
      </w:tr>
      <w:tr>
        <w:trPr/>
        <w:tc>
          <w:tcPr>
            <w:tcW w:w="3400" w:type="dxa"/>
            <w:tcMar>
              <w:top w:w="90" w:type="dxa"/>
              <w:left w:w="90" w:type="dxa"/>
              <w:bottom w:w="90" w:type="dxa"/>
              <w:right w:w="90" w:type="dxa"/>
            </w:tcMar>
          </w:tcPr>
          <w:p>
            <w:pPr>
              <w:pStyle w:val="Normal"/>
              <w:widowControl/>
              <w:spacing w:before="60" w:after="20"/>
            </w:pPr>
            <w:r>
              <w:rPr>
                <w:b/>
              </w:rPr>
              <w:t xml:space="preserve">NCCN Neuroendocrine and Adrenal Tumors v1.2026</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p>
          <w:p>
            <w:pPr>
              <w:pStyle w:val="Normal"/>
              <w:widowControl/>
              <w:spacing w:before="60" w:after="20"/>
            </w:pPr>
            <w:r>
              <w:t xml:space="preserve">NCCN clinical practice guideline, verified local 2026 edition; relevant complete sections reviewed, not a patient cohort.</w:t>
            </w:r>
          </w:p>
          <w:p>
            <w:pPr>
              <w:pStyle w:val="Normal"/>
              <w:widowControl/>
              <w:spacing w:before="60" w:after="20"/>
            </w:pPr>
            <w:hyperlink r:id="rId39">
              <w:r>
                <w:rPr>
                  <w:color w:val="77230C"/>
                  <w:sz w:val="20"/>
                  <w:u w:val="single"/>
                </w:rPr>
                <w:t>Primary source</w:t>
              </w:r>
            </w:hyperlink>
            <w:r>
              <w:t xml:space="preserve"> | </w:t>
            </w:r>
            <w:hyperlink r:id="rId40">
              <w:r>
                <w:rPr>
                  <w:color w:val="77230C"/>
                  <w:sz w:val="20"/>
                  <w:u w:val="single"/>
                </w:rPr>
                <w:t>Full-text PDF</w:t>
              </w:r>
            </w:hyperlink>
          </w:p>
          <w:p>
            <w:pPr>
              <w:pStyle w:val="Normal"/>
              <w:widowControl/>
              <w:spacing w:before="60" w:after="20"/>
            </w:pPr>
            <w:r>
              <w:t xml:space="preserve">Locator: MS-34, PDF 178; NET-8 PDF 26; PanNET-11 PDF 43; MS-12 PDF 156; NE-B2 PDF 73; NE-B1 PDF 72; MS-13 PDF 157; NE-B2 PDF 73; NE-D2 PDF 85; NE-K2 PDF 123; MS-13 PDF 157; NE-D2 PDF 85; NE-K1 PDF 122; change log PDF 11 and 16; NET-9 PDF 27; update log PDF 5; MS-12/13 PDF 156–157</w:t>
            </w:r>
          </w:p>
          <w:p>
            <w:pPr>
              <w:pStyle w:val="Normal"/>
              <w:widowControl/>
              <w:spacing w:before="60" w:after="20"/>
            </w:pPr>
            <w:r>
              <w:t xml:space="preserve">Review depth: Relevant entire sections read in local complete PDF. Cover and LT page visually inspected. Not a whole-237-page review; no claim this is the latest edition available anywhere.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NCCN retains the discussion position categorizing LT for liver-limited well-differentiated G1/G2 GI/pancreatic NET metastases as investigational and not routine care. Visual inspection shows a watermark indicating that discussion updating is in progress. Identify this as a retained discussion statement, not newly revised 2026 transplant evidence. Keep it explicit beside selective NLRB exception eligibility and centre selection criteria; allocation eligibility is not unanimous clinical endorsement. Routine SSTR-based or FDG PET is not recommended for postresection surveillance. Long-term anatomic surveillance is supported, but these are non-LT schedules and do not establish a validated post-LT calendar. Use multiphasic anatomic imaging alongside SSTR PET to detect receptor-negative as well as receptor-positive disease; FDG PET remains selective for G2/higher or concerning biology. The 2026 page adds consistency of modality/contrast for follow-up and modified Krenning scoring. A high-uptake lesion score does not eliminate discordant SSTR-negative lesions. Cardiac evaluation includes valves and right-heart function with specialist review. Prehepatic-surgery valve replacement language concerns significant CHD, while hormone-control guidance indicates replacement for symptomatic disease. This does not require valve replacement for every mild/asymptomatic CHD abnormality. The 2026 revision states that prophylactic octreotide is probably ineffective for preventing intraoperative crisis and that its administration should not delay vasopressor/fluid treatment. NE-K1 also allows selective prophylactic use while questioning routine use, so do not recast this as an absolute prohibition. For ileal/jejunal/cecal NETs, obtain 5-HIAA in symptomatic patients and consider it in asymptomatic metastatic disease. This is more specific than symptom-only testing, but still does not validate a universal broad marker panel or biochemical clearance as a transplant gate.</w:t>
            </w:r>
          </w:p>
          <w:p>
            <w:pPr>
              <w:pStyle w:val="Normal"/>
              <w:widowControl/>
              <w:spacing w:before="60" w:after="20"/>
            </w:pPr>
            <w:r>
              <w:rPr>
                <w:b/>
              </w:rPr>
              <w:t xml:space="preserve">Do not infer: </w:t>
            </w:r>
            <w:r>
              <w:t xml:space="preserve">Targeted relevant-section review, not a whole-guideline audit. Version verified from the PDF; no claim that no newer portal version exists. NET discussion retains an update-in-progress notice. Time origin: Not an outcomes cohort.</w:t>
            </w:r>
          </w:p>
        </w:tc>
      </w:tr>
      <w:tr>
        <w:trPr/>
        <w:tc>
          <w:tcPr>
            <w:tcW w:w="3400" w:type="dxa"/>
            <w:tcMar>
              <w:top w:w="90" w:type="dxa"/>
              <w:left w:w="90" w:type="dxa"/>
              <w:bottom w:w="90" w:type="dxa"/>
              <w:right w:w="90" w:type="dxa"/>
            </w:tcMar>
          </w:tcPr>
          <w:p>
            <w:pPr>
              <w:pStyle w:val="Normal"/>
              <w:widowControl/>
              <w:spacing w:before="60" w:after="20"/>
            </w:pPr>
            <w:r>
              <w:rPr>
                <w:b/>
              </w:rPr>
              <w:t xml:space="preserve">Kasai 2024</w:t>
            </w:r>
            <w:r>
              <w:t xml:space="preserve"> </w:t>
            </w:r>
            <w:r>
              <w:t xml:space="preserve"> </w:t>
            </w:r>
            <w:r>
              <w:fldChar w:fldCharType="begin"/>
            </w:r>
            <w:r>
              <w:instrText xml:space="preserve"> ADDIN EN.CITE </w:instrText>
            </w:r>
            <w:r>
              <w:fldChar w:fldCharType="begin">
                <w:fldData>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p>
          <w:p>
            <w:pPr>
              <w:pStyle w:val="Normal"/>
              <w:widowControl/>
              <w:spacing w:before="60" w:after="20"/>
            </w:pPr>
            <w:r>
              <w:t xml:space="preserve">Narrative review with descriptive JLTS LDLT registry data; 16 NET recipients, 14 transplanted in/before 2007, none after 2012.</w:t>
            </w:r>
          </w:p>
          <w:p>
            <w:pPr>
              <w:pStyle w:val="Normal"/>
              <w:widowControl/>
              <w:spacing w:before="60" w:after="20"/>
            </w:pPr>
            <w:hyperlink r:id="rId41">
              <w:r>
                <w:rPr>
                  <w:color w:val="77230C"/>
                  <w:sz w:val="20"/>
                  <w:u w:val="single"/>
                </w:rPr>
                <w:t>Primary source</w:t>
              </w:r>
            </w:hyperlink>
            <w:r>
              <w:t xml:space="preserve"> | </w:t>
            </w:r>
            <w:hyperlink r:id="rId42">
              <w:r>
                <w:rPr>
                  <w:color w:val="77230C"/>
                  <w:sz w:val="20"/>
                  <w:u w:val="single"/>
                </w:rPr>
                <w:t>Full-text PDF</w:t>
              </w:r>
            </w:hyperlink>
          </w:p>
          <w:p>
            <w:pPr>
              <w:pStyle w:val="Normal"/>
              <w:widowControl/>
              <w:spacing w:before="60" w:after="20"/>
            </w:pPr>
            <w:r>
              <w:t xml:space="preserve">Locator: Registry pp 2–4 and Table 2 p 4; selection pp 5–6; immunosuppression/recurrence p 7.</w:t>
            </w:r>
          </w:p>
          <w:p>
            <w:pPr>
              <w:pStyle w:val="Normal"/>
              <w:widowControl/>
              <w:spacing w:before="60" w:after="20"/>
            </w:pPr>
            <w:r>
              <w:t xml:space="preserve">Review depth: Complete nine-page review plus original 16-patient Japanese registry summary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Registry median age 30.5; 12 pancreatic, three rectal, one gastric primary; four of 16 died within 90 days; median OS 58.4 months, five-year OS 50%. Causes of intermediate/late deaths are hypothesized because detailed recurrence/course data were unavailable.; Uses historical 2007 Milan age ≤55 and burden ≤50%; contemporary comparative studies use different labelled versions. The review recognizes age as relative, not an absolute cutoff.; Primary-versus-metastatic grade discordance supports representative rebiopsy when clinically discordant, not mandatory biopsy of every lesion.; p 7 explicitly states no study has established everolimus recurrence-prevention after NET LT and distinguishes oncologic dose from transplant dose.</w:t>
            </w:r>
          </w:p>
          <w:p>
            <w:pPr>
              <w:pStyle w:val="Normal"/>
              <w:widowControl/>
              <w:spacing w:before="60" w:after="20"/>
            </w:pPr>
            <w:r>
              <w:rPr>
                <w:b/>
              </w:rPr>
              <w:t xml:space="preserve">Do not infer: </w:t>
            </w:r>
            <w:r>
              <w:t xml:space="preserve">Historical Japanese series does not prove current LDLT safety or superiority; do not use four early deaths as a present-day expected rate.; Proposed bridging algorithm and 'plan LT while controlled by PRRT' are expert suggestions, not randomized LT timing evidence.; Review-wide claimed improvement in modern Japanese outcomes is anticipated, not observed in the 16 cases.; Known active extrahepatic disease and G3 remain different from occult upstaging in retrospective comparator studies.</w:t>
            </w:r>
          </w:p>
        </w:tc>
      </w:tr>
    </w:tbl>
    <w:p>
      <w:pPr>
        <w:pStyle w:val="Heading3"/>
        <w:keepNext/>
        <w:widowControl/>
      </w:pPr>
      <w:r>
        <w:t xml:space="preserve">Synthesis and evidence that challenges the proposal</w:t>
      </w:r>
    </w:p>
    <w:p>
      <w:pPr>
        <w:pStyle w:val="Normal"/>
        <w:widowControl/>
        <w:spacing w:before="60" w:after="20"/>
      </w:pPr>
      <w:r>
        <w:t xml:space="preserve">Selected NET recipients can have excellent long-term survival, but incremental benefit over accessible non-LT care remains confounded. The multicentre matched main-body result is five-year OS 75% versus 68.3%, not its conflicting abstract figures; matched 90-day mortality was seven of 96 versus two of 96. Maspero's 48-versus-56 surgical comparison shows long-term separation but major age, timing, treatment-selection and six-month follow-up biases. Kjaer is a small selected multimodal non-LT cohort using adapted criteria, not a contemporary randomized medical comparator. CLARINET, CABINET and NETTER-1 establish specific non-LT treatment effects in different populations; their PFS gains must not be treated as equivalent LT survival estimates. CABINET carries frequent high-grade toxicity; NETTER-1's final OS difference was not statistically established. Eligibility and predicted post-LT survival alone do not demonstrate benefit. Guideline discordance: the verified NCCN Neuroendocrine and Adrenal Tumors v1.2026 retains the discussion designation of LT as investigational; this discussion page is marked as undergoing update. NLRB guidance describes selected exception review. Neither allocation eligibility nor selected-center survival proves comparative benefit against contemporary NET therapy.</w:t>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1YxNi02XTwvRGlzcGxheVRleHQ+PHJlY29yZD48cmVjLW51bWJlcj42PC9yZWMtbnVtYmVyPjxmb3JlaWduLWtleXM+PGtleSBhcHA9IkVOIiBkYi1pZD0iYjcyMjMwNzItMzFiNy01NDQwLWFjZDktNmRkYjNjMjM2YzlkIiB0aW1lc3RhbXA9IjE3OTMyODM2ODYiPjY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MjwvWWVhcj48UmVjTnVtPjc8L1JlY051bT48RGlzcGxheVRleHQ+W1YxNi03XTwvRGlzcGxheVRleHQ+PHJlY29yZD48cmVjLW51bWJlcj43PC9yZWMtbnVtYmVyPjxmb3JlaWduLWtleXM+PGtleSBhcHA9IkVOIiBkYi1pZD0iYjcyMjMwNzItMzFiNy01NDQwLWFjZDktNmRkYjNjMjM2YzlkIiB0aW1lc3RhbXA9IjE3OTMyODM2ODYiPjc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IENvbXBsZXRlIGVpZ2h0LXBhZ2UgcHVibGlzaGVkIG1haW4gcGFwZXIgcmVhZCwgaW5jbHVkaW5nIGFsbCBtZXRob2RzLCB0YWJsZXMsIGZpZ3VyZXMsIGRpc2N1c3Npb24gYW5kIHJlZmVyZW5jZXMuIFY4IGV4dHJhY3Rpb24gYW5kIGxpbWl0YXRpb25zOiBzb3VyY2UvbWV0YXN0YXNlc19mdWxsdGV4dF9yZXZpZXcuanNvbjwvbm90ZXM+PHVybHM+PHJlbGF0ZWQtdXJscz48dXJsPmh0dHBzOi8vZG9pLm9yZy8xMC4xMDA3L3MwMDI2OC0wMjItMDY3MzYtMT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t xml:space="preserve"> </w:t>
      </w:r>
      <w:r>
        <w:t xml:space="preserve"> </w:t>
      </w:r>
      <w:r>
        <w:fldChar w:fldCharType="begin"/>
      </w:r>
      <w:r>
        <w:instrText xml:space="preserve"> ADDIN EN.CITE </w:instrText>
      </w:r>
      <w:r>
        <w:fldChar w:fldCharType="begin">
          <w:fldData>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I0MDM5OTE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r>
        <w:t xml:space="preserve"> </w:t>
      </w:r>
      <w:r>
        <w:t xml:space="preserve"> </w:t>
      </w:r>
      <w:r>
        <w:fldChar w:fldCharType="begin"/>
      </w:r>
      <w:r>
        <w:instrText xml:space="preserve"> ADDIN EN.CITE </w:instrText>
      </w:r>
      <w:r>
        <w:fldChar w:fldCharType="begin">
          <w:fldData>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EzMTYxNTg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r>
        <w:t xml:space="preserve"> </w:t>
      </w:r>
      <w:r>
        <w:t xml:space="preserve"> </w:t>
      </w:r>
      <w:r>
        <w:fldChar w:fldCharType="begin"/>
      </w:r>
      <w:r>
        <w:instrText xml:space="preserve"> ADDIN EN.CITE </w:instrText>
      </w:r>
      <w:r>
        <w:fldChar w:fldCharType="begin">
          <w:fldData>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</w:fldData>
        </w:fldChar>
      </w:r>
      <w:r>
        <w:instrText xml:space="preserve"> ADDIN EN.CITE.DATA </w:instrText>
      </w:r>
      <w:r>
        <w:fldChar w:fldCharType="end"/>
      </w:r>
      <w:r>
        <w:fldChar w:fldCharType="separate"/>
      </w:r>
      <w:r>
        <w:t xml:space="preserve">[V16-11]</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r>
        <w:t xml:space="preserve"> </w:t>
      </w:r>
      <w:r>
        <w:t xml:space="preserve"> </w:t>
      </w:r>
      <w:r>
        <w:fldChar w:fldCharType="begin"/>
      </w:r>
      <w:r>
        <w:instrText xml:space="preserve"> ADDIN EN.CITE </w:instrText>
      </w:r>
      <w:r>
        <w:fldChar w:fldCharType="begin">
          <w:fldData>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p>
    <w:p>
      <w:pPr>
        <w:pStyle w:val="Normal"/>
        <w:widowControl/>
        <w:numPr>
          <w:ilvl w:val="0"/>
          <w:numId w:val="3"/>
        </w:numPr>
        <w:spacing w:before="60" w:after="20"/>
      </w:pPr>
      <w:r>
        <w:t xml:space="preserve">Kjaer's eligibility-based non-LT cohort had substantial long-term survival; CLARINET supports prolonged control for indolent Ki-67 &lt;10% disease. CABINET and PRRT offer additional disease-control options, but none is a randomized comparator to LT. Conversely, requiring every systemic option to fail may forfeit the transplant window and is not tested. Maspero documents late multisite recurrence and non-cancer deaths despite excellent LT survival.</w:t>
      </w:r>
    </w:p>
    <w:p>
      <w:pPr>
        <w:pStyle w:val="Normal"/>
        <w:widowControl/>
        <w:spacing w:before="60" w:after="20"/>
      </w:pPr>
      <w:r>
        <w:rPr>
          <w:b/>
        </w:rPr>
        <w:t xml:space="preserve">Certainty / applicability: </w:t>
      </w:r>
      <w:r>
        <w:t xml:space="preserve">Low certainty for a causal LT benefit magnitude and any individual benefit cutoff; moderate certainty that NET biology and modern alternatives vary greatly. High-quality systemic-trial efficacy is indirect for transplant selection. No validated calculator supports the ENETS illustrative 30%/70% survival targets.</w:t>
      </w:r>
    </w:p>
    <w:p>
      <w:pPr>
        <w:pStyle w:val="Heading3"/>
        <w:keepNext/>
        <w:widowControl/>
      </w:pPr>
      <w:r>
        <w:t xml:space="preserve">Where each proposed threshold comes from</w:t>
      </w:r>
    </w:p>
    <w:p>
      <w:pPr>
        <w:pStyle w:val="Normal"/>
        <w:widowControl/>
        <w:numPr>
          <w:ilvl w:val="0"/>
          <w:numId w:val="3"/>
        </w:numPr>
        <w:spacing w:before="60" w:after="20"/>
      </w:pPr>
      <w:r>
        <w:t xml:space="preserve">No randomized study validates a minimum survival-gain percentage, two-line failure count, or ENETS &lt;30% versus ≥70% prediction. Six-month observation screens biology but does not prove added benefit. Any local two-reviewer requirement and reassessment cadence are governance, not biological cutoffs.</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ENETS 2026</w:t>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“expert-driven and hypothesis-generating framework (not outcome-validated)”</w:t>
            </w:r>
          </w:p>
          <w:p>
            <w:pPr>
              <w:pStyle w:val="Normal"/>
              <w:widowControl/>
              <w:spacing w:before="60" w:after="20"/>
            </w:pPr>
            <w:r>
              <w:t xml:space="preserve">2026 full-text PDF p3, transplant-benefit discussion</w:t>
            </w:r>
          </w:p>
          <w:p>
            <w:pPr>
              <w:pStyle w:val="Normal"/>
              <w:widowControl/>
              <w:spacing w:before="60" w:after="20"/>
            </w:pPr>
            <w:hyperlink r:id="rId43">
              <w:r>
                <w:rPr>
                  <w:color w:val="77230C"/>
                  <w:sz w:val="20"/>
                  <w:u w:val="single"/>
                </w:rPr>
                <w:t>Source</w:t>
              </w:r>
            </w:hyperlink>
            <w:r>
              <w:t xml:space="preserve"> | </w:t>
            </w:r>
            <w:hyperlink r:id="rId44">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Illustrative survival figures are discussion aids, not calibrated individual eligibility thresholds.</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a demonstrable benefit trigger; excellent predicted post-LT survival alone is not enough.</w:t>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1YxNi02XTwvRGlzcGxheVRleHQ+PHJlY29yZD48cmVjLW51bWJlcj42PC9yZWMtbnVtYmVyPjxmb3JlaWduLWtleXM+PGtleSBhcHA9IkVOIiBkYi1pZD0iYjcyMjMwNzItMzFiNy01NDQwLWFjZDktNmRkYjNjMjM2YzlkIiB0aW1lc3RhbXA9IjE3OTMyODM2ODYiPjY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MjwvWWVhcj48UmVjTnVtPjc8L1JlY051bT48RGlzcGxheVRleHQ+W1YxNi03XTwvRGlzcGxheVRleHQ+PHJlY29yZD48cmVjLW51bWJlcj43PC9yZWMtbnVtYmVyPjxmb3JlaWduLWtleXM+PGtleSBhcHA9IkVOIiBkYi1pZD0iYjcyMjMwNzItMzFiNy01NDQwLWFjZDktNmRkYjNjMjM2YzlkIiB0aW1lc3RhbXA9IjE3OTMyODM2ODYiPjc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IENvbXBsZXRlIGVpZ2h0LXBhZ2UgcHVibGlzaGVkIG1haW4gcGFwZXIgcmVhZCwgaW5jbHVkaW5nIGFsbCBtZXRob2RzLCB0YWJsZXMsIGZpZ3VyZXMsIGRpc2N1c3Npb24gYW5kIHJlZmVyZW5jZXMuIFY4IGV4dHJhY3Rpb24gYW5kIGxpbWl0YXRpb25zOiBzb3VyY2UvbWV0YXN0YXNlc19mdWxsdGV4dF9yZXZpZXcuanNvbjwvbm90ZXM+PHVybHM+PHJlbGF0ZWQtdXJscz48dXJsPmh0dHBzOi8vZG9pLm9yZy8xMC4xMDA3L3MwMDI2OC0wMjItMDY3MzYtMT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t xml:space="preserve"> </w:t>
      </w:r>
      <w:r>
        <w:t xml:space="preserve"> </w:t>
      </w:r>
      <w:r>
        <w:fldChar w:fldCharType="begin"/>
      </w:r>
      <w:r>
        <w:instrText xml:space="preserve"> ADDIN EN.CITE </w:instrText>
      </w:r>
      <w:r>
        <w:fldChar w:fldCharType="begin">
          <w:fldData>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I0MDM5OTE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r>
        <w:t xml:space="preserve"> </w:t>
      </w:r>
      <w:r>
        <w:t xml:space="preserve"> </w:t>
      </w:r>
      <w:r>
        <w:fldChar w:fldCharType="begin"/>
      </w:r>
      <w:r>
        <w:instrText xml:space="preserve"> ADDIN EN.CITE </w:instrText>
      </w:r>
      <w:r>
        <w:fldChar w:fldCharType="begin">
          <w:fldData>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EzMTYxNTg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r>
        <w:t xml:space="preserve"> </w:t>
      </w:r>
      <w:r>
        <w:t xml:space="preserve"> </w:t>
      </w:r>
      <w:r>
        <w:fldChar w:fldCharType="begin"/>
      </w:r>
      <w:r>
        <w:instrText xml:space="preserve"> ADDIN EN.CITE </w:instrText>
      </w:r>
      <w:r>
        <w:fldChar w:fldCharType="begin">
          <w:fldData>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</w:fldData>
        </w:fldChar>
      </w:r>
      <w:r>
        <w:instrText xml:space="preserve"> ADDIN EN.CITE.DATA </w:instrText>
      </w:r>
      <w:r>
        <w:fldChar w:fldCharType="end"/>
      </w:r>
      <w:r>
        <w:fldChar w:fldCharType="separate"/>
      </w:r>
      <w:r>
        <w:t xml:space="preserve">[V16-11]</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r>
        <w:t xml:space="preserve"> </w:t>
      </w:r>
      <w:r>
        <w:t xml:space="preserve"> </w:t>
      </w:r>
      <w:r>
        <w:fldChar w:fldCharType="begin"/>
      </w:r>
      <w:r>
        <w:instrText xml:space="preserve"> ADDIN EN.CITE </w:instrText>
      </w:r>
      <w:r>
        <w:fldChar w:fldCharType="begin">
          <w:fldData>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p>
    <w:p>
      <w:pPr>
        <w:pStyle w:val="Normal"/>
        <w:widowControl/>
        <w:numPr>
          <w:ilvl w:val="0"/>
          <w:numId w:val="3"/>
        </w:numPr>
      </w:pPr>
      <w:r>
        <w:t xml:space="preserve">Proposed gate: favorable-biology unresectable liver disease with controlled primary, plus at least one trigger—refractory functioning syndrome, clinically meaningful liver-related functional compromise, or a prospectively documented credible threat to durable hepatic control despite reasonable alternatives.</w:t>
      </w:r>
    </w:p>
    <w:p>
      <w:pPr>
        <w:pStyle w:val="Normal"/>
        <w:widowControl/>
        <w:numPr>
          <w:ilvl w:val="1"/>
          <w:numId w:val="3"/>
        </w:numPr>
        <w:spacing w:before="60" w:after="20"/>
      </w:pPr>
      <w:r>
        <w:t xml:space="preserve">Do not require established irreversible failure before assessing benefit.</w:t>
      </w:r>
    </w:p>
    <w:p>
      <w:pPr>
        <w:pStyle w:val="Normal"/>
        <w:widowControl/>
        <w:numPr>
          <w:ilvl w:val="0"/>
          <w:numId w:val="3"/>
        </w:numPr>
      </w:pPr>
      <w:r>
        <w:t xml:space="preserve">NET oncology and an independent transplant/HPB reviewer must agree that LT offers meaningful additional survival or symptom/function benefit over the patient’s accessible options, with B2 biological stability satisfied.</w:t>
      </w:r>
    </w:p>
    <w:p>
      <w:pPr>
        <w:pStyle w:val="Normal"/>
        <w:widowControl/>
        <w:numPr>
          <w:ilvl w:val="0"/>
          <w:numId w:val="3"/>
        </w:numPr>
      </w:pPr>
      <w:r>
        <w:t xml:space="preserve">Asymptomatic stable low-burden disease with preserved hepatic function and reasonable durable options defaults to continued non-LT care/observation.</w:t>
      </w:r>
    </w:p>
    <w:p>
      <w:pPr>
        <w:pStyle w:val="Normal"/>
        <w:widowControl/>
        <w:numPr>
          <w:ilvl w:val="1"/>
          <w:numId w:val="3"/>
        </w:numPr>
        <w:spacing w:before="60" w:after="20"/>
      </w:pPr>
      <w:r>
        <w:t xml:space="preserve">Evaluate at least one appropriate treatment strategy; do not require two failures or exhaustion of every therapy.</w:t>
      </w:r>
    </w:p>
    <w:p>
      <w:pPr>
        <w:pStyle w:val="Normal"/>
        <w:widowControl/>
        <w:numPr>
          <w:ilvl w:val="1"/>
          <w:numId w:val="3"/>
        </w:numPr>
        <w:spacing w:before="60" w:after="20"/>
      </w:pPr>
      <w:r>
        <w:t xml:space="preserve">Do not use ENETS illustrative &lt;30%/≥70% figures as a validated calculator.</w:t>
      </w:r>
    </w:p>
    <w:p>
      <w:pPr>
        <w:pStyle w:val="Normal"/>
        <w:widowControl/>
        <w:numPr>
          <w:ilvl w:val="0"/>
          <w:numId w:val="3"/>
        </w:numPr>
      </w:pPr>
      <w:r>
        <w:t xml:space="preserve">In the alternatives/benefit table, state treatment-specific population, time zero and endpoint.</w:t>
      </w:r>
    </w:p>
    <w:p>
      <w:pPr>
        <w:pStyle w:val="Normal"/>
        <w:widowControl/>
        <w:numPr>
          <w:ilvl w:val="1"/>
          <w:numId w:val="3"/>
        </w:numPr>
        <w:spacing w:before="60" w:after="20"/>
      </w:pPr>
      <w:r>
        <w:t xml:space="preserve">Do not promise a survival extension from NETTER-1's nonsignificant 11.7-month median difference, require CABINET failure, or treat CLARINET's Ki-67 &lt;10% population as a transplant grade cutoff.</w:t>
      </w:r>
    </w:p>
    <w:p>
      <w:pPr>
        <w:pStyle w:val="Normal"/>
        <w:widowControl/>
        <w:numPr>
          <w:ilvl w:val="0"/>
          <w:numId w:val="3"/>
        </w:numPr>
      </w:pPr>
      <w:r>
        <w:t xml:space="preserve">Record the retained NCCN v1.2026 investigational discussion statement alongside selected-center and NLRB positions; resolve local clinical/research governance explicitly before offering LT.</w:t>
      </w:r>
    </w:p>
    <w:p>
      <w:pPr>
        <w:pStyle w:val="Normal"/>
        <w:widowControl/>
        <w:numPr>
          <w:ilvl w:val="1"/>
          <w:numId w:val="3"/>
        </w:numPr>
        <w:spacing w:before="60" w:after="20"/>
      </w:pPr>
      <w:r>
        <w:t xml:space="preserve">Recheck the licensed guideline before ratification.</w:t>
      </w:r>
    </w:p>
    <w:p>
      <w:pPr>
        <w:pStyle w:val="Normal"/>
        <w:widowControl/>
        <w:spacing w:before="60" w:after="20"/>
      </w:pPr>
      <w:r>
        <w:rPr>
          <w:b/>
        </w:rPr>
        <w:t xml:space="preserve">Why retain or change it: </w:t>
      </w:r>
      <w:r>
        <w:t xml:space="preserve">Retain OPEN an explicit incremental-benefit review by transplant and NET specialists independent of the donor decision. Record current and realistically available sequences (SSA, PRRT if appropriate, targeted/systemic agents, liver-directed therapy/resection), prior response/toxicity, symptom burden, functional liver reserve and credible future threat to hepatic control. A compelling case may be refractory hormonal symptoms, threatened hepatic function, or a carefully documented likely loss of durable liver control despite reasonable alternatives—not necessarily established irreversible failure. Do not require two failed lines or exhaustion of all drugs. Stable, low-burden disease with durable tolerable control ordinarily remains in non-LT management. Decision remains blank.</w:t>
      </w:r>
    </w:p>
    <w:p>
      <w:pPr>
        <w:pStyle w:val="Heading3"/>
        <w:keepNext/>
        <w:widowControl/>
      </w:pPr>
      <w:r>
        <w:t xml:space="preserve">Information required before the decision</w:t>
      </w:r>
    </w:p>
    <w:p>
      <w:pPr>
        <w:pStyle w:val="Normal"/>
        <w:widowControl/>
        <w:spacing w:before="60" w:after="20"/>
      </w:pPr>
      <w:r>
        <w:t xml:space="preserve">Functional syndrome and treatment response; symptoms/liver reserve; growth trajectory; SSTR status and treatment alternatives; patient goals; independent benefit review.</w:t>
      </w:r>
    </w:p>
    <w:p>
      <w:pPr>
        <w:pStyle w:val="Normal"/>
        <w:widowControl/>
        <w:spacing w:before="60" w:after="20"/>
      </w:pPr>
      <w:r>
        <w:rPr>
          <w:b/>
        </w:rPr>
        <w:t xml:space="preserve">Clinical versus allocation: </w:t>
      </w:r>
      <w:r>
        <w:t xml:space="preserve">Favorable clinical prognosis does not establish urgency, exception entitlement or a reason to expose a healthy donor.</w:t>
      </w:r>
    </w:p>
    <w:p>
      <w:pPr>
        <w:pStyle w:val="Normal"/>
        <w:widowControl/>
        <w:spacing w:before="60" w:after="20"/>
      </w:pPr>
      <w:r>
        <w:rPr>
          <w:b/>
        </w:rPr>
        <w:t xml:space="preserve">Roadmap / protocol reconciliation: </w:t>
      </w:r>
      <w:r>
        <w:t xml:space="preserve">Compare with the NET roadmap’s SSA, PRRT, liver-directed, targeted and chemotherapy options as applicable, without forcing inappropriate therapies before LT review.</w:t>
      </w:r>
    </w:p>
    <w:p>
      <w:pPr>
        <w:pStyle w:val="Normal"/>
        <w:widowControl/>
        <w:spacing w:before="60" w:after="20"/>
      </w:pPr>
      <w:hyperlink r:id="rId45">
        <w:r>
          <w:rPr>
            <w:color w:val="77230C"/>
            <w:sz w:val="20"/>
            <w:u w:val="single"/>
          </w:rPr>
          <w:t>Meeting record: NET-B1</w:t>
        </w:r>
      </w:hyperlink>
      <w:r>
        <w:t xml:space="preserve">  |  </w:t>
      </w:r>
      <w:hyperlink r:id="rId46">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2 Patient selection and classification</w:t>
      </w:r>
    </w:p>
    <w:p>
      <w:pPr>
        <w:pStyle w:val="Heading3"/>
        <w:keepNext/>
        <w:widowControl/>
      </w:pPr>
      <w:r>
        <w:t xml:space="preserve">2.1 Pathology and primary site</w:t>
      </w:r>
    </w:p>
    <w:p>
      <w:pPr>
        <w:pStyle w:val="Normal"/>
        <w:widowControl/>
        <w:numPr>
          <w:ilvl w:val="0"/>
          <w:numId w:val="3"/>
        </w:numPr>
      </w:pPr>
      <w:r>
        <w:t xml:space="preserve">Obtain expert review of the primary and metastatic pathology when available: differentiation, grade, Ki-67 hot-spot index, mitotic count, sampling date and heterogeneity. Resolve discordant primary/liver grades or a rapidly changing phenotype with the NET MDT.</w:t>
      </w:r>
    </w:p>
    <w:p>
      <w:pPr>
        <w:pStyle w:val="Normal"/>
        <w:widowControl/>
        <w:numPr>
          <w:ilvl w:val="0"/>
          <w:numId w:val="3"/>
        </w:numPr>
      </w:pPr>
      <w:r>
        <w:t xml:space="preserve">Current NLRB guidance specifies portal-drained gastroenteropancreatic origin, G1/G2 histology, mitotic rate below 20 per 10 HPF and proliferation index below 20%. Do not change the exact index boundary to less-than-or-equal-to 20. Record unknown or nonportal primary sites separately.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Well-differentiated G3 NET is biologically distinct from poorly differentiated NEC. Neither is activated as a transplant cohort here. NETTER-2 demonstrates non-LT PRRT activity in a selected G2/G3 population, not transplant benefit or a validated Ki-67 below 55 LT gate.</w:t>
      </w:r>
      <w:r>
        <w:t xml:space="preserve"> </w:t>
      </w:r>
      <w:r>
        <w:t xml:space="preserve"> </w:t>
      </w:r>
      <w:r>
        <w:fldChar w:fldCharType="begin"/>
      </w:r>
      <w:r>
        <w:instrText xml:space="preserve"> ADDIN EN.CITE </w:instrText>
      </w:r>
      <w:r>
        <w:fldChar w:fldCharType="begin">
          <w:fldData>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1MwMTQwLTY3MzYoMjQpMDA3MDEtMz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p>
    <w:p>
      <w:pPr>
        <w:pStyle w:val="Heading3"/>
        <w:keepNext/>
        <w:widowControl/>
      </w:pPr>
      <w:r>
        <w:t xml:space="preserve">2.2 Stage nodes and extrahepatic disease accurately</w:t>
      </w:r>
    </w:p>
    <w:p>
      <w:pPr>
        <w:pStyle w:val="Normal"/>
        <w:widowControl/>
        <w:numPr>
          <w:ilvl w:val="0"/>
          <w:numId w:val="3"/>
        </w:numPr>
      </w:pPr>
      <w:r>
        <w:t xml:space="preserve">Obtain multiphasic liver CT/MRI, chest/abdominal/pelvic staging and appropriate somatostatin-receptor functional imaging. Add FDG imaging when grade, rapid tempo or receptor/anatomic discordance makes it clinically useful. Resolve suspicious sites with directed imaging or biopsy where management depends on the result.</w:t>
      </w:r>
    </w:p>
    <w:p>
      <w:pPr>
        <w:pStyle w:val="Normal"/>
        <w:widowControl/>
        <w:numPr>
          <w:ilvl w:val="0"/>
          <w:numId w:val="3"/>
        </w:numPr>
      </w:pPr>
      <w:r>
        <w:t xml:space="preserve">Document complete primary resection and any prior extrahepatic nodal resection, exact stations, pathology and dates. Guidance requires at least six months without recurrence after primary/extrahepatic disease clearance; current extrahepatic progression, including positive nodes, prevents advancement. Previously cleared nodes are not equivalent to active nodes.</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Prior or current extrahepatic solid-organ metastases, such as lung or bone metastases, are an exclusion in the current NET exception guidance. Do not apply the cleared-node reconsideration language to those sites. Record the required negative metastatic-workup dates and obtain current staging before activation rather than relying on an old negative scan.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Heading3"/>
        <w:keepNext/>
        <w:widowControl/>
      </w:pPr>
      <w:r>
        <w:t xml:space="preserve">2.3 Burden age and clinical benefit</w:t>
      </w:r>
    </w:p>
    <w:p>
      <w:pPr>
        <w:pStyle w:val="Normal"/>
        <w:widowControl/>
        <w:numPr>
          <w:ilvl w:val="0"/>
          <w:numId w:val="3"/>
        </w:numPr>
      </w:pPr>
      <w:r>
        <w:t xml:space="preserve">Measure percentage liver replacement with a specified method, functional reserve, symptoms/hormonal syndrome and treatment trajectory. Current NLRB guidance contains no explicit age or percentage liver-volume cap. Original Milan age/burden selection factors must not be labeled national policy.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The former 50–75% burden band with mandatory downstaging to 50%, and the age 60–70 research band, are not adopted as validated limits. Assess physiologic fitness and expected incremental benefit; any local restriction or expanded stratum needs an explicit rationale.</w:t>
      </w:r>
      <w:r>
        <w:t xml:space="preserve"> </w:t>
      </w:r>
      <w:r>
        <w:t xml:space="preserve"> </w:t>
      </w:r>
      <w:r>
        <w:fldChar w:fldCharType="begin"/>
      </w:r>
      <w:r>
        <w:instrText xml:space="preserve"> ADDIN EN.CITE </w:instrText>
      </w:r>
      <w:r>
        <w:fldChar w:fldCharType="begin">
          <w:fldData>PEVuZE5vdGU+PENpdGU+PEF1dGhvcj5Eb3ZlPC9BdXRob3I+PFllYXI+MjAyNjwvWWVhcj48UmVjTnVtPjE1PC9SZWNOdW0+PERpc3BsYXlUZXh0PltWMTYtMTVdPC9EaXNwbGF5VGV4dD48cmVjb3JkPjxyZWMtbnVtYmVyPjE1PC9yZWMtbnVtYmVyPjxmb3JlaWduLWtleXM+PGtleSBhcHA9IkVOIiBkYi1pZD0iYjcyMjMwNzItMzFiNy01NDQwLWFjZDktNmRkYjNjMjM2YzlkIiB0aW1lc3RhbXA9IjE3OTMyODM2ODYiPjE1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Heading3"/>
        <w:keepNext/>
        <w:widowControl/>
      </w:pPr>
      <w:bookmarkStart w:id="2" w:name="NET_B2"/>
      <w:r>
        <w:t xml:space="preserve">NET-B2 — What is guideline-aligned versus an expanded-risk proposal?</w:t>
      </w:r>
      <w:bookmarkEnd w:id="2"/>
    </w:p>
    <w:p>
      <w:pPr>
        <w:pStyle w:val="Heading3"/>
        <w:keepNext/>
        <w:widowControl/>
      </w:pPr>
      <w:r>
        <w:t xml:space="preserve">Question and comparison</w:t>
      </w:r>
    </w:p>
    <w:p>
      <w:pPr>
        <w:pStyle w:val="Normal"/>
        <w:widowControl/>
        <w:spacing w:before="60" w:after="20"/>
      </w:pPr>
      <w:r>
        <w:t xml:space="preserve">What pathology, primary-site, nodal/extrahepatic and stability boundaries should govern NET LT; can G3 or PRRT-responsive disease be promoted into the pathway?</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Mazzaferro 2016 · Milan-NET</w:t>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Single-centre comparative Milan-NET study, 88 eligible patients: 42 LT and 46 non-LT, 1995–2010 era, nonrandomized.</w:t>
            </w:r>
          </w:p>
          <w:p>
            <w:pPr>
              <w:pStyle w:val="Normal"/>
              <w:widowControl/>
              <w:spacing w:before="60" w:after="20"/>
            </w:pPr>
            <w:hyperlink r:id="rId47">
              <w:r>
                <w:rPr>
                  <w:color w:val="77230C"/>
                  <w:sz w:val="20"/>
                  <w:u w:val="single"/>
                </w:rPr>
                <w:t>Primary source</w:t>
              </w:r>
            </w:hyperlink>
            <w:r>
              <w:t xml:space="preserve"> | </w:t>
            </w:r>
            <w:hyperlink r:id="rId48">
              <w:r>
                <w:rPr>
                  <w:color w:val="77230C"/>
                  <w:sz w:val="20"/>
                  <w:u w:val="single"/>
                </w:rPr>
                <w:t>Full-text PDF</w:t>
              </w:r>
            </w:hyperlink>
          </w:p>
          <w:p>
            <w:pPr>
              <w:pStyle w:val="Normal"/>
              <w:widowControl/>
              <w:spacing w:before="60" w:after="20"/>
            </w:pPr>
            <w:r>
              <w:t xml:space="preserve">Locator: Am J Transplant 2016;16:2892–2902; full PDF Methods statistical time origin/left truncation, Tables 1–2 eligibility/characteristics, survival and restricted-mean analyses.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pStyle w:val="Normal"/>
              <w:widowControl/>
              <w:spacing w:before="60" w:after="20"/>
            </w:pPr>
            <w:r>
              <w:rPr>
                <w:b/>
              </w:rPr>
              <w:t xml:space="preserve">Do not infer: </w:t>
            </w:r>
            <w:r>
              <w:t xml:space="preserve">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tc>
      </w:tr>
      <w:tr>
        <w:trPr/>
        <w:tc>
          <w:tcPr>
            <w:tcW w:w="3400" w:type="dxa"/>
            <w:tcMar>
              <w:top w:w="90" w:type="dxa"/>
              <w:left w:w="90" w:type="dxa"/>
              <w:bottom w:w="90" w:type="dxa"/>
              <w:right w:w="90" w:type="dxa"/>
            </w:tcMar>
          </w:tcPr>
          <w:p>
            <w:pPr>
              <w:pStyle w:val="Normal"/>
              <w:widowControl/>
              <w:spacing w:before="60" w:after="20"/>
            </w:pPr>
            <w:r>
              <w:rPr>
                <w:b/>
              </w:rPr>
              <w:t xml:space="preserve">Eshmuminov 2023 · LT versus resection</w:t>
            </w:r>
            <w:r>
              <w:t xml:space="preserve"> </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1YxNi02XTwvRGlzcGxheVRleHQ+PHJlY29yZD48cmVjLW51bWJlcj42PC9yZWMtbnVtYmVyPjxmb3JlaWduLWtleXM+PGtleSBhcHA9IkVOIiBkYi1pZD0iYjcyMjMwNzItMzFiNy01NDQwLWFjZDktNmRkYjNjMjM2YzlkIiB0aW1lc3RhbXA9IjE3OTMyODM2ODYiPjY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Retrospective 15-centre study 1988–2021, 455 surgically treated patients (225 LT, 230 LR). Centre-specific selection varied. Propensity matching on age, grade and primary location yielded 96 LT and 96 R0-resected LR patients, with persistent marked lesion-number imbalance. Prior systemic treatment details were unavailable. Twenty-seven percent of LT patients lacked grade; only 10 overall LT recipients had G3, without modern WD-G3 versus NEC discrimination.</w:t>
            </w:r>
          </w:p>
          <w:p>
            <w:pPr>
              <w:pStyle w:val="Normal"/>
              <w:widowControl/>
              <w:spacing w:before="60" w:after="20"/>
            </w:pPr>
            <w:hyperlink r:id="rId49">
              <w:r>
                <w:rPr>
                  <w:color w:val="77230C"/>
                  <w:sz w:val="20"/>
                  <w:u w:val="single"/>
                </w:rPr>
                <w:t>Primary source</w:t>
              </w:r>
            </w:hyperlink>
            <w:r>
              <w:t xml:space="preserve"> | </w:t>
            </w:r>
            <w:hyperlink r:id="rId50">
              <w:r>
                <w:rPr>
                  <w:color w:val="77230C"/>
                  <w:sz w:val="20"/>
                  <w:u w:val="single"/>
                </w:rPr>
                <w:t>Full-text PDF</w:t>
              </w:r>
            </w:hyperlink>
          </w:p>
          <w:p>
            <w:pPr>
              <w:pStyle w:val="Normal"/>
              <w:widowControl/>
              <w:spacing w:before="60" w:after="20"/>
            </w:pPr>
            <w:r>
              <w:t xml:space="preserve">Locator: Methods e1064; unmatched outcomes/Table 1 e1065; grading e1066; matched Results/Table 4 e1067 and Figure 3 e1068; limitations e1069.</w:t>
            </w:r>
          </w:p>
          <w:p>
            <w:pPr>
              <w:pStyle w:val="Normal"/>
              <w:widowControl/>
              <w:spacing w:before="60" w:after="20"/>
            </w:pPr>
            <w:r>
              <w:t xml:space="preserve">Review depth: All nine pages of the complete published main paper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OS/PFS start at operation, not diagnosis, eligibility or treatment assignment; median follow-up 97 months overall, 93 LT and 102 LR. No all-screened or wait-list comparison. Matched analysis n=192. Use main Results/Figure 3, not contradictory abstract: matched five-year OS 75% LT versus 68.3% LR; median OS 205 versus 120 months; HR 0.56 (95% CI 0.35–0.90), P=0.015. Matched five-year PFS 64.2% versus 14.2%; median 107 versus 18 months; HR 0.25 (0.16–0.39). Matched outside-Milan comparison HR 0.64 (0.31–1.33), P=0.24: uncertain benefit, not proof of no benefit. Matched within-Milan HR 0.18 (0.06–0.52). Among LT recipients, G2 versus G1 adjusted OS HR 2.52 (1.15–5.52); five-year OS 70.0% versus 92.9%. Median-derived Ki-67 split 5% is exploratory, not a validated new exclusion threshold. 90-day mortality 13/225 (5.8%) LT versus 3/230 (1.3%) LR overall; matched 7/96 (7.3%) versus 2/96 (2.1%).</w:t>
            </w:r>
          </w:p>
          <w:p>
            <w:pPr>
              <w:pStyle w:val="Normal"/>
              <w:widowControl/>
              <w:spacing w:before="60" w:after="20"/>
            </w:pPr>
            <w:r>
              <w:rPr>
                <w:b/>
              </w:rPr>
              <w:t xml:space="preserve">Do not infer: </w:t>
            </w:r>
            <w:r>
              <w:t xml:space="preserve">Abstract's matched five-year OS 73% versus 52.8%, median 197 versus 119 and HR 0.59 differ from the labelled main Results/Figure 3. Do not blend them. Retrospective selection, substantial missing grade/stage, broad historical era, residual confounding and surgery-time origin; cannot infer causal superiority over resection or modern nonoperative therapy for an individual. Main tables contain other transcription inconsistencies (e.g. grade count/percent, primary-site labels); use internally concordant main outcomes and state reporting limitations. Milan-centre patients overlap other Milan reports. G3 subset insufficient to support expansion. Post-LT mTOR discussion is extrapolative, not a comparative NET regimen trial. Supplement access: Supplementary Material 1, http://links.lww.com/SLA/E183, not included in this download.</w:t>
            </w:r>
          </w:p>
        </w:tc>
      </w:tr>
      <w:tr>
        <w:trPr/>
        <w:tc>
          <w:tcPr>
            <w:tcW w:w="3400" w:type="dxa"/>
            <w:tcMar>
              <w:top w:w="90" w:type="dxa"/>
              <w:left w:w="90" w:type="dxa"/>
              <w:bottom w:w="90" w:type="dxa"/>
              <w:right w:w="90" w:type="dxa"/>
            </w:tcMar>
          </w:tcPr>
          <w:p>
            <w:pPr>
              <w:pStyle w:val="Normal"/>
              <w:widowControl/>
              <w:spacing w:before="60" w:after="20"/>
            </w:pPr>
            <w:r>
              <w:rPr>
                <w:b/>
              </w:rPr>
              <w:t xml:space="preserve">Boscà 2026 · Spain</w:t>
            </w:r>
            <w:r>
              <w:t xml:space="preserve"> </w:t>
            </w:r>
            <w:r>
              <w:t xml:space="preserve"> </w:t>
            </w:r>
            <w:r>
              <w:fldChar w:fldCharType="begin"/>
            </w:r>
            <w:r>
              <w:instrText xml:space="preserve"> ADDIN EN.CITE </w:instrText>
            </w:r>
            <w:r>
              <w:fldChar w:fldCharType="begin">
                <w:fldData>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Spanish 13-centre retrospective series of 91 NET LT recipients, 1995–2024; 41 transplanted before 2007; 71 Milan-IN and 20 Milan-OUT.</w:t>
            </w:r>
          </w:p>
          <w:p>
            <w:pPr>
              <w:pStyle w:val="Normal"/>
              <w:widowControl/>
              <w:spacing w:before="60" w:after="20"/>
            </w:pPr>
            <w:hyperlink r:id="rId51">
              <w:r>
                <w:rPr>
                  <w:color w:val="77230C"/>
                  <w:sz w:val="20"/>
                  <w:u w:val="single"/>
                </w:rPr>
                <w:t>Primary source</w:t>
              </w:r>
            </w:hyperlink>
            <w:r>
              <w:t xml:space="preserve"> | </w:t>
            </w:r>
            <w:hyperlink r:id="rId52">
              <w:r>
                <w:rPr>
                  <w:color w:val="77230C"/>
                  <w:sz w:val="20"/>
                  <w:u w:val="single"/>
                </w:rPr>
                <w:t>Full-text PDF</w:t>
              </w:r>
            </w:hyperlink>
          </w:p>
          <w:p>
            <w:pPr>
              <w:pStyle w:val="Normal"/>
              <w:widowControl/>
              <w:spacing w:before="60" w:after="20"/>
            </w:pPr>
            <w:r>
              <w:t xml:space="preserve">Locator: J Clin Med 2026;15:938; complete PDF Results, Tables 2–5, postoperative mortality/retransplantation and limitations.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LT; median follow-up 6.5 years. Table 5: five-year OS 71.0% IN versus 58.7% OUT, ten-year 55.5% versus 32.0%, fifteen-year 52.2% versus 16.0% (OS comparison P=0.03). Five-year DFS 58.8% versus 36.3%, not statistically significant. Recurrence 52/91; ninety-day mortality 9/91 (9.9%). Nine retransplants: two primary nonfunction, six hepatic artery thrombosis, one rejection.</w:t>
            </w:r>
          </w:p>
          <w:p>
            <w:pPr>
              <w:pStyle w:val="Normal"/>
              <w:widowControl/>
              <w:spacing w:before="60" w:after="20"/>
            </w:pPr>
            <w:r>
              <w:rPr>
                <w:b/>
              </w:rPr>
              <w:t xml:space="preserve">Do not infer: </w:t>
            </w:r>
            <w:r>
              <w:t xml:space="preserve">Era, missing pathology, small OUT group and composite deviations preclude validating 50–70% burden, age ≥60, G3 or extrahepatic expansion individually. Nonsignificant DFS is not equivalence. The abstract rounds OUT five-year OS differently; use Table 5 value with locator.</w:t>
            </w:r>
          </w:p>
        </w:tc>
      </w:tr>
      <w:tr>
        <w:trPr/>
        <w:tc>
          <w:tcPr>
            <w:tcW w:w="3400" w:type="dxa"/>
            <w:tcMar>
              <w:top w:w="90" w:type="dxa"/>
              <w:left w:w="90" w:type="dxa"/>
              <w:bottom w:w="90" w:type="dxa"/>
              <w:right w:w="90" w:type="dxa"/>
            </w:tcMar>
          </w:tcPr>
          <w:p>
            <w:pPr>
              <w:pStyle w:val="Normal"/>
              <w:widowControl/>
              <w:spacing w:before="60" w:after="20"/>
            </w:pPr>
            <w:r>
              <w:rPr>
                <w:b/>
              </w:rPr>
              <w:t xml:space="preserve">Le Treut 2013 · ELTR</w:t>
            </w:r>
            <w:r>
              <w:t xml:space="preserve"> </w:t>
            </w:r>
            <w:r>
              <w:t xml:space="preserve"> </w:t>
            </w:r>
            <w:r>
              <w:fldChar w:fldCharType="begin"/>
            </w:r>
            <w:r>
              <w:instrText xml:space="preserve"> ADDIN EN.CITE </w:instrText>
            </w:r>
            <w:r>
              <w:fldChar w:fldCharType="begin">
                <w:fldData>PEVuZE5vdGU+PENpdGU+PEF1dGhvcj5MZSBUcmV1dDwvQXV0aG9yPjxZZWFyPjIwMTM8L1llYXI+PFJlY051bT4xNjwvUmVjTnVtPjxEaXNwbGF5VGV4dD5bVjE2LTE2XTwvRGlzcGxheVRleHQ+PHJlY29yZD48cmVjLW51bWJlcj4xNjwvcmVjLW51bWJlcj48Zm9yZWlnbi1rZXlzPjxrZXkgYXBwPSJFTiIgZGItaWQ9ImI3MjIzMDcyLTMxYjctNTQ0MC1hY2Q5LTZkZGIzYzIzNmM5ZCIgdGltZXN0YW1wPSIxNzkzMjgzNjg2Ij4xNj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[V16-16]</w:t>
            </w:r>
            <w:r>
              <w:fldChar w:fldCharType="end"/>
            </w:r>
          </w:p>
          <w:p>
            <w:pPr>
              <w:pStyle w:val="Normal"/>
              <w:widowControl/>
              <w:spacing w:before="60" w:after="20"/>
            </w:pPr>
            <w:r>
              <w:t xml:space="preserve">Retrospective 35-centre/11-country ELTR case collection, 213 LT recipients 1982–2009 (approximately half the European NET transplants in that period). Mixed primary sites including bronchial, unknown and pancreas; 29 primary sites unknown before LT, 17 never found; 22 poorly differentiated cases. Baseline Ki-67 and treatment-response/stability data were too sparse for analysis. Eligibility differs fundamentally from current NLRB selection.</w:t>
            </w:r>
          </w:p>
          <w:p>
            <w:pPr>
              <w:pStyle w:val="Normal"/>
              <w:widowControl/>
              <w:spacing w:before="60" w:after="20"/>
            </w:pPr>
            <w:hyperlink r:id="rId53">
              <w:r>
                <w:rPr>
                  <w:color w:val="77230C"/>
                  <w:sz w:val="20"/>
                  <w:u w:val="single"/>
                </w:rPr>
                <w:t>Primary source</w:t>
              </w:r>
            </w:hyperlink>
            <w:r>
              <w:t xml:space="preserve"> | </w:t>
            </w:r>
            <w:hyperlink r:id="rId54">
              <w:r>
                <w:rPr>
                  <w:color w:val="77230C"/>
                  <w:sz w:val="20"/>
                  <w:u w:val="single"/>
                </w:rPr>
                <w:t>Full-text PDF</w:t>
              </w:r>
            </w:hyperlink>
          </w:p>
          <w:p>
            <w:pPr>
              <w:pStyle w:val="Normal"/>
              <w:widowControl/>
              <w:spacing w:before="60" w:after="20"/>
            </w:pPr>
            <w:r>
              <w:t xml:space="preserve">Locator: Methods p 808; primary/burden/indication p 809; perioperative harms p 810; adjusted models p 811; Table 6 p 812; historical selection discussion pp 813–815.</w:t>
            </w:r>
          </w:p>
          <w:p>
            <w:pPr>
              <w:pStyle w:val="Normal"/>
              <w:widowControl/>
              <w:spacing w:before="60" w:after="20"/>
            </w:pPr>
            <w:r>
              <w:t xml:space="preserve">Review depth: Complete nine-page published paper read, including all eight tables, methods, outcome curves,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107 before 2000 and 106 during 2000–2009. Median liver-metastasis diagnosis-to-LT 25 months. Follow-up to December 2010; mean follow-up 56 months. Survival must be labelled by time zero: five-year OS 52% from LT versus 73% from liver-metastasis diagnosis; the latter contains pretransplant survivor selection. Five-year OS/DFS 52%/30%; median OS/DFS 67/24 months. In 2000–2009 subgroup, five-year OS/DFS 59%/39%. Three-month mortality 21/213 (10%). Retransplantation 24/213 (11%), including 16 early; early retransplant deaths 6/16. Thirty-seven (17%) died from early/late transplant complications without recurrence over follow-up. Whole-cohort multivariable adverse associations: major concurrent resection HR 3.1 (95% CI 1.9–5.3), poor differentiation HR 2.7 (1.5–4.7), hepatomegaly HR 2.3 (1.5–3.7). Hepatomegaly was retrospectively explant size ≥125% predicted liver volume, not simply tumour replacement &gt;50%. Post-2000 model: hepatomegaly HR 2.6 (1.3–5.1), P=0.006; age &gt;45 HR 2.0 (0.9–4.3), P=0.073; any concurrent resection HR 1.9 (1.0–3.7), P=0.058. The latter two are not conventionally statistically significant despite abstract language. Univariate five-year OS ≤50% burden 61% (109 patients) versus &gt;50% 42% (91); estimated &gt;80% group 42% (31). These are historical unadjusted outcomes, not a validated safe upper boundary. Node-positive 66 had five-year OS 41% versus 62% in 91 node-negative; location/clearance detail inadequate for a current eligibility rule. Poorly differentiated 22 had five-year OS 27%, not evidence for modern WD-G3. Nine LT indications followed severe TACE complications (four liver failure, five ischaemic cholangitis); historical rescue experience does not justify deliberate treatment injury.</w:t>
            </w:r>
          </w:p>
          <w:p>
            <w:pPr>
              <w:pStyle w:val="Normal"/>
              <w:widowControl/>
              <w:spacing w:before="60" w:after="20"/>
            </w:pPr>
            <w:r>
              <w:rPr>
                <w:b/>
              </w:rPr>
              <w:t xml:space="preserve">Do not infer: </w:t>
            </w:r>
            <w:r>
              <w:t xml:space="preserve">Strong era, centre and recipient selection, no non-LT comparator, incomplete data and extensive overlap with earlier European/French cohorts. No stable-versus-progressive or Ki-67 threshold validation. Historical poorly differentiated NEC should not be conflated with well-differentiated G3. Abstract says 30 minor concurrent resections, whereas Methods/Table 4 show 60 minor and 24 major (84 total). Histological category counts also have transcription discrepancies; prefer internally supported Table 6 whole-cohort categories. The post-2000 age threshold is exploratory, not an absolute age ban; authors explicitly warn against denying LT solely to older patients with hepatomegaly. Supplement access: No separate supplemental file cited.</w:t>
            </w:r>
          </w:p>
        </w:tc>
      </w:tr>
      <w:tr>
        <w:trPr/>
        <w:tc>
          <w:tcPr>
            <w:tcW w:w="3400" w:type="dxa"/>
            <w:tcMar>
              <w:top w:w="90" w:type="dxa"/>
              <w:left w:w="90" w:type="dxa"/>
              <w:bottom w:w="90" w:type="dxa"/>
              <w:right w:w="90" w:type="dxa"/>
            </w:tcMar>
          </w:tcPr>
          <w:p>
            <w:pPr>
              <w:pStyle w:val="Normal"/>
              <w:widowControl/>
              <w:spacing w:before="60" w:after="20"/>
            </w:pPr>
            <w:r>
              <w:rPr>
                <w:b/>
              </w:rPr>
              <w:t xml:space="preserve">NETTER-2</w:t>
            </w:r>
            <w:r>
              <w:t xml:space="preserve"> </w:t>
            </w:r>
            <w:r>
              <w:t xml:space="preserve"> </w:t>
            </w:r>
            <w:r>
              <w:fldChar w:fldCharType="begin"/>
            </w:r>
            <w:r>
              <w:instrText xml:space="preserve"> ADDIN EN.CITE </w:instrText>
            </w:r>
            <w:r>
              <w:fldChar w:fldCharType="begin">
                <w:fldData>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1MwMTQwLTY3MzYoMjQpMDA3MDEtMz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p>
          <w:p>
            <w:pPr>
              <w:pStyle w:val="Normal"/>
              <w:widowControl/>
              <w:spacing w:before="60" w:after="20"/>
            </w:pPr>
            <w:r>
              <w:t xml:space="preserve">NETTER-2 open-label phase III randomized trial: 261 screened, 226 randomized, 151 Lu-177-Dotatate plus octreotide and 75 high-dose octreotide.</w:t>
            </w:r>
          </w:p>
          <w:p>
            <w:pPr>
              <w:pStyle w:val="Normal"/>
              <w:widowControl/>
              <w:spacing w:before="60" w:after="20"/>
            </w:pPr>
            <w:hyperlink r:id="rId55">
              <w:r>
                <w:rPr>
                  <w:color w:val="77230C"/>
                  <w:sz w:val="20"/>
                  <w:u w:val="single"/>
                </w:rPr>
                <w:t>Primary source</w:t>
              </w:r>
            </w:hyperlink>
            <w:r>
              <w:t xml:space="preserve"> | </w:t>
            </w:r>
            <w:hyperlink r:id="rId56">
              <w:r>
                <w:rPr>
                  <w:color w:val="77230C"/>
                  <w:sz w:val="20"/>
                  <w:u w:val="single"/>
                </w:rPr>
                <w:t>Full-text PDF</w:t>
              </w:r>
            </w:hyperlink>
          </w:p>
          <w:p>
            <w:pPr>
              <w:pStyle w:val="Normal"/>
              <w:widowControl/>
              <w:spacing w:before="60" w:after="20"/>
            </w:pPr>
            <w:r>
              <w:t xml:space="preserve">Locator: Lancet 2024;403:2807–2817; complete PDF eligibility, efficacy, safety and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randomization. Median PFS 22.8 versus 8.5 months, HR 0.276 (95% CI 0.182–0.418); objective response 43% versus 9.3%. OS was not mature. Safety populations 147 and 73: any grade ≥3 events 35% versus 27%, related grade ≥3 events 16% versus 4%; one myelodysplastic syndrome case and three grade-3 nephrotoxicity events in Lu-treated patients; no drug-related deaths reported.</w:t>
            </w:r>
          </w:p>
          <w:p>
            <w:pPr>
              <w:pStyle w:val="Normal"/>
              <w:widowControl/>
              <w:spacing w:before="60" w:after="20"/>
            </w:pPr>
            <w:r>
              <w:rPr>
                <w:b/>
              </w:rPr>
              <w:t xml:space="preserve">Do not infer: </w:t>
            </w:r>
            <w:r>
              <w:t xml:space="preserve">Compelling systemic disease-control evidence for selected well-differentiated G2/G3, not evidence that responding G3 becomes suitable for LT or that marrow/renal injury is irrelevant to future transplantation. No NEC efficacy extrapolation. Full article reviewed now, upgrading prior abstract-only status.</w:t>
            </w:r>
          </w:p>
        </w:tc>
      </w:tr>
      <w:tr>
        <w:trPr/>
        <w:tc>
          <w:tcPr>
            <w:tcW w:w="3400" w:type="dxa"/>
            <w:tcMar>
              <w:top w:w="90" w:type="dxa"/>
              <w:left w:w="90" w:type="dxa"/>
              <w:bottom w:w="90" w:type="dxa"/>
              <w:right w:w="90" w:type="dxa"/>
            </w:tcMar>
          </w:tcPr>
          <w:p>
            <w:pPr>
              <w:pStyle w:val="Normal"/>
              <w:widowControl/>
              <w:spacing w:before="60" w:after="20"/>
            </w:pPr>
            <w:r>
              <w:rPr>
                <w:b/>
              </w:rPr>
              <w:t xml:space="preserve">Chen 2026 · PRRT after LT</w:t>
            </w:r>
            <w:r>
              <w:t xml:space="preserve"> </w:t>
            </w:r>
            <w:r>
              <w:t xml:space="preserve"> </w:t>
            </w:r>
            <w:r>
              <w:fldChar w:fldCharType="begin"/>
            </w:r>
            <w:r>
              <w:instrText xml:space="preserve"> ADDIN EN.CITE </w:instrText>
            </w:r>
            <w:r>
              <w:fldChar w:fldCharType="begin">
                <w:fldData>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p>
          <w:p>
            <w:pPr>
              <w:pStyle w:val="Normal"/>
              <w:widowControl/>
              <w:spacing w:before="60" w:after="20"/>
            </w:pPr>
            <w:r>
              <w:t xml:space="preserve">Single-centre retrospective series. Of 859 liver transplants (November 2019–November 2024), 27 were for GEP-NET; all had &gt;50% hepatic tumour burden. The centre permitted resection of the primary during LT or within three months afterward, so its stated NET-Milan label is not Milan-concordant. Seven patients with post-LT recurrence received PRRT April 2023–June 2025: three pancreatic and four rectal primaries, all actual Ki-67 values 4–15% (G2), age 30–57, tumour replacement 55–95% (median 80%). Rectal level was not specified.</w:t>
            </w:r>
          </w:p>
          <w:p>
            <w:pPr>
              <w:pStyle w:val="Normal"/>
              <w:widowControl/>
              <w:spacing w:before="60" w:after="20"/>
            </w:pPr>
            <w:hyperlink r:id="rId57">
              <w:r>
                <w:rPr>
                  <w:color w:val="77230C"/>
                  <w:sz w:val="20"/>
                  <w:u w:val="single"/>
                </w:rPr>
                <w:t>Primary source</w:t>
              </w:r>
            </w:hyperlink>
            <w:r>
              <w:t xml:space="preserve"> | </w:t>
            </w:r>
            <w:hyperlink r:id="rId58">
              <w:r>
                <w:rPr>
                  <w:color w:val="77230C"/>
                  <w:sz w:val="20"/>
                  <w:u w:val="single"/>
                </w:rPr>
                <w:t>Full-text PDF</w:t>
              </w:r>
            </w:hyperlink>
          </w:p>
          <w:p>
            <w:pPr>
              <w:pStyle w:val="Normal"/>
              <w:widowControl/>
              <w:spacing w:before="60" w:after="20"/>
            </w:pPr>
            <w:r>
              <w:t xml:space="preserve">Locator: PDF pp 1–6; printed pp 526–531. Methods pp 527–528; Tables 1–2 pp 528–529; toxicity and limitations pp 529–530.</w:t>
            </w:r>
          </w:p>
          <w:p>
            <w:pPr>
              <w:pStyle w:val="Normal"/>
              <w:widowControl/>
              <w:spacing w:before="60" w:after="20"/>
            </w:pPr>
            <w:r>
              <w:t xml:space="preserve">Review depth: Complete six-page main article read, including all tables, methods, results,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27 NET recipients: 15 recurrences by December 2025 and three deaths. The PRRT subset comprised seven selected patients; recurrence 3–9 months after LT and PRRT 6–42 months after LT. Response was assessed three months after completing PRRT; no cohort median follow-up, OS or PFS was reported. Seven PRRT recipients: one partial response, five stable disease, one progression; this is not an efficacy estimate suitable for counselling or comparison. All seven had nodal and bone disease, sometimes also graft, brain or renal involvement. One to four cycles, total 175–709 mCi. Two grade III, four grade II and one grade I myelosuppression were reported. One patient had persistent platelets &lt;10 ×10^9/L after a single 175 mCi cycle despite supportive treatment and never resumed PRRT; the severe platelet count and reported grade III label are discordant. Four patients had low-grade proteinuria. No acute rejection or severe hepatic/renal toxicity was observed in this selected, incompletely timed short follow-up; absence of observed events does not establish safety.</w:t>
            </w:r>
          </w:p>
          <w:p>
            <w:pPr>
              <w:pStyle w:val="Normal"/>
              <w:widowControl/>
              <w:spacing w:before="60" w:after="20"/>
            </w:pPr>
            <w:r>
              <w:rPr>
                <w:b/>
              </w:rPr>
              <w:t xml:space="preserve">Do not infer: </w:t>
            </w:r>
            <w:r>
              <w:t xml:space="preserve">Very small, uncontrolled, survivor-selected salvage series; no comparative OS, PFS or quality-of-life data. Extremely high pre-LT burden and primary surgery around/after LT preclude inference to guideline-concordant candidates. Table 1 is wrongly captioned as three aGVHD patients and donors despite presenting seven NET cases. Several citations do not support the linked PRRT/mTOR or toxicity claims. The stated rituximab induction should not be copied into an institutional regimen without independent verification. The platelet toxicity grading is internally discordant; do not relabel it definitively without individual data. Supplement access: No separate supplementary file was cited or supplied.</w:t>
            </w:r>
          </w:p>
        </w:tc>
      </w:tr>
      <w:tr>
        <w:trPr/>
        <w:tc>
          <w:tcPr>
            <w:tcW w:w="34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before="60" w:after="20"/>
            </w:pPr>
            <w:r>
              <w:t xml:space="preserve">Official Adult MELD Exceptions for Transplant Oncology guidance, December 2025 posting checked 24 October 2026. Allocation-review guidance, not national clinical policy or proof of efficacy.</w:t>
            </w:r>
          </w:p>
          <w:p>
            <w:pPr>
              <w:pStyle w:val="Normal"/>
              <w:widowControl/>
              <w:spacing w:before="60" w:after="20"/>
            </w:pPr>
            <w:hyperlink r:id="rId59">
              <w:r>
                <w:rPr>
                  <w:color w:val="77230C"/>
                  <w:sz w:val="20"/>
                  <w:u w:val="single"/>
                </w:rPr>
                <w:t>Primary source</w:t>
              </w:r>
            </w:hyperlink>
            <w:r>
              <w:t xml:space="preserve"> | </w:t>
            </w:r>
            <w:hyperlink r:id="rId60">
              <w:r>
                <w:rPr>
                  <w:color w:val="77230C"/>
                  <w:sz w:val="20"/>
                  <w:u w:val="single"/>
                </w:rPr>
                <w:t>Full-text PDF</w:t>
              </w:r>
            </w:hyperlink>
          </w:p>
          <w:p>
            <w:pPr>
              <w:pStyle w:val="Normal"/>
              <w:widowControl/>
              <w:spacing w:before="60" w:after="20"/>
            </w:pPr>
            <w:r>
              <w:t xml:space="preserve">Locator: Official PDF NET pp.8–9; CRLM pp.9–10; introduction on purpose/status.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pStyle w:val="Normal"/>
              <w:widowControl/>
              <w:spacing w:before="60" w:after="20"/>
            </w:pPr>
            <w:r>
              <w:rPr>
                <w:b/>
              </w:rPr>
              <w:t xml:space="preserve">Do not infer: </w:t>
            </w:r>
            <w:r>
              <w:t xml:space="preserve">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ENETS 2026</w:t>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ENETS 2026 position statement explicitly addressing controversies; expert, hypothesis-generating framework rather than original comparative outcome study.</w:t>
            </w:r>
          </w:p>
          <w:p>
            <w:pPr>
              <w:pStyle w:val="Normal"/>
              <w:widowControl/>
              <w:spacing w:before="60" w:after="20"/>
            </w:pPr>
            <w:hyperlink r:id="rId61">
              <w:r>
                <w:rPr>
                  <w:color w:val="77230C"/>
                  <w:sz w:val="20"/>
                  <w:u w:val="single"/>
                </w:rPr>
                <w:t>Primary source</w:t>
              </w:r>
            </w:hyperlink>
            <w:r>
              <w:t xml:space="preserve"> | </w:t>
            </w:r>
            <w:hyperlink r:id="rId62">
              <w:r>
                <w:rPr>
                  <w:color w:val="77230C"/>
                  <w:sz w:val="20"/>
                  <w:u w:val="single"/>
                </w:rPr>
                <w:t>Full-text PDF</w:t>
              </w:r>
            </w:hyperlink>
          </w:p>
          <w:p>
            <w:pPr>
              <w:pStyle w:val="Normal"/>
              <w:widowControl/>
              <w:spacing w:before="60" w:after="20"/>
            </w:pPr>
            <w:r>
              <w:t xml:space="preserve">Locator: J Neuroendocrinol 2026;38:e70250; complete position-statement PDF burden, benefit, age, stability and extrahepatic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outcome denominator. Proposed liver-burden bands around 25–70%, age &lt;60 as relative and six-month stability are pragmatic concepts. Illustrative non-LT five-year survival &lt;30% versus post-LT ≥70% are not a calibrated individual benefit model.</w:t>
            </w:r>
          </w:p>
          <w:p>
            <w:pPr>
              <w:pStyle w:val="Normal"/>
              <w:widowControl/>
              <w:spacing w:before="60" w:after="20"/>
            </w:pPr>
            <w:r>
              <w:rPr>
                <w:b/>
              </w:rPr>
              <w:t xml:space="preserve">Do not infer: </w:t>
            </w:r>
            <w:r>
              <w:t xml:space="preserve">Do not turn an expert future-oriented proposal into validated numerical gates. Suggested controllable extrahepatic disease, including bone, conflicts with current NLRB solid-organ-metastasis exclusion. It identifies research needs rather than approving an expansion.</w:t>
            </w:r>
          </w:p>
        </w:tc>
      </w:tr>
    </w:tbl>
    <w:p>
      <w:pPr>
        <w:pStyle w:val="Heading3"/>
        <w:keepNext/>
        <w:widowControl/>
      </w:pPr>
      <w:r>
        <w:t xml:space="preserve">Synthesis and evidence that challenges the proposal</w:t>
      </w:r>
    </w:p>
    <w:p>
      <w:pPr>
        <w:pStyle w:val="Normal"/>
        <w:widowControl/>
        <w:spacing w:before="60" w:after="20"/>
      </w:pPr>
      <w:r>
        <w:t xml:space="preserve">Evidence supports carefully selected well-differentiated G1/G2 portal-drained GEP primaries with cleared primary/extrahepatic disease and observed control. G2 has worse prognosis than G1 in the multicentre series but still meaningful selected survival, so a universal Ki-67 &lt;10% rule would discard potentially suitable G2 without validation. Well-differentiated G3 and poorly differentiated NEC must be separated diagnostically, yet neither has an established LT-benefit pathway. Prior primary regional nodal positivity is not equivalent to active unresected extrahepatic disease. Maspero's G3, &gt;50% and hilar-node-positive findings were postoperative pathological upstaging after preoperative Milan selection, not evidence for knowingly accepting those categories. The historical ELTR cohort lacked adequate Ki-67/stability data and included poorly differentiated/unknown-primary cases; it cannot validate modern expansions. The seven-case post-LT PRRT series involved early recurrences after very high-burden LT and includes persistent profound thrombocytopenia, no controlled efficacy estimate and no time-to-event benefit.</w:t>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1YxNi02XTwvRGlzcGxheVRleHQ+PHJlY29yZD48cmVjLW51bWJlcj42PC9yZWMtbnVtYmVyPjxmb3JlaWduLWtleXM+PGtleSBhcHA9IkVOIiBkYi1pZD0iYjcyMjMwNzItMzFiNy01NDQwLWFjZDktNmRkYjNjMjM2YzlkIiB0aW1lc3RhbXA9IjE3OTMyODM2ODYiPjY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MZSBUcmV1dDwvQXV0aG9yPjxZZWFyPjIwMTM8L1llYXI+PFJlY051bT4xNjwvUmVjTnVtPjxEaXNwbGF5VGV4dD5bVjE2LTE2XTwvRGlzcGxheVRleHQ+PHJlY29yZD48cmVjLW51bWJlcj4xNjwvcmVjLW51bWJlcj48Zm9yZWlnbi1rZXlzPjxrZXkgYXBwPSJFTiIgZGItaWQ9ImI3MjIzMDcyLTMxYjctNTQ0MC1hY2Q5LTZkZGIzYzIzNmM5ZCIgdGltZXN0YW1wPSIxNzkzMjgzNjg2Ij4xNj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[V16-16]</w:t>
      </w:r>
      <w:r>
        <w:fldChar w:fldCharType="end"/>
      </w:r>
      <w:r>
        <w:t xml:space="preserve"> </w:t>
      </w:r>
      <w:r>
        <w:t xml:space="preserve"> </w:t>
      </w:r>
      <w:r>
        <w:fldChar w:fldCharType="begin"/>
      </w:r>
      <w:r>
        <w:instrText xml:space="preserve"> ADDIN EN.CITE </w:instrText>
      </w:r>
      <w:r>
        <w:fldChar w:fldCharType="begin">
          <w:fldData>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1MwMTQwLTY3MzYoMjQpMDA3MDEtMz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r>
        <w:t xml:space="preserve"> </w:t>
      </w:r>
      <w:r>
        <w:t xml:space="preserve"> </w:t>
      </w:r>
      <w:r>
        <w:fldChar w:fldCharType="begin"/>
      </w:r>
      <w:r>
        <w:instrText xml:space="preserve"> ADDIN EN.CITE </w:instrText>
      </w:r>
      <w:r>
        <w:fldChar w:fldCharType="begin">
          <w:fldData>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spacing w:before="60" w:after="20"/>
      </w:pPr>
      <w:r>
        <w:t xml:space="preserve">Milan LT cohorts included many patients whose primary nodes had been positive, so 'ever node-positive means never LT' is too broad. However, retrospective final-pathology positive nodes do not negate the current cleared-disease requirement. Spanish OUT cases and the tiny G3 subgroup are too heterogeneous to validate expansion. NETTER-2 proves PRRT activity in selected G3, not LT efficacy after response; seven post-LT PRRT cases cannot guarantee safe salvage. ENETS controllable bone disease conflicts with NLRB's solid-organ exclusion.</w:t>
      </w:r>
    </w:p>
    <w:p>
      <w:pPr>
        <w:pStyle w:val="Normal"/>
        <w:widowControl/>
        <w:spacing w:before="60" w:after="20"/>
      </w:pPr>
      <w:r>
        <w:rPr>
          <w:b/>
        </w:rPr>
        <w:t xml:space="preserve">Certainty / applicability: </w:t>
      </w:r>
      <w:r>
        <w:t xml:space="preserve">Low-to-moderate certainty for G1/G2 prognostic distinction and cautious standard selection; very low certainty for G3, nonportal/unknown primary, active nodes or prior solid-organ metastasis expansions. Official allocation exclusions should be reported separately from biological evidence.</w:t>
      </w:r>
    </w:p>
    <w:p>
      <w:pPr>
        <w:pStyle w:val="Heading3"/>
        <w:keepNext/>
        <w:widowControl/>
      </w:pPr>
      <w:r>
        <w:t xml:space="preserve">Where each proposed threshold comes from</w:t>
      </w:r>
    </w:p>
    <w:p>
      <w:pPr>
        <w:pStyle w:val="Normal"/>
        <w:widowControl/>
        <w:numPr>
          <w:ilvl w:val="0"/>
          <w:numId w:val="3"/>
        </w:numPr>
        <w:spacing w:before="60" w:after="20"/>
      </w:pPr>
      <w:r>
        <w:t xml:space="preserve">Ki-67 &lt;20% and six months after primary/extrahepatic clearance reflect current NLRB wording; modern WHO grading and the exact-20 boundary need explicit reconciliation. Six months stability derives from selection traditions, not a randomized timing trial. Three serial scans at roughly 0/3/6 months are a proposed local demonstration schedule, not a national mandated scan count.</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before="60" w:after="20"/>
            </w:pPr>
            <w:r>
              <w:t xml:space="preserve">“mitotic rate less than 20 per 10 HPF and index less than 20%.”</w:t>
            </w:r>
          </w:p>
          <w:p>
            <w:pPr>
              <w:pStyle w:val="Normal"/>
              <w:widowControl/>
              <w:spacing w:before="60" w:after="20"/>
            </w:pPr>
            <w:r>
              <w:t xml:space="preserve">December 2025 oncology guidance p8, NET criterion 3</w:t>
            </w:r>
          </w:p>
          <w:p>
            <w:pPr>
              <w:pStyle w:val="Normal"/>
              <w:widowControl/>
              <w:spacing w:before="60" w:after="20"/>
            </w:pPr>
            <w:hyperlink r:id="rId63">
              <w:r>
                <w:rPr>
                  <w:color w:val="77230C"/>
                  <w:sz w:val="20"/>
                  <w:u w:val="single"/>
                </w:rPr>
                <w:t>Source</w:t>
              </w:r>
            </w:hyperlink>
            <w:r>
              <w:t xml:space="preserve"> | </w:t>
            </w:r>
            <w:hyperlink r:id="rId64">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Retain the exact published guidance threshold and clarify pathology sampling/measurement uncertainty.</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Mazzaferro 2016 · Milan-NET</w:t>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“Stable disease/response to therapies for at least 6 months prior to transplant consideration”</w:t>
            </w:r>
          </w:p>
          <w:p>
            <w:pPr>
              <w:pStyle w:val="Normal"/>
              <w:widowControl/>
              <w:spacing w:before="60" w:after="20"/>
            </w:pPr>
            <w:r>
              <w:t xml:space="preserve">Milan-NET, Table 1, PDF p2 / journal p2893</w:t>
            </w:r>
          </w:p>
          <w:p>
            <w:pPr>
              <w:pStyle w:val="Normal"/>
              <w:widowControl/>
              <w:spacing w:before="60" w:after="20"/>
            </w:pPr>
            <w:hyperlink r:id="rId65">
              <w:r>
                <w:rPr>
                  <w:color w:val="77230C"/>
                  <w:sz w:val="20"/>
                  <w:u w:val="single"/>
                </w:rPr>
                <w:t>Source</w:t>
              </w:r>
            </w:hyperlink>
            <w:r>
              <w:t xml:space="preserve"> | </w:t>
            </w:r>
            <w:hyperlink r:id="rId66">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biological selection interval; the proposed three-scan workflow is not itself a validated benefit predictor.</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ENETS 2026</w:t>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“solitary bone lesions amenable to local treatment”</w:t>
            </w:r>
          </w:p>
          <w:p>
            <w:pPr>
              <w:pStyle w:val="Normal"/>
              <w:widowControl/>
              <w:spacing w:before="60" w:after="20"/>
            </w:pPr>
            <w:r>
              <w:t xml:space="preserve">2026 full-text PDF p3, section 4, proposed candidate profile</w:t>
            </w:r>
          </w:p>
          <w:p>
            <w:pPr>
              <w:pStyle w:val="Normal"/>
              <w:widowControl/>
              <w:spacing w:before="60" w:after="20"/>
            </w:pPr>
            <w:hyperlink r:id="rId67">
              <w:r>
                <w:rPr>
                  <w:color w:val="77230C"/>
                  <w:sz w:val="20"/>
                  <w:u w:val="single"/>
                </w:rPr>
                <w:t>Source</w:t>
              </w:r>
            </w:hyperlink>
            <w:r>
              <w:t xml:space="preserve"> | </w:t>
            </w:r>
            <w:hyperlink r:id="rId68">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ENETS discusses selected controllable extrahepatic sites, including this example. Current NLRB solid-organ-metastasis exclusion is stricter. I favor no initial expansion despite this emerging clinical-consensus proposal.</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Activate only well-differentiated G1/G2 disease from a known portal-drained GEP primary; retain a six-month biology test.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1YxNi02XTwvRGlzcGxheVRleHQ+PHJlY29yZD48cmVjLW51bWJlcj42PC9yZWMtbnVtYmVyPjxmb3JlaWduLWtleXM+PGtleSBhcHA9IkVOIiBkYi1pZD0iYjcyMjMwNzItMzFiNy01NDQwLWFjZDktNmRkYjNjMjM2YzlkIiB0aW1lc3RhbXA9IjE3OTMyODM2ODYiPjY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MZSBUcmV1dDwvQXV0aG9yPjxZZWFyPjIwMTM8L1llYXI+PFJlY051bT4xNjwvUmVjTnVtPjxEaXNwbGF5VGV4dD5bVjE2LTE2XTwvRGlzcGxheVRleHQ+PHJlY29yZD48cmVjLW51bWJlcj4xNjwvcmVjLW51bWJlcj48Zm9yZWlnbi1rZXlzPjxrZXkgYXBwPSJFTiIgZGItaWQ9ImI3MjIzMDcyLTMxYjctNTQ0MC1hY2Q5LTZkZGIzYzIzNmM5ZCIgdGltZXN0YW1wPSIxNzkzMjgzNjg2Ij4xNj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[V16-16]</w:t>
      </w:r>
      <w:r>
        <w:fldChar w:fldCharType="end"/>
      </w:r>
      <w:r>
        <w:t xml:space="preserve"> </w:t>
      </w:r>
      <w:r>
        <w:t xml:space="preserve"> </w:t>
      </w:r>
      <w:r>
        <w:fldChar w:fldCharType="begin"/>
      </w:r>
      <w:r>
        <w:instrText xml:space="preserve"> ADDIN EN.CITE </w:instrText>
      </w:r>
      <w:r>
        <w:fldChar w:fldCharType="begin">
          <w:fldData>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1MwMTQwLTY3MzYoMjQpMDA3MDEtMz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r>
        <w:t xml:space="preserve"> </w:t>
      </w:r>
      <w:r>
        <w:t xml:space="preserve"> </w:t>
      </w:r>
      <w:r>
        <w:fldChar w:fldCharType="begin"/>
      </w:r>
      <w:r>
        <w:instrText xml:space="preserve"> ADDIN EN.CITE </w:instrText>
      </w:r>
      <w:r>
        <w:fldChar w:fldCharType="begin">
          <w:fldData>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Require expert pathology with Ki-67 &lt;20% and the applicable mitotic criterion; use the highest reliable representative grade.</w:t>
      </w:r>
    </w:p>
    <w:p>
      <w:pPr>
        <w:pStyle w:val="Normal"/>
        <w:widowControl/>
        <w:numPr>
          <w:ilvl w:val="1"/>
          <w:numId w:val="3"/>
        </w:numPr>
        <w:spacing w:before="60" w:after="20"/>
      </w:pPr>
      <w:r>
        <w:t xml:space="preserve">Exactly 20%, rounding uncertainty or discordance is HOLD for adjudication, not rounding down.</w:t>
      </w:r>
    </w:p>
    <w:p>
      <w:pPr>
        <w:pStyle w:val="Normal"/>
        <w:widowControl/>
        <w:numPr>
          <w:ilvl w:val="1"/>
          <w:numId w:val="3"/>
        </w:numPr>
        <w:spacing w:before="60" w:after="20"/>
      </w:pPr>
      <w:r>
        <w:t xml:space="preserve">Do not impose an unsupported Ki-67 &lt;10 rule or blanket G2 ban.</w:t>
      </w:r>
    </w:p>
    <w:p>
      <w:pPr>
        <w:pStyle w:val="Normal"/>
        <w:widowControl/>
        <w:numPr>
          <w:ilvl w:val="0"/>
          <w:numId w:val="3"/>
        </w:numPr>
      </w:pPr>
      <w:r>
        <w:t xml:space="preserve">G3, NEC, unknown/nonportal primary and active extrahepatic disease have no active cohort in this edition.</w:t>
      </w:r>
    </w:p>
    <w:p>
      <w:pPr>
        <w:pStyle w:val="Normal"/>
        <w:widowControl/>
        <w:numPr>
          <w:ilvl w:val="1"/>
          <w:numId w:val="3"/>
        </w:numPr>
        <w:spacing w:before="60" w:after="20"/>
      </w:pPr>
      <w:r>
        <w:t xml:space="preserve">Previously resected nodes may qualify after complete clearance and the required disease-free interval; document stations and dates.</w:t>
      </w:r>
    </w:p>
    <w:p>
      <w:pPr>
        <w:pStyle w:val="Normal"/>
        <w:widowControl/>
        <w:numPr>
          <w:ilvl w:val="1"/>
          <w:numId w:val="3"/>
        </w:numPr>
        <w:spacing w:before="60" w:after="20"/>
      </w:pPr>
      <w:r>
        <w:t xml:space="preserve">Prior lung/bone/other solid-organ metastases remain outside the current opening pathway.</w:t>
      </w:r>
    </w:p>
    <w:p>
      <w:pPr>
        <w:pStyle w:val="Normal"/>
        <w:widowControl/>
        <w:numPr>
          <w:ilvl w:val="0"/>
          <w:numId w:val="3"/>
        </w:numPr>
      </w:pPr>
      <w:r>
        <w:t xml:space="preserve">Require ≥6 months of stable/responding hepatic disease and ≥6 months without recurrence after primary/extrahepatic clearance.</w:t>
      </w:r>
    </w:p>
    <w:p>
      <w:pPr>
        <w:pStyle w:val="Normal"/>
        <w:widowControl/>
        <w:numPr>
          <w:ilvl w:val="1"/>
          <w:numId w:val="3"/>
        </w:numPr>
        <w:spacing w:before="60" w:after="20"/>
      </w:pPr>
      <w:r>
        <w:t xml:space="preserve">Proposed documentation: at least three comparable assessments spanning baseline, about three months and six months.</w:t>
      </w:r>
    </w:p>
    <w:p>
      <w:pPr>
        <w:pStyle w:val="Normal"/>
        <w:widowControl/>
        <w:numPr>
          <w:ilvl w:val="1"/>
          <w:numId w:val="3"/>
        </w:numPr>
        <w:spacing w:before="60" w:after="20"/>
      </w:pPr>
      <w:r>
        <w:t xml:space="preserve">A suspicious new site is HOLD; confirmed progression restarts observation.</w:t>
      </w:r>
    </w:p>
    <w:p>
      <w:pPr>
        <w:pStyle w:val="Normal"/>
        <w:widowControl/>
        <w:numPr>
          <w:ilvl w:val="0"/>
          <w:numId w:val="3"/>
        </w:numPr>
      </w:pPr>
      <w:r>
        <w:t xml:space="preserve">Post-LT PRRT remains investigational, with joint nuclear-medicine/transplant/pharmacy review, baseline and serial marrow/renal/allograft assessment and consent covering potentially prolonged severe cytopenia.</w:t>
      </w:r>
    </w:p>
    <w:p>
      <w:pPr>
        <w:pStyle w:val="Normal"/>
        <w:widowControl/>
        <w:numPr>
          <w:ilvl w:val="1"/>
          <w:numId w:val="3"/>
        </w:numPr>
        <w:spacing w:before="60" w:after="20"/>
      </w:pPr>
      <w:r>
        <w:t xml:space="preserve">A response to PRRT does not waive pre-LT grade, primary-site, extrahepatic or biology requirements.</w:t>
      </w:r>
    </w:p>
    <w:p>
      <w:pPr>
        <w:pStyle w:val="Normal"/>
        <w:widowControl/>
        <w:spacing w:before="60" w:after="20"/>
      </w:pPr>
      <w:r>
        <w:rPr>
          <w:b/>
        </w:rPr>
        <w:t xml:space="preserve">Why retain or change it: </w:t>
      </w:r>
      <w:r>
        <w:t xml:space="preserve">Keep OPEN expert pathology review of primary and representative metastatic tissue, recording differentiation, Ki-67 hot spot, mitotic count and heterogeneity; use the highest representative confirmed grade, with rebiopsy only if clinically indicated. Advance only with known portal-drained GEP primary, well-differentiated G1/G2 and Ki-67 &lt;20%, cleared primary and extrahepatic disease, and at least six months control/NED of resected extrahepatic sites. Ki-67 exactly 20% is HOLD for pathology/allocation clarification, not automatically renamed G3. Active G3, NEC, unknown/nonportal primary or active extrahepatic disease stays outside this pathway; prior lung/bone/solid-organ metastasis stays outside current exception guidance. Cleared regional nodes may be reconsidered after documented six months NED, not ignored. PRRT response does not waive these boundaries. Decision remains blank.</w:t>
      </w:r>
    </w:p>
    <w:p>
      <w:pPr>
        <w:pStyle w:val="Heading3"/>
        <w:keepNext/>
        <w:widowControl/>
      </w:pPr>
      <w:r>
        <w:t xml:space="preserve">Information required before the decision</w:t>
      </w:r>
    </w:p>
    <w:p>
      <w:pPr>
        <w:pStyle w:val="Normal"/>
        <w:widowControl/>
        <w:spacing w:before="60" w:after="20"/>
      </w:pPr>
      <w:r>
        <w:t xml:space="preserve">Expert grade/Ki-67/mitoses and primary origin; SSTR staging and cross-sectional imaging; complete primary/node/EHD clearance history; three-assessment timeline.</w:t>
      </w:r>
    </w:p>
    <w:p>
      <w:pPr>
        <w:pStyle w:val="Normal"/>
        <w:widowControl/>
        <w:spacing w:before="60" w:after="20"/>
      </w:pPr>
      <w:r>
        <w:rPr>
          <w:b/>
        </w:rPr>
        <w:t xml:space="preserve">Clinical versus allocation: </w:t>
      </w:r>
      <w:r>
        <w:t xml:space="preserve">Current NET guidance and clinical consensus differ on some boundaries; favorable guidance does not remove the need to prove B1 benefit.</w:t>
      </w:r>
    </w:p>
    <w:p>
      <w:pPr>
        <w:pStyle w:val="Normal"/>
        <w:widowControl/>
        <w:spacing w:before="60" w:after="20"/>
      </w:pPr>
      <w:r>
        <w:rPr>
          <w:b/>
        </w:rPr>
        <w:t xml:space="preserve">Roadmap / protocol reconciliation: </w:t>
      </w:r>
      <w:r>
        <w:t xml:space="preserve">Preserve the roadmap’s distinction between well-differentiated G3 NET and poorly differentiated NEC; neither gains LT eligibility from systemic/PRRT response alone.</w:t>
      </w:r>
    </w:p>
    <w:p>
      <w:pPr>
        <w:pStyle w:val="Normal"/>
        <w:widowControl/>
        <w:spacing w:before="60" w:after="20"/>
      </w:pPr>
      <w:hyperlink r:id="rId69">
        <w:r>
          <w:rPr>
            <w:color w:val="77230C"/>
            <w:sz w:val="20"/>
            <w:u w:val="single"/>
          </w:rPr>
          <w:t>Meeting record: NET-B2</w:t>
        </w:r>
      </w:hyperlink>
      <w:r>
        <w:t xml:space="preserve">  |  </w:t>
      </w:r>
      <w:hyperlink r:id="rId70">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3" w:name="NET_B3"/>
      <w:r>
        <w:t xml:space="preserve">NET-B3 — Should age or burden remain local selection factors without being called national rules?</w:t>
      </w:r>
      <w:bookmarkEnd w:id="3"/>
    </w:p>
    <w:p>
      <w:pPr>
        <w:pStyle w:val="Heading3"/>
        <w:keepNext/>
        <w:widowControl/>
      </w:pPr>
      <w:r>
        <w:t xml:space="preserve">Question and comparison</w:t>
      </w:r>
    </w:p>
    <w:p>
      <w:pPr>
        <w:pStyle w:val="Normal"/>
        <w:widowControl/>
        <w:spacing w:before="60" w:after="20"/>
      </w:pPr>
      <w:r>
        <w:t xml:space="preserve">Should age, liver tumour burden and stability be hard selection thresholds, and how should modest-burden versus &gt;50% involvement influence the benefit decision?</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Mazzaferro 2016 · Milan-NET</w:t>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Single-centre comparative Milan-NET study, 88 eligible patients: 42 LT and 46 non-LT, 1995–2010 era, nonrandomized.</w:t>
            </w:r>
          </w:p>
          <w:p>
            <w:pPr>
              <w:pStyle w:val="Normal"/>
              <w:widowControl/>
              <w:spacing w:before="60" w:after="20"/>
            </w:pPr>
            <w:hyperlink r:id="rId71">
              <w:r>
                <w:rPr>
                  <w:color w:val="77230C"/>
                  <w:sz w:val="20"/>
                  <w:u w:val="single"/>
                </w:rPr>
                <w:t>Primary source</w:t>
              </w:r>
            </w:hyperlink>
            <w:r>
              <w:t xml:space="preserve"> | </w:t>
            </w:r>
            <w:hyperlink r:id="rId72">
              <w:r>
                <w:rPr>
                  <w:color w:val="77230C"/>
                  <w:sz w:val="20"/>
                  <w:u w:val="single"/>
                </w:rPr>
                <w:t>Full-text PDF</w:t>
              </w:r>
            </w:hyperlink>
          </w:p>
          <w:p>
            <w:pPr>
              <w:pStyle w:val="Normal"/>
              <w:widowControl/>
              <w:spacing w:before="60" w:after="20"/>
            </w:pPr>
            <w:r>
              <w:t xml:space="preserve">Locator: Am J Transplant 2016;16:2892–2902; full PDF Methods statistical time origin/left truncation, Tables 1–2 eligibility/characteristics, survival and restricted-mean analyses.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pStyle w:val="Normal"/>
              <w:widowControl/>
              <w:spacing w:before="60" w:after="20"/>
            </w:pPr>
            <w:r>
              <w:rPr>
                <w:b/>
              </w:rPr>
              <w:t xml:space="preserve">Do not infer: </w:t>
            </w:r>
            <w:r>
              <w:t xml:space="preserve">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tc>
      </w:tr>
      <w:tr>
        <w:trPr/>
        <w:tc>
          <w:tcPr>
            <w:tcW w:w="3400" w:type="dxa"/>
            <w:tcMar>
              <w:top w:w="90" w:type="dxa"/>
              <w:left w:w="90" w:type="dxa"/>
              <w:bottom w:w="90" w:type="dxa"/>
              <w:right w:w="90" w:type="dxa"/>
            </w:tcMar>
          </w:tcPr>
          <w:p>
            <w:pPr>
              <w:pStyle w:val="Normal"/>
              <w:widowControl/>
              <w:spacing w:before="60" w:after="20"/>
            </w:pPr>
            <w:r>
              <w:rPr>
                <w:b/>
              </w:rPr>
              <w:t xml:space="preserve">Maspero 2022 · Milan long-term</w:t>
            </w:r>
            <w:r>
              <w:t xml:space="preserve"> </w:t>
            </w:r>
            <w:r>
              <w:t xml:space="preserve"> </w:t>
            </w:r>
            <w:r>
              <w:fldChar w:fldCharType="begin"/>
            </w:r>
            <w:r>
              <w:instrText xml:space="preserve"> ADDIN EN.CITE </w:instrText>
            </w:r>
            <w:r>
              <w:fldChar w:fldCharType="begin">
                <w:fldData>PEVuZE5vdGU+PENpdGU+PEF1dGhvcj5NYXNwZXJvPC9BdXRob3I+PFllYXI+MjAyMjwvWWVhcj48UmVjTnVtPjc8L1JlY051bT48RGlzcGxheVRleHQ+W1YxNi03XTwvRGlzcGxheVRleHQ+PHJlY29yZD48cmVjLW51bWJlcj43PC9yZWMtbnVtYmVyPjxmb3JlaWduLWtleXM+PGtleSBhcHA9IkVOIiBkYi1pZD0iYjcyMjMwNzItMzFiNy01NDQwLWFjZDktNmRkYjNjMjM2YzlkIiB0aW1lc3RhbXA9IjE3OTMyODM2ODYiPjc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Single-centre retrospective analysis of consecutive prospective surgical series 1984–2019: 53 LT and 96 LR; 48 LT/56 LR met Milan criteria on preoperative staging. Criteria: portal-drained resected primary, G1/G2, &lt;50% burden, no extrahepatic disease, ≥6-month stability, age &lt;60 relative. Required ≥6 months postoperative follow-up. Resection versus LT chosen for technical feasibility; estimated &gt;3% perioperative mortality for complex regenerative resection was this centre's definition, not a validated universal threshold.</w:t>
            </w:r>
          </w:p>
          <w:p>
            <w:pPr>
              <w:pStyle w:val="Normal"/>
              <w:widowControl/>
              <w:spacing w:before="60" w:after="20"/>
            </w:pPr>
            <w:hyperlink r:id="rId73">
              <w:r>
                <w:rPr>
                  <w:color w:val="77230C"/>
                  <w:sz w:val="20"/>
                  <w:u w:val="single"/>
                </w:rPr>
                <w:t>Primary source</w:t>
              </w:r>
            </w:hyperlink>
            <w:r>
              <w:t xml:space="preserve"> | </w:t>
            </w:r>
            <w:hyperlink r:id="rId74">
              <w:r>
                <w:rPr>
                  <w:color w:val="77230C"/>
                  <w:sz w:val="20"/>
                  <w:u w:val="single"/>
                </w:rPr>
                <w:t>Full-text PDF</w:t>
              </w:r>
            </w:hyperlink>
          </w:p>
          <w:p>
            <w:pPr>
              <w:pStyle w:val="Normal"/>
              <w:widowControl/>
              <w:spacing w:before="60" w:after="20"/>
            </w:pPr>
            <w:r>
              <w:t xml:space="preserve">Locator: Methods/Milan definitions p 2599; outcomes p 2600; nodal analysis p 2601; Tables 2–3 p 2602; limitations pp 2605–2606.</w:t>
            </w:r>
          </w:p>
          <w:p>
            <w:pPr>
              <w:pStyle w:val="Normal"/>
              <w:widowControl/>
              <w:spacing w:before="60" w:after="20"/>
            </w:pPr>
            <w:r>
              <w:t xml:space="preserve">Review depth: Complete ten-page main paper read. All numerical results were taken from the labelled text/tables rather than estimating plotted curves.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OS/DFS from surgery, not listing or primary diagnosis. Median follow-up 158 months LT and 126 LR. Time primary resection-to-liver surgery 38.5 versus 6.5 months, introducing major test-of-time selection. Five-/ten-year OS 95.5%/93% LT versus 90%/75% LR; ten-year DFS 52% versus 18%. LT-associated univariate HR for OS 0.35 (0.16–0.78), not an adjusted causal effect. Recurrence 25/48 LT versus 42/56 LR; median time to recurrence among recurrence cases 78 versus 24 months, not median DFS for the entire group. LT recurrence range 13–204 months demonstrates very late risk. LT recurrence more often multisite (12/25 versus 5/42), nodal/bone; LR mostly involved liver (37/42 versus 2/25). Postrecurrence five-year survival 72% versus 69%. Nine deaths after LT: three NET-related and six other causes (three new solid cancers, sepsis, lymphoproliferative disease, cardiovascular event). Perioperative risk cannot be assessed reliably from a cohort requiring six-month follow-up. Despite preoperative Milan selection, postoperative Table 2 includes seven &gt;50% burden, two G3 and 16 hilar node-positive LT recipients. This is pathological upstaging/occult findings, not prospective validation of knowingly transplanting these categories. Hilar node positivity was associated with worse OS in a univariate LT analysis, HR 5.7 (1.3–24), P=0.004. DFS HR 2.6 (1.1–5.9) is printed with P=0.22, an internal inconsistency; do not silently correct to 0.022.</w:t>
            </w:r>
          </w:p>
          <w:p>
            <w:pPr>
              <w:pStyle w:val="Normal"/>
              <w:widowControl/>
              <w:spacing w:before="60" w:after="20"/>
            </w:pPr>
            <w:r>
              <w:rPr>
                <w:b/>
              </w:rPr>
              <w:t xml:space="preserve">Do not infer: </w:t>
            </w:r>
            <w:r>
              <w:t xml:space="preserve">Historical single-centre nonrandom selection, no ITT or wait-list dropout data, imbalanced ages/burden/timing; overlap with Milan 2016 and later multicentre series. At least six-month postoperative follow-up criterion risks under-representing early harms. Univariate analyses cannot establish independent risk-adjusted benefit. Only four excluded high-burden cases and one excluded G3 at preoperative selection; failure to find associations in tiny posthoc groups does not validate expanded eligibility. No LT patient &gt;60 was added in the age-expanded comparison (LT remained 48, LR increased to 89), so this is not direct evidence for LT above 60. Supplement access: No separate supplemental file cited; figures and all tables included.</w:t>
            </w:r>
          </w:p>
        </w:tc>
      </w:tr>
      <w:tr>
        <w:trPr/>
        <w:tc>
          <w:tcPr>
            <w:tcW w:w="3400" w:type="dxa"/>
            <w:tcMar>
              <w:top w:w="90" w:type="dxa"/>
              <w:left w:w="90" w:type="dxa"/>
              <w:bottom w:w="90" w:type="dxa"/>
              <w:right w:w="90" w:type="dxa"/>
            </w:tcMar>
          </w:tcPr>
          <w:p>
            <w:pPr>
              <w:pStyle w:val="Normal"/>
              <w:widowControl/>
              <w:spacing w:before="60" w:after="20"/>
            </w:pPr>
            <w:r>
              <w:rPr>
                <w:b/>
              </w:rPr>
              <w:t xml:space="preserve">Eshmuminov 2023 · LT versus resection</w:t>
            </w:r>
            <w:r>
              <w:t xml:space="preserve"> </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1YxNi02XTwvRGlzcGxheVRleHQ+PHJlY29yZD48cmVjLW51bWJlcj42PC9yZWMtbnVtYmVyPjxmb3JlaWduLWtleXM+PGtleSBhcHA9IkVOIiBkYi1pZD0iYjcyMjMwNzItMzFiNy01NDQwLWFjZDktNmRkYjNjMjM2YzlkIiB0aW1lc3RhbXA9IjE3OTMyODM2ODYiPjY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Retrospective 15-centre study 1988–2021, 455 surgically treated patients (225 LT, 230 LR). Centre-specific selection varied. Propensity matching on age, grade and primary location yielded 96 LT and 96 R0-resected LR patients, with persistent marked lesion-number imbalance. Prior systemic treatment details were unavailable. Twenty-seven percent of LT patients lacked grade; only 10 overall LT recipients had G3, without modern WD-G3 versus NEC discrimination.</w:t>
            </w:r>
          </w:p>
          <w:p>
            <w:pPr>
              <w:pStyle w:val="Normal"/>
              <w:widowControl/>
              <w:spacing w:before="60" w:after="20"/>
            </w:pPr>
            <w:hyperlink r:id="rId75">
              <w:r>
                <w:rPr>
                  <w:color w:val="77230C"/>
                  <w:sz w:val="20"/>
                  <w:u w:val="single"/>
                </w:rPr>
                <w:t>Primary source</w:t>
              </w:r>
            </w:hyperlink>
            <w:r>
              <w:t xml:space="preserve"> | </w:t>
            </w:r>
            <w:hyperlink r:id="rId76">
              <w:r>
                <w:rPr>
                  <w:color w:val="77230C"/>
                  <w:sz w:val="20"/>
                  <w:u w:val="single"/>
                </w:rPr>
                <w:t>Full-text PDF</w:t>
              </w:r>
            </w:hyperlink>
          </w:p>
          <w:p>
            <w:pPr>
              <w:pStyle w:val="Normal"/>
              <w:widowControl/>
              <w:spacing w:before="60" w:after="20"/>
            </w:pPr>
            <w:r>
              <w:t xml:space="preserve">Locator: Methods e1064; unmatched outcomes/Table 1 e1065; grading e1066; matched Results/Table 4 e1067 and Figure 3 e1068; limitations e1069.</w:t>
            </w:r>
          </w:p>
          <w:p>
            <w:pPr>
              <w:pStyle w:val="Normal"/>
              <w:widowControl/>
              <w:spacing w:before="60" w:after="20"/>
            </w:pPr>
            <w:r>
              <w:t xml:space="preserve">Review depth: All nine pages of the complete published main paper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OS/PFS start at operation, not diagnosis, eligibility or treatment assignment; median follow-up 97 months overall, 93 LT and 102 LR. No all-screened or wait-list comparison. Matched analysis n=192. Use main Results/Figure 3, not contradictory abstract: matched five-year OS 75% LT versus 68.3% LR; median OS 205 versus 120 months; HR 0.56 (95% CI 0.35–0.90), P=0.015. Matched five-year PFS 64.2% versus 14.2%; median 107 versus 18 months; HR 0.25 (0.16–0.39). Matched outside-Milan comparison HR 0.64 (0.31–1.33), P=0.24: uncertain benefit, not proof of no benefit. Matched within-Milan HR 0.18 (0.06–0.52). Among LT recipients, G2 versus G1 adjusted OS HR 2.52 (1.15–5.52); five-year OS 70.0% versus 92.9%. Median-derived Ki-67 split 5% is exploratory, not a validated new exclusion threshold. 90-day mortality 13/225 (5.8%) LT versus 3/230 (1.3%) LR overall; matched 7/96 (7.3%) versus 2/96 (2.1%).</w:t>
            </w:r>
          </w:p>
          <w:p>
            <w:pPr>
              <w:pStyle w:val="Normal"/>
              <w:widowControl/>
              <w:spacing w:before="60" w:after="20"/>
            </w:pPr>
            <w:r>
              <w:rPr>
                <w:b/>
              </w:rPr>
              <w:t xml:space="preserve">Do not infer: </w:t>
            </w:r>
            <w:r>
              <w:t xml:space="preserve">Abstract's matched five-year OS 73% versus 52.8%, median 197 versus 119 and HR 0.59 differ from the labelled main Results/Figure 3. Do not blend them. Retrospective selection, substantial missing grade/stage, broad historical era, residual confounding and surgery-time origin; cannot infer causal superiority over resection or modern nonoperative therapy for an individual. Main tables contain other transcription inconsistencies (e.g. grade count/percent, primary-site labels); use internally concordant main outcomes and state reporting limitations. Milan-centre patients overlap other Milan reports. G3 subset insufficient to support expansion. Post-LT mTOR discussion is extrapolative, not a comparative NET regimen trial. Supplement access: Supplementary Material 1, http://links.lww.com/SLA/E183, not included in this download.</w:t>
            </w:r>
          </w:p>
        </w:tc>
      </w:tr>
      <w:tr>
        <w:trPr/>
        <w:tc>
          <w:tcPr>
            <w:tcW w:w="3400" w:type="dxa"/>
            <w:tcMar>
              <w:top w:w="90" w:type="dxa"/>
              <w:left w:w="90" w:type="dxa"/>
              <w:bottom w:w="90" w:type="dxa"/>
              <w:right w:w="90" w:type="dxa"/>
            </w:tcMar>
          </w:tcPr>
          <w:p>
            <w:pPr>
              <w:pStyle w:val="Normal"/>
              <w:widowControl/>
              <w:spacing w:before="60" w:after="20"/>
            </w:pPr>
            <w:r>
              <w:rPr>
                <w:b/>
              </w:rPr>
              <w:t xml:space="preserve">Kjaer 2023 · eligible non-LT panNET</w:t>
            </w:r>
            <w:r>
              <w:t xml:space="preserve"> </w:t>
            </w:r>
            <w:r>
              <w:t xml:space="preserve"> </w:t>
            </w:r>
            <w:r>
              <w:fldChar w:fldCharType="begin"/>
            </w:r>
            <w:r>
              <w:instrText xml:space="preserve"> ADDIN EN.CITE </w:instrText>
            </w:r>
            <w:r>
              <w:fldChar w:fldCharType="begin">
                <w:fldData>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IENvbXBsZXRlIGVpZ2h0LXBhZ2UgcHVibGlzaGVkIG1haW4gcGFwZXIgcmVhZCwgaW5jbHVkaW5nIGFsbCBtZXRob2RzLCB0YWJsZXMsIGZpZ3VyZXMsIGRpc2N1c3Npb24gYW5kIHJlZmVyZW5jZXMuIFY4IGV4dHJhY3Rpb24gYW5kIGxpbWl0YXRpb25zOiBzb3VyY2UvbWV0YXN0YXNlc19mdWxsdGV4dF9yZXZpZXcuanNvbjwvbm90ZXM+PHVybHM+PHJlbGF0ZWQtdXJscz48dXJsPmh0dHBzOi8vZG9pLm9yZy8xMC4xMDA3L3MwMDI2OC0wMjItMDY3MzYtMT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Retrospective Swedish tertiary-centre pan-NET cohort, 519 screened (2000–2021), 41 with resected primary, G1/G2, liver metastases and no extra-abdominal disease included. Sixteen satisfied one or more study-adapted LT definitions: Milan 11, ENETS 8, UNOS 13 (overlapping). These were not literal current allocation criteria: Milan age extended to &lt;65; two patients with suspicious persistent but stable regional nodes were counted UNOS-eligible after three-month follow-up.</w:t>
            </w:r>
          </w:p>
          <w:p>
            <w:pPr>
              <w:pStyle w:val="Normal"/>
              <w:widowControl/>
              <w:spacing w:before="60" w:after="20"/>
            </w:pPr>
            <w:hyperlink r:id="rId77">
              <w:r>
                <w:rPr>
                  <w:color w:val="77230C"/>
                  <w:sz w:val="20"/>
                  <w:u w:val="single"/>
                </w:rPr>
                <w:t>Primary source</w:t>
              </w:r>
            </w:hyperlink>
            <w:r>
              <w:t xml:space="preserve"> | </w:t>
            </w:r>
            <w:hyperlink r:id="rId78">
              <w:r>
                <w:rPr>
                  <w:color w:val="77230C"/>
                  <w:sz w:val="20"/>
                  <w:u w:val="single"/>
                </w:rPr>
                <w:t>Full-text PDF</w:t>
              </w:r>
            </w:hyperlink>
          </w:p>
          <w:p>
            <w:pPr>
              <w:pStyle w:val="Normal"/>
              <w:widowControl/>
              <w:spacing w:before="60" w:after="20"/>
            </w:pPr>
            <w:r>
              <w:t xml:space="preserve">Locator: Methods/time zero p 341; modified eligibility definitions p 342; baseline/treatments/outcomes pp 343–344; interpretation/limitations pp 345–346.</w:t>
            </w:r>
          </w:p>
          <w:p>
            <w:pPr>
              <w:pStyle w:val="Normal"/>
              <w:widowControl/>
              <w:spacing w:before="60" w:after="20"/>
            </w:pPr>
            <w:r>
              <w:t xml:space="preserve">Review depth: Complete eight-page published main paper read, including all methods, tables, 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set at eligibility for each LT-criteria group; otherwise after first centre visit, primary resection and liver metastasis presence. Mean follow-up 5.4 years; 23 deaths. No actual LT comparator. Eligibility time zero reduces one form of immortal-time bias but retrospective selection remains. All 41: median OS 9.3 years (95% CI 6.8–11.7); five-year OS 64.7% (48.2–81.2). Milan-adapted n=11 five-year OS 64.9% (32.2–97.6); ENETS n=8 85.7% (59.8–100); UNOS-adapted n=13 55.4% (26.0–84.8). Treatment was multimodal, not medical therapy alone: five hepatic resections, 15 ablations, six embolizations, systemic therapy in 40 and later-line PRRT. No standardised toxicity or quality-of-life comparison reported. Most patients had small maximum lesions (overall median 1.5 cm); eligibility/low-burden biology differs from refractory high-burden transplant candidates.</w:t>
            </w:r>
          </w:p>
          <w:p>
            <w:pPr>
              <w:pStyle w:val="Normal"/>
              <w:widowControl/>
              <w:spacing w:before="60" w:after="20"/>
            </w:pPr>
            <w:r>
              <w:rPr>
                <w:b/>
              </w:rPr>
              <w:t xml:space="preserve">Do not infer: </w:t>
            </w:r>
            <w:r>
              <w:t xml:space="preserve">Very small overlapping subgroups, broad CIs, nonrandom historical comparisons; cannot conclude non-LT superiority or that LT is ineffective. Study-adapted UNOS/Milan rules and old ENETS 2012 definitions should not be relabelled as current guidance. A stable suspicious node is not proof of cleared extrahepatic disease. Some percentages/table entries are internally inconsistent; use counts and survival estimates rather than erroneous derived percentages. Source authors' strong anti-LT conclusion exceeds what this uncontrolled non-LT series can establish. Supplement access: No supplementary file cited.</w:t>
            </w:r>
          </w:p>
        </w:tc>
      </w:tr>
      <w:tr>
        <w:trPr/>
        <w:tc>
          <w:tcPr>
            <w:tcW w:w="3400" w:type="dxa"/>
            <w:tcMar>
              <w:top w:w="90" w:type="dxa"/>
              <w:left w:w="90" w:type="dxa"/>
              <w:bottom w:w="90" w:type="dxa"/>
              <w:right w:w="90" w:type="dxa"/>
            </w:tcMar>
          </w:tcPr>
          <w:p>
            <w:pPr>
              <w:pStyle w:val="Normal"/>
              <w:widowControl/>
              <w:spacing w:before="60" w:after="20"/>
            </w:pPr>
            <w:r>
              <w:rPr>
                <w:b/>
              </w:rPr>
              <w:t xml:space="preserve">Boscà 2026 · Spain</w:t>
            </w:r>
            <w:r>
              <w:t xml:space="preserve"> </w:t>
            </w:r>
            <w:r>
              <w:t xml:space="preserve"> </w:t>
            </w:r>
            <w:r>
              <w:fldChar w:fldCharType="begin"/>
            </w:r>
            <w:r>
              <w:instrText xml:space="preserve"> ADDIN EN.CITE </w:instrText>
            </w:r>
            <w:r>
              <w:fldChar w:fldCharType="begin">
                <w:fldData>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Spanish 13-centre retrospective series of 91 NET LT recipients, 1995–2024; 41 transplanted before 2007; 71 Milan-IN and 20 Milan-OUT.</w:t>
            </w:r>
          </w:p>
          <w:p>
            <w:pPr>
              <w:pStyle w:val="Normal"/>
              <w:widowControl/>
              <w:spacing w:before="60" w:after="20"/>
            </w:pPr>
            <w:hyperlink r:id="rId79">
              <w:r>
                <w:rPr>
                  <w:color w:val="77230C"/>
                  <w:sz w:val="20"/>
                  <w:u w:val="single"/>
                </w:rPr>
                <w:t>Primary source</w:t>
              </w:r>
            </w:hyperlink>
            <w:r>
              <w:t xml:space="preserve"> | </w:t>
            </w:r>
            <w:hyperlink r:id="rId80">
              <w:r>
                <w:rPr>
                  <w:color w:val="77230C"/>
                  <w:sz w:val="20"/>
                  <w:u w:val="single"/>
                </w:rPr>
                <w:t>Full-text PDF</w:t>
              </w:r>
            </w:hyperlink>
          </w:p>
          <w:p>
            <w:pPr>
              <w:pStyle w:val="Normal"/>
              <w:widowControl/>
              <w:spacing w:before="60" w:after="20"/>
            </w:pPr>
            <w:r>
              <w:t xml:space="preserve">Locator: J Clin Med 2026;15:938; complete PDF Results, Tables 2–5, postoperative mortality/retransplantation and limitations.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LT; median follow-up 6.5 years. Table 5: five-year OS 71.0% IN versus 58.7% OUT, ten-year 55.5% versus 32.0%, fifteen-year 52.2% versus 16.0% (OS comparison P=0.03). Five-year DFS 58.8% versus 36.3%, not statistically significant. Recurrence 52/91; ninety-day mortality 9/91 (9.9%). Nine retransplants: two primary nonfunction, six hepatic artery thrombosis, one rejection.</w:t>
            </w:r>
          </w:p>
          <w:p>
            <w:pPr>
              <w:pStyle w:val="Normal"/>
              <w:widowControl/>
              <w:spacing w:before="60" w:after="20"/>
            </w:pPr>
            <w:r>
              <w:rPr>
                <w:b/>
              </w:rPr>
              <w:t xml:space="preserve">Do not infer: </w:t>
            </w:r>
            <w:r>
              <w:t xml:space="preserve">Era, missing pathology, small OUT group and composite deviations preclude validating 50–70% burden, age ≥60, G3 or extrahepatic expansion individually. Nonsignificant DFS is not equivalence. The abstract rounds OUT five-year OS differently; use Table 5 value with locator.</w:t>
            </w:r>
          </w:p>
        </w:tc>
      </w:tr>
      <w:tr>
        <w:trPr/>
        <w:tc>
          <w:tcPr>
            <w:tcW w:w="3400" w:type="dxa"/>
            <w:tcMar>
              <w:top w:w="90" w:type="dxa"/>
              <w:left w:w="90" w:type="dxa"/>
              <w:bottom w:w="90" w:type="dxa"/>
              <w:right w:w="90" w:type="dxa"/>
            </w:tcMar>
          </w:tcPr>
          <w:p>
            <w:pPr>
              <w:pStyle w:val="Normal"/>
              <w:widowControl/>
              <w:spacing w:before="60" w:after="20"/>
            </w:pPr>
            <w:r>
              <w:rPr>
                <w:b/>
              </w:rPr>
              <w:t xml:space="preserve">Le Treut 2013 · ELTR</w:t>
            </w:r>
            <w:r>
              <w:t xml:space="preserve"> </w:t>
            </w:r>
            <w:r>
              <w:t xml:space="preserve"> </w:t>
            </w:r>
            <w:r>
              <w:fldChar w:fldCharType="begin"/>
            </w:r>
            <w:r>
              <w:instrText xml:space="preserve"> ADDIN EN.CITE </w:instrText>
            </w:r>
            <w:r>
              <w:fldChar w:fldCharType="begin">
                <w:fldData>PEVuZE5vdGU+PENpdGU+PEF1dGhvcj5MZSBUcmV1dDwvQXV0aG9yPjxZZWFyPjIwMTM8L1llYXI+PFJlY051bT4xNjwvUmVjTnVtPjxEaXNwbGF5VGV4dD5bVjE2LTE2XTwvRGlzcGxheVRleHQ+PHJlY29yZD48cmVjLW51bWJlcj4xNjwvcmVjLW51bWJlcj48Zm9yZWlnbi1rZXlzPjxrZXkgYXBwPSJFTiIgZGItaWQ9ImI3MjIzMDcyLTMxYjctNTQ0MC1hY2Q5LTZkZGIzYzIzNmM5ZCIgdGltZXN0YW1wPSIxNzkzMjgzNjg2Ij4xNj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[V16-16]</w:t>
            </w:r>
            <w:r>
              <w:fldChar w:fldCharType="end"/>
            </w:r>
          </w:p>
          <w:p>
            <w:pPr>
              <w:pStyle w:val="Normal"/>
              <w:widowControl/>
              <w:spacing w:before="60" w:after="20"/>
            </w:pPr>
            <w:r>
              <w:t xml:space="preserve">Retrospective 35-centre/11-country ELTR case collection, 213 LT recipients 1982–2009 (approximately half the European NET transplants in that period). Mixed primary sites including bronchial, unknown and pancreas; 29 primary sites unknown before LT, 17 never found; 22 poorly differentiated cases. Baseline Ki-67 and treatment-response/stability data were too sparse for analysis. Eligibility differs fundamentally from current NLRB selection.</w:t>
            </w:r>
          </w:p>
          <w:p>
            <w:pPr>
              <w:pStyle w:val="Normal"/>
              <w:widowControl/>
              <w:spacing w:before="60" w:after="20"/>
            </w:pPr>
            <w:hyperlink r:id="rId81">
              <w:r>
                <w:rPr>
                  <w:color w:val="77230C"/>
                  <w:sz w:val="20"/>
                  <w:u w:val="single"/>
                </w:rPr>
                <w:t>Primary source</w:t>
              </w:r>
            </w:hyperlink>
            <w:r>
              <w:t xml:space="preserve"> | </w:t>
            </w:r>
            <w:hyperlink r:id="rId82">
              <w:r>
                <w:rPr>
                  <w:color w:val="77230C"/>
                  <w:sz w:val="20"/>
                  <w:u w:val="single"/>
                </w:rPr>
                <w:t>Full-text PDF</w:t>
              </w:r>
            </w:hyperlink>
          </w:p>
          <w:p>
            <w:pPr>
              <w:pStyle w:val="Normal"/>
              <w:widowControl/>
              <w:spacing w:before="60" w:after="20"/>
            </w:pPr>
            <w:r>
              <w:t xml:space="preserve">Locator: Methods p 808; primary/burden/indication p 809; perioperative harms p 810; adjusted models p 811; Table 6 p 812; historical selection discussion pp 813–815.</w:t>
            </w:r>
          </w:p>
          <w:p>
            <w:pPr>
              <w:pStyle w:val="Normal"/>
              <w:widowControl/>
              <w:spacing w:before="60" w:after="20"/>
            </w:pPr>
            <w:r>
              <w:t xml:space="preserve">Review depth: Complete nine-page published paper read, including all eight tables, methods, outcome curves,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107 before 2000 and 106 during 2000–2009. Median liver-metastasis diagnosis-to-LT 25 months. Follow-up to December 2010; mean follow-up 56 months. Survival must be labelled by time zero: five-year OS 52% from LT versus 73% from liver-metastasis diagnosis; the latter contains pretransplant survivor selection. Five-year OS/DFS 52%/30%; median OS/DFS 67/24 months. In 2000–2009 subgroup, five-year OS/DFS 59%/39%. Three-month mortality 21/213 (10%). Retransplantation 24/213 (11%), including 16 early; early retransplant deaths 6/16. Thirty-seven (17%) died from early/late transplant complications without recurrence over follow-up. Whole-cohort multivariable adverse associations: major concurrent resection HR 3.1 (95% CI 1.9–5.3), poor differentiation HR 2.7 (1.5–4.7), hepatomegaly HR 2.3 (1.5–3.7). Hepatomegaly was retrospectively explant size ≥125% predicted liver volume, not simply tumour replacement &gt;50%. Post-2000 model: hepatomegaly HR 2.6 (1.3–5.1), P=0.006; age &gt;45 HR 2.0 (0.9–4.3), P=0.073; any concurrent resection HR 1.9 (1.0–3.7), P=0.058. The latter two are not conventionally statistically significant despite abstract language. Univariate five-year OS ≤50% burden 61% (109 patients) versus &gt;50% 42% (91); estimated &gt;80% group 42% (31). These are historical unadjusted outcomes, not a validated safe upper boundary. Node-positive 66 had five-year OS 41% versus 62% in 91 node-negative; location/clearance detail inadequate for a current eligibility rule. Poorly differentiated 22 had five-year OS 27%, not evidence for modern WD-G3. Nine LT indications followed severe TACE complications (four liver failure, five ischaemic cholangitis); historical rescue experience does not justify deliberate treatment injury.</w:t>
            </w:r>
          </w:p>
          <w:p>
            <w:pPr>
              <w:pStyle w:val="Normal"/>
              <w:widowControl/>
              <w:spacing w:before="60" w:after="20"/>
            </w:pPr>
            <w:r>
              <w:rPr>
                <w:b/>
              </w:rPr>
              <w:t xml:space="preserve">Do not infer: </w:t>
            </w:r>
            <w:r>
              <w:t xml:space="preserve">Strong era, centre and recipient selection, no non-LT comparator, incomplete data and extensive overlap with earlier European/French cohorts. No stable-versus-progressive or Ki-67 threshold validation. Historical poorly differentiated NEC should not be conflated with well-differentiated G3. Abstract says 30 minor concurrent resections, whereas Methods/Table 4 show 60 minor and 24 major (84 total). Histological category counts also have transcription discrepancies; prefer internally supported Table 6 whole-cohort categories. The post-2000 age threshold is exploratory, not an absolute age ban; authors explicitly warn against denying LT solely to older patients with hepatomegaly. Supplement access: No separate supplemental file cited.</w:t>
            </w:r>
          </w:p>
        </w:tc>
      </w:tr>
      <w:tr>
        <w:trPr/>
        <w:tc>
          <w:tcPr>
            <w:tcW w:w="3400" w:type="dxa"/>
            <w:tcMar>
              <w:top w:w="90" w:type="dxa"/>
              <w:left w:w="90" w:type="dxa"/>
              <w:bottom w:w="90" w:type="dxa"/>
              <w:right w:w="90" w:type="dxa"/>
            </w:tcMar>
          </w:tcPr>
          <w:p>
            <w:pPr>
              <w:pStyle w:val="Normal"/>
              <w:widowControl/>
              <w:spacing w:before="60" w:after="20"/>
            </w:pPr>
            <w:r>
              <w:rPr>
                <w:b/>
              </w:rPr>
              <w:t xml:space="preserve">ENETS 2026</w:t>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ENETS 2026 position statement explicitly addressing controversies; expert, hypothesis-generating framework rather than original comparative outcome study.</w:t>
            </w:r>
          </w:p>
          <w:p>
            <w:pPr>
              <w:pStyle w:val="Normal"/>
              <w:widowControl/>
              <w:spacing w:before="60" w:after="20"/>
            </w:pPr>
            <w:hyperlink r:id="rId83">
              <w:r>
                <w:rPr>
                  <w:color w:val="77230C"/>
                  <w:sz w:val="20"/>
                  <w:u w:val="single"/>
                </w:rPr>
                <w:t>Primary source</w:t>
              </w:r>
            </w:hyperlink>
            <w:r>
              <w:t xml:space="preserve"> | </w:t>
            </w:r>
            <w:hyperlink r:id="rId84">
              <w:r>
                <w:rPr>
                  <w:color w:val="77230C"/>
                  <w:sz w:val="20"/>
                  <w:u w:val="single"/>
                </w:rPr>
                <w:t>Full-text PDF</w:t>
              </w:r>
            </w:hyperlink>
          </w:p>
          <w:p>
            <w:pPr>
              <w:pStyle w:val="Normal"/>
              <w:widowControl/>
              <w:spacing w:before="60" w:after="20"/>
            </w:pPr>
            <w:r>
              <w:t xml:space="preserve">Locator: J Neuroendocrinol 2026;38:e70250; complete position-statement PDF burden, benefit, age, stability and extrahepatic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outcome denominator. Proposed liver-burden bands around 25–70%, age &lt;60 as relative and six-month stability are pragmatic concepts. Illustrative non-LT five-year survival &lt;30% versus post-LT ≥70% are not a calibrated individual benefit model.</w:t>
            </w:r>
          </w:p>
          <w:p>
            <w:pPr>
              <w:pStyle w:val="Normal"/>
              <w:widowControl/>
              <w:spacing w:before="60" w:after="20"/>
            </w:pPr>
            <w:r>
              <w:rPr>
                <w:b/>
              </w:rPr>
              <w:t xml:space="preserve">Do not infer: </w:t>
            </w:r>
            <w:r>
              <w:t xml:space="preserve">Do not turn an expert future-oriented proposal into validated numerical gates. Suggested controllable extrahepatic disease, including bone, conflicts with current NLRB solid-organ-metastasis exclusion. It identifies research needs rather than approving an expansion.</w:t>
            </w:r>
          </w:p>
        </w:tc>
      </w:tr>
      <w:tr>
        <w:trPr/>
        <w:tc>
          <w:tcPr>
            <w:tcW w:w="3400" w:type="dxa"/>
            <w:tcMar>
              <w:top w:w="90" w:type="dxa"/>
              <w:left w:w="90" w:type="dxa"/>
              <w:bottom w:w="90" w:type="dxa"/>
              <w:right w:w="90" w:type="dxa"/>
            </w:tcMar>
          </w:tcPr>
          <w:p>
            <w:pPr>
              <w:pStyle w:val="Normal"/>
              <w:widowControl/>
              <w:spacing w:before="60" w:after="20"/>
            </w:pPr>
            <w:r>
              <w:rPr>
                <w:b/>
              </w:rPr>
              <w:t xml:space="preserve">Sposito 2021</w:t>
            </w:r>
            <w:r>
              <w:t xml:space="preserve"> </w:t>
            </w:r>
            <w:r>
              <w:t xml:space="preserve"> </w:t>
            </w:r>
            <w:r>
              <w:fldChar w:fldCharType="begin"/>
            </w:r>
            <w:r>
              <w:instrText xml:space="preserve"> ADDIN EN.CITE </w:instrText>
            </w:r>
            <w:r>
              <w:fldChar w:fldCharType="begin">
                <w:fldData>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p>
          <w:p>
            <w:pPr>
              <w:pStyle w:val="Normal"/>
              <w:widowControl/>
              <w:spacing w:before="60" w:after="20"/>
            </w:pPr>
            <w:r>
              <w:t xml:space="preserve">Single-centre retrospective analysis of post-LT NET recurrence among prospectively followed recipients: 53 total LT recipients, 32 recurrent cases meeting ≥6 months of postrecurrence follow-up, 2004–2018.</w:t>
            </w:r>
          </w:p>
          <w:p>
            <w:pPr>
              <w:pStyle w:val="Normal"/>
              <w:widowControl/>
              <w:spacing w:before="60" w:after="20"/>
            </w:pPr>
            <w:hyperlink r:id="rId85">
              <w:r>
                <w:rPr>
                  <w:color w:val="77230C"/>
                  <w:sz w:val="20"/>
                  <w:u w:val="single"/>
                </w:rPr>
                <w:t>Primary source</w:t>
              </w:r>
            </w:hyperlink>
            <w:r>
              <w:t xml:space="preserve"> | </w:t>
            </w:r>
            <w:hyperlink r:id="rId86">
              <w:r>
                <w:rPr>
                  <w:color w:val="77230C"/>
                  <w:sz w:val="20"/>
                  <w:u w:val="single"/>
                </w:rPr>
                <w:t>Full-text PDF</w:t>
              </w:r>
            </w:hyperlink>
          </w:p>
          <w:p>
            <w:pPr>
              <w:pStyle w:val="Normal"/>
              <w:widowControl/>
              <w:spacing w:before="60" w:after="20"/>
            </w:pPr>
            <w:r>
              <w:t xml:space="preserve">Locator: PDF pp 3–14 main text; Tables 1–3 pp 19–22; Figures 1–3 pp 23–25, especially Fig 3D P=.062. Published pp 2579–2586.</w:t>
            </w:r>
          </w:p>
          <w:p>
            <w:pPr>
              <w:pStyle w:val="Normal"/>
              <w:widowControl/>
              <w:spacing w:before="60" w:after="20"/>
            </w:pPr>
            <w:r>
              <w:t xml:space="preserve">Review depth: Complete 25-page accepted manuscript read, including all main text, tables, figure legends, references and visual inspection of Figures 1–3 on PDF pages 23–25.</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Twenty-five of 32 were within Milan criteria at listing. Primary sites were intestinal 20, pancreatic 11, unknown one. All received deceased-donor grafts; 21/32 had positive hilar nodes at LT, which does not establish acceptability of known active nodes before selection.; Median time to recurrence was 82.9 months. Overall survival here starts at RECURRENCE, not LT: median 81 months, five-/ten-year OS 76.3%/45.5%, with median postrecurrence follow-up 73.7 months.; Fourteen underwent surgery; complete resection at initial salvage in 13. Surgery versus other therapy five-year OS 90.9% versus 64.5%, P=.062; the overall comparison did not reach statistical significance.; The seven early-recurrence cases (within 24 months) had five-year postrecurrence OS 0% versus 89.5% in 25 later recurrences; this very small nonrandomized subgroup is prognostic, not a validated 24-month prohibition on salvage.; At last follow-up four were disease-free, 17 alive with disease and 11 deceased (seven NET-related, four other causes). Rising proliferation across primary, LT and recurrence biopsies supports reassessing heterogeneous biology.; All were switched to an mTOR inhibitor upon recurrence. No non-switch comparator exists to establish antitumour benefit. Two received PRRT; this is descriptive post-LT experience, not controlled safety/efficacy evidence.</w:t>
            </w:r>
          </w:p>
          <w:p>
            <w:pPr>
              <w:pStyle w:val="Normal"/>
              <w:widowControl/>
              <w:spacing w:before="60" w:after="20"/>
            </w:pPr>
            <w:r>
              <w:rPr>
                <w:b/>
              </w:rPr>
              <w:t xml:space="preserve">Do not infer: </w:t>
            </w:r>
            <w:r>
              <w:t xml:space="preserve">Selection requires survival/follow-up for at least six months after recurrence, potentially underrepresenting very early deaths; only 32 recurrent patients and no adjusted causal comparison.; Treatment selection, late-recurrence biology and resectability confound surgical comparisons. Overlap with other Milan reports means outcomes are not independent replication.; Abstract and body have slightly different recurrence-time IQRs. The abstract's 59.4% nodal figure combines abdominal and thoracic single-site nodal recurrences; do not label all 19 as abdominal.; The &lt; versus ≤24-month boundary differs between text/table; use 'within 24 months' descriptively without creating a precise validated gate.; Study protocol's three-month observation before salvage surgery and systematic NET lymphadenectomy are centre practices, not mandatory CRLM or universal NET standards.</w:t>
            </w:r>
          </w:p>
        </w:tc>
      </w:tr>
    </w:tbl>
    <w:p>
      <w:pPr>
        <w:pStyle w:val="Heading3"/>
        <w:keepNext/>
        <w:widowControl/>
      </w:pPr>
      <w:r>
        <w:t xml:space="preserve">Synthesis and evidence that challenges the proposal</w:t>
      </w:r>
    </w:p>
    <w:p>
      <w:pPr>
        <w:pStyle w:val="Normal"/>
        <w:widowControl/>
        <w:spacing w:before="60" w:after="20"/>
      </w:pPr>
      <w:r>
        <w:t xml:space="preserve">The &lt;50% burden and relative age &lt;60 Milan framework has selected-cohort lineage, not a sharp validated treatment-benefit boundary. In ELTR's post-2000 model, age &gt;45 had HR 2.0 (95% CI 0.9–4.3), P=.073: it was not a statistically significant independent predictor, contrary to the abstract implication. Hepatomegaly was an explant-based size measure, not synonymous with tumour replacement. Burden &gt;50% had poorer unadjusted historical survival, but no precise 70% futility boundary or safety through 75–80% is established. Maspero added no older LT recipients in its age-expanded comparison and occult postoperative high burden cannot validate preoperative expansion. Low burden may produce good post-LT survival but little incremental benefit.</w:t>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MjwvWWVhcj48UmVjTnVtPjc8L1JlY051bT48RGlzcGxheVRleHQ+W1YxNi03XTwvRGlzcGxheVRleHQ+PHJlY29yZD48cmVjLW51bWJlcj43PC9yZWMtbnVtYmVyPjxmb3JlaWduLWtleXM+PGtleSBhcHA9IkVOIiBkYi1pZD0iYjcyMjMwNzItMzFiNy01NDQwLWFjZDktNmRkYjNjMjM2YzlkIiB0aW1lc3RhbXA9IjE3OTMyODM2ODYiPjc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1YxNi02XTwvRGlzcGxheVRleHQ+PHJlY29yZD48cmVjLW51bWJlcj42PC9yZWMtbnVtYmVyPjxmb3JlaWduLWtleXM+PGtleSBhcHA9IkVOIiBkYi1pZD0iYjcyMjMwNzItMzFiNy01NDQwLWFjZDktNmRkYjNjMjM2YzlkIiB0aW1lc3RhbXA9IjE3OTMyODM2ODYiPjY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IENvbXBsZXRlIGVpZ2h0LXBhZ2UgcHVibGlzaGVkIG1haW4gcGFwZXIgcmVhZCwgaW5jbHVkaW5nIGFsbCBtZXRob2RzLCB0YWJsZXMsIGZpZ3VyZXMsIGRpc2N1c3Npb24gYW5kIHJlZmVyZW5jZXMuIFY4IGV4dHJhY3Rpb24gYW5kIGxpbWl0YXRpb25zOiBzb3VyY2UvbWV0YXN0YXNlc19mdWxsdGV4dF9yZXZpZXcuanNvbjwvbm90ZXM+PHVybHM+PHJlbGF0ZWQtdXJscz48dXJsPmh0dHBzOi8vZG9pLm9yZy8xMC4xMDA3L3MwMDI2OC0wMjItMDY3MzYtMT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t xml:space="preserve"> </w:t>
      </w:r>
      <w:r>
        <w:t xml:space="preserve"> </w:t>
      </w:r>
      <w:r>
        <w:fldChar w:fldCharType="begin"/>
      </w:r>
      <w:r>
        <w:instrText xml:space="preserve"> ADDIN EN.CITE </w:instrText>
      </w:r>
      <w:r>
        <w:fldChar w:fldCharType="begin">
          <w:fldData>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MZSBUcmV1dDwvQXV0aG9yPjxZZWFyPjIwMTM8L1llYXI+PFJlY051bT4xNjwvUmVjTnVtPjxEaXNwbGF5VGV4dD5bVjE2LTE2XTwvRGlzcGxheVRleHQ+PHJlY29yZD48cmVjLW51bWJlcj4xNjwvcmVjLW51bWJlcj48Zm9yZWlnbi1rZXlzPjxrZXkgYXBwPSJFTiIgZGItaWQ9ImI3MjIzMDcyLTMxYjctNTQ0MC1hY2Q5LTZkZGIzYzIzNmM5ZCIgdGltZXN0YW1wPSIxNzkzMjgzNjg2Ij4xNj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[V16-16]</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p>
    <w:p>
      <w:pPr>
        <w:pStyle w:val="Normal"/>
        <w:widowControl/>
        <w:numPr>
          <w:ilvl w:val="0"/>
          <w:numId w:val="3"/>
        </w:numPr>
        <w:spacing w:before="60" w:after="20"/>
      </w:pPr>
      <w:r>
        <w:t xml:space="preserve">Spanish Milan-OUT survival is lower, but OUT combines many deviations and cannot isolate &gt;50% burden or age ≥60. Matched outside-Milan confidence intervals are wide, not proof of futility. Kjaer's non-LT survival cautions against assuming any eligible patient needs LT. ENETS 25–70% proposal is an expert benefit-oriented hypothesis, not outcome-validated proof that 70% is a biological ceiling.</w:t>
      </w:r>
    </w:p>
    <w:p>
      <w:pPr>
        <w:pStyle w:val="Normal"/>
        <w:widowControl/>
        <w:spacing w:before="60" w:after="20"/>
      </w:pPr>
      <w:r>
        <w:rPr>
          <w:b/>
        </w:rPr>
        <w:t xml:space="preserve">Certainty / applicability: </w:t>
      </w:r>
      <w:r>
        <w:t xml:space="preserve">Low certainty for any causal age/burden threshold; moderate confidence that these variables and liver function must be measured and followed. No prospective trial validates 25%, 50%, 70% or age 60 as a universal increment-benefit boundary.</w:t>
      </w:r>
    </w:p>
    <w:p>
      <w:pPr>
        <w:pStyle w:val="Heading3"/>
        <w:keepNext/>
        <w:widowControl/>
      </w:pPr>
      <w:r>
        <w:t xml:space="preserve">Where each proposed threshold comes from</w:t>
      </w:r>
    </w:p>
    <w:p>
      <w:pPr>
        <w:pStyle w:val="Normal"/>
        <w:widowControl/>
        <w:numPr>
          <w:ilvl w:val="0"/>
          <w:numId w:val="3"/>
        </w:numPr>
        <w:spacing w:before="60" w:after="20"/>
      </w:pPr>
      <w:r>
        <w:t xml:space="preserve">&lt;50% and age &lt;60 relative originate in Milan selection; age &gt;45 is historical prognostic association, not selection validation. ENETS 25–70% and six-month stability are pragmatic proposals. The V6 50–70% unopened stratum and &gt;70% initial closure are local conservative design choices. Serial volumetry and trajectory matter more than a single imprecise percentage.</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Mazzaferro 2016 · Milan-NET</w:t>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“Metastatic diffusion to &lt;50% of the total liver volume”</w:t>
            </w:r>
          </w:p>
          <w:p>
            <w:pPr>
              <w:pStyle w:val="Normal"/>
              <w:widowControl/>
              <w:spacing w:before="60" w:after="20"/>
            </w:pPr>
            <w:r>
              <w:t xml:space="preserve">Milan-NET, Table 1, PDF p2 / journal p2893</w:t>
            </w:r>
          </w:p>
          <w:p>
            <w:pPr>
              <w:pStyle w:val="Normal"/>
              <w:widowControl/>
              <w:spacing w:before="60" w:after="20"/>
            </w:pPr>
            <w:hyperlink r:id="rId87">
              <w:r>
                <w:rPr>
                  <w:color w:val="77230C"/>
                  <w:sz w:val="20"/>
                  <w:u w:val="single"/>
                </w:rPr>
                <w:t>Source</w:t>
              </w:r>
            </w:hyperlink>
            <w:r>
              <w:t xml:space="preserve"> | </w:t>
            </w:r>
            <w:hyperlink r:id="rId88">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selection criterion in the Milan framework, not a national allocation ceiling.</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ENETS 2026</w:t>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“Age &lt;60 years may be considered a relative, not absolute, factor.”</w:t>
            </w:r>
          </w:p>
          <w:p>
            <w:pPr>
              <w:pStyle w:val="Normal"/>
              <w:widowControl/>
              <w:spacing w:before="60" w:after="20"/>
            </w:pPr>
            <w:r>
              <w:t xml:space="preserve">2026 full-text PDF p5, Table 2</w:t>
            </w:r>
          </w:p>
          <w:p>
            <w:pPr>
              <w:pStyle w:val="Normal"/>
              <w:widowControl/>
              <w:spacing w:before="60" w:after="20"/>
            </w:pPr>
            <w:hyperlink r:id="rId89">
              <w:r>
                <w:rPr>
                  <w:color w:val="77230C"/>
                  <w:sz w:val="20"/>
                  <w:u w:val="single"/>
                </w:rPr>
                <w:t>Source</w:t>
              </w:r>
            </w:hyperlink>
            <w:r>
              <w:t xml:space="preserve"> | </w:t>
            </w:r>
            <w:hyperlink r:id="rId90">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Supports individualized benefit/fitness assessment rather than an automatic age exclusion.</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age as a review trigger, not an absolute exclusion; retain a conservative opening burden and a separately declared expansion band.</w:t>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MjwvWWVhcj48UmVjTnVtPjc8L1JlY051bT48RGlzcGxheVRleHQ+W1YxNi03XTwvRGlzcGxheVRleHQ+PHJlY29yZD48cmVjLW51bWJlcj43PC9yZWMtbnVtYmVyPjxmb3JlaWduLWtleXM+PGtleSBhcHA9IkVOIiBkYi1pZD0iYjcyMjMwNzItMzFiNy01NDQwLWFjZDktNmRkYjNjMjM2YzlkIiB0aW1lc3RhbXA9IjE3OTMyODM2ODYiPjc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Fc2htdW1pbm92PC9BdXRob3I+PFllYXI+MjAyMzwvWWVhcj48UmVjTnVtPjY8L1JlY051bT48RGlzcGxheVRleHQ+W1YxNi02XTwvRGlzcGxheVRleHQ+PHJlY29yZD48cmVjLW51bWJlcj42PC9yZWMtbnVtYmVyPjxmb3JlaWduLWtleXM+PGtleSBhcHA9IkVOIiBkYi1pZD0iYjcyMjMwNzItMzFiNy01NDQwLWFjZDktNmRkYjNjMjM2YzlkIiB0aW1lc3RhbXA9IjE3OTMyODM2ODYiPjY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t xml:space="preserve"> </w:t>
      </w:r>
      <w:r>
        <w:t xml:space="preserve"> </w:t>
      </w:r>
      <w:r>
        <w:fldChar w:fldCharType="begin"/>
      </w:r>
      <w:r>
        <w:instrText xml:space="preserve"> ADDIN EN.CITE </w:instrText>
      </w:r>
      <w:r>
        <w:fldChar w:fldCharType="begin">
          <w:fldData>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MZSBUcmV1dDwvQXV0aG9yPjxZZWFyPjIwMTM8L1llYXI+PFJlY051bT4xNjwvUmVjTnVtPjxEaXNwbGF5VGV4dD5bVjE2LTE2XTwvRGlzcGxheVRleHQ+PHJlY29yZD48cmVjLW51bWJlcj4xNjwvcmVjLW51bWJlcj48Zm9yZWlnbi1rZXlzPjxrZXkgYXBwPSJFTiIgZGItaWQ9ImI3MjIzMDcyLTMxYjctNTQ0MC1hY2Q5LTZkZGIzYzIzNmM5ZCIgdGltZXN0YW1wPSIxNzkzMjgzNjg2Ij4xNj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[V16-16]</w:t>
      </w:r>
      <w:r>
        <w:fldChar w:fldCharType="end"/>
      </w:r>
      <w:r>
        <w:t xml:space="preserve"> </w:t>
      </w:r>
      <w:r>
        <w:t xml:space="preserve"> </w:t>
      </w:r>
      <w:r>
        <w:fldChar w:fldCharType="begin"/>
      </w:r>
      <w:r>
        <w:instrText xml:space="preserve"> ADDIN EN.CITE </w:instrText>
      </w:r>
      <w:r>
        <w:fldChar w:fldCharType="begin">
          <w:fldData>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p>
    <w:p>
      <w:pPr>
        <w:pStyle w:val="Normal"/>
        <w:widowControl/>
        <w:numPr>
          <w:ilvl w:val="0"/>
          <w:numId w:val="3"/>
        </w:numPr>
      </w:pPr>
      <w:r>
        <w:t xml:space="preserve">Age ≥60 triggers explicit physiological-reserve, competing-mortality and benefit review; no absolute chronological-age ceiling or invented NET-specific frailty score is adopted.</w:t>
      </w:r>
    </w:p>
    <w:p>
      <w:pPr>
        <w:pStyle w:val="Normal"/>
        <w:widowControl/>
        <w:numPr>
          <w:ilvl w:val="0"/>
          <w:numId w:val="3"/>
        </w:numPr>
      </w:pPr>
      <w:r>
        <w:t xml:space="preserve">Reproducibly estimate liver involvement. &lt;50% is the conservative Milan-derived reference; exactly 50% through 70% is a separate prospective expansion stratum, not automatically active. &gt;70% is outside the initial local program for conservative risk control, not because published evidence proves futility.</w:t>
      </w:r>
    </w:p>
    <w:p>
      <w:pPr>
        <w:pStyle w:val="Normal"/>
        <w:widowControl/>
        <w:numPr>
          <w:ilvl w:val="1"/>
          <w:numId w:val="3"/>
        </w:numPr>
        <w:spacing w:before="60" w:after="20"/>
      </w:pPr>
      <w:r>
        <w:t xml:space="preserve">The 50–70/&gt;70 choices are local proposals, not national limits.</w:t>
      </w:r>
    </w:p>
    <w:p>
      <w:pPr>
        <w:pStyle w:val="Normal"/>
        <w:widowControl/>
        <w:numPr>
          <w:ilvl w:val="0"/>
          <w:numId w:val="3"/>
        </w:numPr>
      </w:pPr>
      <w:r>
        <w:t xml:space="preserve">Low burden, particularly &lt;25%, defaults to non-LT care unless a documented NET-B1 benefit trigger overrides that default.</w:t>
      </w:r>
    </w:p>
    <w:p>
      <w:pPr>
        <w:pStyle w:val="Normal"/>
        <w:widowControl/>
        <w:numPr>
          <w:ilvl w:val="1"/>
          <w:numId w:val="3"/>
        </w:numPr>
        <w:spacing w:before="60" w:after="20"/>
      </w:pPr>
      <w:r>
        <w:t xml:space="preserve">Do not give harmful downstaging solely to cross a percentage boundary.</w:t>
      </w:r>
    </w:p>
    <w:p>
      <w:pPr>
        <w:pStyle w:val="Normal"/>
        <w:widowControl/>
        <w:numPr>
          <w:ilvl w:val="0"/>
          <w:numId w:val="3"/>
        </w:numPr>
      </w:pPr>
      <w:r>
        <w:t xml:space="preserve">Do not cite age &gt;45 as an exclusion or postoperative occult upstaging as prospective validation.</w:t>
      </w:r>
    </w:p>
    <w:p>
      <w:pPr>
        <w:pStyle w:val="Normal"/>
        <w:widowControl/>
        <w:numPr>
          <w:ilvl w:val="1"/>
          <w:numId w:val="3"/>
        </w:numPr>
        <w:spacing w:before="60" w:after="20"/>
      </w:pPr>
      <w:r>
        <w:t xml:space="preserve">Explicitly label the proposed 50–70% expansion and &gt;70% opening restriction as local, unapproved research boundaries, not national or trial-validated cutoffs.</w:t>
      </w:r>
    </w:p>
    <w:p>
      <w:pPr>
        <w:pStyle w:val="Normal"/>
        <w:widowControl/>
        <w:spacing w:before="60" w:after="20"/>
      </w:pPr>
      <w:r>
        <w:rPr>
          <w:b/>
        </w:rPr>
        <w:t xml:space="preserve">Why retain or change it: </w:t>
      </w:r>
      <w:r>
        <w:t xml:space="preserve">Keep OPEN age ≥60 as an enhanced fitness/competing-risk and benefit review, not an automatic exclusion. Retain &lt;50% estimated hepatic involvement as the initial cohort reference, with central imaging method and uncertainty documented. Proposed 50–70% cases should remain a separately designed, unopened research stratum; &gt;70% remains outside the initial programme for conservative risk control, not because published data prove futility. Low burden &lt;25% generally favours continued effective non-LT management unless B1 provides a compelling symptom/function/future-control rationale. Do not permit burden alone to overrule grade, extrahepatic disease or donor risk. Decision remains blank.</w:t>
      </w:r>
    </w:p>
    <w:p>
      <w:pPr>
        <w:pStyle w:val="Heading3"/>
        <w:keepNext/>
        <w:widowControl/>
      </w:pPr>
      <w:r>
        <w:t xml:space="preserve">Information required before the decision</w:t>
      </w:r>
    </w:p>
    <w:p>
      <w:pPr>
        <w:pStyle w:val="Normal"/>
        <w:widowControl/>
        <w:spacing w:before="60" w:after="20"/>
      </w:pPr>
      <w:r>
        <w:t xml:space="preserve">Method/date of volumetric burden; functional reserve/frailty; competing illness; symptom/benefit trigger; current treatment alternatives.</w:t>
      </w:r>
    </w:p>
    <w:p>
      <w:pPr>
        <w:pStyle w:val="Normal"/>
        <w:widowControl/>
        <w:spacing w:before="60" w:after="20"/>
      </w:pPr>
      <w:r>
        <w:rPr>
          <w:b/>
        </w:rPr>
        <w:t xml:space="preserve">Clinical versus allocation: </w:t>
      </w:r>
      <w:r>
        <w:t xml:space="preserve">NLRB guidance has no explicit age or liver-percentage ceiling; identify these as local clinical/research choices.</w:t>
      </w:r>
    </w:p>
    <w:p>
      <w:pPr>
        <w:pStyle w:val="Normal"/>
        <w:widowControl/>
        <w:spacing w:before="60" w:after="20"/>
      </w:pPr>
      <w:r>
        <w:rPr>
          <w:b/>
        </w:rPr>
        <w:t xml:space="preserve">Roadmap / protocol reconciliation: </w:t>
      </w:r>
      <w:r>
        <w:t xml:space="preserve">Use the NET roadmap’s symptom control and systemic/liver-directed options, with volumetric follow-up rather than visual percentage guesses.</w:t>
      </w:r>
    </w:p>
    <w:p>
      <w:pPr>
        <w:pStyle w:val="Normal"/>
        <w:widowControl/>
        <w:spacing w:before="60" w:after="20"/>
      </w:pPr>
      <w:hyperlink r:id="rId91">
        <w:r>
          <w:rPr>
            <w:color w:val="77230C"/>
            <w:sz w:val="20"/>
            <w:u w:val="single"/>
          </w:rPr>
          <w:t>Meeting record: NET-B3</w:t>
        </w:r>
      </w:hyperlink>
      <w:r>
        <w:t xml:space="preserve">  |  </w:t>
      </w:r>
      <w:hyperlink r:id="rId9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3 Individualized treatment and reassessment</w:t>
      </w:r>
    </w:p>
    <w:p>
      <w:pPr>
        <w:pStyle w:val="Normal"/>
        <w:widowControl/>
        <w:numPr>
          <w:ilvl w:val="0"/>
          <w:numId w:val="3"/>
        </w:numPr>
      </w:pPr>
      <w:r>
        <w:t xml:space="preserve">Review resection/ablation, somatostatin analogs, PRRT, systemic therapy and liver-directed options with NET oncology, nuclear medicine and HPB/IR. Choose according to primary site, differentiation, receptor expression, tempo, symptoms and prior exposure. Do not mandate one neoadjuvant modality to qualify for LT.</w:t>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For SSTR-positive disease, PRRT may be an appropriate disease-control option. Use the current nuclear-medicine dosing and renal/marrow-protection program. There is no validated universal PRRT-to-LT washout: document marrow, renal and hepatic recovery, dosimetry and operative timing.</w:t>
      </w:r>
      <w:r>
        <w:t xml:space="preserve"> </w:t>
      </w:r>
      <w:r>
        <w:t xml:space="preserve"> </w:t>
      </w:r>
      <w:r>
        <w:fldChar w:fldCharType="begin"/>
      </w:r>
      <w:r>
        <w:instrText xml:space="preserve"> ADDIN EN.CITE </w:instrText>
      </w:r>
      <w:r>
        <w:fldChar w:fldCharType="begin">
          <w:fldData>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1MwMTQwLTY3MzYoMjQpMDA3MDEtMz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p>
    <w:p>
      <w:pPr>
        <w:pStyle w:val="Normal"/>
        <w:widowControl/>
        <w:numPr>
          <w:ilvl w:val="0"/>
          <w:numId w:val="3"/>
        </w:numPr>
      </w:pPr>
      <w:r>
        <w:t xml:space="preserve">CAPTEM, everolimus and other systemic treatments must follow the tumor-specific oncology plan. Oncology-dose everolimus is not interchangeable with transplant immunosuppression. Record a perioperative hold and recovery plan with pharmacy; do not prescribe simultaneous unreviewed combinations.</w:t>
      </w:r>
    </w:p>
    <w:p>
      <w:pPr>
        <w:pStyle w:val="Normal"/>
        <w:widowControl/>
        <w:numPr>
          <w:ilvl w:val="0"/>
          <w:numId w:val="3"/>
        </w:numPr>
      </w:pPr>
      <w:r>
        <w:t xml:space="preserve">Proposed local assessment: cross-sectional imaging approximately every three months during treatment/observation, with symptom, nutrition, liver function and syndrome-specific biochemical review. Use RECIST 1.1 and retain the original burden/site map. Functional imaging is repeated to answer staging or biological discordance, not at an arbitrary universal frequency.</w:t>
      </w:r>
    </w:p>
    <w:p>
      <w:pPr>
        <w:pStyle w:val="Normal"/>
        <w:widowControl/>
      </w:pPr>
      <w:r>
        <w:t xml:space="preserve">Advance to final selection only when the primary is controlled, the relevant disease-free interval is complete, there is no active extrahepatic disease, liver disease is controlled, complete non-LT clearance is not feasible, and an explicit benefit/fitness review favors LT within the intended pathway.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Hold for uncertain grade, unknown primary/drainage, discordant SSTR/FDG lesions, unclear nodal clearance or insufficient observation. Progressive metastatic disease, NEC or an unapproved G3/nonportal expansion stops this proposed route. Do not translate a chemotherapy or PRRT response into automatic transplant eligibility.</w:t>
      </w:r>
    </w:p>
    <w:p>
      <w:pPr>
        <w:pStyle w:val="Heading2"/>
        <w:keepNext/>
        <w:widowControl/>
      </w:pPr>
      <w:r>
        <w:t xml:space="preserve">4 Allocation and donor selection</w:t>
      </w:r>
    </w:p>
    <w:p>
      <w:pPr>
        <w:pStyle w:val="Normal"/>
        <w:widowControl/>
        <w:numPr>
          <w:ilvl w:val="0"/>
          <w:numId w:val="3"/>
        </w:numPr>
      </w:pPr>
      <w:r>
        <w:t xml:space="preserve">The current NET route is nonstandard NLRB consideration, generally MMaT minus 3 for candidates meeting the described guidance. It is not automatic standardized priority. Submit the actual primary, histology, proliferation, resection and negative-staging record.</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iNzIyMzA3Mi0zMWI3LTU0NDAtYWNkOS02ZGRiM2MyMzZjOW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iNzIyMzA3Mi0zMWI3LTU0NDAtYWNkOS02ZGRiM2MyMzZjOW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1PC9SZWNOdW0+PERpc3BsYXlUZXh0PltWMTYtMTVdPC9EaXNwbGF5VGV4dD48cmVjb3JkPjxyZWMtbnVtYmVyPjE1PC9yZWMtbnVtYmVyPjxmb3JlaWduLWtleXM+PGtleSBhcHA9IkVOIiBkYi1pZD0iYjcyMjMwNzItMzFiNy01NDQwLWFjZDktNmRkYjNjMjM2YzlkIiB0aW1lc3RhbXA9IjE3OTMyODM2ODYiPjE1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iNzIyMzA3Mi0zMWI3LTU0NDAtYWNkOS02ZGRiM2MyMzZjOW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1PC9SZWNOdW0+PERpc3BsYXlUZXh0PltWMTYtMTVdPC9EaXNwbGF5VGV4dD48cmVjb3JkPjxyZWMtbnVtYmVyPjE1PC9yZWMtbnVtYmVyPjxmb3JlaWduLWtleXM+PGtleSBhcHA9IkVOIiBkYi1pZD0iYjcyMjMwNzItMzFiNy01NDQwLWFjZDktNmRkYjNjMjM2YzlkIiB0aW1lc3RhbXA9IjE3OTMyODM2ODYiPjE1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xOTwvUmVjTnVtPjxEaXNwbGF5VGV4dD5bVjE2LTE5XTwvRGlzcGxheVRleHQ+PHJlY29yZD48cmVjLW51bWJlcj4xOTwvcmVjLW51bWJlcj48Zm9yZWlnbi1rZXlzPjxrZXkgYXBwPSJFTiIgZGItaWQ9ImI3MjIzMDcyLTMxYjctNTQ0MC1hY2Q5LTZkZGIzYzIzNmM5ZCIgdGltZXN0YW1wPSIxNzkzMjgzNjg2Ij4xO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fldChar w:fldCharType="begin"/>
      </w:r>
      <w:r>
        <w:instrText xml:space="preserve"> ADDIN EN.CITE </w:instrText>
      </w:r>
      <w:r>
        <w:fldChar w:fldCharType="begin">
          <w:fldData>PEVuZE5vdGU+PENpdGU+PEF1dGhvcj5LZWxseTwvQXV0aG9yPjxZZWFyPjIwMjY8L1llYXI+PFJlY051bT4xOTwvUmVjTnVtPjxEaXNwbGF5VGV4dD5bVjE2LTE5XTwvRGlzcGxheVRleHQ+PHJlY29yZD48cmVjLW51bWJlcj4xOTwvcmVjLW51bWJlcj48Zm9yZWlnbi1rZXlzPjxrZXkgYXBwPSJFTiIgZGItaWQ9ImI3MjIzMDcyLTMxYjctNTQ0MC1hY2Q5LTZkZGIzYzIzNmM5ZCIgdGltZXN0YW1wPSIxNzkzMjgzNjg2Ij4xO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p>
    <w:p>
      <w:pPr>
        <w:pStyle w:val="Heading3"/>
        <w:keepNext/>
        <w:widowControl/>
      </w:pPr>
      <w:bookmarkStart w:id="4" w:name="ALLOC_B1"/>
      <w:r>
        <w:t xml:space="preserve">ALLOC-B1 — What are we approving?</w:t>
      </w:r>
      <w:bookmarkEnd w:id="4"/>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iNzIyMzA3Mi0zMWI3LTU0NDAtYWNkOS02ZGRiM2MyMzZjOW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A8L1JlY051bT48RGlzcGxheVRleHQ+W1YxNi0yMF08L0Rpc3BsYXlUZXh0PjxyZWNvcmQ+PHJlYy1udW1iZXI+MjA8L3JlYy1udW1iZXI+PGZvcmVpZ24ta2V5cz48a2V5IGFwcD0iRU4iIGRiLWlkPSJiNzIyMzA3Mi0zMWI3LTU0NDAtYWNkOS02ZGRiM2MyMzZjOWQiIHRpbWVzdGFtcD0iMTc5MzI4MzY4NiI+MjA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[V16-20]</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E8L1JlY051bT48RGlzcGxheVRleHQ+W1YxNi0yMV08L0Rpc3BsYXlUZXh0PjxyZWNvcmQ+PHJlYy1udW1iZXI+MjE8L3JlYy1udW1iZXI+PGZvcmVpZ24ta2V5cz48a2V5IGFwcD0iRU4iIGRiLWlkPSJiNzIyMzA3Mi0zMWI3LTU0NDAtYWNkOS02ZGRiM2MyMzZjOWQiIHRpbWVzdGFtcD0iMTc5MzI4MzY4NiI+MjE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[V16-21]</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iNzIyMzA3Mi0zMWI3LTU0NDAtYWNkOS02ZGRiM2MyMzZjOW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A8L1JlY051bT48RGlzcGxheVRleHQ+W1YxNi0yMF08L0Rpc3BsYXlUZXh0PjxyZWNvcmQ+PHJlYy1udW1iZXI+MjA8L3JlYy1udW1iZXI+PGZvcmVpZ24ta2V5cz48a2V5IGFwcD0iRU4iIGRiLWlkPSJiNzIyMzA3Mi0zMWI3LTU0NDAtYWNkOS02ZGRiM2MyMzZjOWQiIHRpbWVzdGFtcD0iMTc5MzI4MzY4NiI+MjA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[V16-20]</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E8L1JlY051bT48RGlzcGxheVRleHQ+W1YxNi0yMV08L0Rpc3BsYXlUZXh0PjxyZWNvcmQ+PHJlYy1udW1iZXI+MjE8L3JlYy1udW1iZXI+PGZvcmVpZ24ta2V5cz48a2V5IGFwcD0iRU4iIGRiLWlkPSJiNzIyMzA3Mi0zMWI3LTU0NDAtYWNkOS02ZGRiM2MyMzZjOWQiIHRpbWVzdGFtcD0iMTc5MzI4MzY4NiI+MjE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[V16-21]</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pStyle w:val="Heading3"/>
        <w:keepNext/>
        <w:widowControl/>
      </w:pPr>
      <w: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93">
        <w:r>
          <w:rPr>
            <w:color w:val="77230C"/>
            <w:sz w:val="20"/>
            <w:u w:val="single"/>
          </w:rPr>
          <w:t>Meeting record: ALLOC-B1</w:t>
        </w:r>
      </w:hyperlink>
      <w:r>
        <w:t xml:space="preserve">  |  </w:t>
      </w:r>
      <w:hyperlink r:id="rId94">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5" w:name="ALLOC_B2"/>
      <w:r>
        <w:t xml:space="preserve">ALLOC-B2 — What is the relevant organ opportunity cost?</w:t>
      </w:r>
      <w:bookmarkEnd w:id="5"/>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E8L1JlY051bT48RGlzcGxheVRleHQ+W1YxNi0yMV08L0Rpc3BsYXlUZXh0PjxyZWNvcmQ+PHJlYy1udW1iZXI+MjE8L3JlYy1udW1iZXI+PGZvcmVpZ24ta2V5cz48a2V5IGFwcD0iRU4iIGRiLWlkPSJiNzIyMzA3Mi0zMWI3LTU0NDAtYWNkOS02ZGRiM2MyMzZjOWQiIHRpbWVzdGFtcD0iMTc5MzI4MzY4NiI+MjE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iNzIyMzA3Mi0zMWI3LTU0NDAtYWNkOS02ZGRiM2MyMzZjOW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jI8L1JlY051bT48RGlzcGxheVRleHQ+W1YxNi0yMl08L0Rpc3BsYXlUZXh0PjxyZWNvcmQ+PHJlYy1udW1iZXI+MjI8L3JlYy1udW1iZXI+PGZvcmVpZ24ta2V5cz48a2V5IGFwcD0iRU4iIGRiLWlkPSJiNzIyMzA3Mi0zMWI3LTU0NDAtYWNkOS02ZGRiM2MyMzZjOWQiIHRpbWVzdGFtcD0iMTc5MzI4MzY4NiI+MjI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xOTwvUmVjTnVtPjxEaXNwbGF5VGV4dD5bVjE2LTE5XTwvRGlzcGxheVRleHQ+PHJlY29yZD48cmVjLW51bWJlcj4xOTwvcmVjLW51bWJlcj48Zm9yZWlnbi1rZXlzPjxrZXkgYXBwPSJFTiIgZGItaWQ9ImI3MjIzMDcyLTMxYjctNTQ0MC1hY2Q5LTZkZGIzYzIzNmM5ZCIgdGltZXN0YW1wPSIxNzkzMjgzNjg2Ij4xO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IzPC9SZWNOdW0+PERpc3BsYXlUZXh0PltWMTYtMjNdPC9EaXNwbGF5VGV4dD48cmVjb3JkPjxyZWMtbnVtYmVyPjIzPC9yZWMtbnVtYmVyPjxmb3JlaWduLWtleXM+PGtleSBhcHA9IkVOIiBkYi1pZD0iYjcyMjMwNzItMzFiNy01NDQwLWFjZDktNmRkYjNjMjM2YzlkIiB0aW1lc3RhbXA9IjE3OTMyODM2ODYiPjIz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FJldGFpbmVkIHNvdXJjZSBmcm9tIGVhcmxpZXIgcmV2aWV3LiA3NCBlbnJvbGxlZCwgMjkgZHJvcHBlZCBvdXQgYmVmb3JlIHJhbmRvbWl6YXRpb247IDQ1IHJhbmRvbWl6ZWQuIEZpdmUteWVhciBPUyA3Ny41JSB2cyAzMS4yJS4gU3VwcG9ydHMgTFQgaW4gc2VsZWN0ZWQgcmVzcG9uZGVycywgbm90IGluZGlzY3JpbWluYXRlIGVudHJ5IG9yIElDSS9QVlRUIHNhZmV0eS48L25vdGVzPjx1cmxzPjxyZWxhdGVkLXVybHM+PHVybD5odHRwczovL2RvaS5vcmcvMTAuMTAxNi9TMTQ3MC0yMDQ1KDIwKTMwMjI0LTI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I0PC9SZWNOdW0+PERpc3BsYXlUZXh0PltWMTYtMjRdPC9EaXNwbGF5VGV4dD48cmVjb3JkPjxyZWMtbnVtYmVyPjI0PC9yZWMtbnVtYmVyPjxmb3JlaWduLWtleXM+PGtleSBhcHA9IkVOIiBkYi1pZD0iYjcyMjMwNzItMzFiNy01NDQwLWFjZDktNmRkYjNjMjM2YzlkIiB0aW1lc3RhbXA9IjE3OTMyODM2ODYiPjI0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</w:fldData>
        </w:fldChar>
      </w:r>
      <w:r>
        <w:instrText xml:space="preserve"> ADDIN EN.CITE.DATA </w:instrText>
      </w:r>
      <w:r>
        <w:fldChar w:fldCharType="end"/>
      </w:r>
      <w:r>
        <w:fldChar w:fldCharType="separate"/>
      </w:r>
      <w:r>
        <w:t xml:space="preserve">[V16-24]</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yNTwvUmVjTnVtPjxEaXNwbGF5VGV4dD5bVjE2LTI1XTwvRGlzcGxheVRleHQ+PHJlY29yZD48cmVjLW51bWJlcj4yNTwvcmVjLW51bWJlcj48Zm9yZWlnbi1rZXlzPjxrZXkgYXBwPSJFTiIgZGItaWQ9ImI3MjIzMDcyLTMxYjctNTQ0MC1hY2Q5LTZkZGIzYzIzNmM5ZCIgdGltZXN0YW1wPSIxNzkzMjgzNjg2Ij4yN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[V16-25]</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fldChar w:fldCharType="begin"/>
      </w:r>
      <w:r>
        <w:instrText xml:space="preserve"> ADDIN EN.CITE </w:instrText>
      </w:r>
      <w:r>
        <w:fldChar w:fldCharType="begin">
          <w:fldData>PEVuZE5vdGU+PENpdGU+PEF1dGhvcj5BZGFtPC9BdXRob3I+PFllYXI+MjAyNDwvWWVhcj48UmVjTnVtPjI0PC9SZWNOdW0+PERpc3BsYXlUZXh0PltWMTYtMjRdPC9EaXNwbGF5VGV4dD48cmVjb3JkPjxyZWMtbnVtYmVyPjI0PC9yZWMtbnVtYmVyPjxmb3JlaWduLWtleXM+PGtleSBhcHA9IkVOIiBkYi1pZD0iYjcyMjMwNzItMzFiNy01NDQwLWFjZDktNmRkYjNjMjM2YzlkIiB0aW1lc3RhbXA9IjE3OTMyODM2ODYiPjI0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</w:fldData>
        </w:fldChar>
      </w:r>
      <w:r>
        <w:instrText xml:space="preserve"> ADDIN EN.CITE.DATA </w:instrText>
      </w:r>
      <w:r>
        <w:fldChar w:fldCharType="end"/>
      </w:r>
      <w:r>
        <w:fldChar w:fldCharType="separate"/>
      </w:r>
      <w:r>
        <w:t xml:space="preserve">[V16-24]</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xOTwvUmVjTnVtPjxEaXNwbGF5VGV4dD5bVjE2LTE5XTwvRGlzcGxheVRleHQ+PHJlY29yZD48cmVjLW51bWJlcj4xOTwvcmVjLW51bWJlcj48Zm9yZWlnbi1rZXlzPjxrZXkgYXBwPSJFTiIgZGItaWQ9ImI3MjIzMDcyLTMxYjctNTQ0MC1hY2Q5LTZkZGIzYzIzNmM5ZCIgdGltZXN0YW1wPSIxNzkzMjgzNjg2Ij4xO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E8L1JlY051bT48RGlzcGxheVRleHQ+W1YxNi0yMV08L0Rpc3BsYXlUZXh0PjxyZWNvcmQ+PHJlYy1udW1iZXI+MjE8L3JlYy1udW1iZXI+PGZvcmVpZ24ta2V5cz48a2V5IGFwcD0iRU4iIGRiLWlkPSJiNzIyMzA3Mi0zMWI3LTU0NDAtYWNkOS02ZGRiM2MyMzZjOWQiIHRpbWVzdGFtcD0iMTc5MzI4MzY4NiI+MjE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iNzIyMzA3Mi0zMWI3LTU0NDAtYWNkOS02ZGRiM2MyMzZjOW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jI8L1JlY051bT48RGlzcGxheVRleHQ+W1YxNi0yMl08L0Rpc3BsYXlUZXh0PjxyZWNvcmQ+PHJlYy1udW1iZXI+MjI8L3JlYy1udW1iZXI+PGZvcmVpZ24ta2V5cz48a2V5IGFwcD0iRU4iIGRiLWlkPSJiNzIyMzA3Mi0zMWI3LTU0NDAtYWNkOS02ZGRiM2MyMzZjOWQiIHRpbWVzdGFtcD0iMTc5MzI4MzY4NiI+MjI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IzPC9SZWNOdW0+PERpc3BsYXlUZXh0PltWMTYtMjNdPC9EaXNwbGF5VGV4dD48cmVjb3JkPjxyZWMtbnVtYmVyPjIzPC9yZWMtbnVtYmVyPjxmb3JlaWduLWtleXM+PGtleSBhcHA9IkVOIiBkYi1pZD0iYjcyMjMwNzItMzFiNy01NDQwLWFjZDktNmRkYjNjMjM2YzlkIiB0aW1lc3RhbXA9IjE3OTMyODM2ODYiPjIz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FJldGFpbmVkIHNvdXJjZSBmcm9tIGVhcmxpZXIgcmV2aWV3LiA3NCBlbnJvbGxlZCwgMjkgZHJvcHBlZCBvdXQgYmVmb3JlIHJhbmRvbWl6YXRpb247IDQ1IHJhbmRvbWl6ZWQuIEZpdmUteWVhciBPUyA3Ny41JSB2cyAzMS4yJS4gU3VwcG9ydHMgTFQgaW4gc2VsZWN0ZWQgcmVzcG9uZGVycywgbm90IGluZGlzY3JpbWluYXRlIGVudHJ5IG9yIElDSS9QVlRUIHNhZmV0eS48L25vdGVzPjx1cmxzPjxyZWxhdGVkLXVybHM+PHVybD5odHRwczovL2RvaS5vcmcvMTAuMTAxNi9TMTQ3MC0yMDQ1KDIwKTMwMjI0LTI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yNTwvUmVjTnVtPjxEaXNwbGF5VGV4dD5bVjE2LTI1XTwvRGlzcGxheVRleHQ+PHJlY29yZD48cmVjLW51bWJlcj4yNTwvcmVjLW51bWJlcj48Zm9yZWlnbi1rZXlzPjxrZXkgYXBwPSJFTiIgZGItaWQ9ImI3MjIzMDcyLTMxYjctNTQ0MC1hY2Q5LTZkZGIzYzIzNmM5ZCIgdGltZXN0YW1wPSIxNzkzMjgzNjg2Ij4yN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[V16-25]</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pStyle w:val="Heading3"/>
        <w:keepNext/>
        <w:widowControl/>
      </w:pPr>
      <w: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95">
        <w:r>
          <w:rPr>
            <w:color w:val="77230C"/>
            <w:sz w:val="20"/>
            <w:u w:val="single"/>
          </w:rPr>
          <w:t>Meeting record: ALLOC-B2</w:t>
        </w:r>
      </w:hyperlink>
      <w:r>
        <w:t xml:space="preserve">  |  </w:t>
      </w:r>
      <w:hyperlink r:id="rId96">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6" w:name="ALLOC_B3"/>
      <w:r>
        <w:t xml:space="preserve">ALLOC-B3 — What must donor consent and follow-up include?</w:t>
      </w:r>
      <w:bookmarkEnd w:id="6"/>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fldChar w:fldCharType="begin"/>
      </w:r>
      <w:r>
        <w:instrText xml:space="preserve"> ADDIN EN.CITE </w:instrText>
      </w:r>
      <w:r>
        <w:fldChar w:fldCharType="begin">
          <w:fldData>PEVuZE5vdGU+PENpdGU+PEF1dGhvcj5LZWxseTwvQXV0aG9yPjxZZWFyPjIwMjY8L1llYXI+PFJlY051bT4xOTwvUmVjTnVtPjxEaXNwbGF5VGV4dD5bVjE2LTE5XTwvRGlzcGxheVRleHQ+PHJlY29yZD48cmVjLW51bWJlcj4xOTwvcmVjLW51bWJlcj48Zm9yZWlnbi1rZXlzPjxrZXkgYXBwPSJFTiIgZGItaWQ9ImI3MjIzMDcyLTMxYjctNTQ0MC1hY2Q5LTZkZGIzYzIzNmM5ZCIgdGltZXN0YW1wPSIxNzkzMjgzNjg2Ij4xO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jY8L1JlY051bT48RGlzcGxheVRleHQ+W1YxNi0yNl08L0Rpc3BsYXlUZXh0PjxyZWNvcmQ+PHJlYy1udW1iZXI+MjY8L3JlYy1udW1iZXI+PGZvcmVpZ24ta2V5cz48a2V5IGFwcD0iRU4iIGRiLWlkPSJiNzIyMzA3Mi0zMWI3LTU0NDAtYWNkOS02ZGRiM2MyMzZjOWQiIHRpbWVzdGFtcD0iMTc5MzI4MzY4NiI+MjY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jc8L1JlY051bT48RGlzcGxheVRleHQ+W1YxNi0yN108L0Rpc3BsYXlUZXh0PjxyZWNvcmQ+PHJlYy1udW1iZXI+Mjc8L3JlYy1udW1iZXI+PGZvcmVpZ24ta2V5cz48a2V5IGFwcD0iRU4iIGRiLWlkPSJiNzIyMzA3Mi0zMWI3LTU0NDAtYWNkOS02ZGRiM2MyMzZjOWQiIHRpbWVzdGFtcD0iMTc5MzI4MzY4NiI+Mjc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[V16-27]</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I4PC9SZWNOdW0+PERpc3BsYXlUZXh0PltWMTYtMjhdPC9EaXNwbGF5VGV4dD48cmVjb3JkPjxyZWMtbnVtYmVyPjI4PC9yZWMtbnVtYmVyPjxmb3JlaWduLWtleXM+PGtleSBhcHA9IkVOIiBkYi1pZD0iYjcyMjMwNzItMzFiNy01NDQwLWFjZDktNmRkYjNjMjM2YzlkIiB0aW1lc3RhbXA9IjE3OTMyODM2ODYiPjI4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[V16-28]</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iNzIyMzA3Mi0zMWI3LTU0NDAtYWNkOS02ZGRiM2MyMzZjOW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iNzIyMzA3Mi0zMWI3LTU0NDAtYWNkOS02ZGRiM2MyMzZjOWQ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xOTwvUmVjTnVtPjxEaXNwbGF5VGV4dD5bVjE2LTE5XTwvRGlzcGxheVRleHQ+PHJlY29yZD48cmVjLW51bWJlcj4xOTwvcmVjLW51bWJlcj48Zm9yZWlnbi1rZXlzPjxrZXkgYXBwPSJFTiIgZGItaWQ9ImI3MjIzMDcyLTMxYjctNTQ0MC1hY2Q5LTZkZGIzYzIzNmM5ZCIgdGltZXN0YW1wPSIxNzkzMjgzNjg2Ij4xO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jY8L1JlY051bT48RGlzcGxheVRleHQ+W1YxNi0yNl08L0Rpc3BsYXlUZXh0PjxyZWNvcmQ+PHJlYy1udW1iZXI+MjY8L3JlYy1udW1iZXI+PGZvcmVpZ24ta2V5cz48a2V5IGFwcD0iRU4iIGRiLWlkPSJiNzIyMzA3Mi0zMWI3LTU0NDAtYWNkOS02ZGRiM2MyMzZjOWQiIHRpbWVzdGFtcD0iMTc5MzI4MzY4NiI+MjY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jc8L1JlY051bT48RGlzcGxheVRleHQ+W1YxNi0yN108L0Rpc3BsYXlUZXh0PjxyZWNvcmQ+PHJlYy1udW1iZXI+Mjc8L3JlYy1udW1iZXI+PGZvcmVpZ24ta2V5cz48a2V5IGFwcD0iRU4iIGRiLWlkPSJiNzIyMzA3Mi0zMWI3LTU0NDAtYWNkOS02ZGRiM2MyMzZjOWQiIHRpbWVzdGFtcD0iMTc5MzI4MzY4NiI+Mjc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[V16-27]</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I4PC9SZWNOdW0+PERpc3BsYXlUZXh0PltWMTYtMjhdPC9EaXNwbGF5VGV4dD48cmVjb3JkPjxyZWMtbnVtYmVyPjI4PC9yZWMtbnVtYmVyPjxmb3JlaWduLWtleXM+PGtleSBhcHA9IkVOIiBkYi1pZD0iYjcyMjMwNzItMzFiNy01NDQwLWFjZDktNmRkYjNjMjM2YzlkIiB0aW1lc3RhbXA9IjE3OTMyODM2ODYiPjI4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[V16-28]</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pStyle w:val="Heading3"/>
        <w:keepNext/>
        <w:widowControl/>
      </w:pPr>
      <w: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97">
        <w:r>
          <w:rPr>
            <w:color w:val="77230C"/>
            <w:sz w:val="20"/>
            <w:u w:val="single"/>
          </w:rPr>
          <w:t>Meeting record: ALLOC-B3</w:t>
        </w:r>
      </w:hyperlink>
      <w:r>
        <w:t xml:space="preserve">  |  </w:t>
      </w:r>
      <w:hyperlink r:id="rId98">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Normal"/>
        <w:widowControl/>
        <w:numPr>
          <w:ilvl w:val="0"/>
          <w:numId w:val="3"/>
        </w:numPr>
      </w:pPr>
      <w:r>
        <w:t xml:space="preserve">Do not use an abstract-only mixed-malignancy LDLT survival figure to counsel a NET candidate or justify a donor. Counseling must name the relevant NET population, modern alternatives and uncertainty about incremental benefit.</w:t>
      </w:r>
      <w:r>
        <w:t xml:space="preserve"> </w:t>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Heading2"/>
        <w:keepNext/>
        <w:widowControl/>
      </w:pPr>
      <w:r>
        <w:t xml:space="preserve">5 Operative evaluation and surgery</w:t>
      </w:r>
    </w:p>
    <w:p>
      <w:pPr>
        <w:pStyle w:val="Normal"/>
        <w:widowControl/>
        <w:numPr>
          <w:ilvl w:val="0"/>
          <w:numId w:val="3"/>
        </w:numPr>
      </w:pPr>
      <w:r>
        <w:t xml:space="preserve">Plan LT only after final staging and all approvals. Inspect and sample suspicious extrahepatic or hilar nodal findings; malignant extrahepatic disease prevents proceeding under the liver-only pathway. NLRB guidance does not require exploratory laparoscopy/laparotomy solely before an exception request.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iNzIyMzA3Mi0zMWI3LTU0NDAtYWNkOS02ZGRiM2MyMzZjOWQ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Define any further nodal sampling by actual findings and the approved surgical plan, not an automatic extended lymphadenectomy. Record explant grade, Ki-67, burden and treatment response.</w:t>
      </w:r>
    </w:p>
    <w:p>
      <w:pPr>
        <w:pStyle w:val="Normal"/>
        <w:widowControl/>
        <w:numPr>
          <w:ilvl w:val="0"/>
          <w:numId w:val="3"/>
        </w:numPr>
      </w:pPr>
      <w:r>
        <w:t xml:space="preserve">Multivisceral transplantation for mesenteric disease is outside this protocol and requires separate intestinal-transplant, evidence, donor and allocation review.</w:t>
      </w:r>
    </w:p>
    <w:p>
      <w:pPr>
        <w:pStyle w:val="Heading2"/>
        <w:keepNext/>
        <w:widowControl/>
      </w:pPr>
      <w:r>
        <w:t xml:space="preserve">6 Immunosuppression and graft care</w:t>
      </w:r>
    </w:p>
    <w:p>
      <w:pPr>
        <w:pStyle w:val="Normal"/>
        <w:widowControl/>
        <w:numPr>
          <w:ilvl w:val="0"/>
          <w:numId w:val="3"/>
        </w:numPr>
      </w:pPr>
      <w:r>
        <w:t xml:space="preserve">Follow institutional induction, corticosteroid and maintenance protocols. No NET-specific regimen has proven recurrence benefit. Consider mTOR modification only after appropriate healing/vascular assessment and pharmacy review; individualize calcineurin exposure to graft, renal, infection and oncologic risks.</w:t>
      </w:r>
      <w:r>
        <w:t xml:space="preserve"> </w:t>
      </w:r>
      <w:r>
        <w:t xml:space="preserve"> </w:t>
      </w:r>
      <w:r>
        <w:fldChar w:fldCharType="begin"/>
      </w:r>
      <w:r>
        <w:instrText xml:space="preserve"> ADDIN EN.CITE </w:instrText>
      </w:r>
      <w:r>
        <w:fldChar w:fldCharType="begin">
          <w:fldData>PEVuZE5vdGU+PENpdGU+PEF1dGhvcj5Eb3ZlPC9BdXRob3I+PFllYXI+MjAyNjwvWWVhcj48UmVjTnVtPjE1PC9SZWNOdW0+PERpc3BsYXlUZXh0PltWMTYtMTVdPC9EaXNwbGF5VGV4dD48cmVjb3JkPjxyZWMtbnVtYmVyPjE1PC9yZWMtbnVtYmVyPjxmb3JlaWduLWtleXM+PGtleSBhcHA9IkVOIiBkYi1pZD0iYjcyMjMwNzItMzFiNy01NDQwLWFjZDktNmRkYjNjMjM2YzlkIiB0aW1lc3RhbXA9IjE3OTMyODM2ODYiPjE1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p>
    <w:p>
      <w:pPr>
        <w:pStyle w:val="Normal"/>
        <w:widowControl/>
        <w:numPr>
          <w:ilvl w:val="0"/>
          <w:numId w:val="3"/>
        </w:numPr>
      </w:pPr>
      <w:r>
        <w:t xml:space="preserve">Review all anticancer, hormonal and immunosuppressive drug interactions. Document graft monitoring and for-cause investigation of abnormal liver tests; do not prescribe an unvalidated routine biopsy schedule.</w:t>
      </w:r>
    </w:p>
    <w:p>
      <w:pPr>
        <w:pStyle w:val="Heading2"/>
        <w:keepNext/>
        <w:widowControl/>
      </w:pPr>
      <w:r>
        <w:t xml:space="preserve">7 Surveillance</w:t>
      </w:r>
    </w:p>
    <w:p>
      <w:pPr>
        <w:pStyle w:val="Normal"/>
        <w:widowControl/>
        <w:numPr>
          <w:ilvl w:val="0"/>
          <w:numId w:val="3"/>
        </w:numPr>
      </w:pPr>
      <w:r>
        <w:t xml:space="preserve">Proposed local schedule for approval: chest/abdomen/pelvis cross-sectional imaging every 3–6 months for two years, every 6–12 months through year five, then individualized long-term assessment. NET recurrence can be late; the decision to reduce imaging should consider grade, prior tempo and treatment opportunities.</w:t>
      </w:r>
    </w:p>
    <w:p>
      <w:pPr>
        <w:pStyle w:val="Normal"/>
        <w:widowControl/>
        <w:numPr>
          <w:ilvl w:val="0"/>
          <w:numId w:val="3"/>
        </w:numPr>
      </w:pPr>
      <w:r>
        <w:t xml:space="preserve">Use syndrome-specific markers and SSTR/FDG imaging when indicated. A nonspecific biomarker elevation alone does not diagnose recurrence; interpret renal function, medication effects and clinical context.</w:t>
      </w:r>
    </w:p>
    <w:p>
      <w:pPr>
        <w:pStyle w:val="Heading2"/>
        <w:keepNext/>
        <w:widowControl/>
      </w:pPr>
      <w:r>
        <w:t xml:space="preserve">8 Recurrence management</w:t>
      </w:r>
    </w:p>
    <w:p>
      <w:pPr>
        <w:pStyle w:val="Normal"/>
        <w:widowControl/>
        <w:numPr>
          <w:ilvl w:val="0"/>
          <w:numId w:val="3"/>
        </w:numPr>
      </w:pPr>
      <w:r>
        <w:t xml:space="preserve">Confirm and restage recurrence, with tissue when needed to assess grade change. The NET/transplant MDT may consider local therapy, SSA, PRRT or systemic treatment according to extent, grade, receptor status, graft function and patient priorities.</w:t>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Post-LT PRRT reports are small selected case series, not proof of a universal safe or effective salvage strategy. Review marrow, renal and graft safety explicitly.</w:t>
      </w:r>
      <w:r>
        <w:t xml:space="preserve"> </w:t>
      </w:r>
      <w:r>
        <w:t xml:space="preserve"> </w:t>
      </w:r>
      <w:r>
        <w:fldChar w:fldCharType="begin"/>
      </w:r>
      <w:r>
        <w:instrText xml:space="preserve"> ADDIN EN.CITE </w:instrText>
      </w:r>
      <w:r>
        <w:fldChar w:fldCharType="begin">
          <w:fldData>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p>
    <w:p>
      <w:pPr>
        <w:pStyle w:val="Heading2"/>
        <w:keepNext/>
        <w:widowControl/>
      </w:pPr>
      <w:r>
        <w:t xml:space="preserve">9 Outcomes and safety oversight</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pStyle w:val="Heading3"/>
        <w:keepNext/>
        <w:widowControl/>
      </w:pPr>
      <w:bookmarkStart w:id="7" w:name="ALLOC_B4"/>
      <w:r>
        <w:t xml:space="preserve">ALLOC-B4 — What data are required before expansion?</w:t>
      </w:r>
      <w:bookmarkEnd w:id="7"/>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fldChar w:fldCharType="begin"/>
      </w:r>
      <w:r>
        <w:instrText xml:space="preserve"> ADDIN EN.CITE </w:instrText>
      </w:r>
      <w:r>
        <w:fldChar w:fldCharType="begin">
          <w:fldData>PEVuZE5vdGU+PENpdGU+PEF1dGhvcj5MbG92ZXQ8L0F1dGhvcj48WWVhcj4yMDI2PC9ZZWFyPjxSZWNOdW0+MjI8L1JlY051bT48RGlzcGxheVRleHQ+W1YxNi0yMl08L0Rpc3BsYXlUZXh0PjxyZWNvcmQ+PHJlYy1udW1iZXI+MjI8L3JlYy1udW1iZXI+PGZvcmVpZ24ta2V5cz48a2V5IGFwcD0iRU4iIGRiLWlkPSJiNzIyMzA3Mi0zMWI3LTU0NDAtYWNkOS02ZGRiM2MyMzZjOWQiIHRpbWVzdGFtcD0iMTc5MzI4MzY4NiI+MjI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yOTwvUmVjTnVtPjxEaXNwbGF5VGV4dD5bVjE2LTI5XTwvRGlzcGxheVRleHQ+PHJlY29yZD48cmVjLW51bWJlcj4yOTwvcmVjLW51bWJlcj48Zm9yZWlnbi1rZXlzPjxrZXkgYXBwPSJFTiIgZGItaWQ9ImI3MjIzMDcyLTMxYjctNTQ0MC1hY2Q5LTZkZGIzYzIzNmM5ZCIgdGltZXN0YW1wPSIxNzkzMjgzNjg2Ij4yOT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[V16-29]</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A8L1JlY051bT48RGlzcGxheVRleHQ+W1YxNi0yMF08L0Rpc3BsYXlUZXh0PjxyZWNvcmQ+PHJlYy1udW1iZXI+MjA8L3JlYy1udW1iZXI+PGZvcmVpZ24ta2V5cz48a2V5IGFwcD0iRU4iIGRiLWlkPSJiNzIyMzA3Mi0zMWI3LTU0NDAtYWNkOS02ZGRiM2MyMzZjOWQiIHRpbWVzdGFtcD0iMTc5MzI4MzY4NiI+MjA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[V16-20]</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xOTwvUmVjTnVtPjxEaXNwbGF5VGV4dD5bVjE2LTE5XTwvRGlzcGxheVRleHQ+PHJlY29yZD48cmVjLW51bWJlcj4xOTwvcmVjLW51bWJlcj48Zm9yZWlnbi1rZXlzPjxrZXkgYXBwPSJFTiIgZGItaWQ9ImI3MjIzMDcyLTMxYjctNTQ0MC1hY2Q5LTZkZGIzYzIzNmM5ZCIgdGltZXN0YW1wPSIxNzkzMjgzNjg2Ij4xO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MwPC9SZWNOdW0+PERpc3BsYXlUZXh0PltWMTYtMzBdPC9EaXNwbGF5VGV4dD48cmVjb3JkPjxyZWMtbnVtYmVyPjMwPC9yZWMtbnVtYmVyPjxmb3JlaWduLWtleXM+PGtleSBhcHA9IkVOIiBkYi1pZD0iYjcyMjMwNzItMzFiNy01NDQwLWFjZDktNmRkYjNjMjM2YzlkIiB0aW1lc3RhbXA9IjE3OTMyODM2ODYiPjMw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</w:fldData>
        </w:fldChar>
      </w:r>
      <w:r>
        <w:instrText xml:space="preserve"> ADDIN EN.CITE.DATA </w:instrText>
      </w:r>
      <w:r>
        <w:fldChar w:fldCharType="end"/>
      </w:r>
      <w:r>
        <w:fldChar w:fldCharType="separate"/>
      </w:r>
      <w:r>
        <w:t xml:space="preserve">[V16-30]</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zMTwvUmVjTnVtPjxEaXNwbGF5VGV4dD5bVjE2LTMxXTwvRGlzcGxheVRleHQ+PHJlY29yZD48cmVjLW51bWJlcj4zMTwvcmVjLW51bWJlcj48Zm9yZWlnbi1rZXlzPjxrZXkgYXBwPSJFTiIgZGItaWQ9ImI3MjIzMDcyLTMxYjctNTQ0MC1hY2Q5LTZkZGIzYzIzNmM5ZCIgdGltZXN0YW1wPSIxNzkzMjgzNjg2Ij4zM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[V16-31]</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fldChar w:fldCharType="begin"/>
      </w:r>
      <w:r>
        <w:instrText xml:space="preserve"> ADDIN EN.CITE </w:instrText>
      </w:r>
      <w:r>
        <w:fldChar w:fldCharType="begin">
          <w:fldData>PEVuZE5vdGU+PENpdGU+PEF1dGhvcj5MbG92ZXQ8L0F1dGhvcj48WWVhcj4yMDI2PC9ZZWFyPjxSZWNOdW0+MjI8L1JlY051bT48RGlzcGxheVRleHQ+W1YxNi0yMl08L0Rpc3BsYXlUZXh0PjxyZWNvcmQ+PHJlYy1udW1iZXI+MjI8L3JlYy1udW1iZXI+PGZvcmVpZ24ta2V5cz48a2V5IGFwcD0iRU4iIGRiLWlkPSJiNzIyMzA3Mi0zMWI3LTU0NDAtYWNkOS02ZGRiM2MyMzZjOWQiIHRpbWVzdGFtcD0iMTc5MzI4MzY4NiI+MjI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yOTwvUmVjTnVtPjxEaXNwbGF5VGV4dD5bVjE2LTI5XTwvRGlzcGxheVRleHQ+PHJlY29yZD48cmVjLW51bWJlcj4yOTwvcmVjLW51bWJlcj48Zm9yZWlnbi1rZXlzPjxrZXkgYXBwPSJFTiIgZGItaWQ9ImI3MjIzMDcyLTMxYjctNTQ0MC1hY2Q5LTZkZGIzYzIzNmM5ZCIgdGltZXN0YW1wPSIxNzkzMjgzNjg2Ij4yOT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[V16-29]</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A8L1JlY051bT48RGlzcGxheVRleHQ+W1YxNi0yMF08L0Rpc3BsYXlUZXh0PjxyZWNvcmQ+PHJlYy1udW1iZXI+MjA8L3JlYy1udW1iZXI+PGZvcmVpZ24ta2V5cz48a2V5IGFwcD0iRU4iIGRiLWlkPSJiNzIyMzA3Mi0zMWI3LTU0NDAtYWNkOS02ZGRiM2MyMzZjOWQiIHRpbWVzdGFtcD0iMTc5MzI4MzY4NiI+MjA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[V16-20]</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xOTwvUmVjTnVtPjxEaXNwbGF5VGV4dD5bVjE2LTE5XTwvRGlzcGxheVRleHQ+PHJlY29yZD48cmVjLW51bWJlcj4xOTwvcmVjLW51bWJlcj48Zm9yZWlnbi1rZXlzPjxrZXkgYXBwPSJFTiIgZGItaWQ9ImI3MjIzMDcyLTMxYjctNTQ0MC1hY2Q5LTZkZGIzYzIzNmM5ZCIgdGltZXN0YW1wPSIxNzkzMjgzNjg2Ij4xOT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MwPC9SZWNOdW0+PERpc3BsYXlUZXh0PltWMTYtMzBdPC9EaXNwbGF5VGV4dD48cmVjb3JkPjxyZWMtbnVtYmVyPjMwPC9yZWMtbnVtYmVyPjxmb3JlaWduLWtleXM+PGtleSBhcHA9IkVOIiBkYi1pZD0iYjcyMjMwNzItMzFiNy01NDQwLWFjZDktNmRkYjNjMjM2YzlkIiB0aW1lc3RhbXA9IjE3OTMyODM2ODYiPjMw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</w:fldData>
        </w:fldChar>
      </w:r>
      <w:r>
        <w:instrText xml:space="preserve"> ADDIN EN.CITE.DATA </w:instrText>
      </w:r>
      <w:r>
        <w:fldChar w:fldCharType="end"/>
      </w:r>
      <w:r>
        <w:fldChar w:fldCharType="separate"/>
      </w:r>
      <w:r>
        <w:t xml:space="preserve">[V16-30]</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zMTwvUmVjTnVtPjxEaXNwbGF5VGV4dD5bVjE2LTMxXTwvRGlzcGxheVRleHQ+PHJlY29yZD48cmVjLW51bWJlcj4zMTwvcmVjLW51bWJlcj48Zm9yZWlnbi1rZXlzPjxrZXkgYXBwPSJFTiIgZGItaWQ9ImI3MjIzMDcyLTMxYjctNTQ0MC1hY2Q5LTZkZGIzYzIzNmM5ZCIgdGltZXN0YW1wPSIxNzkzMjgzNjg2Ij4zM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[V16-31]</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pStyle w:val="Heading3"/>
        <w:keepNext/>
        <w:widowControl/>
      </w:pPr>
      <w: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99">
        <w:r>
          <w:rPr>
            <w:color w:val="77230C"/>
            <w:sz w:val="20"/>
            <w:u w:val="single"/>
          </w:rPr>
          <w:t>Meeting record: ALLOC-B4</w:t>
        </w:r>
      </w:hyperlink>
      <w:r>
        <w:t xml:space="preserve">  |  </w:t>
      </w:r>
      <w:hyperlink r:id="rId100">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Normal"/>
        <w:widowControl/>
      </w:pPr>
      <w:r>
        <w:t xml:space="preserve">Resolve NET-B1–B3 and ALLOC-B1–B4 before changing the eligible population. Include long-term symptom control, quality of life, donor recovery and graft/retransplant use in addition to recipient survival.</w:t>
      </w:r>
    </w:p>
    <w:p>
      <w:pPr>
        <w:pStyle w:val="Normal"/>
        <w:widowControl/>
      </w:pPr>
      <w:r>
        <w:t xml:space="preserve">Evidence review record: </w:t>
      </w:r>
      <w:hyperlink r:id="rId101">
        <w:r>
          <w:rPr>
            <w:color w:val="77230C"/>
            <w:sz w:val="20"/>
            <w:u w:val="single"/>
          </w:rPr>
          <w:t>Five analyst comments and reconciliation</w:t>
        </w:r>
      </w:hyperlink>
      <w:r>
        <w:t xml:space="preserve">  |  </w:t>
      </w:r>
      <w:hyperlink r:id="rId102">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High-risk and expanded-cohort clarification. Previously treated extrahepatic disease is not admitted by any cohort in this protocol unless a stratum below says otherwise; every such stratum is proposed, not active.</w:t>
      </w:r>
    </w:p>
    <w:p>
      <w:pPr>
        <w:pStyle w:val="Heading2"/>
        <w:widowControl/>
        <w:keepNext/>
      </w:pPr>
      <w:bookmarkStart w:id="16010" w:name="NET_B4"/>
      <w:r>
        <w:t xml:space="preserve">NET-B4 — Previously treated extrahepatic disease</w:t>
      </w:r>
      <w:bookmarkEnd w:id="16010"/>
    </w:p>
    <w:p>
      <w:pPr>
        <w:pStyle w:val="Normal"/>
        <w:widowControl/>
        <w:spacing w:after="120"/>
      </w:pPr>
      <w:r>
        <w:t xml:space="preserve">Status: Resected regional nodes only, after clearance. OPEN proposal for multidisciplinary review; not activated.</w:t>
      </w:r>
    </w:p>
    <w:p>
      <w:pPr>
        <w:pStyle w:val="Normal"/>
        <w:widowControl/>
        <w:spacing w:after="120"/>
      </w:pPr>
      <w:r>
        <w:t xml:space="preserve">Question: Which previously treated extrahepatic NET sites may enter the transplant route: resected regional nodes only, or also distant nodes and a solitary treated bone lesion as ENETS 2026 suggests?</w:t>
      </w:r>
    </w:p>
    <w:p>
      <w:pPr>
        <w:pStyle w:val="Normal"/>
        <w:widowControl/>
        <w:spacing w:after="120"/>
      </w:pPr>
      <w:r>
        <w:t xml:space="preserve">Proposed position (OPEN): Previously resected regional nodal disease is already within Milan-NET when the primary and all extrahepatic deposits were removed in a separate curative operation and restaging at least 6 months later shows no disease. Previously resected distant nodes need individual review. Previous lung, bone or other solid-organ metastasis stays closed, including after complete treatment; ENETS 2026 would accept a solitary locally treated bone lesion as expert opinion, recorded as a disagreement.</w:t>
      </w:r>
    </w:p>
    <w:p>
      <w:pPr>
        <w:pStyle w:val="Heading3"/>
        <w:widowControl/>
        <w:keepNext/>
      </w:pPr>
      <w:r>
        <w:t xml:space="preserve">Proposed rules</w:t>
      </w:r>
    </w:p>
    <w:p>
      <w:pPr>
        <w:pStyle w:val="Normal"/>
        <w:widowControl/>
        <w:spacing w:after="120"/>
        <w:numPr>
          <w:ilvl w:val="0"/>
          <w:numId w:val="4"/>
        </w:numPr>
      </w:pPr>
      <w:r>
        <w:t xml:space="preserve">Regional (mesenteric, peripancreatic) nodes resected with the primary in a separate operation: eligible after ≥6 months without recurrence and negative SSTR-PET with CT/MRI within 3 months of transplant consideration.</w:t>
      </w:r>
    </w:p>
    <w:p>
      <w:pPr>
        <w:pStyle w:val="Normal"/>
        <w:widowControl/>
        <w:spacing w:after="120"/>
        <w:numPr>
          <w:ilvl w:val="0"/>
          <w:numId w:val="4"/>
        </w:numPr>
      </w:pPr>
      <w:r>
        <w:t xml:space="preserve">Distant nodes previously resected, or nodal disease cleared only by PRRT, ablation or radiotherapy: individual review only, with SSTR-PET-negative status for ≥6 months.</w:t>
      </w:r>
    </w:p>
    <w:p>
      <w:pPr>
        <w:pStyle w:val="Normal"/>
        <w:widowControl/>
        <w:spacing w:after="120"/>
        <w:numPr>
          <w:ilvl w:val="0"/>
          <w:numId w:val="4"/>
        </w:numPr>
      </w:pPr>
      <w:r>
        <w:t xml:space="preserve">Lung, bone (including a solitary treated lesion), peritoneal or other organ metastasis: closed. Spinal or brain metastases and unresectable mesenteric root disease: closed in every framework.</w:t>
      </w:r>
    </w:p>
    <w:p>
      <w:pPr>
        <w:pStyle w:val="Normal"/>
        <w:widowControl/>
        <w:spacing w:after="120"/>
        <w:numPr>
          <w:ilvl w:val="0"/>
          <w:numId w:val="4"/>
        </w:numPr>
      </w:pPr>
      <w:r>
        <w:t xml:space="preserve">Stage the primary and any major organ resection before transplantation, not at it. Plan hilar lymphadenectomy; counsel that nodal involvement on final pathology is associated with worse survival.</w:t>
      </w:r>
    </w:p>
    <w:p>
      <w:pPr>
        <w:pStyle w:val="Normal"/>
        <w:widowControl/>
        <w:spacing w:after="120"/>
      </w:pPr>
      <w:r>
        <w:t xml:space="preserve">Why: Milan-NET itself requires all extrahepatic deposits removed before transplant consideration, and 81% of the Milan recipients had resected node-positive primaries. No series in this evidence set reports outcomes after previously treated distant disease; the registry series did not record pre-transplant extrahepatic status. Bone metastases are independently adverse and rarely cleared.</w:t>
      </w:r>
    </w:p>
    <w:p>
      <w:pPr>
        <w:pStyle w:val="Heading3"/>
        <w:widowControl/>
        <w:keepNext/>
      </w:pPr>
      <w:r>
        <w:t xml:space="preserve">Evidence</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Source</w:t>
            </w:r>
          </w:p>
        </w:tc>
        <w:tc>
          <w:tcPr>
            <w:tcW w:w="3582"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3743"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Mazzaferro 2016 · Milan-NET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Milan prospective cohort, 88 eligible (42 transplanted). Milan-NET: primary removed “with all extrahepatic deposits in a separate curative resection prior to transplant consideration”; restaging 6 months after removal.</w:t>
            </w:r>
          </w:p>
        </w:tc>
        <w:tc>
          <w:tcPr>
            <w:tcW w:w="3743" w:type="dxa"/>
            <w:vAlign w:val="top"/>
            <w:shd w:fill="F1F5F8"/>
          </w:tcPr>
          <w:p>
            <w:pPr>
              <w:pStyle w:val="Normal"/>
              <w:widowControl/>
              <w:spacing w:after="55" w:line="240" w:lineRule="auto"/>
              <w:keepNext w:val="0"/>
              <w:keepLines/>
            </w:pPr>
            <w:r>
              <w:rPr>
                <w:sz w:val="21"/>
                <w:szCs w:val="21"/>
              </w:rPr>
              <w:t xml:space="preserve">Results: 81% of recipients had node-positive primaries and 57% hilar node-positive; 5- and 10-year survival 97.2% and 88.8%.</w:t>
            </w:r>
          </w:p>
          <w:p>
            <w:pPr>
              <w:pStyle w:val="Normal"/>
              <w:widowControl/>
              <w:spacing w:after="55" w:line="240" w:lineRule="auto"/>
              <w:keepNext w:val="0"/>
              <w:keepLines/>
            </w:pPr>
            <w:r>
              <w:rPr>
                <w:sz w:val="21"/>
                <w:szCs w:val="21"/>
              </w:rPr>
              <w:t xml:space="preserve">Limits: Non-randomized; no outcome split by nodal status.</w:t>
            </w:r>
          </w:p>
          <w:p>
            <w:pPr>
              <w:pStyle w:val="Normal"/>
              <w:widowControl/>
              <w:spacing w:after="55" w:line="240" w:lineRule="auto"/>
              <w:keepNext w:val="0"/>
              <w:keepLines/>
            </w:pPr>
            <w:r>
              <w:rPr>
                <w:sz w:val="21"/>
                <w:szCs w:val="21"/>
              </w:rPr>
              <w:t xml:space="preserve">Am J Transplant 2016; Tables 1–3.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br/>
            </w:r>
            <w:hyperlink r:id="rId163">
              <w:r>
                <w:rPr>
                  <w:color w:val="0563C1"/>
                  <w:u w:val="single"/>
                </w:rPr>
                <w:t>Source</w:t>
              </w:r>
            </w:hyperlink>
            <w:r>
              <w:t xml:space="preserve"> · </w:t>
            </w:r>
            <w:hyperlink r:id="rId164">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Maspero 2022 · LT vs resection, Milan</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Milan, 48 transplants vs 56 resections. Exclusion of extrahepatic disease; hilar lymphadenectomy at transplant.</w:t>
            </w:r>
          </w:p>
        </w:tc>
        <w:tc>
          <w:tcPr>
            <w:tcW w:w="3743" w:type="dxa"/>
            <w:vAlign w:val="top"/>
            <w:shd w:fill="FFFFFF"/>
          </w:tcPr>
          <w:p>
            <w:pPr>
              <w:pStyle w:val="Normal"/>
              <w:widowControl/>
              <w:spacing w:after="55" w:line="240" w:lineRule="auto"/>
              <w:keepNext w:val="0"/>
              <w:keepLines/>
            </w:pPr>
            <w:r>
              <w:rPr>
                <w:sz w:val="21"/>
                <w:szCs w:val="21"/>
              </w:rPr>
              <w:t xml:space="preserve">Results: Nodal involvement on final pathology: survival HR 5.7 (1.3–24), univariate; after transplantation, first recurrences most often involved distant nodes (16 of 25, 64%) and bone (9 of 25, 36%).</w:t>
            </w:r>
          </w:p>
          <w:p>
            <w:pPr>
              <w:pStyle w:val="Normal"/>
              <w:widowControl/>
              <w:spacing w:after="55" w:line="240" w:lineRule="auto"/>
              <w:keepNext w:val="0"/>
              <w:keepLines/>
            </w:pPr>
            <w:r>
              <w:rPr>
                <w:sz w:val="21"/>
                <w:szCs w:val="21"/>
              </w:rPr>
              <w:t xml:space="preserve">Limits: Univariate only.</w:t>
            </w:r>
          </w:p>
          <w:p>
            <w:pPr>
              <w:pStyle w:val="Normal"/>
              <w:widowControl/>
              <w:spacing w:after="55" w:line="240" w:lineRule="auto"/>
              <w:keepNext w:val="0"/>
              <w:keepLines/>
            </w:pPr>
            <w:r>
              <w:rPr>
                <w:sz w:val="21"/>
                <w:szCs w:val="21"/>
              </w:rPr>
              <w:t xml:space="preserve">Am J Transplant 2022; Tables 2–3.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YXNwZXJvPC9BdXRob3I+PFllYXI+MjAyMjwvWWVhcj48UmVjTnVtPjc8L1JlY051bT48RGlzcGxheVRleHQ+W1YxNi03XTwvRGlzcGxheVRleHQ+PHJlY29yZD48cmVjLW51bWJlcj43PC9yZWMtbnVtYmVyPjxmb3JlaWduLWtleXM+PGtleSBhcHA9IkVOIiBkYi1pZD0iYjcyMjMwNzItMzFiNy01NDQwLWFjZDktNmRkYjNjMjM2YzlkIiB0aW1lc3RhbXA9IjE3OTMyODM2ODYiPjc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br/>
            </w:r>
            <w:hyperlink r:id="rId165">
              <w:r>
                <w:rPr>
                  <w:color w:val="0563C1"/>
                  <w:u w:val="single"/>
                </w:rPr>
                <w:t>Source</w:t>
              </w:r>
            </w:hyperlink>
            <w:r>
              <w:t xml:space="preserve"> · </w:t>
            </w:r>
            <w:hyperlink r:id="rId166">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ENETS 2026 position statement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ENETS 2026 position statement. Replace “no extrahepatic disease” with “no macroscopic, non-targetable” disease; examples: isolated resectable nodes or a solitary bone lesion amenable to local treatment.</w:t>
            </w:r>
          </w:p>
        </w:tc>
        <w:tc>
          <w:tcPr>
            <w:tcW w:w="3743" w:type="dxa"/>
            <w:vAlign w:val="top"/>
            <w:shd w:fill="F1F5F8"/>
          </w:tcPr>
          <w:p>
            <w:pPr>
              <w:pStyle w:val="Normal"/>
              <w:widowControl/>
              <w:spacing w:after="55" w:line="240" w:lineRule="auto"/>
              <w:keepNext w:val="0"/>
              <w:keepLines/>
            </w:pPr>
            <w:r>
              <w:rPr>
                <w:sz w:val="21"/>
                <w:szCs w:val="21"/>
              </w:rPr>
              <w:t xml:space="preserve">Results: Excludes unresectable mesenteric nodes, spinal and brain metastases; sets no interval after extrahepatic treatment.</w:t>
            </w:r>
          </w:p>
          <w:p>
            <w:pPr>
              <w:pStyle w:val="Normal"/>
              <w:widowControl/>
              <w:spacing w:after="55" w:line="240" w:lineRule="auto"/>
              <w:keepNext w:val="0"/>
              <w:keepLines/>
            </w:pPr>
            <w:r>
              <w:rPr>
                <w:sz w:val="21"/>
                <w:szCs w:val="21"/>
              </w:rPr>
              <w:t xml:space="preserve">Limits: Expert opinion; not outcome-validated.</w:t>
            </w:r>
          </w:p>
          <w:p>
            <w:pPr>
              <w:pStyle w:val="Normal"/>
              <w:widowControl/>
              <w:spacing w:after="55" w:line="240" w:lineRule="auto"/>
              <w:keepNext w:val="0"/>
              <w:keepLines/>
            </w:pPr>
            <w:r>
              <w:rPr>
                <w:sz w:val="21"/>
                <w:szCs w:val="21"/>
              </w:rPr>
              <w:t xml:space="preserve">J Neuroendocrinol 2026; Sections 4 and 7.</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dCYjMjI5O2xiZXJnPC9BdXRob3I+PFllYXI+MjAyNjwvWWVhcj48UmVjTnVtPjQ8L1JlY051bT48RGlzcGxheVRleHQ+W1YxNi00XTwvRGlzcGxheVRleHQ+PHJlY29yZD48cmVjLW51bWJlcj40PC9yZWMtbnVtYmVyPjxmb3JlaWduLWtleXM+PGtleSBhcHA9IkVOIiBkYi1pZD0iYjcyMjMwNzItMzFiNy01NDQwLWFjZDktNmRkYjNjMjM2YzlkIiB0aW1lc3RhbXA9IjE3OTMyODM2ODYiPjQ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[V16-4]</w:t>
            </w:r>
            <w:r>
              <w:fldChar w:fldCharType="end"/>
            </w:r>
            <w:r>
              <w:br/>
            </w:r>
            <w:hyperlink r:id="rId167">
              <w:r>
                <w:rPr>
                  <w:color w:val="0563C1"/>
                  <w:u w:val="single"/>
                </w:rPr>
                <w:t>Source</w:t>
              </w:r>
            </w:hyperlink>
            <w:r>
              <w:t xml:space="preserve"> · </w:t>
            </w:r>
            <w:hyperlink r:id="rId168">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Wedin 2025 · bone metastases in SI-NET</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Two Swedish centres, 138 with bone metastases. Bone metastases on SSTR-PET; rarely biopsied; never curatively treated.</w:t>
            </w:r>
          </w:p>
        </w:tc>
        <w:tc>
          <w:tcPr>
            <w:tcW w:w="3743" w:type="dxa"/>
            <w:vAlign w:val="top"/>
            <w:shd w:fill="FFFFFF"/>
          </w:tcPr>
          <w:p>
            <w:pPr>
              <w:pStyle w:val="Normal"/>
              <w:widowControl/>
              <w:spacing w:after="55" w:line="240" w:lineRule="auto"/>
              <w:keepNext w:val="0"/>
              <w:keepLines/>
            </w:pPr>
            <w:r>
              <w:rPr>
                <w:sz w:val="21"/>
                <w:szCs w:val="21"/>
              </w:rPr>
              <w:t xml:space="preserve">Results: Any bone metastasis HR 1.94; 21% with ≤5 lesions progressed to &gt;5.</w:t>
            </w:r>
          </w:p>
          <w:p>
            <w:pPr>
              <w:pStyle w:val="Normal"/>
              <w:widowControl/>
              <w:spacing w:after="55" w:line="240" w:lineRule="auto"/>
              <w:keepNext w:val="0"/>
              <w:keepLines/>
            </w:pPr>
            <w:r>
              <w:rPr>
                <w:sz w:val="21"/>
                <w:szCs w:val="21"/>
              </w:rPr>
              <w:t xml:space="preserve">Limits: Small-intestine NET only.</w:t>
            </w:r>
          </w:p>
          <w:p>
            <w:pPr>
              <w:pStyle w:val="Normal"/>
              <w:widowControl/>
              <w:spacing w:after="55" w:line="240" w:lineRule="auto"/>
              <w:keepNext w:val="0"/>
              <w:keepLines/>
            </w:pPr>
            <w:r>
              <w:rPr>
                <w:sz w:val="21"/>
                <w:szCs w:val="21"/>
              </w:rPr>
              <w:t xml:space="preserve">J Neuroendocrinol 2025; Results, Table 5.</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xMTEvam5lLjcwMDczPC91cmw+PC9yZWxhdGVkLXVybHM+PC91cmxzPjwvcmVjb3JkPjwvQ2l0ZT48L0VuZE5vdGU+</w:fldData>
              </w:fldChar>
            </w:r>
            <w:r>
              <w:instrText xml:space="preserve"> ADDIN EN.CITE.DATA </w:instrText>
            </w:r>
            <w:r>
              <w:fldChar w:fldCharType="end"/>
            </w:r>
            <w:r>
              <w:fldChar w:fldCharType="separate"/>
            </w:r>
            <w:r>
              <w:t xml:space="preserve">[V16-32]</w:t>
            </w:r>
            <w:r>
              <w:fldChar w:fldCharType="end"/>
            </w:r>
            <w:r>
              <w:br/>
            </w:r>
            <w:hyperlink r:id="rId169">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Le Treut 2013 · ELTR NET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European registry, 213 transplants. Concurrent surgery at transplant (84 patients) included extended lymphadenectomy (38), primary resection (29), organ resections and peritonectomy.</w:t>
            </w:r>
          </w:p>
        </w:tc>
        <w:tc>
          <w:tcPr>
            <w:tcW w:w="3743" w:type="dxa"/>
            <w:vAlign w:val="top"/>
            <w:shd w:fill="F1F5F8"/>
          </w:tcPr>
          <w:p>
            <w:pPr>
              <w:pStyle w:val="Normal"/>
              <w:widowControl/>
              <w:spacing w:after="55" w:line="240" w:lineRule="auto"/>
              <w:keepNext w:val="0"/>
              <w:keepLines/>
            </w:pPr>
            <w:r>
              <w:rPr>
                <w:sz w:val="21"/>
                <w:szCs w:val="21"/>
              </w:rPr>
              <w:t xml:space="preserve">Results: Major concurrent resection HR 3.1 (all eras); after 2000, any concurrent resection HR 1.9 (p=0.058).</w:t>
            </w:r>
          </w:p>
          <w:p>
            <w:pPr>
              <w:pStyle w:val="Normal"/>
              <w:widowControl/>
              <w:spacing w:after="55" w:line="240" w:lineRule="auto"/>
              <w:keepNext w:val="0"/>
              <w:keepLines/>
            </w:pPr>
            <w:r>
              <w:rPr>
                <w:sz w:val="21"/>
                <w:szCs w:val="21"/>
              </w:rPr>
              <w:t xml:space="preserve">Limits: Pre-transplant extrahepatic status not recorded.</w:t>
            </w:r>
          </w:p>
          <w:p>
            <w:pPr>
              <w:pStyle w:val="Normal"/>
              <w:widowControl/>
              <w:spacing w:after="55" w:line="240" w:lineRule="auto"/>
              <w:keepNext w:val="0"/>
              <w:keepLines/>
            </w:pPr>
            <w:r>
              <w:rPr>
                <w:sz w:val="21"/>
                <w:szCs w:val="21"/>
              </w:rPr>
              <w:t xml:space="preserve">Ann Surg 2013; Tables 4–6.</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ZSBUcmV1dDwvQXV0aG9yPjxZZWFyPjIwMTM8L1llYXI+PFJlY051bT4xNjwvUmVjTnVtPjxEaXNwbGF5VGV4dD5bVjE2LTE2XTwvRGlzcGxheVRleHQ+PHJlY29yZD48cmVjLW51bWJlcj4xNjwvcmVjLW51bWJlcj48Zm9yZWlnbi1rZXlzPjxrZXkgYXBwPSJFTiIgZGItaWQ9ImI3MjIzMDcyLTMxYjctNTQ0MC1hY2Q5LTZkZGIzYzIzNmM5ZCIgdGltZXN0YW1wPSIxNzkzMjgzNjg2Ij4xNj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[V16-16]</w:t>
            </w:r>
            <w:r>
              <w:fldChar w:fldCharType="end"/>
            </w:r>
            <w:r>
              <w:br/>
            </w:r>
            <w:hyperlink r:id="rId170">
              <w:r>
                <w:rPr>
                  <w:color w:val="0563C1"/>
                  <w:u w:val="single"/>
                </w:rPr>
                <w:t>Source</w:t>
              </w:r>
            </w:hyperlink>
            <w:r>
              <w:t xml:space="preserve"> · </w:t>
            </w:r>
            <w:hyperlink r:id="rId171">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Sher 2015 · US multicentre NET LT</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28 centres (mostly US, also Canadian and European), 85 transplants. “Extent of resection” = concurrent primary or multivisceral surgery, not metastasis clearance.</w:t>
            </w:r>
          </w:p>
        </w:tc>
        <w:tc>
          <w:tcPr>
            <w:tcW w:w="3743" w:type="dxa"/>
            <w:vAlign w:val="top"/>
            <w:shd w:fill="FFFFFF"/>
          </w:tcPr>
          <w:p>
            <w:pPr>
              <w:pStyle w:val="Normal"/>
              <w:widowControl/>
              <w:spacing w:after="55" w:line="240" w:lineRule="auto"/>
              <w:keepNext w:val="0"/>
              <w:keepLines/>
            </w:pPr>
            <w:r>
              <w:rPr>
                <w:sz w:val="21"/>
                <w:szCs w:val="21"/>
              </w:rPr>
              <w:t xml:space="preserve">Results: Extensive concurrent surgery associated with worse survival (p=0.015).</w:t>
            </w:r>
          </w:p>
          <w:p>
            <w:pPr>
              <w:pStyle w:val="Normal"/>
              <w:widowControl/>
              <w:spacing w:after="55" w:line="240" w:lineRule="auto"/>
              <w:keepNext w:val="0"/>
              <w:keepLines/>
            </w:pPr>
            <w:r>
              <w:rPr>
                <w:sz w:val="21"/>
                <w:szCs w:val="21"/>
              </w:rPr>
              <w:t xml:space="preserve">Limits: No extrahepatic-disease variable.</w:t>
            </w:r>
          </w:p>
          <w:p>
            <w:pPr>
              <w:pStyle w:val="Normal"/>
              <w:widowControl/>
              <w:spacing w:after="55" w:line="240" w:lineRule="auto"/>
              <w:keepNext w:val="0"/>
              <w:keepLines/>
            </w:pPr>
            <w:r>
              <w:rPr>
                <w:sz w:val="21"/>
                <w:szCs w:val="21"/>
              </w:rPr>
              <w:t xml:space="preserve">J Surg Oncol 2015; Methods.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DAyL2pzby4yMzk3MzwvdXJsPjwvcmVsYXRlZC11cmxzPjwvdXJscz48L3JlY29yZD48L0NpdGU+PC9FbmROb3RlPg==</w:fldData>
              </w:fldChar>
            </w:r>
            <w:r>
              <w:instrText xml:space="preserve"> ADDIN EN.CITE.DATA </w:instrText>
            </w:r>
            <w:r>
              <w:fldChar w:fldCharType="end"/>
            </w:r>
            <w:r>
              <w:fldChar w:fldCharType="separate"/>
            </w:r>
            <w:r>
              <w:t xml:space="preserve">[V16-33]</w:t>
            </w:r>
            <w:r>
              <w:fldChar w:fldCharType="end"/>
            </w:r>
            <w:r>
              <w:br/>
            </w:r>
            <w:hyperlink r:id="rId172">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Frilling 2010 · 68Ga-DOTATOC PET before LT</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1F5F8"/>
          </w:tcPr>
          <w:p>
            <w:pPr>
              <w:pStyle w:val="Normal"/>
              <w:widowControl/>
              <w:spacing w:after="55" w:line="240" w:lineRule="auto"/>
              <w:keepNext w:val="0"/>
              <w:keepLines/>
            </w:pPr>
            <w:r>
              <w:rPr>
                <w:sz w:val="21"/>
                <w:szCs w:val="21"/>
              </w:rPr>
              <w:t xml:space="preserve">68Ga-DOTATOC PET before transplantation. Transplant candidates.</w:t>
            </w:r>
          </w:p>
        </w:tc>
        <w:tc>
          <w:tcPr>
            <w:tcW w:w="3743" w:type="dxa"/>
            <w:vAlign w:val="top"/>
            <w:shd w:fill="F1F5F8"/>
          </w:tcPr>
          <w:p>
            <w:pPr>
              <w:pStyle w:val="Normal"/>
              <w:widowControl/>
              <w:spacing w:after="55" w:line="240" w:lineRule="auto"/>
              <w:keepNext w:val="0"/>
              <w:keepLines/>
            </w:pPr>
            <w:r>
              <w:rPr>
                <w:sz w:val="21"/>
                <w:szCs w:val="21"/>
              </w:rPr>
              <w:t xml:space="preserve">Results: PET removed 7 of 15 candidates.</w:t>
            </w:r>
          </w:p>
          <w:p>
            <w:pPr>
              <w:pStyle w:val="Normal"/>
              <w:widowControl/>
              <w:spacing w:after="55" w:line="240" w:lineRule="auto"/>
              <w:keepNext w:val="0"/>
              <w:keepLines/>
            </w:pPr>
            <w:r>
              <w:rPr>
                <w:sz w:val="21"/>
                <w:szCs w:val="21"/>
              </w:rPr>
              <w:t xml:space="preserve">Limits: Small.</w:t>
            </w:r>
          </w:p>
          <w:p>
            <w:pPr>
              <w:pStyle w:val="Normal"/>
              <w:widowControl/>
              <w:spacing w:after="55" w:line="240" w:lineRule="auto"/>
              <w:keepNext w:val="0"/>
              <w:keepLines/>
            </w:pPr>
            <w:r>
              <w:rPr>
                <w:sz w:val="21"/>
                <w:szCs w:val="21"/>
              </w:rPr>
              <w:t xml:space="preserve">Ann Surg 2010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</w:fldData>
              </w:fldChar>
            </w:r>
            <w:r>
              <w:instrText xml:space="preserve"> ADDIN EN.CITE.DATA </w:instrText>
            </w:r>
            <w:r>
              <w:fldChar w:fldCharType="end"/>
            </w:r>
            <w:r>
              <w:fldChar w:fldCharType="separate"/>
            </w:r>
            <w:r>
              <w:t xml:space="preserve">[V16-34]</w:t>
            </w:r>
            <w:r>
              <w:fldChar w:fldCharType="end"/>
            </w:r>
            <w:r>
              <w:br/>
            </w:r>
            <w:hyperlink r:id="rId173">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ENETS 2026 and some series suggest limited bone disease may not worsen survival; the bone exclusion is a conservative local choice.</w:t>
      </w:r>
    </w:p>
    <w:p>
      <w:pPr>
        <w:pStyle w:val="Normal"/>
        <w:widowControl/>
        <w:spacing w:after="120"/>
      </w:pPr>
      <w:r>
        <w:t xml:space="preserve">Certainty: Low for resected regional nodes after a recurrence-free interval; very low for distant nodes, PRRT-only clearance and solid-organ metastases.</w:t>
      </w:r>
    </w:p>
    <w:p>
      <w:pPr>
        <w:pStyle w:val="Normal"/>
        <w:widowControl/>
        <w:spacing w:after="120"/>
      </w:pPr>
      <w:r>
        <w:t xml:space="preserve">What would change the answer: Transplant outcomes in recipients with previously treated distant or bone disease.</w:t>
      </w:r>
    </w:p>
    <w:p>
      <w:pPr>
        <w:pStyle w:val="Normal"/>
        <w:widowControl/>
        <w:spacing w:after="120"/>
      </w:pPr>
      <w:r>
        <w:t xml:space="preserve">Meeting question NET-B4, with blank decision fields, is in the corresponding meeting record and the V16 decision worksheet.</w:t>
      </w:r>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Selected or occult postoperative high-risk NET features could be mistaken for validated pre-LT expansion criteria. </w:t>
      </w:r>
      <w:r>
        <w:rPr>
          <w:b/>
        </w:rPr>
        <w:t xml:space="preserve">Correction and reason: </w:t>
      </w:r>
      <w:r>
        <w:t xml:space="preserve">Distinguished preoperative selection from explant upstaging, removed overstated age evidence and added late recurrence and post-LT PRRT hematologic toxicity.</w:t>
      </w:r>
    </w:p>
    <w:p>
      <w:pPr>
        <w:pStyle w:val="Normal"/>
        <w:keepNext/>
        <w:widowControl/>
        <w:keepLines/>
      </w:pPr>
      <w:r>
        <w:rPr>
          <w:b/>
        </w:rPr>
        <w:t xml:space="preserve">Problem: </w:t>
      </w:r>
      <w:r>
        <w:t xml:space="preserve">The earlier B proposals had an uneven evidence base and emphasized a stance before its supporting and contrary data. </w:t>
      </w:r>
      <w:r>
        <w:rPr>
          <w:b/>
        </w:rPr>
        <w:t xml:space="preserve">Correction and reason: </w:t>
      </w:r>
      <w:r>
        <w:t xml:space="preserve">Added question-level primary-study tables with selection, denominators, outcome clocks, harms, limitations, exact source excerpts and threshold provenance before each OPEN proposal. Sources/PDF links are adjacent; missing full texts remain flagged.</w:t>
      </w:r>
    </w:p>
    <w:p>
      <w:pPr>
        <w:pStyle w:val="Normal"/>
        <w:keepNext/>
        <w:widowControl/>
        <w:keepLines/>
      </w:pPr>
      <w:r>
        <w:rPr>
          <w:b/>
        </w:rPr>
        <w:t xml:space="preserve">Problem: </w:t>
      </w:r>
      <w:r>
        <w:t xml:space="preserve">Local operational numbers could be mistaken for validated eligibility or allocation thresholds. </w:t>
      </w:r>
      <w:r>
        <w:rPr>
          <w:b/>
        </w:rPr>
        <w:t xml:space="preserve">Correction and reason: </w:t>
      </w:r>
      <w:r>
        <w:t xml:space="preserve">Separated outcome-derived estimates, guideline/policy wording and local safeguards; revised proposals when the deeper review changed their evidentiary basis. Institutional decisions remain blank.</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174">
        <w:r>
          <w:rPr>
            <w:color w:val="0563C1"/>
            <w:u w:val="single"/>
          </w:rPr>
          <w:t>Source</w:t>
        </w:r>
      </w:hyperlink>
      <w:r>
        <w:t xml:space="preserve"> | </w:t>
      </w:r>
      <w:hyperlink r:id="rId175">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176">
        <w:r>
          <w:rPr>
            <w:color w:val="0563C1"/>
            <w:u w:val="single"/>
          </w:rPr>
          <w:t>Source</w:t>
        </w:r>
      </w:hyperlink>
      <w:r>
        <w:t xml:space="preserve"> | </w:t>
      </w:r>
      <w:hyperlink r:id="rId177">
        <w:r>
          <w:rPr>
            <w:color w:val="0563C1"/>
            <w:u w:val="single"/>
          </w:rPr>
          <w:t>Full-text access</w:t>
        </w:r>
      </w:hyperlink>
    </w:p>
    <w:p>
      <w:pPr>
        <w:pStyle w:val="Normal"/>
        <w:widowControl/>
        <w:spacing w:after="120"/>
      </w:pPr>
      <w:r>
        <w:t xml:space="preserve"/>
      </w:r>
      <w:r>
        <w:t xml:space="preserve">[V16-3] Mazzaferro, V; Sposito, C; Coppa, J; et al. The Long-Term Benefit of Liver Transplantation for Hepatic Metastases From Neuroendocrine Tumors. American journal of transplantation : official journal of the American Society of Transplantation and the American Society of Transplant Surgeons. 2016; 16(10):2892-2902. </w:t>
      </w:r>
      <w:hyperlink r:id="rId178">
        <w:r>
          <w:rPr>
            <w:color w:val="0563C1"/>
            <w:u w:val="single"/>
          </w:rPr>
          <w:t>Source</w:t>
        </w:r>
      </w:hyperlink>
      <w:r>
        <w:t xml:space="preserve"> | </w:t>
      </w:r>
      <w:hyperlink r:id="rId179">
        <w:r>
          <w:rPr>
            <w:color w:val="0563C1"/>
            <w:u w:val="single"/>
          </w:rPr>
          <w:t>Full-text access</w:t>
        </w:r>
      </w:hyperlink>
    </w:p>
    <w:p>
      <w:pPr>
        <w:pStyle w:val="Normal"/>
        <w:widowControl/>
        <w:spacing w:after="120"/>
      </w:pPr>
      <w:r>
        <w:t xml:space="preserve"/>
      </w:r>
      <w:r>
        <w:t xml:space="preserve">[V16-4] Stålberg, Peter; McNamara, Mairéad G; Grozinsky-Glasberg, Simona; et al. Controversies in NEN: An ENETS position statement on the role of liver transplantation (LT) in patients with advanced small-intestinal and pancreatic NETs. Journal of neuroendocrinology. 2026; 38(10):e70250. </w:t>
      </w:r>
      <w:hyperlink r:id="rId180">
        <w:r>
          <w:rPr>
            <w:color w:val="0563C1"/>
            <w:u w:val="single"/>
          </w:rPr>
          <w:t>Source</w:t>
        </w:r>
      </w:hyperlink>
      <w:r>
        <w:t xml:space="preserve"> | </w:t>
      </w:r>
      <w:hyperlink r:id="rId181">
        <w:r>
          <w:rPr>
            <w:color w:val="0563C1"/>
            <w:u w:val="single"/>
          </w:rPr>
          <w:t>Full-text access</w:t>
        </w:r>
      </w:hyperlink>
    </w:p>
    <w:p>
      <w:pPr>
        <w:pStyle w:val="Normal"/>
        <w:widowControl/>
        <w:spacing w:after="120"/>
      </w:pPr>
      <w:r>
        <w:t xml:space="preserve"/>
      </w:r>
      <w:r>
        <w:t xml:space="preserve">[V16-5] Boscà, Andrea; Montalvá, Eva M; Vila-Tura, Marina; et al. Should We Continue Liver Transplantation in Spain for Hepatic Metastases from Neuroendocrine Tumors?. Journal of clinical medicine. 2026; 15(3):938. </w:t>
      </w:r>
      <w:hyperlink r:id="rId182">
        <w:r>
          <w:rPr>
            <w:color w:val="0563C1"/>
            <w:u w:val="single"/>
          </w:rPr>
          <w:t>Source</w:t>
        </w:r>
      </w:hyperlink>
      <w:r>
        <w:t xml:space="preserve"> | </w:t>
      </w:r>
      <w:hyperlink r:id="rId183">
        <w:r>
          <w:rPr>
            <w:color w:val="0563C1"/>
            <w:u w:val="single"/>
          </w:rPr>
          <w:t>Full-text access</w:t>
        </w:r>
      </w:hyperlink>
    </w:p>
    <w:p>
      <w:pPr>
        <w:pStyle w:val="Normal"/>
        <w:widowControl/>
        <w:spacing w:after="120"/>
      </w:pPr>
      <w:r>
        <w:t xml:space="preserve"/>
      </w:r>
      <w:r>
        <w:t xml:space="preserve">[V16-6] Eshmuminov, Dilmurodjon; Studer, Debora J.; Lopez Lopez, Victor; et al. Controversy Over Liver Transplantation or Resection for Neuroendocrine Liver Metastasis: Tumor Biology Cuts the Deal. Annals of Surgery. 2023; 277(5):e1063-e1071. </w:t>
      </w:r>
      <w:hyperlink r:id="rId184">
        <w:r>
          <w:rPr>
            <w:color w:val="0563C1"/>
            <w:u w:val="single"/>
          </w:rPr>
          <w:t>Source</w:t>
        </w:r>
      </w:hyperlink>
      <w:r>
        <w:t xml:space="preserve"> | </w:t>
      </w:r>
      <w:hyperlink r:id="rId185">
        <w:r>
          <w:rPr>
            <w:color w:val="0563C1"/>
            <w:u w:val="single"/>
          </w:rPr>
          <w:t>Full-text access</w:t>
        </w:r>
      </w:hyperlink>
    </w:p>
    <w:p>
      <w:pPr>
        <w:pStyle w:val="Normal"/>
        <w:widowControl/>
        <w:spacing w:after="120"/>
      </w:pPr>
      <w:r>
        <w:t xml:space="preserve"/>
      </w:r>
      <w:r>
        <w:t xml:space="preserve">[V16-7] Maspero, Marianna; Rossi, Roberta Elisa; Sposito, Carlo; et al. Long-term outcomes of resection versus transplantation for neuroendocrine liver metastases meeting the Milan criteria. American Journal of Transplantation. 2022; 22(11):2598-2607. </w:t>
      </w:r>
      <w:hyperlink r:id="rId186">
        <w:r>
          <w:rPr>
            <w:color w:val="0563C1"/>
            <w:u w:val="single"/>
          </w:rPr>
          <w:t>Source</w:t>
        </w:r>
      </w:hyperlink>
      <w:r>
        <w:t xml:space="preserve"> | </w:t>
      </w:r>
      <w:hyperlink r:id="rId187">
        <w:r>
          <w:rPr>
            <w:color w:val="0563C1"/>
            <w:u w:val="single"/>
          </w:rPr>
          <w:t>Full-text access</w:t>
        </w:r>
      </w:hyperlink>
    </w:p>
    <w:p>
      <w:pPr>
        <w:pStyle w:val="Normal"/>
        <w:widowControl/>
        <w:spacing w:after="120"/>
      </w:pPr>
      <w:r>
        <w:t xml:space="preserve"/>
      </w:r>
      <w:r>
        <w:t xml:space="preserve">[V16-8] Kjaer, Josefine; Smith, Sara; Hellman, Per; et al. Overall Survival in Patients with Stage IV Pan-NET Eligible for Liver Transplantation. World Journal of Surgery. 2023. </w:t>
      </w:r>
      <w:hyperlink r:id="rId188">
        <w:r>
          <w:rPr>
            <w:color w:val="0563C1"/>
            <w:u w:val="single"/>
          </w:rPr>
          <w:t>Source</w:t>
        </w:r>
      </w:hyperlink>
      <w:r>
        <w:t xml:space="preserve"> | </w:t>
      </w:r>
      <w:hyperlink r:id="rId189">
        <w:r>
          <w:rPr>
            <w:color w:val="0563C1"/>
            <w:u w:val="single"/>
          </w:rPr>
          <w:t>Full-text access</w:t>
        </w:r>
      </w:hyperlink>
    </w:p>
    <w:p>
      <w:pPr>
        <w:pStyle w:val="Normal"/>
        <w:widowControl/>
        <w:spacing w:after="120"/>
      </w:pPr>
      <w:r>
        <w:t xml:space="preserve"/>
      </w:r>
      <w:r>
        <w:t xml:space="preserve">[V16-9] Chan JA; Geyer S; Zemla T; et al. Phase 3 Trial of Cabozantinib to Treat Advanced Neuroendocrine Tumors.. The New England journal of medicine. 2025; 392(7):653-665. </w:t>
      </w:r>
      <w:hyperlink r:id="rId190">
        <w:r>
          <w:rPr>
            <w:color w:val="0563C1"/>
            <w:u w:val="single"/>
          </w:rPr>
          <w:t>Source</w:t>
        </w:r>
      </w:hyperlink>
      <w:r>
        <w:t xml:space="preserve"> | </w:t>
      </w:r>
      <w:hyperlink r:id="rId191">
        <w:r>
          <w:rPr>
            <w:color w:val="0563C1"/>
            <w:u w:val="single"/>
          </w:rPr>
          <w:t>Full-text access</w:t>
        </w:r>
      </w:hyperlink>
    </w:p>
    <w:p>
      <w:pPr>
        <w:pStyle w:val="Normal"/>
        <w:widowControl/>
        <w:spacing w:after="120"/>
      </w:pPr>
      <w:r>
        <w:t xml:space="preserve"/>
      </w:r>
      <w:r>
        <w:t xml:space="preserve">[V16-10] Caplin ME; Pavel M; Ćwikła JB; et al. Lanreotide in metastatic enteropancreatic neuroendocrine tumors.. The New England journal of medicine. 2014; 371(3):224-33. </w:t>
      </w:r>
      <w:hyperlink r:id="rId192">
        <w:r>
          <w:rPr>
            <w:color w:val="0563C1"/>
            <w:u w:val="single"/>
          </w:rPr>
          <w:t>Source</w:t>
        </w:r>
      </w:hyperlink>
      <w:r>
        <w:t xml:space="preserve"> | </w:t>
      </w:r>
      <w:hyperlink r:id="rId193">
        <w:r>
          <w:rPr>
            <w:color w:val="0563C1"/>
            <w:u w:val="single"/>
          </w:rPr>
          <w:t>Full-text access</w:t>
        </w:r>
      </w:hyperlink>
    </w:p>
    <w:p>
      <w:pPr>
        <w:pStyle w:val="Normal"/>
        <w:widowControl/>
        <w:spacing w:after="120"/>
      </w:pPr>
      <w:r>
        <w:t xml:space="preserve"/>
      </w:r>
      <w:r>
        <w:t xml:space="preserve">[V16-11] Strosberg, Jonathan R; Caplin, Martyn E; Kunz, Pamela L; et al. 177Lu-Dotatate plus long-acting octreotide versus high‑dose long-acting octreotide in patients with midgut neuroendocrine tumours (NETTER-1): final overall survival and long-term safety results from an open-label, randomised, controlled, phase 3 trial. The Lancet Oncology. 2021; 22(12):1752-1763. </w:t>
      </w:r>
      <w:hyperlink r:id="rId194">
        <w:r>
          <w:rPr>
            <w:color w:val="0563C1"/>
            <w:u w:val="single"/>
          </w:rPr>
          <w:t>Source</w:t>
        </w:r>
      </w:hyperlink>
      <w:r>
        <w:t xml:space="preserve"> | </w:t>
      </w:r>
      <w:hyperlink r:id="rId195">
        <w:r>
          <w:rPr>
            <w:color w:val="0563C1"/>
            <w:u w:val="single"/>
          </w:rPr>
          <w:t>Full-text access</w:t>
        </w:r>
      </w:hyperlink>
    </w:p>
    <w:p>
      <w:pPr>
        <w:pStyle w:val="Normal"/>
        <w:widowControl/>
        <w:spacing w:after="120"/>
      </w:pPr>
      <w:r>
        <w:t xml:space="preserve"/>
      </w:r>
      <w:r>
        <w:t xml:space="preserve">[V16-12] National Comprehensive Cancer Network. NCCN Clinical Practice Guidelines in Oncology: Neuroendocrine and Adrenal Tumors, Version 1.2026 (21 April 2026). . 2026. </w:t>
      </w:r>
      <w:hyperlink r:id="rId196">
        <w:r>
          <w:rPr>
            <w:color w:val="0563C1"/>
            <w:u w:val="single"/>
          </w:rPr>
          <w:t>Source</w:t>
        </w:r>
      </w:hyperlink>
      <w:r>
        <w:t xml:space="preserve"> | </w:t>
      </w:r>
      <w:hyperlink r:id="rId197">
        <w:r>
          <w:rPr>
            <w:color w:val="0563C1"/>
            <w:u w:val="single"/>
          </w:rPr>
          <w:t>Full-text access</w:t>
        </w:r>
      </w:hyperlink>
    </w:p>
    <w:p>
      <w:pPr>
        <w:pStyle w:val="Normal"/>
        <w:widowControl/>
        <w:spacing w:after="120"/>
      </w:pPr>
      <w:r>
        <w:t xml:space="preserve"/>
      </w:r>
      <w:r>
        <w:t xml:space="preserve">[V16-13] Kasai, Yosuke; Ito, Takashi; Masui, Toshihiko; et al. Liver transplantation for gastroenteropancreatic neuroendocrine liver metastasis: optimal patient selection and perioperative management in the era of multimodal treatments. Journal of Gastroenterology. 2024; 60(1):1-9. </w:t>
      </w:r>
      <w:hyperlink r:id="rId198">
        <w:r>
          <w:rPr>
            <w:color w:val="0563C1"/>
            <w:u w:val="single"/>
          </w:rPr>
          <w:t>Source</w:t>
        </w:r>
      </w:hyperlink>
      <w:r>
        <w:t xml:space="preserve"> | </w:t>
      </w:r>
      <w:hyperlink r:id="rId199">
        <w:r>
          <w:rPr>
            <w:color w:val="0563C1"/>
            <w:u w:val="single"/>
          </w:rPr>
          <w:t>Full-text access</w:t>
        </w:r>
      </w:hyperlink>
    </w:p>
    <w:p>
      <w:pPr>
        <w:pStyle w:val="Normal"/>
        <w:widowControl/>
        <w:spacing w:after="120"/>
      </w:pPr>
      <w:r>
        <w:t xml:space="preserve"/>
      </w:r>
      <w:r>
        <w:t xml:space="preserve">[V16-14] Singh S; Halperin D; Myrehaug S; et al. [177Lu]Lu-DOTA-TATE plus long-acting octreotide versus high‑dose long-acting octreotide for the treatment of newly diagnosed, advanced grade 2–3, well-differentiated, gastroenteropancreatic neuroendocrine tumours (NETTER-2): an open-label, randomised, phase 3 study. Lancet (London, England). 2024; 403(10446):2807-2817. </w:t>
      </w:r>
      <w:hyperlink r:id="rId200">
        <w:r>
          <w:rPr>
            <w:color w:val="0563C1"/>
            <w:u w:val="single"/>
          </w:rPr>
          <w:t>Source</w:t>
        </w:r>
      </w:hyperlink>
      <w:r>
        <w:t xml:space="preserve"> | </w:t>
      </w:r>
      <w:hyperlink r:id="rId201">
        <w:r>
          <w:rPr>
            <w:color w:val="0563C1"/>
            <w:u w:val="single"/>
          </w:rPr>
          <w:t>Full-text access</w:t>
        </w:r>
      </w:hyperlink>
    </w:p>
    <w:p>
      <w:pPr>
        <w:pStyle w:val="Normal"/>
        <w:widowControl/>
        <w:spacing w:after="120"/>
      </w:pPr>
      <w:r>
        <w:t xml:space="preserve"/>
      </w:r>
      <w:r>
        <w:t xml:space="preserve">[V16-15] Dove, Lorna; Chadha, Ryan M.; Lai, Jennifer C.; et al. AASLD AST Practice Guideline on adult liver transplantation: Candidate evaluation. Hepatology. 2026; 83(6):1609-1645. </w:t>
      </w:r>
      <w:hyperlink r:id="rId202">
        <w:r>
          <w:rPr>
            <w:color w:val="0563C1"/>
            <w:u w:val="single"/>
          </w:rPr>
          <w:t>Source</w:t>
        </w:r>
      </w:hyperlink>
      <w:r>
        <w:t xml:space="preserve"> | </w:t>
      </w:r>
      <w:hyperlink r:id="rId203">
        <w:r>
          <w:rPr>
            <w:color w:val="0563C1"/>
            <w:u w:val="single"/>
          </w:rPr>
          <w:t>Full-text access</w:t>
        </w:r>
      </w:hyperlink>
    </w:p>
    <w:p>
      <w:pPr>
        <w:pStyle w:val="Normal"/>
        <w:widowControl/>
        <w:spacing w:after="120"/>
      </w:pPr>
      <w:r>
        <w:t xml:space="preserve"/>
      </w:r>
      <w:r>
        <w:t xml:space="preserve">[V16-16] Le Treut, Yves Patrice; Grégoire, Emilie; Klempnauer, Jürgen; et al. Liver Transplantation for Neuroendocrine Tumors in Europe—Results and Trends in Patient Selection. Annals of Surgery. 2013; 257(5):807-815. </w:t>
      </w:r>
      <w:hyperlink r:id="rId204">
        <w:r>
          <w:rPr>
            <w:color w:val="0563C1"/>
            <w:u w:val="single"/>
          </w:rPr>
          <w:t>Source</w:t>
        </w:r>
      </w:hyperlink>
      <w:r>
        <w:t xml:space="preserve"> | </w:t>
      </w:r>
      <w:hyperlink r:id="rId205">
        <w:r>
          <w:rPr>
            <w:color w:val="0563C1"/>
            <w:u w:val="single"/>
          </w:rPr>
          <w:t>Full-text access</w:t>
        </w:r>
      </w:hyperlink>
    </w:p>
    <w:p>
      <w:pPr>
        <w:pStyle w:val="Normal"/>
        <w:widowControl/>
        <w:spacing w:after="120"/>
      </w:pPr>
      <w:r>
        <w:t xml:space="preserve"/>
      </w:r>
      <w:r>
        <w:t xml:space="preserve">[V16-17] Chen, Chiyi; Zheng, Qiming; Zhang, Li; et al. Peptide Receptor Radionuclide Therapy for Recurrent Neuroendocrine Tumor Liver Metastases After Liver transplantation: A Case Series. Transplantation proceedings. 2026; 58(3):526-531. </w:t>
      </w:r>
      <w:hyperlink r:id="rId206">
        <w:r>
          <w:rPr>
            <w:color w:val="0563C1"/>
            <w:u w:val="single"/>
          </w:rPr>
          <w:t>Source</w:t>
        </w:r>
      </w:hyperlink>
      <w:r>
        <w:t xml:space="preserve"> | </w:t>
      </w:r>
      <w:hyperlink r:id="rId207">
        <w:r>
          <w:rPr>
            <w:color w:val="0563C1"/>
            <w:u w:val="single"/>
          </w:rPr>
          <w:t>Full-text access</w:t>
        </w:r>
      </w:hyperlink>
    </w:p>
    <w:p>
      <w:pPr>
        <w:pStyle w:val="Normal"/>
        <w:widowControl/>
        <w:spacing w:after="120"/>
      </w:pPr>
      <w:r>
        <w:t xml:space="preserve"/>
      </w:r>
      <w:r>
        <w:t xml:space="preserve">[V16-18] Sposito, Carlo; Rossi, Roberta Elisa; Monteleone, Michela; et al. Postrecurrence Survival After Liver Transplantation for Liver Metastases From Neuroendocrine Tumors. Transplantation. 2021; 105(12):2579-2586. </w:t>
      </w:r>
      <w:hyperlink r:id="rId208">
        <w:r>
          <w:rPr>
            <w:color w:val="0563C1"/>
            <w:u w:val="single"/>
          </w:rPr>
          <w:t>Source</w:t>
        </w:r>
      </w:hyperlink>
      <w:r>
        <w:t xml:space="preserve"> | </w:t>
      </w:r>
      <w:hyperlink r:id="rId209">
        <w:r>
          <w:rPr>
            <w:color w:val="0563C1"/>
            <w:u w:val="single"/>
          </w:rPr>
          <w:t>Full-text access</w:t>
        </w:r>
      </w:hyperlink>
    </w:p>
    <w:p>
      <w:pPr>
        <w:pStyle w:val="Normal"/>
        <w:widowControl/>
        <w:spacing w:after="120"/>
      </w:pPr>
      <w:r>
        <w:t xml:space="preserve"/>
      </w:r>
      <w:r>
        <w:t xml:space="preserve">[V16-19] Kelly, Morgan E.; Truby, Tianna M.; Lai, Jennifer C.; et al. Three Decades of Living Liver Donor Outcomes: A National Cohort Analysis of Patterns in Mortality and Recovery. Journal of Transplantation. 2026; 2026(1):2545887. </w:t>
      </w:r>
      <w:hyperlink r:id="rId210">
        <w:r>
          <w:rPr>
            <w:color w:val="0563C1"/>
            <w:u w:val="single"/>
          </w:rPr>
          <w:t>Source</w:t>
        </w:r>
      </w:hyperlink>
      <w:r>
        <w:t xml:space="preserve"> | </w:t>
      </w:r>
      <w:hyperlink r:id="rId211">
        <w:r>
          <w:rPr>
            <w:color w:val="0563C1"/>
            <w:u w:val="single"/>
          </w:rPr>
          <w:t>Full-text access</w:t>
        </w:r>
      </w:hyperlink>
    </w:p>
    <w:p>
      <w:pPr>
        <w:pStyle w:val="Normal"/>
        <w:widowControl/>
        <w:spacing w:after="120"/>
      </w:pPr>
      <w:r>
        <w:t xml:space="preserve"/>
      </w:r>
      <w:r>
        <w:t xml:space="preserve">[V16-20] US Department of Health and Human Services. 45 CFR 46.111: Criteria for IRB approval of research. . 2018. </w:t>
      </w:r>
      <w:hyperlink r:id="rId212">
        <w:r>
          <w:rPr>
            <w:color w:val="0563C1"/>
            <w:u w:val="single"/>
          </w:rPr>
          <w:t>Source</w:t>
        </w:r>
      </w:hyperlink>
      <w:r>
        <w:t xml:space="preserve"> | Local PDF not available in this update</w:t>
      </w:r>
    </w:p>
    <w:p>
      <w:pPr>
        <w:pStyle w:val="Normal"/>
        <w:widowControl/>
        <w:spacing w:after="120"/>
      </w:pPr>
      <w:r>
        <w:t xml:space="preserve"/>
      </w:r>
      <w:r>
        <w:t xml:space="preserve">[V16-21] OPTN Ethics Committee. Ethical Principles in the Allocation of Human Organs. . 2015. </w:t>
      </w:r>
      <w:hyperlink r:id="rId213">
        <w:r>
          <w:rPr>
            <w:color w:val="0563C1"/>
            <w:u w:val="single"/>
          </w:rPr>
          <w:t>Source</w:t>
        </w:r>
      </w:hyperlink>
      <w:r>
        <w:t xml:space="preserve"> | Local PDF not available in this update</w:t>
      </w:r>
    </w:p>
    <w:p>
      <w:pPr>
        <w:pStyle w:val="Normal"/>
        <w:widowControl/>
        <w:spacing w:after="120"/>
      </w:pPr>
      <w:r>
        <w:t xml:space="preserve"/>
      </w:r>
      <w:r>
        <w:t xml:space="preserve">[V16-22] Llovet, Josep M; Mauro, Ezequiel; Rimassa, Lorenza; et al. Trial design and end points in hepatocellular carcinoma: an EASL-AASLD-ILCA consensus statement. Nature reviews. Clinical oncology. 2026; 23(8):619-647. </w:t>
      </w:r>
      <w:hyperlink r:id="rId214">
        <w:r>
          <w:rPr>
            <w:color w:val="0563C1"/>
            <w:u w:val="single"/>
          </w:rPr>
          <w:t>Source</w:t>
        </w:r>
      </w:hyperlink>
      <w:r>
        <w:t xml:space="preserve"> | </w:t>
      </w:r>
      <w:hyperlink r:id="rId215">
        <w:r>
          <w:rPr>
            <w:color w:val="0563C1"/>
            <w:u w:val="single"/>
          </w:rPr>
          <w:t>Full-text access</w:t>
        </w:r>
      </w:hyperlink>
    </w:p>
    <w:p>
      <w:pPr>
        <w:pStyle w:val="Normal"/>
        <w:widowControl/>
        <w:spacing w:after="120"/>
      </w:pPr>
      <w:r>
        <w:t xml:space="preserve"/>
      </w:r>
      <w:r>
        <w:t xml:space="preserve">[V16-23] Mazzaferro, Vincenzo; Citterio, Davide; Bhoori, Sherrie; et al. Liver transplantation in hepatocellular carcinoma after tumour downstaging (XXL): a randomised, controlled, phase 2b/3 trial. The Lancet Oncology. 2020; 21(7):947-956. </w:t>
      </w:r>
      <w:hyperlink r:id="rId216">
        <w:r>
          <w:rPr>
            <w:color w:val="0563C1"/>
            <w:u w:val="single"/>
          </w:rPr>
          <w:t>Source</w:t>
        </w:r>
      </w:hyperlink>
      <w:r>
        <w:t xml:space="preserve"> | </w:t>
      </w:r>
      <w:hyperlink r:id="rId217">
        <w:r>
          <w:rPr>
            <w:color w:val="0563C1"/>
            <w:u w:val="single"/>
          </w:rPr>
          <w:t>Full-text access</w:t>
        </w:r>
      </w:hyperlink>
    </w:p>
    <w:p>
      <w:pPr>
        <w:pStyle w:val="Normal"/>
        <w:widowControl/>
        <w:spacing w:after="120"/>
      </w:pPr>
      <w:r>
        <w:t xml:space="preserve"/>
      </w:r>
      <w:r>
        <w:t xml:space="preserve">[V16-24]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218">
        <w:r>
          <w:rPr>
            <w:color w:val="0563C1"/>
            <w:u w:val="single"/>
          </w:rPr>
          <w:t>Source</w:t>
        </w:r>
      </w:hyperlink>
      <w:r>
        <w:t xml:space="preserve"> | </w:t>
      </w:r>
      <w:hyperlink r:id="rId219">
        <w:r>
          <w:rPr>
            <w:color w:val="0563C1"/>
            <w:u w:val="single"/>
          </w:rPr>
          <w:t>Full-text access</w:t>
        </w:r>
      </w:hyperlink>
    </w:p>
    <w:p>
      <w:pPr>
        <w:pStyle w:val="Normal"/>
        <w:widowControl/>
        <w:spacing w:after="120"/>
      </w:pPr>
      <w:r>
        <w:t xml:space="preserve"/>
      </w:r>
      <w:r>
        <w:t xml:space="preserve">[V16-25] Allen, Elisa; Taylor, Rhiannon; Gimson, Alexander; et al. Transplant benefit-based offering of deceased donor livers in the United Kingdom. Journal of Hepatology. 2024; 81(3):471-478. </w:t>
      </w:r>
      <w:hyperlink r:id="rId220">
        <w:r>
          <w:rPr>
            <w:color w:val="0563C1"/>
            <w:u w:val="single"/>
          </w:rPr>
          <w:t>Source</w:t>
        </w:r>
      </w:hyperlink>
      <w:r>
        <w:t xml:space="preserve"> | </w:t>
      </w:r>
      <w:hyperlink r:id="rId221">
        <w:r>
          <w:rPr>
            <w:color w:val="0563C1"/>
            <w:u w:val="single"/>
          </w:rPr>
          <w:t>Full-text access</w:t>
        </w:r>
      </w:hyperlink>
    </w:p>
    <w:p>
      <w:pPr>
        <w:pStyle w:val="Normal"/>
        <w:widowControl/>
        <w:spacing w:after="120"/>
      </w:pPr>
      <w:r>
        <w:t xml:space="preserve"/>
      </w:r>
      <w:r>
        <w:t xml:space="preserve">[V16-26] Abecassis, M.M.; Fisher, R.A.; Olthoff, K.M.; et al. Complications of Living Donor Hepatic Lobectomy—A Comprehensive Report. American Journal of Transplantation. 2012; 12(5):1208-1217. </w:t>
      </w:r>
      <w:hyperlink r:id="rId222">
        <w:r>
          <w:rPr>
            <w:color w:val="0563C1"/>
            <w:u w:val="single"/>
          </w:rPr>
          <w:t>Source</w:t>
        </w:r>
      </w:hyperlink>
      <w:r>
        <w:t xml:space="preserve"> | </w:t>
      </w:r>
      <w:hyperlink r:id="rId223">
        <w:r>
          <w:rPr>
            <w:color w:val="0563C1"/>
            <w:u w:val="single"/>
          </w:rPr>
          <w:t>Full-text access</w:t>
        </w:r>
      </w:hyperlink>
    </w:p>
    <w:p>
      <w:pPr>
        <w:pStyle w:val="Normal"/>
        <w:widowControl/>
        <w:spacing w:after="120"/>
      </w:pPr>
      <w:r>
        <w:t xml:space="preserve"/>
      </w:r>
      <w:r>
        <w:t xml:space="preserve">[V16-27] DiMartini, A.; Dew, M.A.; Liu, Q.; et al. Social and Financial Outcomes of Living Liver Donation: A Prospective Investigation Within the Adult-to-Adult Living Donor Liver Transplantation Cohort Study 2 (A2ALL-2). American Journal of Transplantation. 2017; 17(4):1081-1096. </w:t>
      </w:r>
      <w:hyperlink r:id="rId224">
        <w:r>
          <w:rPr>
            <w:color w:val="0563C1"/>
            <w:u w:val="single"/>
          </w:rPr>
          <w:t>Source</w:t>
        </w:r>
      </w:hyperlink>
      <w:r>
        <w:t xml:space="preserve"> | </w:t>
      </w:r>
      <w:hyperlink r:id="rId225">
        <w:r>
          <w:rPr>
            <w:color w:val="0563C1"/>
            <w:u w:val="single"/>
          </w:rPr>
          <w:t>Full-text access</w:t>
        </w:r>
      </w:hyperlink>
    </w:p>
    <w:p>
      <w:pPr>
        <w:pStyle w:val="Normal"/>
        <w:widowControl/>
        <w:spacing w:after="120"/>
      </w:pPr>
      <w:r>
        <w:t xml:space="preserve"/>
      </w:r>
      <w:r>
        <w:t xml:space="preserve">[V16-28] Xiao, Jieling; Zeng, Rebecca Wenling; Lim, Wen Hui; et al. The incidence of adverse outcome in donors after living donor liver transplantation: A meta-analysis of 60,829 donors. Liver Transplantation. 2024; 30(5):493-504. </w:t>
      </w:r>
      <w:hyperlink r:id="rId226">
        <w:r>
          <w:rPr>
            <w:color w:val="0563C1"/>
            <w:u w:val="single"/>
          </w:rPr>
          <w:t>Source</w:t>
        </w:r>
      </w:hyperlink>
      <w:r>
        <w:t xml:space="preserve"> | </w:t>
      </w:r>
      <w:hyperlink r:id="rId227">
        <w:r>
          <w:rPr>
            <w:color w:val="0563C1"/>
            <w:u w:val="single"/>
          </w:rPr>
          <w:t>Full-text access</w:t>
        </w:r>
      </w:hyperlink>
    </w:p>
    <w:p>
      <w:pPr>
        <w:pStyle w:val="Normal"/>
        <w:widowControl/>
        <w:spacing w:after="120"/>
      </w:pPr>
      <w:r>
        <w:t xml:space="preserve"/>
      </w:r>
      <w:r>
        <w:t xml:space="preserve">[V16-29] Eldridge, Sandra M; Chan, Claire L; Campbell, Michael J; et al. CONSORT 2010 statement: extension to randomised pilot and feasibility trials. BMJ. 2016; :i5239. </w:t>
      </w:r>
      <w:hyperlink r:id="rId228">
        <w:r>
          <w:rPr>
            <w:color w:val="0563C1"/>
            <w:u w:val="single"/>
          </w:rPr>
          <w:t>Source</w:t>
        </w:r>
      </w:hyperlink>
      <w:r>
        <w:t xml:space="preserve"> | </w:t>
      </w:r>
      <w:hyperlink r:id="rId229">
        <w:r>
          <w:rPr>
            <w:color w:val="0563C1"/>
            <w:u w:val="single"/>
          </w:rPr>
          <w:t>Full-text access</w:t>
        </w:r>
      </w:hyperlink>
    </w:p>
    <w:p>
      <w:pPr>
        <w:pStyle w:val="Normal"/>
        <w:widowControl/>
        <w:spacing w:after="120"/>
      </w:pPr>
      <w:r>
        <w:t xml:space="preserve"/>
      </w:r>
      <w:r>
        <w:t xml:space="preserve">[V16-30]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230">
        <w:r>
          <w:rPr>
            <w:color w:val="0563C1"/>
            <w:u w:val="single"/>
          </w:rPr>
          <w:t>Source</w:t>
        </w:r>
      </w:hyperlink>
      <w:r>
        <w:t xml:space="preserve"> | </w:t>
      </w:r>
      <w:hyperlink r:id="rId231">
        <w:r>
          <w:rPr>
            <w:color w:val="0563C1"/>
            <w:u w:val="single"/>
          </w:rPr>
          <w:t>Full-text access</w:t>
        </w:r>
      </w:hyperlink>
    </w:p>
    <w:p>
      <w:pPr>
        <w:pStyle w:val="Normal"/>
        <w:widowControl/>
        <w:spacing w:after="120"/>
      </w:pPr>
      <w:r>
        <w:t xml:space="preserve"/>
      </w:r>
      <w:r>
        <w:t xml:space="preserve">[V16-31] Yaqub, Sheraz; Busund, Sondre; Smedman, Tor Magnus; et al. Liver transplantation for locally advanced non-resectable intrahepatic cholangiocarcinoma treated with neoadjuvant therapy: early results from the TESLA trial. British Journal of Surgery. 2025. </w:t>
      </w:r>
      <w:hyperlink r:id="rId232">
        <w:r>
          <w:rPr>
            <w:color w:val="0563C1"/>
            <w:u w:val="single"/>
          </w:rPr>
          <w:t>Source</w:t>
        </w:r>
      </w:hyperlink>
      <w:r>
        <w:t xml:space="preserve"> | </w:t>
      </w:r>
      <w:hyperlink r:id="rId233">
        <w:r>
          <w:rPr>
            <w:color w:val="0563C1"/>
            <w:u w:val="single"/>
          </w:rPr>
          <w:t>Full-text access</w:t>
        </w:r>
      </w:hyperlink>
    </w:p>
    <w:p>
      <w:pPr>
        <w:pStyle w:val="Normal"/>
        <w:widowControl/>
        <w:spacing w:after="120"/>
      </w:pPr>
      <w:r>
        <w:t xml:space="preserve"/>
      </w:r>
      <w:r>
        <w:t xml:space="preserve">[V16-32] Wedin, Maria; Janson, Eva Tiensuu; Wallin, Göran; et al. Impact on symptoms and survival of bone metastases in patients with small-intestinal neuroendocrine tumours. Journal of neuroendocrinology. 2025; 37(10):e70073. </w:t>
      </w:r>
      <w:hyperlink r:id="rId234">
        <w:r>
          <w:rPr>
            <w:color w:val="0563C1"/>
            <w:u w:val="single"/>
          </w:rPr>
          <w:t>Source</w:t>
        </w:r>
      </w:hyperlink>
      <w:r>
        <w:t xml:space="preserve"> | Local PDF not available in this update</w:t>
      </w:r>
    </w:p>
    <w:p>
      <w:pPr>
        <w:pStyle w:val="Normal"/>
        <w:widowControl/>
        <w:spacing w:after="120"/>
      </w:pPr>
      <w:r>
        <w:t xml:space="preserve"/>
      </w:r>
      <w:r>
        <w:t xml:space="preserve">[V16-33] Sher, Linda S; Levi, David M; Wecsler, Julie S; et al. Liver transplantation for metastatic neuroendocrine tumors: Outcomes and prognostic variables. Journal of surgical oncology. 2015; 112(2):125-32. </w:t>
      </w:r>
      <w:hyperlink r:id="rId235">
        <w:r>
          <w:rPr>
            <w:color w:val="0563C1"/>
            <w:u w:val="single"/>
          </w:rPr>
          <w:t>Source</w:t>
        </w:r>
      </w:hyperlink>
      <w:r>
        <w:t xml:space="preserve"> | Local PDF not available in this update</w:t>
      </w:r>
    </w:p>
    <w:p>
      <w:pPr>
        <w:pStyle w:val="Normal"/>
        <w:widowControl/>
        <w:spacing w:after="120"/>
      </w:pPr>
      <w:r>
        <w:t xml:space="preserve"/>
      </w:r>
      <w:r>
        <w:t xml:space="preserve">[V16-34] Frilling. The impact of 68Ga-DOTATOC positron emission tomography/computed tomography on the multimodal management of patients with neuroendocrine tumors. Annals of surgery. 2010. </w:t>
      </w:r>
      <w:hyperlink r:id="rId236">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NET-B4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6 cited study lines rest on full-text reading (complete main text; relevant complete sections of long guidelines) and 1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color="auto" w:fill="E84C2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color="auto" w:fill="FADAD2"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77230C" w:themeColor="accent1" w:themeShade="7F"/>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B43412" w:themeColor="accent1" w:themeShade="BF"/>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B43412" w:themeColor="accent1" w:themeShade="BF"/>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B43412" w:themeColor="accent1" w:themeShade="BF"/>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B43412" w:themeColor="accent1" w:themeShade="BF"/>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E84C2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8C56FB"/>
    <w:rPr>
      <w:b/>
      <w:bCs/>
      <w:caps/>
      <w:color w:val="FFFFFF" w:themeColor="background1"/>
      <w:spacing w:val="15"/>
      <w:shd w:val="clear" w:color="auto" w:fill="E84C22" w:themeFill="accent1"/>
    </w:rPr>
  </w:style>
  <w:style w:type="character" w:customStyle="1" w:styleId="Heading2Char">
    <w:name w:val="Heading 2 Char"/>
    <w:basedOn w:val="DefaultParagraphFont"/>
    <w:link w:val="Heading2"/>
    <w:uiPriority w:val="9"/>
    <w:rsid w:val="008C56FB"/>
    <w:rPr>
      <w:caps/>
      <w:spacing w:val="15"/>
      <w:shd w:val="clear" w:color="auto" w:fill="FADAD2" w:themeFill="accent1" w:themeFillTint="33"/>
    </w:rPr>
  </w:style>
  <w:style w:type="character" w:customStyle="1" w:styleId="Heading3Char">
    <w:name w:val="Heading 3 Char"/>
    <w:basedOn w:val="DefaultParagraphFont"/>
    <w:link w:val="Heading3"/>
    <w:uiPriority w:val="9"/>
    <w:rsid w:val="008C56FB"/>
    <w:rPr>
      <w:caps/>
      <w:color w:val="77230C" w:themeColor="accent1" w:themeShade="7F"/>
      <w:spacing w:val="15"/>
    </w:rPr>
  </w:style>
  <w:style w:type="character" w:customStyle="1" w:styleId="Heading4Char">
    <w:name w:val="Heading 4 Char"/>
    <w:basedOn w:val="DefaultParagraphFont"/>
    <w:link w:val="Heading4"/>
    <w:uiPriority w:val="9"/>
    <w:semiHidden/>
    <w:rsid w:val="008C56FB"/>
    <w:rPr>
      <w:caps/>
      <w:color w:val="B43412" w:themeColor="accent1" w:themeShade="BF"/>
      <w:spacing w:val="10"/>
    </w:rPr>
  </w:style>
  <w:style w:type="character" w:customStyle="1" w:styleId="Heading5Char">
    <w:name w:val="Heading 5 Char"/>
    <w:basedOn w:val="DefaultParagraphFont"/>
    <w:link w:val="Heading5"/>
    <w:uiPriority w:val="9"/>
    <w:semiHidden/>
    <w:rsid w:val="008C56FB"/>
    <w:rPr>
      <w:caps/>
      <w:color w:val="B43412" w:themeColor="accent1" w:themeShade="BF"/>
      <w:spacing w:val="10"/>
    </w:rPr>
  </w:style>
  <w:style w:type="character" w:customStyle="1" w:styleId="Heading6Char">
    <w:name w:val="Heading 6 Char"/>
    <w:basedOn w:val="DefaultParagraphFont"/>
    <w:link w:val="Heading6"/>
    <w:uiPriority w:val="9"/>
    <w:semiHidden/>
    <w:rsid w:val="008C56FB"/>
    <w:rPr>
      <w:caps/>
      <w:color w:val="B43412" w:themeColor="accent1" w:themeShade="BF"/>
      <w:spacing w:val="10"/>
    </w:rPr>
  </w:style>
  <w:style w:type="character" w:customStyle="1" w:styleId="Heading7Char">
    <w:name w:val="Heading 7 Char"/>
    <w:basedOn w:val="DefaultParagraphFont"/>
    <w:link w:val="Heading7"/>
    <w:uiPriority w:val="9"/>
    <w:semiHidden/>
    <w:rsid w:val="008C56FB"/>
    <w:rPr>
      <w:caps/>
      <w:color w:val="B43412" w:themeColor="accent1" w:themeShade="BF"/>
      <w:spacing w:val="10"/>
    </w:rPr>
  </w:style>
  <w:style w:type="character" w:customStyle="1" w:styleId="Heading8Char">
    <w:name w:val="Heading 8 Char"/>
    <w:basedOn w:val="DefaultParagraphFont"/>
    <w:link w:val="Heading8"/>
    <w:uiPriority w:val="9"/>
    <w:semiHidden/>
    <w:rsid w:val="008C56FB"/>
    <w:rPr>
      <w:caps/>
      <w:spacing w:val="10"/>
      <w:sz w:val="18"/>
      <w:szCs w:val="18"/>
    </w:rPr>
  </w:style>
  <w:style w:type="character" w:customStyle="1" w:styleId="Heading9Char">
    <w:name w:val="Heading 9 Char"/>
    <w:basedOn w:val="DefaultParagraphFont"/>
    <w:link w:val="Heading9"/>
    <w:uiPriority w:val="9"/>
    <w:semiHidden/>
    <w:rsid w:val="008C56FB"/>
    <w:rPr>
      <w:i/>
      <w:caps/>
      <w:spacing w:val="10"/>
      <w:sz w:val="18"/>
      <w:szCs w:val="18"/>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name w:val="Title Char"/>
    <w:basedOn w:val="DefaultParagraphFont"/>
    <w:link w:val="Title"/>
    <w:uiPriority w:val="10"/>
    <w:rsid w:val="008C56FB"/>
    <w:rPr>
      <w:caps/>
      <w:color w:val="E84C22" w:themeColor="accent1"/>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8C56FB"/>
    <w:rPr>
      <w:caps/>
      <w:color w:val="595959" w:themeColor="text1" w:themeTint="A6"/>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C56FB"/>
    <w:rPr>
      <w:sz w:val="20"/>
      <w:szCs w:val="20"/>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ds-wdsufqyxf2rxmes6dj" Type="http://schemas.openxmlformats.org/officeDocument/2006/relationships/hyperlink" Target="https://doi.org/10.1097/HEP.0000000000001644" TargetMode="External"/><Relationship Id="rIdtcfr3obbkkcbhxhuzpwy-" Type="http://schemas.openxmlformats.org/officeDocument/2006/relationships/hyperlink" Target="https://jamanetwork.com/journals/jamasurgery/fullarticle/10.1001/jamasurg.2023.6083?utm_source=openevidence&amp;utm_medium=referral" TargetMode="External"/><Relationship Id="rIdeznrhtsq7h54sptqk9n88" Type="http://schemas.openxmlformats.org/officeDocument/2006/relationships/hyperlink" Target="https://pubmed.ncbi.nlm.nih.gov/39547997" TargetMode="External"/><Relationship Id="rIdrqftlgqc6gh4johdfomxs" Type="http://schemas.openxmlformats.org/officeDocument/2006/relationships/hyperlink" Target="https://pubmed.ncbi.nlm.nih.gov/35975918" TargetMode="External"/><Relationship Id="rIdsexfqrynmopwsnzwcaeby" Type="http://schemas.openxmlformats.org/officeDocument/2006/relationships/hyperlink" Target="https://pubmed.ncbi.nlm.nih.gov/24384494" TargetMode="External"/><Relationship Id="rIdqqjatj-j_qy8ssb2ncq4x" Type="http://schemas.openxmlformats.org/officeDocument/2006/relationships/hyperlink" Target="https://www.nccn.org/professionals/physician_gls/pdf/neuroendocrine.pdf#page=85" TargetMode="External"/><Relationship Id="rIdwnn-irhqxyamozrph8ip0" Type="http://schemas.openxmlformats.org/officeDocument/2006/relationships/hyperlink" Target="https://meetings.asco.org/abstracts-presentations/265146" TargetMode="External"/><Relationship Id="rIdpeghdabylkcldl_men63k" Type="http://schemas.openxmlformats.org/officeDocument/2006/relationships/hyperlink" Target="https://pubmed.ncbi.nlm.nih.gov/32520679" TargetMode="External"/><Relationship Id="rIduotsek3z0zjbexxxhz4ed" Type="http://schemas.openxmlformats.org/officeDocument/2006/relationships/hyperlink" Target="https://pubmed.ncbi.nlm.nih.gov/39306468" TargetMode="External"/><Relationship Id="rId6ich49yccmu90slafwzqn" Type="http://schemas.openxmlformats.org/officeDocument/2006/relationships/hyperlink" Target="https://pubmed.ncbi.nlm.nih.gov/28230639" TargetMode="External"/><Relationship Id="rIdmk6hdw8gnueekylov--lw" Type="http://schemas.openxmlformats.org/officeDocument/2006/relationships/hyperlink" Target="https://doi.org/10.1097/LVT.0000000000000715" TargetMode="External"/><Relationship Id="rId_j0ycn_h3oziqsj3ofsz8" Type="http://schemas.openxmlformats.org/officeDocument/2006/relationships/hyperlink" Target="https://pubmed.ncbi.nlm.nih.gov/33908381" TargetMode="External"/><Relationship Id="rIdyrr_m5zb_ygx24k-h0q47" Type="http://schemas.openxmlformats.org/officeDocument/2006/relationships/hyperlink" Target="https://pubmed.ncbi.nlm.nih.gov/41760506" TargetMode="External"/><Relationship Id="rIdjetizatnpmv9j7si54kpj" Type="http://schemas.openxmlformats.org/officeDocument/2006/relationships/hyperlink" Target="https://pubmed.ncbi.nlm.nih.gov/37208101" TargetMode="External"/><Relationship Id="rIdw1jzn_g1vtqsmv9yqhjte" Type="http://schemas.openxmlformats.org/officeDocument/2006/relationships/hyperlink" Target="https://pubmed.ncbi.nlm.nih.gov/42234009" TargetMode="External"/><Relationship Id="rIdvicdzinwhbffzc-amx4ne" Type="http://schemas.openxmlformats.org/officeDocument/2006/relationships/hyperlink" Target="https://pubmed.ncbi.nlm.nih.gov/32213292" TargetMode="External"/><Relationship Id="rId22" Type="http://schemas.openxmlformats.org/officeDocument/2006/relationships/fontTable" Target="fontTable.xml"/><Relationship Id="rId23" Type="http://schemas.openxmlformats.org/officeDocument/2006/relationships/hyperlink" Target="https://doi.org/10.1111/ajt.13831"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oi.org/10.1097/SLA.0000000000005663"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doi.org/10.1111/ajt.17156"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doi.org/10.1007/s00268-022-06736-1"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056/NEJMoa2403991" TargetMode="External"/><Relationship Id="rId32" Type="http://schemas.openxmlformats.org/officeDocument/2006/relationships/hyperlink" Target="https://drliuhao.github.io/mh-liver-pathways/evidence-libraries/" TargetMode="External"/><Relationship Id="rId33" Type="http://schemas.openxmlformats.org/officeDocument/2006/relationships/hyperlink" Target="https://doi.org/10.1056/NEJMoa1316158"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doi.org/10.1016/S1470-2045(21)00572-6" TargetMode="External"/><Relationship Id="rId36" Type="http://schemas.openxmlformats.org/officeDocument/2006/relationships/hyperlink" Target="https://drliuhao.github.io/mh-liver-pathways/evidence-libraries/" TargetMode="External"/><Relationship Id="rId37" Type="http://schemas.openxmlformats.org/officeDocument/2006/relationships/hyperlink" Target="https://doi.org/10.1111/jne.70250" TargetMode="External"/><Relationship Id="rId38" Type="http://schemas.openxmlformats.org/officeDocument/2006/relationships/hyperlink" Target="https://drliuhao.github.io/mh-liver-pathways/evidence-libraries/" TargetMode="External"/><Relationship Id="rId39" Type="http://schemas.openxmlformats.org/officeDocument/2006/relationships/hyperlink" Target="https://www.nccn.org/professionals/physician_gls/pdf/neuroendocrine.pdf#page=85" TargetMode="External"/><Relationship Id="rId40" Type="http://schemas.openxmlformats.org/officeDocument/2006/relationships/hyperlink" Target="https://drliuhao.github.io/mh-liver-pathways/evidence-libraries/" TargetMode="External"/><Relationship Id="rId41" Type="http://schemas.openxmlformats.org/officeDocument/2006/relationships/hyperlink" Target="https://pubmed.ncbi.nlm.nih.gov/39547997" TargetMode="External"/><Relationship Id="rId42" Type="http://schemas.openxmlformats.org/officeDocument/2006/relationships/hyperlink" Target="https://drliuhao.github.io/mh-liver-pathways/evidence-libraries/" TargetMode="External"/><Relationship Id="rId43" Type="http://schemas.openxmlformats.org/officeDocument/2006/relationships/hyperlink" Target="https://doi.org/10.1111/jne.70250" TargetMode="External"/><Relationship Id="rId44" Type="http://schemas.openxmlformats.org/officeDocument/2006/relationships/hyperlink" Target="https://drliuhao.github.io/mh-liver-pathways/evidence-libraries/" TargetMode="External"/><Relationship Id="rId45" Type="http://schemas.openxmlformats.org/officeDocument/2006/relationships/hyperlink" Target="https://drliuhao.github.io/mh-liver-pathways/evidence-libraries/" TargetMode="External"/><Relationship Id="rId46" Type="http://schemas.openxmlformats.org/officeDocument/2006/relationships/hyperlink" Target="https://drliuhao.github.io/mh-liver-pathways/evidence-libraries/" TargetMode="External"/><Relationship Id="rId47" Type="http://schemas.openxmlformats.org/officeDocument/2006/relationships/hyperlink" Target="https://doi.org/10.1111/ajt.13831" TargetMode="External"/><Relationship Id="rId48" Type="http://schemas.openxmlformats.org/officeDocument/2006/relationships/hyperlink" Target="https://drliuhao.github.io/mh-liver-pathways/evidence-libraries/" TargetMode="External"/><Relationship Id="rId49" Type="http://schemas.openxmlformats.org/officeDocument/2006/relationships/hyperlink" Target="https://doi.org/10.1097/SLA.0000000000005663" TargetMode="External"/><Relationship Id="rId50" Type="http://schemas.openxmlformats.org/officeDocument/2006/relationships/hyperlink" Target="https://drliuhao.github.io/mh-liver-pathways/evidence-libraries/" TargetMode="External"/><Relationship Id="rId51" Type="http://schemas.openxmlformats.org/officeDocument/2006/relationships/hyperlink" Target="https://doi.org/10.3390/jcm15030938" TargetMode="External"/><Relationship Id="rId52" Type="http://schemas.openxmlformats.org/officeDocument/2006/relationships/hyperlink" Target="https://drliuhao.github.io/mh-liver-pathways/evidence-libraries/" TargetMode="External"/><Relationship Id="rId53" Type="http://schemas.openxmlformats.org/officeDocument/2006/relationships/hyperlink" Target="https://doi.org/10.1097/SLA.0b013e31828ee17c" TargetMode="External"/><Relationship Id="rId54" Type="http://schemas.openxmlformats.org/officeDocument/2006/relationships/hyperlink" Target="https://drliuhao.github.io/mh-liver-pathways/evidence-libraries/" TargetMode="External"/><Relationship Id="rId55" Type="http://schemas.openxmlformats.org/officeDocument/2006/relationships/hyperlink" Target="https://doi.org/10.1016/S0140-6736(24)00701-3" TargetMode="External"/><Relationship Id="rId56" Type="http://schemas.openxmlformats.org/officeDocument/2006/relationships/hyperlink" Target="https://drliuhao.github.io/mh-liver-pathways/evidence-libraries/" TargetMode="External"/><Relationship Id="rId57" Type="http://schemas.openxmlformats.org/officeDocument/2006/relationships/hyperlink" Target="https://doi.org/10.1016/j.transproceed.2026.02.019" TargetMode="External"/><Relationship Id="rId58" Type="http://schemas.openxmlformats.org/officeDocument/2006/relationships/hyperlink" Target="https://drliuhao.github.io/mh-liver-pathways/evidence-libraries/" TargetMode="External"/><Relationship Id="rId59" Type="http://schemas.openxmlformats.org/officeDocument/2006/relationships/hyperlink" Target="https://www.hrsa.gov/sites/default/files/hrsa/optn/adult-meld-exception-transplant-oncology-review-guidance.pdf" TargetMode="External"/><Relationship Id="rId60" Type="http://schemas.openxmlformats.org/officeDocument/2006/relationships/hyperlink" Target="https://drliuhao.github.io/mh-liver-pathways/evidence-libraries/" TargetMode="External"/><Relationship Id="rId61" Type="http://schemas.openxmlformats.org/officeDocument/2006/relationships/hyperlink" Target="https://doi.org/10.1111/jne.70250" TargetMode="External"/><Relationship Id="rId62" Type="http://schemas.openxmlformats.org/officeDocument/2006/relationships/hyperlink" Target="https://drliuhao.github.io/mh-liver-pathways/evidence-libraries/" TargetMode="External"/><Relationship Id="rId63" Type="http://schemas.openxmlformats.org/officeDocument/2006/relationships/hyperlink" Target="https://www.hrsa.gov/sites/default/files/hrsa/optn/adult-meld-exception-transplant-oncology-review-guidance.pdf" TargetMode="External"/><Relationship Id="rId64" Type="http://schemas.openxmlformats.org/officeDocument/2006/relationships/hyperlink" Target="https://drliuhao.github.io/mh-liver-pathways/evidence-libraries/" TargetMode="External"/><Relationship Id="rId65" Type="http://schemas.openxmlformats.org/officeDocument/2006/relationships/hyperlink" Target="https://doi.org/10.1111/ajt.13831" TargetMode="External"/><Relationship Id="rId66" Type="http://schemas.openxmlformats.org/officeDocument/2006/relationships/hyperlink" Target="https://drliuhao.github.io/mh-liver-pathways/evidence-libraries/" TargetMode="External"/><Relationship Id="rId67" Type="http://schemas.openxmlformats.org/officeDocument/2006/relationships/hyperlink" Target="https://doi.org/10.1111/jne.70250" TargetMode="External"/><Relationship Id="rId68" Type="http://schemas.openxmlformats.org/officeDocument/2006/relationships/hyperlink" Target="https://drliuhao.github.io/mh-liver-pathways/evidence-libraries/"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rliuhao.github.io/mh-liver-pathways/evidence-libraries/" TargetMode="External"/><Relationship Id="rId71" Type="http://schemas.openxmlformats.org/officeDocument/2006/relationships/hyperlink" Target="https://doi.org/10.1111/ajt.13831" TargetMode="External"/><Relationship Id="rId72" Type="http://schemas.openxmlformats.org/officeDocument/2006/relationships/hyperlink" Target="https://drliuhao.github.io/mh-liver-pathways/evidence-libraries/" TargetMode="External"/><Relationship Id="rId73" Type="http://schemas.openxmlformats.org/officeDocument/2006/relationships/hyperlink" Target="https://doi.org/10.1111/ajt.17156" TargetMode="External"/><Relationship Id="rId74" Type="http://schemas.openxmlformats.org/officeDocument/2006/relationships/hyperlink" Target="https://drliuhao.github.io/mh-liver-pathways/evidence-libraries/" TargetMode="External"/><Relationship Id="rId75" Type="http://schemas.openxmlformats.org/officeDocument/2006/relationships/hyperlink" Target="https://doi.org/10.1097/SLA.0000000000005663" TargetMode="External"/><Relationship Id="rId76" Type="http://schemas.openxmlformats.org/officeDocument/2006/relationships/hyperlink" Target="https://drliuhao.github.io/mh-liver-pathways/evidence-libraries/" TargetMode="External"/><Relationship Id="rId77" Type="http://schemas.openxmlformats.org/officeDocument/2006/relationships/hyperlink" Target="https://doi.org/10.1007/s00268-022-06736-1" TargetMode="External"/><Relationship Id="rId78" Type="http://schemas.openxmlformats.org/officeDocument/2006/relationships/hyperlink" Target="https://drliuhao.github.io/mh-liver-pathways/evidence-libraries/" TargetMode="External"/><Relationship Id="rId79" Type="http://schemas.openxmlformats.org/officeDocument/2006/relationships/hyperlink" Target="https://doi.org/10.3390/jcm15030938" TargetMode="External"/><Relationship Id="rId80" Type="http://schemas.openxmlformats.org/officeDocument/2006/relationships/hyperlink" Target="https://drliuhao.github.io/mh-liver-pathways/evidence-libraries/" TargetMode="External"/><Relationship Id="rId81" Type="http://schemas.openxmlformats.org/officeDocument/2006/relationships/hyperlink" Target="https://doi.org/10.1097/SLA.0b013e31828ee17c" TargetMode="External"/><Relationship Id="rId82" Type="http://schemas.openxmlformats.org/officeDocument/2006/relationships/hyperlink" Target="https://drliuhao.github.io/mh-liver-pathways/evidence-libraries/" TargetMode="External"/><Relationship Id="rId83" Type="http://schemas.openxmlformats.org/officeDocument/2006/relationships/hyperlink" Target="https://doi.org/10.1111/jne.70250" TargetMode="External"/><Relationship Id="rId84" Type="http://schemas.openxmlformats.org/officeDocument/2006/relationships/hyperlink" Target="https://drliuhao.github.io/mh-liver-pathways/evidence-libraries/" TargetMode="External"/><Relationship Id="rId85" Type="http://schemas.openxmlformats.org/officeDocument/2006/relationships/hyperlink" Target="https://pubmed.ncbi.nlm.nih.gov/33908381" TargetMode="External"/><Relationship Id="rId86" Type="http://schemas.openxmlformats.org/officeDocument/2006/relationships/hyperlink" Target="https://drliuhao.github.io/mh-liver-pathways/evidence-libraries/" TargetMode="External"/><Relationship Id="rId87" Type="http://schemas.openxmlformats.org/officeDocument/2006/relationships/hyperlink" Target="https://doi.org/10.1111/ajt.13831" TargetMode="External"/><Relationship Id="rId88" Type="http://schemas.openxmlformats.org/officeDocument/2006/relationships/hyperlink" Target="https://drliuhao.github.io/mh-liver-pathways/evidence-libraries/" TargetMode="External"/><Relationship Id="rId89" Type="http://schemas.openxmlformats.org/officeDocument/2006/relationships/hyperlink" Target="https://doi.org/10.1111/jne.70250" TargetMode="External"/><Relationship Id="rId90" Type="http://schemas.openxmlformats.org/officeDocument/2006/relationships/hyperlink" Target="https://drliuhao.github.io/mh-liver-pathways/evidence-libraries/" TargetMode="External"/><Relationship Id="rId91" Type="http://schemas.openxmlformats.org/officeDocument/2006/relationships/hyperlink" Target="https://drliuhao.github.io/mh-liver-pathways/evidence-libraries/" TargetMode="External"/><Relationship Id="rId92" Type="http://schemas.openxmlformats.org/officeDocument/2006/relationships/hyperlink" Target="https://drliuhao.github.io/mh-liver-pathways/evidence-libraries/" TargetMode="External"/><Relationship Id="rId93" Type="http://schemas.openxmlformats.org/officeDocument/2006/relationships/hyperlink" Target="https://drliuhao.github.io/mh-liver-pathways/evidence-libraries/" TargetMode="External"/><Relationship Id="rId94" Type="http://schemas.openxmlformats.org/officeDocument/2006/relationships/hyperlink" Target="https://drliuhao.github.io/mh-liver-pathways/evidence-libraries/" TargetMode="External"/><Relationship Id="rId95" Type="http://schemas.openxmlformats.org/officeDocument/2006/relationships/hyperlink" Target="https://drliuhao.github.io/mh-liver-pathways/evidence-libraries/" TargetMode="External"/><Relationship Id="rId96" Type="http://schemas.openxmlformats.org/officeDocument/2006/relationships/hyperlink" Target="https://drliuhao.github.io/mh-liver-pathways/evidence-libraries/" TargetMode="External"/><Relationship Id="rId97" Type="http://schemas.openxmlformats.org/officeDocument/2006/relationships/hyperlink" Target="https://drliuhao.github.io/mh-liver-pathways/evidence-libraries/" TargetMode="External"/><Relationship Id="rId98" Type="http://schemas.openxmlformats.org/officeDocument/2006/relationships/hyperlink" Target="https://drliuhao.github.io/mh-liver-pathways/evidence-libraries/" TargetMode="External"/><Relationship Id="rId99" Type="http://schemas.openxmlformats.org/officeDocument/2006/relationships/hyperlink" Target="https://drliuhao.github.io/mh-liver-pathways/evidence-libraries/" TargetMode="External"/><Relationship Id="rId100" Type="http://schemas.openxmlformats.org/officeDocument/2006/relationships/hyperlink" Target="https://drliuhao.github.io/mh-liver-pathways/evidence-libraries/" TargetMode="External"/><Relationship Id="rId101" Type="http://schemas.openxmlformats.org/officeDocument/2006/relationships/hyperlink" Target="https://drliuhao.github.io/mh-liver-pathways/evidence-libraries/" TargetMode="External"/><Relationship Id="rId102" Type="http://schemas.openxmlformats.org/officeDocument/2006/relationships/hyperlink" Target="https://drliuhao.github.io/mh-liver-pathways/evidence-libraries/" TargetMode="External"/><Relationship Id="rId103" Type="http://schemas.openxmlformats.org/officeDocument/2006/relationships/hyperlink" Target="https://www.hrsa.gov/sites/default/files/hrsa/optn/optn_policies.pdf" TargetMode="External"/><Relationship Id="rId104" Type="http://schemas.openxmlformats.org/officeDocument/2006/relationships/hyperlink" Target="https://drliuhao.github.io/mh-liver-pathways/evidence-libraries/" TargetMode="External"/><Relationship Id="rId105" Type="http://schemas.openxmlformats.org/officeDocument/2006/relationships/hyperlink" Target="https://www.hrsa.gov/sites/default/files/hrsa/optn/adult-meld-exception-transplant-oncology-review-guidance.pdf" TargetMode="External"/><Relationship Id="rId106" Type="http://schemas.openxmlformats.org/officeDocument/2006/relationships/hyperlink" Target="https://drliuhao.github.io/mh-liver-pathways/evidence-libraries/" TargetMode="External"/><Relationship Id="rId107" Type="http://schemas.openxmlformats.org/officeDocument/2006/relationships/hyperlink" Target="https://doi.org/10.1111/ajt.13831" TargetMode="External"/><Relationship Id="rId108" Type="http://schemas.openxmlformats.org/officeDocument/2006/relationships/hyperlink" Target="https://drliuhao.github.io/mh-liver-pathways/evidence-libraries/" TargetMode="External"/><Relationship Id="rId109" Type="http://schemas.openxmlformats.org/officeDocument/2006/relationships/hyperlink" Target="https://doi.org/10.1111/jne.70250" TargetMode="External"/><Relationship Id="rId110" Type="http://schemas.openxmlformats.org/officeDocument/2006/relationships/hyperlink" Target="https://drliuhao.github.io/mh-liver-pathways/evidence-libraries/" TargetMode="External"/><Relationship Id="rId111" Type="http://schemas.openxmlformats.org/officeDocument/2006/relationships/hyperlink" Target="https://doi.org/10.3390/jcm15030938" TargetMode="External"/><Relationship Id="rId112" Type="http://schemas.openxmlformats.org/officeDocument/2006/relationships/hyperlink" Target="https://drliuhao.github.io/mh-liver-pathways/evidence-libraries/" TargetMode="External"/><Relationship Id="rId113" Type="http://schemas.openxmlformats.org/officeDocument/2006/relationships/hyperlink" Target="https://doi.org/10.1097/SLA.0000000000005663" TargetMode="External"/><Relationship Id="rId114" Type="http://schemas.openxmlformats.org/officeDocument/2006/relationships/hyperlink" Target="https://drliuhao.github.io/mh-liver-pathways/evidence-libraries/" TargetMode="External"/><Relationship Id="rId115" Type="http://schemas.openxmlformats.org/officeDocument/2006/relationships/hyperlink" Target="https://doi.org/10.1111/ajt.17156" TargetMode="External"/><Relationship Id="rId116" Type="http://schemas.openxmlformats.org/officeDocument/2006/relationships/hyperlink" Target="https://drliuhao.github.io/mh-liver-pathways/evidence-libraries/" TargetMode="External"/><Relationship Id="rId117" Type="http://schemas.openxmlformats.org/officeDocument/2006/relationships/hyperlink" Target="https://doi.org/10.1007/s00268-022-06736-1" TargetMode="External"/><Relationship Id="rId118" Type="http://schemas.openxmlformats.org/officeDocument/2006/relationships/hyperlink" Target="https://drliuhao.github.io/mh-liver-pathways/evidence-libraries/" TargetMode="External"/><Relationship Id="rId119" Type="http://schemas.openxmlformats.org/officeDocument/2006/relationships/hyperlink" Target="https://doi.org/10.1056/NEJMoa2403991" TargetMode="External"/><Relationship Id="rId120" Type="http://schemas.openxmlformats.org/officeDocument/2006/relationships/hyperlink" Target="https://drliuhao.github.io/mh-liver-pathways/evidence-libraries/" TargetMode="External"/><Relationship Id="rId121" Type="http://schemas.openxmlformats.org/officeDocument/2006/relationships/hyperlink" Target="https://doi.org/10.1056/NEJMoa1316158" TargetMode="External"/><Relationship Id="rId122" Type="http://schemas.openxmlformats.org/officeDocument/2006/relationships/hyperlink" Target="https://drliuhao.github.io/mh-liver-pathways/evidence-libraries/" TargetMode="External"/><Relationship Id="rId123" Type="http://schemas.openxmlformats.org/officeDocument/2006/relationships/hyperlink" Target="https://doi.org/10.1016/S1470-2045(21)00572-6" TargetMode="External"/><Relationship Id="rId124" Type="http://schemas.openxmlformats.org/officeDocument/2006/relationships/hyperlink" Target="https://drliuhao.github.io/mh-liver-pathways/evidence-libraries/" TargetMode="External"/><Relationship Id="rId125" Type="http://schemas.openxmlformats.org/officeDocument/2006/relationships/hyperlink" Target="https://www.nccn.org/professionals/physician_gls/pdf/neuroendocrine.pdf#page=85" TargetMode="External"/><Relationship Id="rId126" Type="http://schemas.openxmlformats.org/officeDocument/2006/relationships/hyperlink" Target="https://drliuhao.github.io/mh-liver-pathways/evidence-libraries/" TargetMode="External"/><Relationship Id="rId127" Type="http://schemas.openxmlformats.org/officeDocument/2006/relationships/hyperlink" Target="https://pubmed.ncbi.nlm.nih.gov/39547997" TargetMode="External"/><Relationship Id="rId128" Type="http://schemas.openxmlformats.org/officeDocument/2006/relationships/hyperlink" Target="https://drliuhao.github.io/mh-liver-pathways/evidence-libraries/" TargetMode="External"/><Relationship Id="rId129" Type="http://schemas.openxmlformats.org/officeDocument/2006/relationships/hyperlink" Target="https://doi.org/10.1016/S0140-6736(24)00701-3" TargetMode="External"/><Relationship Id="rId130" Type="http://schemas.openxmlformats.org/officeDocument/2006/relationships/hyperlink" Target="https://drliuhao.github.io/mh-liver-pathways/evidence-libraries/" TargetMode="External"/><Relationship Id="rId131" Type="http://schemas.openxmlformats.org/officeDocument/2006/relationships/hyperlink" Target="https://doi.org/10.1097/HEP.0000000000001644" TargetMode="External"/><Relationship Id="rId132" Type="http://schemas.openxmlformats.org/officeDocument/2006/relationships/hyperlink" Target="https://drliuhao.github.io/mh-liver-pathways/evidence-libraries/" TargetMode="External"/><Relationship Id="rId133" Type="http://schemas.openxmlformats.org/officeDocument/2006/relationships/hyperlink" Target="https://doi.org/10.1097/SLA.0b013e31828ee17c" TargetMode="External"/><Relationship Id="rId134" Type="http://schemas.openxmlformats.org/officeDocument/2006/relationships/hyperlink" Target="https://drliuhao.github.io/mh-liver-pathways/evidence-libraries/" TargetMode="External"/><Relationship Id="rId135" Type="http://schemas.openxmlformats.org/officeDocument/2006/relationships/hyperlink" Target="https://doi.org/10.1016/j.transproceed.2026.02.019" TargetMode="External"/><Relationship Id="rId136" Type="http://schemas.openxmlformats.org/officeDocument/2006/relationships/hyperlink" Target="https://drliuhao.github.io/mh-liver-pathways/evidence-libraries/" TargetMode="External"/><Relationship Id="rId137" Type="http://schemas.openxmlformats.org/officeDocument/2006/relationships/hyperlink" Target="https://pubmed.ncbi.nlm.nih.gov/33908381" TargetMode="External"/><Relationship Id="rId138" Type="http://schemas.openxmlformats.org/officeDocument/2006/relationships/hyperlink" Target="https://drliuhao.github.io/mh-liver-pathways/evidence-libraries/" TargetMode="External"/><Relationship Id="rId139" Type="http://schemas.openxmlformats.org/officeDocument/2006/relationships/hyperlink" Target="https://doi.org/10.1155/joot/2545887" TargetMode="External"/><Relationship Id="rId140" Type="http://schemas.openxmlformats.org/officeDocument/2006/relationships/hyperlink" Target="https://drliuhao.github.io/mh-liver-pathways/evidence-libraries/" TargetMode="External"/><Relationship Id="rId141" Type="http://schemas.openxmlformats.org/officeDocument/2006/relationships/hyperlink" Target="https://www.ecfr.gov/current/title-45/subtitle-A/subchapter-A/part-46/subpart-A/section-46.111" TargetMode="External"/><Relationship Id="rId142" Type="http://schemas.openxmlformats.org/officeDocument/2006/relationships/hyperlink" Target="https://www.hrsa.gov/optn/professionals/resources/ethical-considerations/ethical-principles-in-the-allocation-of-human-organs" TargetMode="External"/><Relationship Id="rId143" Type="http://schemas.openxmlformats.org/officeDocument/2006/relationships/hyperlink" Target="https://doi.org/10.1038/s41571-026-01160-z" TargetMode="External"/><Relationship Id="rId144" Type="http://schemas.openxmlformats.org/officeDocument/2006/relationships/hyperlink" Target="https://drliuhao.github.io/mh-liver-pathways/evidence-libraries/" TargetMode="External"/><Relationship Id="rId145" Type="http://schemas.openxmlformats.org/officeDocument/2006/relationships/hyperlink" Target="https://doi.org/10.1016/S1470-2045(20)30224-2" TargetMode="External"/><Relationship Id="rId146" Type="http://schemas.openxmlformats.org/officeDocument/2006/relationships/hyperlink" Target="https://drliuhao.github.io/mh-liver-pathways/evidence-libraries/" TargetMode="External"/><Relationship Id="rId147" Type="http://schemas.openxmlformats.org/officeDocument/2006/relationships/hyperlink" Target="https://doi.org/10.1016/S0140-6736(24)01595-2" TargetMode="External"/><Relationship Id="rId148" Type="http://schemas.openxmlformats.org/officeDocument/2006/relationships/hyperlink" Target="https://drliuhao.github.io/mh-liver-pathways/evidence-libraries/" TargetMode="External"/><Relationship Id="rId149" Type="http://schemas.openxmlformats.org/officeDocument/2006/relationships/hyperlink" Target="https://doi.org/10.1016/j.jhep.2024.03.020" TargetMode="External"/><Relationship Id="rId150" Type="http://schemas.openxmlformats.org/officeDocument/2006/relationships/hyperlink" Target="https://drliuhao.github.io/mh-liver-pathways/evidence-libraries/" TargetMode="External"/><Relationship Id="rId151" Type="http://schemas.openxmlformats.org/officeDocument/2006/relationships/hyperlink" Target="https://doi.org/10.1111/j.1600-6143.2011.03972.x" TargetMode="External"/><Relationship Id="rId152" Type="http://schemas.openxmlformats.org/officeDocument/2006/relationships/hyperlink" Target="https://drliuhao.github.io/mh-liver-pathways/evidence-libraries/" TargetMode="External"/><Relationship Id="rId153" Type="http://schemas.openxmlformats.org/officeDocument/2006/relationships/hyperlink" Target="https://doi.org/10.1111/ajt.14055" TargetMode="External"/><Relationship Id="rId154" Type="http://schemas.openxmlformats.org/officeDocument/2006/relationships/hyperlink" Target="https://drliuhao.github.io/mh-liver-pathways/evidence-libraries/" TargetMode="External"/><Relationship Id="rId155" Type="http://schemas.openxmlformats.org/officeDocument/2006/relationships/hyperlink" Target="https://doi.org/10.1097/LVT.0000000000000303" TargetMode="External"/><Relationship Id="rId156" Type="http://schemas.openxmlformats.org/officeDocument/2006/relationships/hyperlink" Target="https://drliuhao.github.io/mh-liver-pathways/evidence-libraries/" TargetMode="External"/><Relationship Id="rId157" Type="http://schemas.openxmlformats.org/officeDocument/2006/relationships/hyperlink" Target="https://doi.org/10.1136/bmj.i5239" TargetMode="External"/><Relationship Id="rId158" Type="http://schemas.openxmlformats.org/officeDocument/2006/relationships/hyperlink" Target="https://drliuhao.github.io/mh-liver-pathways/evidence-libraries/" TargetMode="External"/><Relationship Id="rId159" Type="http://schemas.openxmlformats.org/officeDocument/2006/relationships/hyperlink" Target="https://doi.org/10.3389/ti.2024.13641" TargetMode="External"/><Relationship Id="rId160" Type="http://schemas.openxmlformats.org/officeDocument/2006/relationships/hyperlink" Target="https://drliuhao.github.io/mh-liver-pathways/evidence-libraries/" TargetMode="External"/><Relationship Id="rId161" Type="http://schemas.openxmlformats.org/officeDocument/2006/relationships/hyperlink" Target="https://academic.oup.com/bjs/article/112/3/znaf054/8083032" TargetMode="External"/><Relationship Id="rId162" Type="http://schemas.openxmlformats.org/officeDocument/2006/relationships/hyperlink" Target="https://drliuhao.github.io/mh-liver-pathways/evidence-libraries/" TargetMode="External"/><Relationship Id="rId163" Type="http://schemas.openxmlformats.org/officeDocument/2006/relationships/hyperlink" Target="https://doi.org/10.1111/ajt.13831" TargetMode="External"/><Relationship Id="rId164" Type="http://schemas.openxmlformats.org/officeDocument/2006/relationships/hyperlink" Target="https://drliuhao.github.io/mh-liver-pathways/evidence-libraries/" TargetMode="External"/><Relationship Id="rId165" Type="http://schemas.openxmlformats.org/officeDocument/2006/relationships/hyperlink" Target="https://doi.org/10.1111/ajt.17156" TargetMode="External"/><Relationship Id="rId166" Type="http://schemas.openxmlformats.org/officeDocument/2006/relationships/hyperlink" Target="https://drliuhao.github.io/mh-liver-pathways/evidence-libraries/" TargetMode="External"/><Relationship Id="rId167" Type="http://schemas.openxmlformats.org/officeDocument/2006/relationships/hyperlink" Target="https://doi.org/10.1111/jne.70250" TargetMode="External"/><Relationship Id="rId168" Type="http://schemas.openxmlformats.org/officeDocument/2006/relationships/hyperlink" Target="https://drliuhao.github.io/mh-liver-pathways/evidence-libraries/" TargetMode="External"/><Relationship Id="rId169" Type="http://schemas.openxmlformats.org/officeDocument/2006/relationships/hyperlink" Target="https://doi.org/10.1111/jne.70073" TargetMode="External"/><Relationship Id="rId170" Type="http://schemas.openxmlformats.org/officeDocument/2006/relationships/hyperlink" Target="https://doi.org/10.1097/SLA.0b013e31828ee17c" TargetMode="External"/><Relationship Id="rId171" Type="http://schemas.openxmlformats.org/officeDocument/2006/relationships/hyperlink" Target="https://drliuhao.github.io/mh-liver-pathways/evidence-libraries/" TargetMode="External"/><Relationship Id="rId172" Type="http://schemas.openxmlformats.org/officeDocument/2006/relationships/hyperlink" Target="https://doi.org/10.1002/jso.23973" TargetMode="External"/><Relationship Id="rId173" Type="http://schemas.openxmlformats.org/officeDocument/2006/relationships/hyperlink" Target="https://doi.org/10.1097/SLA.0b013e3181fd37e8" TargetMode="External"/><Relationship Id="rId174" Type="http://schemas.openxmlformats.org/officeDocument/2006/relationships/hyperlink" Target="https://www.hrsa.gov/sites/default/files/hrsa/optn/optn_policies.pdf" TargetMode="External"/><Relationship Id="rId175" Type="http://schemas.openxmlformats.org/officeDocument/2006/relationships/hyperlink" Target="https://drliuhao.github.io/mh-liver-pathways/evidence-libraries/" TargetMode="External"/><Relationship Id="rId176" Type="http://schemas.openxmlformats.org/officeDocument/2006/relationships/hyperlink" Target="https://www.hrsa.gov/sites/default/files/hrsa/optn/adult-meld-exception-transplant-oncology-review-guidance.pdf" TargetMode="External"/><Relationship Id="rId177" Type="http://schemas.openxmlformats.org/officeDocument/2006/relationships/hyperlink" Target="https://drliuhao.github.io/mh-liver-pathways/evidence-libraries/" TargetMode="External"/><Relationship Id="rId178" Type="http://schemas.openxmlformats.org/officeDocument/2006/relationships/hyperlink" Target="https://doi.org/10.1111/ajt.13831" TargetMode="External"/><Relationship Id="rId179" Type="http://schemas.openxmlformats.org/officeDocument/2006/relationships/hyperlink" Target="https://drliuhao.github.io/mh-liver-pathways/evidence-libraries/" TargetMode="External"/><Relationship Id="rId180" Type="http://schemas.openxmlformats.org/officeDocument/2006/relationships/hyperlink" Target="https://doi.org/10.1111/jne.70250" TargetMode="External"/><Relationship Id="rId181" Type="http://schemas.openxmlformats.org/officeDocument/2006/relationships/hyperlink" Target="https://drliuhao.github.io/mh-liver-pathways/evidence-libraries/" TargetMode="External"/><Relationship Id="rId182" Type="http://schemas.openxmlformats.org/officeDocument/2006/relationships/hyperlink" Target="https://doi.org/10.3390/jcm15030938" TargetMode="External"/><Relationship Id="rId183" Type="http://schemas.openxmlformats.org/officeDocument/2006/relationships/hyperlink" Target="https://drliuhao.github.io/mh-liver-pathways/evidence-libraries/" TargetMode="External"/><Relationship Id="rId184" Type="http://schemas.openxmlformats.org/officeDocument/2006/relationships/hyperlink" Target="https://doi.org/10.1097/SLA.0000000000005663" TargetMode="External"/><Relationship Id="rId185" Type="http://schemas.openxmlformats.org/officeDocument/2006/relationships/hyperlink" Target="https://drliuhao.github.io/mh-liver-pathways/evidence-libraries/" TargetMode="External"/><Relationship Id="rId186" Type="http://schemas.openxmlformats.org/officeDocument/2006/relationships/hyperlink" Target="https://doi.org/10.1111/ajt.17156" TargetMode="External"/><Relationship Id="rId187" Type="http://schemas.openxmlformats.org/officeDocument/2006/relationships/hyperlink" Target="https://drliuhao.github.io/mh-liver-pathways/evidence-libraries/" TargetMode="External"/><Relationship Id="rId188" Type="http://schemas.openxmlformats.org/officeDocument/2006/relationships/hyperlink" Target="https://doi.org/10.1007/s00268-022-06736-1" TargetMode="External"/><Relationship Id="rId189" Type="http://schemas.openxmlformats.org/officeDocument/2006/relationships/hyperlink" Target="https://drliuhao.github.io/mh-liver-pathways/evidence-libraries/" TargetMode="External"/><Relationship Id="rId190" Type="http://schemas.openxmlformats.org/officeDocument/2006/relationships/hyperlink" Target="https://doi.org/10.1056/NEJMoa2403991" TargetMode="External"/><Relationship Id="rId191" Type="http://schemas.openxmlformats.org/officeDocument/2006/relationships/hyperlink" Target="https://drliuhao.github.io/mh-liver-pathways/evidence-libraries/" TargetMode="External"/><Relationship Id="rId192" Type="http://schemas.openxmlformats.org/officeDocument/2006/relationships/hyperlink" Target="https://doi.org/10.1056/NEJMoa1316158" TargetMode="External"/><Relationship Id="rId193" Type="http://schemas.openxmlformats.org/officeDocument/2006/relationships/hyperlink" Target="https://drliuhao.github.io/mh-liver-pathways/evidence-libraries/" TargetMode="External"/><Relationship Id="rId194" Type="http://schemas.openxmlformats.org/officeDocument/2006/relationships/hyperlink" Target="https://doi.org/10.1016/S1470-2045(21)00572-6" TargetMode="External"/><Relationship Id="rId195" Type="http://schemas.openxmlformats.org/officeDocument/2006/relationships/hyperlink" Target="https://drliuhao.github.io/mh-liver-pathways/evidence-libraries/" TargetMode="External"/><Relationship Id="rId196" Type="http://schemas.openxmlformats.org/officeDocument/2006/relationships/hyperlink" Target="https://www.nccn.org/professionals/physician_gls/pdf/neuroendocrine.pdf#page=85" TargetMode="External"/><Relationship Id="rId197" Type="http://schemas.openxmlformats.org/officeDocument/2006/relationships/hyperlink" Target="https://drliuhao.github.io/mh-liver-pathways/evidence-libraries/" TargetMode="External"/><Relationship Id="rId198" Type="http://schemas.openxmlformats.org/officeDocument/2006/relationships/hyperlink" Target="https://pubmed.ncbi.nlm.nih.gov/39547997" TargetMode="External"/><Relationship Id="rId199" Type="http://schemas.openxmlformats.org/officeDocument/2006/relationships/hyperlink" Target="https://drliuhao.github.io/mh-liver-pathways/evidence-libraries/" TargetMode="External"/><Relationship Id="rId200" Type="http://schemas.openxmlformats.org/officeDocument/2006/relationships/hyperlink" Target="https://doi.org/10.1016/S0140-6736(24)00701-3" TargetMode="External"/><Relationship Id="rId201" Type="http://schemas.openxmlformats.org/officeDocument/2006/relationships/hyperlink" Target="https://drliuhao.github.io/mh-liver-pathways/evidence-libraries/" TargetMode="External"/><Relationship Id="rId202" Type="http://schemas.openxmlformats.org/officeDocument/2006/relationships/hyperlink" Target="https://doi.org/10.1097/HEP.0000000000001644" TargetMode="External"/><Relationship Id="rId203" Type="http://schemas.openxmlformats.org/officeDocument/2006/relationships/hyperlink" Target="https://drliuhao.github.io/mh-liver-pathways/evidence-libraries/" TargetMode="External"/><Relationship Id="rId204" Type="http://schemas.openxmlformats.org/officeDocument/2006/relationships/hyperlink" Target="https://doi.org/10.1097/SLA.0b013e31828ee17c" TargetMode="External"/><Relationship Id="rId205" Type="http://schemas.openxmlformats.org/officeDocument/2006/relationships/hyperlink" Target="https://drliuhao.github.io/mh-liver-pathways/evidence-libraries/" TargetMode="External"/><Relationship Id="rId206" Type="http://schemas.openxmlformats.org/officeDocument/2006/relationships/hyperlink" Target="https://doi.org/10.1016/j.transproceed.2026.02.019" TargetMode="External"/><Relationship Id="rId207" Type="http://schemas.openxmlformats.org/officeDocument/2006/relationships/hyperlink" Target="https://drliuhao.github.io/mh-liver-pathways/evidence-libraries/" TargetMode="External"/><Relationship Id="rId208" Type="http://schemas.openxmlformats.org/officeDocument/2006/relationships/hyperlink" Target="https://pubmed.ncbi.nlm.nih.gov/33908381" TargetMode="External"/><Relationship Id="rId209" Type="http://schemas.openxmlformats.org/officeDocument/2006/relationships/hyperlink" Target="https://drliuhao.github.io/mh-liver-pathways/evidence-libraries/" TargetMode="External"/><Relationship Id="rId210" Type="http://schemas.openxmlformats.org/officeDocument/2006/relationships/hyperlink" Target="https://doi.org/10.1155/joot/2545887" TargetMode="External"/><Relationship Id="rId211" Type="http://schemas.openxmlformats.org/officeDocument/2006/relationships/hyperlink" Target="https://drliuhao.github.io/mh-liver-pathways/evidence-libraries/" TargetMode="External"/><Relationship Id="rId212" Type="http://schemas.openxmlformats.org/officeDocument/2006/relationships/hyperlink" Target="https://www.ecfr.gov/current/title-45/subtitle-A/subchapter-A/part-46/subpart-A/section-46.111" TargetMode="External"/><Relationship Id="rId213" Type="http://schemas.openxmlformats.org/officeDocument/2006/relationships/hyperlink" Target="https://www.hrsa.gov/optn/professionals/resources/ethical-considerations/ethical-principles-in-the-allocation-of-human-organs" TargetMode="External"/><Relationship Id="rId214" Type="http://schemas.openxmlformats.org/officeDocument/2006/relationships/hyperlink" Target="https://doi.org/10.1038/s41571-026-01160-z" TargetMode="External"/><Relationship Id="rId215" Type="http://schemas.openxmlformats.org/officeDocument/2006/relationships/hyperlink" Target="https://drliuhao.github.io/mh-liver-pathways/evidence-libraries/" TargetMode="External"/><Relationship Id="rId216" Type="http://schemas.openxmlformats.org/officeDocument/2006/relationships/hyperlink" Target="https://doi.org/10.1016/S1470-2045(20)30224-2" TargetMode="External"/><Relationship Id="rId217" Type="http://schemas.openxmlformats.org/officeDocument/2006/relationships/hyperlink" Target="https://drliuhao.github.io/mh-liver-pathways/evidence-libraries/" TargetMode="External"/><Relationship Id="rId218" Type="http://schemas.openxmlformats.org/officeDocument/2006/relationships/hyperlink" Target="https://doi.org/10.1016/S0140-6736(24)01595-2" TargetMode="External"/><Relationship Id="rId219" Type="http://schemas.openxmlformats.org/officeDocument/2006/relationships/hyperlink" Target="https://drliuhao.github.io/mh-liver-pathways/evidence-libraries/" TargetMode="External"/><Relationship Id="rId220" Type="http://schemas.openxmlformats.org/officeDocument/2006/relationships/hyperlink" Target="https://doi.org/10.1016/j.jhep.2024.03.020" TargetMode="External"/><Relationship Id="rId221" Type="http://schemas.openxmlformats.org/officeDocument/2006/relationships/hyperlink" Target="https://drliuhao.github.io/mh-liver-pathways/evidence-libraries/" TargetMode="External"/><Relationship Id="rId222" Type="http://schemas.openxmlformats.org/officeDocument/2006/relationships/hyperlink" Target="https://doi.org/10.1111/j.1600-6143.2011.03972.x" TargetMode="External"/><Relationship Id="rId223" Type="http://schemas.openxmlformats.org/officeDocument/2006/relationships/hyperlink" Target="https://drliuhao.github.io/mh-liver-pathways/evidence-libraries/" TargetMode="External"/><Relationship Id="rId224" Type="http://schemas.openxmlformats.org/officeDocument/2006/relationships/hyperlink" Target="https://doi.org/10.1111/ajt.14055" TargetMode="External"/><Relationship Id="rId225" Type="http://schemas.openxmlformats.org/officeDocument/2006/relationships/hyperlink" Target="https://drliuhao.github.io/mh-liver-pathways/evidence-libraries/" TargetMode="External"/><Relationship Id="rId226" Type="http://schemas.openxmlformats.org/officeDocument/2006/relationships/hyperlink" Target="https://doi.org/10.1097/LVT.0000000000000303" TargetMode="External"/><Relationship Id="rId227" Type="http://schemas.openxmlformats.org/officeDocument/2006/relationships/hyperlink" Target="https://drliuhao.github.io/mh-liver-pathways/evidence-libraries/" TargetMode="External"/><Relationship Id="rId228" Type="http://schemas.openxmlformats.org/officeDocument/2006/relationships/hyperlink" Target="https://doi.org/10.1136/bmj.i5239" TargetMode="External"/><Relationship Id="rId229" Type="http://schemas.openxmlformats.org/officeDocument/2006/relationships/hyperlink" Target="https://drliuhao.github.io/mh-liver-pathways/evidence-libraries/" TargetMode="External"/><Relationship Id="rId230" Type="http://schemas.openxmlformats.org/officeDocument/2006/relationships/hyperlink" Target="https://doi.org/10.3389/ti.2024.13641" TargetMode="External"/><Relationship Id="rId231" Type="http://schemas.openxmlformats.org/officeDocument/2006/relationships/hyperlink" Target="https://drliuhao.github.io/mh-liver-pathways/evidence-libraries/" TargetMode="External"/><Relationship Id="rId232" Type="http://schemas.openxmlformats.org/officeDocument/2006/relationships/hyperlink" Target="https://academic.oup.com/bjs/article/112/3/znaf054/8083032" TargetMode="External"/><Relationship Id="rId233" Type="http://schemas.openxmlformats.org/officeDocument/2006/relationships/hyperlink" Target="https://drliuhao.github.io/mh-liver-pathways/evidence-libraries/" TargetMode="External"/><Relationship Id="rId234" Type="http://schemas.openxmlformats.org/officeDocument/2006/relationships/hyperlink" Target="https://doi.org/10.1111/jne.70073" TargetMode="External"/><Relationship Id="rId235" Type="http://schemas.openxmlformats.org/officeDocument/2006/relationships/hyperlink" Target="https://doi.org/10.1002/jso.23973" TargetMode="External"/><Relationship Id="rId236" Type="http://schemas.openxmlformats.org/officeDocument/2006/relationships/hyperlink" Target="https://doi.org/10.1097/SLA.0b013e3181fd37e8"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2026-07-15T23:24:18.551Z</dcterms:created>
  <dcterms:modified xsi:type="dcterms:W3CDTF">2026-10-29T14:21:26Z</dcterms:modified>
  <dc:title>UTHealth Houston and Memorial Hermann High Risk Liver Transplant Protocol for Neuroendocrine Liver Metastases V8</dc:title>
  <dc:subject>Investigational NET pathway outside NLRB guidance criteria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