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line="252" w:lineRule="auto" w:after="120"/>
      </w:pPr>
      <w:r>
        <w:rPr>
          <w:b w:val="0"/>
          <w:i w:val="0"/>
          <w:sz w:val="44"/>
        </w:rPr>
        <w:t>Neuroendocrine liver metastases — decision discussion</w:t>
      </w:r>
    </w:p>
    <w:p>
      <w:pPr>
        <w:spacing w:after="80"/>
      </w:pPr>
      <w:r>
        <w:rPr>
          <w:b w:val="0"/>
          <w:i w:val="0"/>
          <w:color w:val="5A6069"/>
          <w:sz w:val="18"/>
        </w:rPr>
        <w:t>UTHealth Houston and Memorial Hermann · HPB oncology · 29 October 2026 · V17 standardized documents</w:t>
      </w:r>
    </w:p>
    <w:p>
      <w:pPr>
        <w:spacing w:after="80"/>
      </w:pPr>
      <w:r>
        <w:rPr>
          <w:b w:val="0"/>
          <w:i w:val="0"/>
        </w:rPr>
        <w:t>One file for the multidisciplinary decision on this tumor, covering every setting: cancer roadmap, standard transplant pathway, high-risk transplant protocol. For each question: the positions of guidelines, trials and papers where they differ, our proposed selection, and space for the decision. All proposals are OPEN; nothing in this document is activated or approved.</w:t>
      </w:r>
    </w:p>
    <w:p>
      <w:pPr>
        <w:spacing w:after="160"/>
      </w:pPr>
      <w:r>
        <w:rPr>
          <w:b/>
          <w:i w:val="0"/>
        </w:rPr>
        <w:t xml:space="preserve">Companion files: </w:t>
      </w:r>
      <w:r>
        <w:rPr>
          <w:b w:val="0"/>
          <w:i w:val="0"/>
          <w:sz w:val="20"/>
        </w:rPr>
        <w:t xml:space="preserve">Cancer roadmap (full content): </w:t>
      </w:r>
      <w:r>
        <w:rPr>
          <w:b w:val="0"/>
          <w:i/>
        </w:rPr>
        <w:t>NELM_1_Cancer_Roadmap.docx</w:t>
      </w:r>
      <w:r>
        <w:rPr>
          <w:b w:val="0"/>
          <w:i w:val="0"/>
          <w:sz w:val="20"/>
        </w:rPr>
        <w:t xml:space="preserve"> · Standard transplant pathway (full content): </w:t>
      </w:r>
      <w:r>
        <w:rPr>
          <w:b w:val="0"/>
          <w:i/>
        </w:rPr>
        <w:t>NELM_3_Standard_Transplant_Protocol.docx</w:t>
      </w:r>
      <w:r>
        <w:rPr>
          <w:b w:val="0"/>
          <w:i w:val="0"/>
          <w:sz w:val="20"/>
        </w:rPr>
        <w:t xml:space="preserve"> · High-risk transplant protocol (full content): </w:t>
      </w:r>
      <w:r>
        <w:rPr>
          <w:b w:val="0"/>
          <w:i/>
        </w:rPr>
        <w:t>NELM_5_High_Risk_Transplant_Protocol.docx</w:t>
      </w:r>
    </w:p>
    <w:p>
      <w:pPr>
        <w:pStyle w:val="Heading1"/>
        <w:keepNext/>
        <w:spacing w:before="280" w:after="80"/>
      </w:pPr>
      <w:r>
        <w:rPr>
          <w:b w:val="0"/>
          <w:i w:val="0"/>
        </w:rPr>
        <w:t>Summary of open questions</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1500"/>
        <w:gridCol w:w="1100"/>
        <w:gridCol w:w="2900"/>
        <w:gridCol w:w="3080"/>
        <w:gridCol w:w="1500"/>
      </w:tblGrid>
      <w:tr>
        <w:trPr>
          <w:tblHeader/>
        </w:trPr>
        <w:tc>
          <w:tcPr>
            <w:tcW w:type="dxa" w:w="2016"/>
            <w:tcW w:w="1500" w:type="dxa"/>
            <w:shd w:val="clear" w:color="auto" w:fill="17365D"/>
          </w:tcPr>
          <w:p>
            <w:r>
              <w:rPr>
                <w:b/>
                <w:i w:val="0"/>
                <w:color w:val="FFFFFF"/>
                <w:sz w:val="19"/>
              </w:rPr>
              <w:t>Setting</w:t>
            </w:r>
          </w:p>
        </w:tc>
        <w:tc>
          <w:tcPr>
            <w:tcW w:type="dxa" w:w="2016"/>
            <w:tcW w:w="1100" w:type="dxa"/>
            <w:shd w:val="clear" w:color="auto" w:fill="17365D"/>
          </w:tcPr>
          <w:p>
            <w:r>
              <w:rPr>
                <w:b/>
                <w:i w:val="0"/>
                <w:color w:val="FFFFFF"/>
                <w:sz w:val="19"/>
              </w:rPr>
              <w:t>ID</w:t>
            </w:r>
          </w:p>
        </w:tc>
        <w:tc>
          <w:tcPr>
            <w:tcW w:type="dxa" w:w="2016"/>
            <w:tcW w:w="2900" w:type="dxa"/>
            <w:shd w:val="clear" w:color="auto" w:fill="17365D"/>
          </w:tcPr>
          <w:p>
            <w:r>
              <w:rPr>
                <w:b/>
                <w:i w:val="0"/>
                <w:color w:val="FFFFFF"/>
                <w:sz w:val="19"/>
              </w:rPr>
              <w:t>Question</w:t>
            </w:r>
          </w:p>
        </w:tc>
        <w:tc>
          <w:tcPr>
            <w:tcW w:type="dxa" w:w="2016"/>
            <w:tcW w:w="3080" w:type="dxa"/>
            <w:shd w:val="clear" w:color="auto" w:fill="17365D"/>
          </w:tcPr>
          <w:p>
            <w:r>
              <w:rPr>
                <w:b/>
                <w:i w:val="0"/>
                <w:color w:val="FFFFFF"/>
                <w:sz w:val="19"/>
              </w:rPr>
              <w:t>Proposed selection (summary)</w:t>
            </w:r>
          </w:p>
        </w:tc>
        <w:tc>
          <w:tcPr>
            <w:tcW w:type="dxa" w:w="2016"/>
            <w:tcW w:w="1500" w:type="dxa"/>
            <w:shd w:val="clear" w:color="auto" w:fill="17365D"/>
          </w:tcPr>
          <w:p>
            <w:r>
              <w:rPr>
                <w:b/>
                <w:i w:val="0"/>
                <w:color w:val="FFFFFF"/>
                <w:sz w:val="19"/>
              </w:rPr>
              <w:t>Status</w:t>
            </w:r>
          </w:p>
        </w:tc>
      </w:tr>
      <w:tr>
        <w:trPr>
          <w:cantSplit/>
        </w:trPr>
        <w:tc>
          <w:tcPr>
            <w:tcW w:type="dxa" w:w="2016"/>
            <w:tcW w:w="1500" w:type="dxa"/>
            <w:shd w:val="clear" w:color="auto" w:fill="F1F5F8"/>
          </w:tcPr>
          <w:p>
            <w:pPr>
              <w:spacing w:after="0"/>
            </w:pPr>
            <w:r>
              <w:rPr>
                <w:b w:val="0"/>
                <w:i w:val="0"/>
                <w:sz w:val="19"/>
              </w:rPr>
              <w:t>Cancer roadmap</w:t>
            </w:r>
          </w:p>
        </w:tc>
        <w:tc>
          <w:tcPr>
            <w:tcW w:type="dxa" w:w="2016"/>
            <w:tcW w:w="1100" w:type="dxa"/>
            <w:shd w:val="clear" w:color="auto" w:fill="F1F5F8"/>
          </w:tcPr>
          <w:p>
            <w:pPr>
              <w:spacing w:after="0"/>
            </w:pPr>
            <w:r>
              <w:rPr>
                <w:b/>
                <w:i w:val="0"/>
                <w:sz w:val="19"/>
              </w:rPr>
              <w:t>NELM-R1</w:t>
            </w:r>
          </w:p>
        </w:tc>
        <w:tc>
          <w:tcPr>
            <w:tcW w:type="dxa" w:w="2016"/>
            <w:tcW w:w="2900" w:type="dxa"/>
            <w:shd w:val="clear" w:color="auto" w:fill="F1F5F8"/>
          </w:tcPr>
          <w:p>
            <w:pPr>
              <w:spacing w:after="0"/>
            </w:pPr>
            <w:r>
              <w:rPr>
                <w:b w:val="0"/>
                <w:i w:val="0"/>
                <w:sz w:val="19"/>
              </w:rPr>
              <w:t>Does present or previously treated extrahepatic disease preclude liver cytoreduction or resection for well-differentiated NET liver metastases?</w:t>
            </w:r>
          </w:p>
        </w:tc>
        <w:tc>
          <w:tcPr>
            <w:tcW w:type="dxa" w:w="2016"/>
            <w:tcW w:w="3080" w:type="dxa"/>
            <w:shd w:val="clear" w:color="auto" w:fill="F1F5F8"/>
          </w:tcPr>
          <w:p>
            <w:pPr>
              <w:spacing w:after="0"/>
            </w:pPr>
            <w:r>
              <w:rPr>
                <w:b w:val="0"/>
                <w:i w:val="0"/>
                <w:sz w:val="19"/>
              </w:rPr>
              <w:t>Extrahepatic disease does not by itself preclude hepatic cytoreduction or resection of the primary for well-differentiated G1–G2 disease when at least 70% of liver disease can be removed or treated…</w:t>
            </w:r>
          </w:p>
        </w:tc>
        <w:tc>
          <w:tcPr>
            <w:tcW w:type="dxa" w:w="2016"/>
            <w:tcW w:w="1500" w:type="dxa"/>
            <w:shd w:val="clear" w:color="auto" w:fill="F1F5F8"/>
          </w:tcPr>
          <w:p>
            <w:pPr>
              <w:spacing w:after="0"/>
            </w:pPr>
            <w:r>
              <w:rPr>
                <w:b w:val="0"/>
                <w:i w:val="0"/>
                <w:color w:val="5A6069"/>
                <w:sz w:val="18"/>
              </w:rPr>
              <w:t>Proposed · OPEN proposal</w:t>
            </w:r>
          </w:p>
        </w:tc>
      </w:tr>
      <w:tr>
        <w:trPr>
          <w:cantSplit/>
        </w:trPr>
        <w:tc>
          <w:tcPr>
            <w:tcW w:type="dxa" w:w="2016"/>
            <w:tcW w:w="1500" w:type="dxa"/>
            <w:shd w:val="clear" w:color="auto" w:fill="FFFFFF"/>
          </w:tcPr>
          <w:p>
            <w:pPr>
              <w:spacing w:after="0"/>
            </w:pPr>
            <w:r>
              <w:rPr>
                <w:b w:val="0"/>
                <w:i w:val="0"/>
                <w:sz w:val="19"/>
              </w:rPr>
              <w:t>Cancer roadmap</w:t>
            </w:r>
          </w:p>
        </w:tc>
        <w:tc>
          <w:tcPr>
            <w:tcW w:type="dxa" w:w="2016"/>
            <w:tcW w:w="1100" w:type="dxa"/>
            <w:shd w:val="clear" w:color="auto" w:fill="FFFFFF"/>
          </w:tcPr>
          <w:p>
            <w:pPr>
              <w:spacing w:after="0"/>
            </w:pPr>
            <w:r>
              <w:rPr>
                <w:b/>
                <w:i w:val="0"/>
                <w:sz w:val="19"/>
              </w:rPr>
              <w:t>NELM-D1</w:t>
            </w:r>
          </w:p>
        </w:tc>
        <w:tc>
          <w:tcPr>
            <w:tcW w:type="dxa" w:w="2016"/>
            <w:tcW w:w="2900" w:type="dxa"/>
            <w:shd w:val="clear" w:color="auto" w:fill="FFFFFF"/>
          </w:tcPr>
          <w:p>
            <w:pPr>
              <w:spacing w:after="0"/>
            </w:pPr>
            <w:r>
              <w:rPr>
                <w:b w:val="0"/>
                <w:i w:val="0"/>
                <w:sz w:val="19"/>
              </w:rPr>
              <w:t>Which embolisation technique is the programme's default?</w:t>
            </w:r>
          </w:p>
        </w:tc>
        <w:tc>
          <w:tcPr>
            <w:tcW w:type="dxa" w:w="2016"/>
            <w:tcW w:w="3080" w:type="dxa"/>
            <w:shd w:val="clear" w:color="auto" w:fill="FFFFFF"/>
          </w:tcPr>
          <w:p>
            <w:pPr>
              <w:spacing w:after="0"/>
            </w:pPr>
            <w:r>
              <w:rPr>
                <w:b w:val="0"/>
                <w:i w:val="0"/>
                <w:sz w:val="19"/>
              </w:rPr>
              <w:t>No default is set. Bland embolisation and conventional TACE are both Reasonable (grade C), chosen by burden, symptoms, liver reserve and biliary-infection risk and not treated as interchangeable; drug-eluting embolics…</w:t>
            </w:r>
          </w:p>
        </w:tc>
        <w:tc>
          <w:tcPr>
            <w:tcW w:type="dxa" w:w="2016"/>
            <w:tcW w:w="1500" w:type="dxa"/>
            <w:shd w:val="clear" w:color="auto" w:fill="FFFFFF"/>
          </w:tcPr>
          <w:p>
            <w:pPr>
              <w:spacing w:after="0"/>
            </w:pPr>
            <w:r>
              <w:rPr>
                <w:b w:val="0"/>
                <w:i w:val="0"/>
                <w:color w:val="5A6069"/>
                <w:sz w:val="18"/>
              </w:rPr>
              <w:t>OPEN — not yet decided</w:t>
            </w:r>
          </w:p>
        </w:tc>
      </w:tr>
      <w:tr>
        <w:trPr>
          <w:cantSplit/>
        </w:trPr>
        <w:tc>
          <w:tcPr>
            <w:tcW w:type="dxa" w:w="2016"/>
            <w:tcW w:w="1500" w:type="dxa"/>
            <w:shd w:val="clear" w:color="auto" w:fill="F1F5F8"/>
          </w:tcPr>
          <w:p>
            <w:pPr>
              <w:spacing w:after="0"/>
            </w:pPr>
            <w:r>
              <w:rPr>
                <w:b w:val="0"/>
                <w:i w:val="0"/>
                <w:sz w:val="19"/>
              </w:rPr>
              <w:t>Cancer roadmap</w:t>
            </w:r>
          </w:p>
        </w:tc>
        <w:tc>
          <w:tcPr>
            <w:tcW w:type="dxa" w:w="2016"/>
            <w:tcW w:w="1100" w:type="dxa"/>
            <w:shd w:val="clear" w:color="auto" w:fill="F1F5F8"/>
          </w:tcPr>
          <w:p>
            <w:pPr>
              <w:spacing w:after="0"/>
            </w:pPr>
            <w:r>
              <w:rPr>
                <w:b/>
                <w:i w:val="0"/>
                <w:sz w:val="19"/>
              </w:rPr>
              <w:t>NELM-D2</w:t>
            </w:r>
          </w:p>
        </w:tc>
        <w:tc>
          <w:tcPr>
            <w:tcW w:type="dxa" w:w="2016"/>
            <w:tcW w:w="2900" w:type="dxa"/>
            <w:shd w:val="clear" w:color="auto" w:fill="F1F5F8"/>
          </w:tcPr>
          <w:p>
            <w:pPr>
              <w:spacing w:after="0"/>
            </w:pPr>
            <w:r>
              <w:rPr>
                <w:b w:val="0"/>
                <w:i w:val="0"/>
                <w:sz w:val="19"/>
              </w:rPr>
              <w:t>Is first-line PRRT offered for receptor-positive grade 2–3 disease, and to whom?</w:t>
            </w:r>
          </w:p>
        </w:tc>
        <w:tc>
          <w:tcPr>
            <w:tcW w:type="dxa" w:w="2016"/>
            <w:tcW w:w="3080" w:type="dxa"/>
            <w:shd w:val="clear" w:color="auto" w:fill="F1F5F8"/>
          </w:tcPr>
          <w:p>
            <w:pPr>
              <w:spacing w:after="0"/>
            </w:pPr>
            <w:r>
              <w:rPr>
                <w:b w:val="0"/>
                <w:i w:val="0"/>
                <w:sz w:val="19"/>
              </w:rPr>
              <w:t>Standard, grade B, for the phenotype NETTER-2 tested: uptake above normal liver in target disease, Ki-67 10–55%, documented renal, marrow and hepatic reserve, and clinically significant burden (a local criterion).…</w:t>
            </w:r>
          </w:p>
        </w:tc>
        <w:tc>
          <w:tcPr>
            <w:tcW w:type="dxa" w:w="2016"/>
            <w:tcW w:w="1500" w:type="dxa"/>
            <w:shd w:val="clear" w:color="auto" w:fill="F1F5F8"/>
          </w:tcPr>
          <w:p>
            <w:pPr>
              <w:spacing w:after="0"/>
            </w:pPr>
            <w:r>
              <w:rPr>
                <w:b w:val="0"/>
                <w:i w:val="0"/>
                <w:color w:val="5A6069"/>
                <w:sz w:val="18"/>
              </w:rPr>
              <w:t>OPEN — not yet decided</w:t>
            </w:r>
          </w:p>
        </w:tc>
      </w:tr>
      <w:tr>
        <w:trPr>
          <w:cantSplit/>
        </w:trPr>
        <w:tc>
          <w:tcPr>
            <w:tcW w:type="dxa" w:w="2016"/>
            <w:tcW w:w="1500" w:type="dxa"/>
            <w:shd w:val="clear" w:color="auto" w:fill="FFFFFF"/>
          </w:tcPr>
          <w:p>
            <w:pPr>
              <w:spacing w:after="0"/>
            </w:pPr>
            <w:r>
              <w:rPr>
                <w:b w:val="0"/>
                <w:i w:val="0"/>
                <w:sz w:val="19"/>
              </w:rPr>
              <w:t>Cancer roadmap</w:t>
            </w:r>
          </w:p>
        </w:tc>
        <w:tc>
          <w:tcPr>
            <w:tcW w:type="dxa" w:w="2016"/>
            <w:tcW w:w="1100" w:type="dxa"/>
            <w:shd w:val="clear" w:color="auto" w:fill="FFFFFF"/>
          </w:tcPr>
          <w:p>
            <w:pPr>
              <w:spacing w:after="0"/>
            </w:pPr>
            <w:r>
              <w:rPr>
                <w:b/>
                <w:i w:val="0"/>
                <w:sz w:val="19"/>
              </w:rPr>
              <w:t>NELM-D3</w:t>
            </w:r>
          </w:p>
        </w:tc>
        <w:tc>
          <w:tcPr>
            <w:tcW w:type="dxa" w:w="2016"/>
            <w:tcW w:w="2900" w:type="dxa"/>
            <w:shd w:val="clear" w:color="auto" w:fill="FFFFFF"/>
          </w:tcPr>
          <w:p>
            <w:pPr>
              <w:spacing w:after="0"/>
            </w:pPr>
            <w:r>
              <w:rPr>
                <w:b w:val="0"/>
                <w:i w:val="0"/>
                <w:sz w:val="19"/>
              </w:rPr>
              <w:t>Hepatic burden threshold above which cytoreduction is not attempted.</w:t>
            </w:r>
          </w:p>
        </w:tc>
        <w:tc>
          <w:tcPr>
            <w:tcW w:type="dxa" w:w="2016"/>
            <w:tcW w:w="3080" w:type="dxa"/>
            <w:shd w:val="clear" w:color="auto" w:fill="FFFFFF"/>
          </w:tcPr>
          <w:p>
            <w:pPr>
              <w:spacing w:after="0"/>
            </w:pPr>
            <w:r>
              <w:rPr>
                <w:b w:val="0"/>
                <w:i w:val="0"/>
                <w:sz w:val="19"/>
              </w:rPr>
              <w:t>No percentage is adopted as evidence. Operate only when a named target can be cleared, with the expected residual stated beforehand, in a patient fit for a long operation with…</w:t>
            </w:r>
          </w:p>
        </w:tc>
        <w:tc>
          <w:tcPr>
            <w:tcW w:type="dxa" w:w="2016"/>
            <w:tcW w:w="1500" w:type="dxa"/>
            <w:shd w:val="clear" w:color="auto" w:fill="FFFFFF"/>
          </w:tcPr>
          <w:p>
            <w:pPr>
              <w:spacing w:after="0"/>
            </w:pPr>
            <w:r>
              <w:rPr>
                <w:b w:val="0"/>
                <w:i w:val="0"/>
                <w:color w:val="5A6069"/>
                <w:sz w:val="18"/>
              </w:rPr>
              <w:t>OPEN — not yet decided</w:t>
            </w:r>
          </w:p>
        </w:tc>
      </w:tr>
      <w:tr>
        <w:trPr>
          <w:cantSplit/>
        </w:trPr>
        <w:tc>
          <w:tcPr>
            <w:tcW w:type="dxa" w:w="2016"/>
            <w:tcW w:w="1500" w:type="dxa"/>
            <w:shd w:val="clear" w:color="auto" w:fill="F1F5F8"/>
          </w:tcPr>
          <w:p>
            <w:pPr>
              <w:spacing w:after="0"/>
            </w:pPr>
            <w:r>
              <w:rPr>
                <w:b w:val="0"/>
                <w:i w:val="0"/>
                <w:sz w:val="19"/>
              </w:rPr>
              <w:t>Cancer roadmap</w:t>
            </w:r>
          </w:p>
        </w:tc>
        <w:tc>
          <w:tcPr>
            <w:tcW w:type="dxa" w:w="2016"/>
            <w:tcW w:w="1100" w:type="dxa"/>
            <w:shd w:val="clear" w:color="auto" w:fill="F1F5F8"/>
          </w:tcPr>
          <w:p>
            <w:pPr>
              <w:spacing w:after="0"/>
            </w:pPr>
            <w:r>
              <w:rPr>
                <w:b/>
                <w:i w:val="0"/>
                <w:sz w:val="19"/>
              </w:rPr>
              <w:t>NELM-D4</w:t>
            </w:r>
          </w:p>
        </w:tc>
        <w:tc>
          <w:tcPr>
            <w:tcW w:type="dxa" w:w="2016"/>
            <w:tcW w:w="2900" w:type="dxa"/>
            <w:shd w:val="clear" w:color="auto" w:fill="F1F5F8"/>
          </w:tcPr>
          <w:p>
            <w:pPr>
              <w:spacing w:after="0"/>
            </w:pPr>
            <w:r>
              <w:rPr>
                <w:b w:val="0"/>
                <w:i w:val="0"/>
                <w:sz w:val="19"/>
              </w:rPr>
              <w:t>Does the programme offer radioembolisation in this disease at all, and at what point?</w:t>
            </w:r>
          </w:p>
        </w:tc>
        <w:tc>
          <w:tcPr>
            <w:tcW w:type="dxa" w:w="2016"/>
            <w:tcW w:w="3080" w:type="dxa"/>
            <w:shd w:val="clear" w:color="auto" w:fill="F1F5F8"/>
          </w:tcPr>
          <w:p>
            <w:pPr>
              <w:spacing w:after="0"/>
            </w:pPr>
            <w:r>
              <w:rPr>
                <w:b w:val="0"/>
                <w:i w:val="0"/>
                <w:sz w:val="19"/>
              </w:rPr>
              <w:t>Radioembolisation (Y-90 or holmium-166) is Reasonable, grade C and expertise-dependent for selected lobar or segmental liver-dominant disease with a stated rationale, not restricted to last resort; it is avoided in…</w:t>
            </w:r>
          </w:p>
        </w:tc>
        <w:tc>
          <w:tcPr>
            <w:tcW w:type="dxa" w:w="2016"/>
            <w:tcW w:w="1500" w:type="dxa"/>
            <w:shd w:val="clear" w:color="auto" w:fill="F1F5F8"/>
          </w:tcPr>
          <w:p>
            <w:pPr>
              <w:spacing w:after="0"/>
            </w:pPr>
            <w:r>
              <w:rPr>
                <w:b w:val="0"/>
                <w:i w:val="0"/>
                <w:color w:val="5A6069"/>
                <w:sz w:val="18"/>
              </w:rPr>
              <w:t>OPEN — not yet decided</w:t>
            </w:r>
          </w:p>
        </w:tc>
      </w:tr>
      <w:tr>
        <w:trPr>
          <w:cantSplit/>
        </w:trPr>
        <w:tc>
          <w:tcPr>
            <w:tcW w:type="dxa" w:w="2016"/>
            <w:tcW w:w="1500" w:type="dxa"/>
            <w:shd w:val="clear" w:color="auto" w:fill="FFFFFF"/>
          </w:tcPr>
          <w:p>
            <w:pPr>
              <w:spacing w:after="0"/>
            </w:pPr>
            <w:r>
              <w:rPr>
                <w:b w:val="0"/>
                <w:i w:val="0"/>
                <w:sz w:val="19"/>
              </w:rPr>
              <w:t>Cancer roadmap</w:t>
            </w:r>
          </w:p>
        </w:tc>
        <w:tc>
          <w:tcPr>
            <w:tcW w:type="dxa" w:w="2016"/>
            <w:tcW w:w="1100" w:type="dxa"/>
            <w:shd w:val="clear" w:color="auto" w:fill="FFFFFF"/>
          </w:tcPr>
          <w:p>
            <w:pPr>
              <w:spacing w:after="0"/>
            </w:pPr>
            <w:r>
              <w:rPr>
                <w:b/>
                <w:i w:val="0"/>
                <w:sz w:val="19"/>
              </w:rPr>
              <w:t>NELM-D5</w:t>
            </w:r>
          </w:p>
        </w:tc>
        <w:tc>
          <w:tcPr>
            <w:tcW w:type="dxa" w:w="2016"/>
            <w:tcW w:w="2900" w:type="dxa"/>
            <w:shd w:val="clear" w:color="auto" w:fill="FFFFFF"/>
          </w:tcPr>
          <w:p>
            <w:pPr>
              <w:spacing w:after="0"/>
            </w:pPr>
            <w:r>
              <w:rPr>
                <w:b w:val="0"/>
                <w:i w:val="0"/>
                <w:sz w:val="19"/>
              </w:rPr>
              <w:t>Does the programme open a NELM transplant protocol?</w:t>
            </w:r>
          </w:p>
        </w:tc>
        <w:tc>
          <w:tcPr>
            <w:tcW w:type="dxa" w:w="2016"/>
            <w:tcW w:w="3080" w:type="dxa"/>
            <w:shd w:val="clear" w:color="auto" w:fill="FFFFFF"/>
          </w:tcPr>
          <w:p>
            <w:pPr>
              <w:spacing w:after="0"/>
            </w:pPr>
            <w:r>
              <w:rPr>
                <w:b w:val="0"/>
                <w:i w:val="0"/>
                <w:sz w:val="19"/>
              </w:rPr>
              <w:t>Transplantation only within a trial or prospective registry under restrictive criteria (Reasonable, grade C), via the nonstandard review-board route at MMaT-3, after comparing resection or cytoreduction at the same board;…</w:t>
            </w:r>
          </w:p>
        </w:tc>
        <w:tc>
          <w:tcPr>
            <w:tcW w:type="dxa" w:w="2016"/>
            <w:tcW w:w="1500" w:type="dxa"/>
            <w:shd w:val="clear" w:color="auto" w:fill="FFFFFF"/>
          </w:tcPr>
          <w:p>
            <w:pPr>
              <w:spacing w:after="0"/>
            </w:pPr>
            <w:r>
              <w:rPr>
                <w:b w:val="0"/>
                <w:i w:val="0"/>
                <w:color w:val="5A6069"/>
                <w:sz w:val="18"/>
              </w:rPr>
              <w:t>OPEN — not yet decided</w:t>
            </w:r>
          </w:p>
        </w:tc>
      </w:tr>
      <w:tr>
        <w:trPr>
          <w:cantSplit/>
        </w:trPr>
        <w:tc>
          <w:tcPr>
            <w:tcW w:type="dxa" w:w="2016"/>
            <w:tcW w:w="1500" w:type="dxa"/>
            <w:shd w:val="clear" w:color="auto" w:fill="F1F5F8"/>
          </w:tcPr>
          <w:p>
            <w:pPr>
              <w:spacing w:after="0"/>
            </w:pPr>
            <w:r>
              <w:rPr>
                <w:b w:val="0"/>
                <w:i w:val="0"/>
                <w:sz w:val="19"/>
              </w:rPr>
              <w:t>Cancer roadmap</w:t>
            </w:r>
          </w:p>
        </w:tc>
        <w:tc>
          <w:tcPr>
            <w:tcW w:type="dxa" w:w="2016"/>
            <w:tcW w:w="1100" w:type="dxa"/>
            <w:shd w:val="clear" w:color="auto" w:fill="F1F5F8"/>
          </w:tcPr>
          <w:p>
            <w:pPr>
              <w:spacing w:after="0"/>
            </w:pPr>
            <w:r>
              <w:rPr>
                <w:b/>
                <w:i w:val="0"/>
                <w:sz w:val="19"/>
              </w:rPr>
              <w:t>NELM-D6</w:t>
            </w:r>
          </w:p>
        </w:tc>
        <w:tc>
          <w:tcPr>
            <w:tcW w:type="dxa" w:w="2016"/>
            <w:tcW w:w="2900" w:type="dxa"/>
            <w:shd w:val="clear" w:color="auto" w:fill="F1F5F8"/>
          </w:tcPr>
          <w:p>
            <w:pPr>
              <w:spacing w:after="0"/>
            </w:pPr>
            <w:r>
              <w:rPr>
                <w:b w:val="0"/>
                <w:i w:val="0"/>
                <w:sz w:val="19"/>
              </w:rPr>
              <w:t>Who owns carcinoid-crisis prophylaxis, and how is it verified before each procedure?</w:t>
            </w:r>
          </w:p>
        </w:tc>
        <w:tc>
          <w:tcPr>
            <w:tcW w:type="dxa" w:w="2016"/>
            <w:tcW w:w="3080" w:type="dxa"/>
            <w:shd w:val="clear" w:color="auto" w:fill="F1F5F8"/>
          </w:tcPr>
          <w:p>
            <w:pPr>
              <w:spacing w:after="0"/>
            </w:pPr>
            <w:r>
              <w:rPr>
                <w:b w:val="0"/>
                <w:i w:val="0"/>
                <w:sz w:val="19"/>
              </w:rPr>
              <w:t>Every functional patient has a written, procedure-specific crisis plan with a named owner, rescue octreotide in the room and immediate haemodynamic treatment (Standard, grade D). The board names the prophylaxis…</w:t>
            </w:r>
          </w:p>
        </w:tc>
        <w:tc>
          <w:tcPr>
            <w:tcW w:type="dxa" w:w="2016"/>
            <w:tcW w:w="1500" w:type="dxa"/>
            <w:shd w:val="clear" w:color="auto" w:fill="F1F5F8"/>
          </w:tcPr>
          <w:p>
            <w:pPr>
              <w:spacing w:after="0"/>
            </w:pPr>
            <w:r>
              <w:rPr>
                <w:b w:val="0"/>
                <w:i w:val="0"/>
                <w:color w:val="5A6069"/>
                <w:sz w:val="18"/>
              </w:rPr>
              <w:t>OPEN — not yet decided</w:t>
            </w:r>
          </w:p>
        </w:tc>
      </w:tr>
      <w:tr>
        <w:trPr>
          <w:cantSplit/>
        </w:trPr>
        <w:tc>
          <w:tcPr>
            <w:tcW w:type="dxa" w:w="2016"/>
            <w:tcW w:w="1500" w:type="dxa"/>
            <w:shd w:val="clear" w:color="auto" w:fill="FFFFFF"/>
          </w:tcPr>
          <w:p>
            <w:pPr>
              <w:spacing w:after="0"/>
            </w:pPr>
            <w:r>
              <w:rPr>
                <w:b w:val="0"/>
                <w:i w:val="0"/>
                <w:sz w:val="19"/>
              </w:rPr>
              <w:t>Cancer roadmap</w:t>
            </w:r>
          </w:p>
        </w:tc>
        <w:tc>
          <w:tcPr>
            <w:tcW w:type="dxa" w:w="2016"/>
            <w:tcW w:w="1100" w:type="dxa"/>
            <w:shd w:val="clear" w:color="auto" w:fill="FFFFFF"/>
          </w:tcPr>
          <w:p>
            <w:pPr>
              <w:spacing w:after="0"/>
            </w:pPr>
            <w:r>
              <w:rPr>
                <w:b/>
                <w:i w:val="0"/>
                <w:sz w:val="19"/>
              </w:rPr>
              <w:t>NELM-D7</w:t>
            </w:r>
          </w:p>
        </w:tc>
        <w:tc>
          <w:tcPr>
            <w:tcW w:type="dxa" w:w="2016"/>
            <w:tcW w:w="2900" w:type="dxa"/>
            <w:shd w:val="clear" w:color="auto" w:fill="FFFFFF"/>
          </w:tcPr>
          <w:p>
            <w:pPr>
              <w:spacing w:after="0"/>
            </w:pPr>
            <w:r>
              <w:rPr>
                <w:b w:val="0"/>
                <w:i w:val="0"/>
                <w:sz w:val="19"/>
              </w:rPr>
              <w:t>Re-biopsy policy for suspected grade progression or transformation.</w:t>
            </w:r>
          </w:p>
        </w:tc>
        <w:tc>
          <w:tcPr>
            <w:tcW w:type="dxa" w:w="2016"/>
            <w:tcW w:w="3080" w:type="dxa"/>
            <w:shd w:val="clear" w:color="auto" w:fill="FFFFFF"/>
          </w:tcPr>
          <w:p>
            <w:pPr>
              <w:spacing w:after="0"/>
            </w:pPr>
            <w:r>
              <w:rPr>
                <w:b w:val="0"/>
                <w:i w:val="0"/>
                <w:sz w:val="19"/>
              </w:rPr>
              <w:t>Consider re-biopsy (Reasonable, grade C) on unexpected behavioural change or discordant FDG avidity, particularly where the original grading is years old or the disease has changed pace, but not as…</w:t>
            </w:r>
          </w:p>
        </w:tc>
        <w:tc>
          <w:tcPr>
            <w:tcW w:type="dxa" w:w="2016"/>
            <w:tcW w:w="1500" w:type="dxa"/>
            <w:shd w:val="clear" w:color="auto" w:fill="FFFFFF"/>
          </w:tcPr>
          <w:p>
            <w:pPr>
              <w:spacing w:after="0"/>
            </w:pPr>
            <w:r>
              <w:rPr>
                <w:b w:val="0"/>
                <w:i w:val="0"/>
                <w:color w:val="5A6069"/>
                <w:sz w:val="18"/>
              </w:rPr>
              <w:t>OPEN — not yet decided</w:t>
            </w:r>
          </w:p>
        </w:tc>
      </w:tr>
      <w:tr>
        <w:trPr>
          <w:cantSplit/>
        </w:trPr>
        <w:tc>
          <w:tcPr>
            <w:tcW w:type="dxa" w:w="2016"/>
            <w:tcW w:w="1500" w:type="dxa"/>
            <w:shd w:val="clear" w:color="auto" w:fill="F1F5F8"/>
          </w:tcPr>
          <w:p>
            <w:pPr>
              <w:spacing w:after="0"/>
            </w:pPr>
            <w:r>
              <w:rPr>
                <w:b w:val="0"/>
                <w:i w:val="0"/>
                <w:sz w:val="19"/>
              </w:rPr>
              <w:t>Cancer roadmap</w:t>
            </w:r>
          </w:p>
        </w:tc>
        <w:tc>
          <w:tcPr>
            <w:tcW w:type="dxa" w:w="2016"/>
            <w:tcW w:w="1100" w:type="dxa"/>
            <w:shd w:val="clear" w:color="auto" w:fill="F1F5F8"/>
          </w:tcPr>
          <w:p>
            <w:pPr>
              <w:spacing w:after="0"/>
            </w:pPr>
            <w:r>
              <w:rPr>
                <w:b/>
                <w:i w:val="0"/>
                <w:sz w:val="19"/>
              </w:rPr>
              <w:t>NELM-D8</w:t>
            </w:r>
          </w:p>
        </w:tc>
        <w:tc>
          <w:tcPr>
            <w:tcW w:type="dxa" w:w="2016"/>
            <w:tcW w:w="2900" w:type="dxa"/>
            <w:shd w:val="clear" w:color="auto" w:fill="F1F5F8"/>
          </w:tcPr>
          <w:p>
            <w:pPr>
              <w:spacing w:after="0"/>
            </w:pPr>
            <w:r>
              <w:rPr>
                <w:b w:val="0"/>
                <w:i w:val="0"/>
                <w:sz w:val="19"/>
              </w:rPr>
              <w:t>Who owns subsequent NCCN and OPTN update checks, and on what cycle?</w:t>
            </w:r>
          </w:p>
        </w:tc>
        <w:tc>
          <w:tcPr>
            <w:tcW w:type="dxa" w:w="2016"/>
            <w:tcW w:w="3080" w:type="dxa"/>
            <w:shd w:val="clear" w:color="auto" w:fill="F1F5F8"/>
          </w:tcPr>
          <w:p>
            <w:pPr>
              <w:spacing w:after="0"/>
            </w:pPr>
            <w:r>
              <w:rPr>
                <w:b w:val="0"/>
                <w:i w:val="0"/>
                <w:sz w:val="19"/>
              </w:rPr>
              <w:t>Source reconciliation is complete in this version (NCCN v1.2026; OPTN Policy 9 checked 1 October 2026). A named owner should verify each later NCCN edition and current OPTN allocation requirements…</w:t>
            </w:r>
          </w:p>
        </w:tc>
        <w:tc>
          <w:tcPr>
            <w:tcW w:type="dxa" w:w="2016"/>
            <w:tcW w:w="1500" w:type="dxa"/>
            <w:shd w:val="clear" w:color="auto" w:fill="F1F5F8"/>
          </w:tcPr>
          <w:p>
            <w:pPr>
              <w:spacing w:after="0"/>
            </w:pPr>
            <w:r>
              <w:rPr>
                <w:b w:val="0"/>
                <w:i w:val="0"/>
                <w:color w:val="5A6069"/>
                <w:sz w:val="18"/>
              </w:rPr>
              <w:t>OPEN — not yet decided</w:t>
            </w:r>
          </w:p>
        </w:tc>
      </w:tr>
      <w:tr>
        <w:trPr>
          <w:cantSplit/>
        </w:trPr>
        <w:tc>
          <w:tcPr>
            <w:tcW w:type="dxa" w:w="2016"/>
            <w:tcW w:w="1500" w:type="dxa"/>
            <w:shd w:val="clear" w:color="auto" w:fill="FFFFFF"/>
          </w:tcPr>
          <w:p>
            <w:pPr>
              <w:spacing w:after="0"/>
            </w:pPr>
            <w:r>
              <w:rPr>
                <w:b w:val="0"/>
                <w:i w:val="0"/>
                <w:sz w:val="19"/>
              </w:rPr>
              <w:t>Cancer roadmap</w:t>
            </w:r>
          </w:p>
        </w:tc>
        <w:tc>
          <w:tcPr>
            <w:tcW w:type="dxa" w:w="2016"/>
            <w:tcW w:w="1100" w:type="dxa"/>
            <w:shd w:val="clear" w:color="auto" w:fill="FFFFFF"/>
          </w:tcPr>
          <w:p>
            <w:pPr>
              <w:spacing w:after="0"/>
            </w:pPr>
            <w:r>
              <w:rPr>
                <w:b/>
                <w:i w:val="0"/>
                <w:sz w:val="19"/>
              </w:rPr>
              <w:t>NELM-D9</w:t>
            </w:r>
          </w:p>
        </w:tc>
        <w:tc>
          <w:tcPr>
            <w:tcW w:type="dxa" w:w="2016"/>
            <w:tcW w:w="2900" w:type="dxa"/>
            <w:shd w:val="clear" w:color="auto" w:fill="FFFFFF"/>
          </w:tcPr>
          <w:p>
            <w:pPr>
              <w:spacing w:after="0"/>
            </w:pPr>
            <w:r>
              <w:rPr>
                <w:b w:val="0"/>
                <w:i w:val="0"/>
                <w:sz w:val="19"/>
              </w:rPr>
              <w:t>Is hepatic debulking offered in well-differentiated G3 disease, and under what conditions?</w:t>
            </w:r>
          </w:p>
        </w:tc>
        <w:tc>
          <w:tcPr>
            <w:tcW w:type="dxa" w:w="2016"/>
            <w:tcW w:w="3080" w:type="dxa"/>
            <w:shd w:val="clear" w:color="auto" w:fill="FFFFFF"/>
          </w:tcPr>
          <w:p>
            <w:pPr>
              <w:spacing w:after="0"/>
            </w:pPr>
            <w:r>
              <w:rPr>
                <w:b w:val="0"/>
                <w:i w:val="0"/>
                <w:sz w:val="19"/>
              </w:rPr>
              <w:t>The roadmap states no position on G3 hepatic debulking. It keeps eligibility for a G3 systemic option distinct from eligibility for cytoreduction or transplantation, and alignment area 15 asks whether…</w:t>
            </w:r>
          </w:p>
        </w:tc>
        <w:tc>
          <w:tcPr>
            <w:tcW w:type="dxa" w:w="2016"/>
            <w:tcW w:w="1500" w:type="dxa"/>
            <w:shd w:val="clear" w:color="auto" w:fill="FFFFFF"/>
          </w:tcPr>
          <w:p>
            <w:pPr>
              <w:spacing w:after="0"/>
            </w:pPr>
            <w:r>
              <w:rPr>
                <w:b w:val="0"/>
                <w:i w:val="0"/>
                <w:color w:val="5A6069"/>
                <w:sz w:val="18"/>
              </w:rPr>
              <w:t>OPEN — not yet decided</w:t>
            </w:r>
          </w:p>
        </w:tc>
      </w:tr>
      <w:tr>
        <w:trPr>
          <w:cantSplit/>
        </w:trPr>
        <w:tc>
          <w:tcPr>
            <w:tcW w:type="dxa" w:w="2016"/>
            <w:tcW w:w="1500" w:type="dxa"/>
            <w:shd w:val="clear" w:color="auto" w:fill="F1F5F8"/>
          </w:tcPr>
          <w:p>
            <w:pPr>
              <w:spacing w:after="0"/>
            </w:pPr>
            <w:r>
              <w:rPr>
                <w:b w:val="0"/>
                <w:i w:val="0"/>
                <w:sz w:val="19"/>
              </w:rPr>
              <w:t>Cancer roadmap</w:t>
            </w:r>
          </w:p>
        </w:tc>
        <w:tc>
          <w:tcPr>
            <w:tcW w:type="dxa" w:w="2016"/>
            <w:tcW w:w="1100" w:type="dxa"/>
            <w:shd w:val="clear" w:color="auto" w:fill="F1F5F8"/>
          </w:tcPr>
          <w:p>
            <w:pPr>
              <w:spacing w:after="0"/>
            </w:pPr>
            <w:r>
              <w:rPr>
                <w:b/>
                <w:i w:val="0"/>
                <w:sz w:val="19"/>
              </w:rPr>
              <w:t>NELM-D10</w:t>
            </w:r>
          </w:p>
        </w:tc>
        <w:tc>
          <w:tcPr>
            <w:tcW w:type="dxa" w:w="2016"/>
            <w:tcW w:w="2900" w:type="dxa"/>
            <w:shd w:val="clear" w:color="auto" w:fill="F1F5F8"/>
          </w:tcPr>
          <w:p>
            <w:pPr>
              <w:spacing w:after="0"/>
            </w:pPr>
            <w:r>
              <w:rPr>
                <w:b w:val="0"/>
                <w:i w:val="0"/>
                <w:sz w:val="19"/>
              </w:rPr>
              <w:t>Is first-line PRRT offered to a patient who has already had liver-directed therapy?</w:t>
            </w:r>
          </w:p>
        </w:tc>
        <w:tc>
          <w:tcPr>
            <w:tcW w:type="dxa" w:w="2016"/>
            <w:tcW w:w="3080" w:type="dxa"/>
            <w:shd w:val="clear" w:color="auto" w:fill="F1F5F8"/>
          </w:tcPr>
          <w:p>
            <w:pPr>
              <w:spacing w:after="0"/>
            </w:pPr>
            <w:r>
              <w:rPr>
                <w:b w:val="0"/>
                <w:i w:val="0"/>
                <w:sz w:val="19"/>
              </w:rPr>
              <w:t>No explicit answer. Before every PRRT course the roadmap requires uptake above normal liver in target disease and documented renal, marrow and hepatic reserve, and reviews cumulative hepatic-directed exposure before…</w:t>
            </w:r>
          </w:p>
        </w:tc>
        <w:tc>
          <w:tcPr>
            <w:tcW w:type="dxa" w:w="2016"/>
            <w:tcW w:w="1500" w:type="dxa"/>
            <w:shd w:val="clear" w:color="auto" w:fill="F1F5F8"/>
          </w:tcPr>
          <w:p>
            <w:pPr>
              <w:spacing w:after="0"/>
            </w:pPr>
            <w:r>
              <w:rPr>
                <w:b w:val="0"/>
                <w:i w:val="0"/>
                <w:color w:val="5A6069"/>
                <w:sz w:val="18"/>
              </w:rPr>
              <w:t>OPEN — not yet decided</w:t>
            </w:r>
          </w:p>
        </w:tc>
      </w:tr>
      <w:tr>
        <w:trPr>
          <w:cantSplit/>
        </w:trPr>
        <w:tc>
          <w:tcPr>
            <w:tcW w:type="dxa" w:w="2016"/>
            <w:tcW w:w="1500" w:type="dxa"/>
            <w:shd w:val="clear" w:color="auto" w:fill="FFFFFF"/>
          </w:tcPr>
          <w:p>
            <w:pPr>
              <w:spacing w:after="0"/>
            </w:pPr>
            <w:r>
              <w:rPr>
                <w:b w:val="0"/>
                <w:i w:val="0"/>
                <w:sz w:val="19"/>
              </w:rPr>
              <w:t>Cancer roadmap</w:t>
            </w:r>
          </w:p>
        </w:tc>
        <w:tc>
          <w:tcPr>
            <w:tcW w:type="dxa" w:w="2016"/>
            <w:tcW w:w="1100" w:type="dxa"/>
            <w:shd w:val="clear" w:color="auto" w:fill="FFFFFF"/>
          </w:tcPr>
          <w:p>
            <w:pPr>
              <w:spacing w:after="0"/>
            </w:pPr>
            <w:r>
              <w:rPr>
                <w:b/>
                <w:i w:val="0"/>
                <w:sz w:val="19"/>
              </w:rPr>
              <w:t>NELM-D11</w:t>
            </w:r>
          </w:p>
        </w:tc>
        <w:tc>
          <w:tcPr>
            <w:tcW w:type="dxa" w:w="2016"/>
            <w:tcW w:w="2900" w:type="dxa"/>
            <w:shd w:val="clear" w:color="auto" w:fill="FFFFFF"/>
          </w:tcPr>
          <w:p>
            <w:pPr>
              <w:spacing w:after="0"/>
            </w:pPr>
            <w:r>
              <w:rPr>
                <w:b w:val="0"/>
                <w:i w:val="0"/>
                <w:sz w:val="19"/>
              </w:rPr>
              <w:t>Does the programme reproduce or restate the NCCN position against drug-eluting embolics, and on what basis?</w:t>
            </w:r>
          </w:p>
        </w:tc>
        <w:tc>
          <w:tcPr>
            <w:tcW w:type="dxa" w:w="2016"/>
            <w:tcW w:w="3080" w:type="dxa"/>
            <w:shd w:val="clear" w:color="auto" w:fill="FFFFFF"/>
          </w:tcPr>
          <w:p>
            <w:pPr>
              <w:spacing w:after="0"/>
            </w:pPr>
            <w:r>
              <w:rPr>
                <w:b w:val="0"/>
                <w:i w:val="0"/>
                <w:sz w:val="19"/>
              </w:rPr>
              <w:t>Keep the avoidance (Avoid, downgraded to grade C) and state its basis: a precautionary institutional choice, justified because the biliary harm is irreversible and two patients died, not a demonstrated…</w:t>
            </w:r>
          </w:p>
        </w:tc>
        <w:tc>
          <w:tcPr>
            <w:tcW w:type="dxa" w:w="2016"/>
            <w:tcW w:w="1500" w:type="dxa"/>
            <w:shd w:val="clear" w:color="auto" w:fill="FFFFFF"/>
          </w:tcPr>
          <w:p>
            <w:pPr>
              <w:spacing w:after="0"/>
            </w:pPr>
            <w:r>
              <w:rPr>
                <w:b w:val="0"/>
                <w:i w:val="0"/>
                <w:color w:val="5A6069"/>
                <w:sz w:val="18"/>
              </w:rPr>
              <w:t>OPEN — not yet decided</w:t>
            </w:r>
          </w:p>
        </w:tc>
      </w:tr>
      <w:tr>
        <w:trPr>
          <w:cantSplit/>
        </w:trPr>
        <w:tc>
          <w:tcPr>
            <w:tcW w:type="dxa" w:w="2016"/>
            <w:tcW w:w="1500" w:type="dxa"/>
            <w:shd w:val="clear" w:color="auto" w:fill="F1F5F8"/>
          </w:tcPr>
          <w:p>
            <w:pPr>
              <w:spacing w:after="0"/>
            </w:pPr>
            <w:r>
              <w:rPr>
                <w:b w:val="0"/>
                <w:i w:val="0"/>
                <w:sz w:val="19"/>
              </w:rPr>
              <w:t>Cancer roadmap</w:t>
            </w:r>
          </w:p>
        </w:tc>
        <w:tc>
          <w:tcPr>
            <w:tcW w:type="dxa" w:w="2016"/>
            <w:tcW w:w="1100" w:type="dxa"/>
            <w:shd w:val="clear" w:color="auto" w:fill="F1F5F8"/>
          </w:tcPr>
          <w:p>
            <w:pPr>
              <w:spacing w:after="0"/>
            </w:pPr>
            <w:r>
              <w:rPr>
                <w:b/>
                <w:i w:val="0"/>
                <w:sz w:val="19"/>
              </w:rPr>
              <w:t>NELM-D12</w:t>
            </w:r>
          </w:p>
        </w:tc>
        <w:tc>
          <w:tcPr>
            <w:tcW w:type="dxa" w:w="2016"/>
            <w:tcW w:w="2900" w:type="dxa"/>
            <w:shd w:val="clear" w:color="auto" w:fill="F1F5F8"/>
          </w:tcPr>
          <w:p>
            <w:pPr>
              <w:spacing w:after="0"/>
            </w:pPr>
            <w:r>
              <w:rPr>
                <w:b w:val="0"/>
                <w:i w:val="0"/>
                <w:sz w:val="19"/>
              </w:rPr>
              <w:t>Who corrects the shared liver-directed-therapy matrix entry that attributes outcome figures to RETNET?</w:t>
            </w:r>
          </w:p>
        </w:tc>
        <w:tc>
          <w:tcPr>
            <w:tcW w:type="dxa" w:w="2016"/>
            <w:tcW w:w="3080" w:type="dxa"/>
            <w:shd w:val="clear" w:color="auto" w:fill="F1F5F8"/>
          </w:tcPr>
          <w:p>
            <w:pPr>
              <w:spacing w:after="0"/>
            </w:pPr>
            <w:r>
              <w:rPr>
                <w:b w:val="0"/>
                <w:i w:val="0"/>
                <w:sz w:val="19"/>
              </w:rPr>
              <w:t>No efficacy figure on the NELM page is attributed to RETNET. The shared matrix entry should be corrected at its source and the other pathways checked for the same entry,…</w:t>
            </w:r>
          </w:p>
        </w:tc>
        <w:tc>
          <w:tcPr>
            <w:tcW w:type="dxa" w:w="2016"/>
            <w:tcW w:w="1500" w:type="dxa"/>
            <w:shd w:val="clear" w:color="auto" w:fill="F1F5F8"/>
          </w:tcPr>
          <w:p>
            <w:pPr>
              <w:spacing w:after="0"/>
            </w:pPr>
            <w:r>
              <w:rPr>
                <w:b w:val="0"/>
                <w:i w:val="0"/>
                <w:color w:val="5A6069"/>
                <w:sz w:val="18"/>
              </w:rPr>
              <w:t>OPEN — not yet decided</w:t>
            </w:r>
          </w:p>
        </w:tc>
      </w:tr>
      <w:tr>
        <w:trPr>
          <w:cantSplit/>
        </w:trPr>
        <w:tc>
          <w:tcPr>
            <w:tcW w:type="dxa" w:w="2016"/>
            <w:tcW w:w="1500" w:type="dxa"/>
            <w:shd w:val="clear" w:color="auto" w:fill="FFFFFF"/>
          </w:tcPr>
          <w:p>
            <w:pPr>
              <w:spacing w:after="0"/>
            </w:pPr>
            <w:r>
              <w:rPr>
                <w:b w:val="0"/>
                <w:i w:val="0"/>
                <w:sz w:val="19"/>
              </w:rPr>
              <w:t>Cancer roadmap</w:t>
            </w:r>
          </w:p>
        </w:tc>
        <w:tc>
          <w:tcPr>
            <w:tcW w:type="dxa" w:w="2016"/>
            <w:tcW w:w="1100" w:type="dxa"/>
            <w:shd w:val="clear" w:color="auto" w:fill="FFFFFF"/>
          </w:tcPr>
          <w:p>
            <w:pPr>
              <w:spacing w:after="0"/>
            </w:pPr>
            <w:r>
              <w:rPr>
                <w:b/>
                <w:i w:val="0"/>
                <w:sz w:val="19"/>
              </w:rPr>
              <w:t>NELM-D13</w:t>
            </w:r>
          </w:p>
        </w:tc>
        <w:tc>
          <w:tcPr>
            <w:tcW w:type="dxa" w:w="2016"/>
            <w:tcW w:w="2900" w:type="dxa"/>
            <w:shd w:val="clear" w:color="auto" w:fill="FFFFFF"/>
          </w:tcPr>
          <w:p>
            <w:pPr>
              <w:spacing w:after="0"/>
            </w:pPr>
            <w:r>
              <w:rPr>
                <w:b w:val="0"/>
                <w:i w:val="0"/>
                <w:sz w:val="19"/>
              </w:rPr>
              <w:t>Which surveillance interval does the programme adopt for observed low-burden disease, and is observation documented as an equal alternative to an immediate analogue?</w:t>
            </w:r>
          </w:p>
        </w:tc>
        <w:tc>
          <w:tcPr>
            <w:tcW w:type="dxa" w:w="2016"/>
            <w:tcW w:w="3080" w:type="dxa"/>
            <w:shd w:val="clear" w:color="auto" w:fill="FFFFFF"/>
          </w:tcPr>
          <w:p>
            <w:pPr>
              <w:spacing w:after="0"/>
            </w:pPr>
            <w:r>
              <w:rPr>
                <w:b w:val="0"/>
                <w:i w:val="0"/>
                <w:sz w:val="19"/>
              </w:rPr>
              <w:t>Observation is a Reasonable alternative (grade B) for asymptomatic, low-volume, radiologically stable disease: imaging every 3 to 4 months at first, about every 6 months once stable, treating on progression…</w:t>
            </w:r>
          </w:p>
        </w:tc>
        <w:tc>
          <w:tcPr>
            <w:tcW w:type="dxa" w:w="2016"/>
            <w:tcW w:w="1500" w:type="dxa"/>
            <w:shd w:val="clear" w:color="auto" w:fill="FFFFFF"/>
          </w:tcPr>
          <w:p>
            <w:pPr>
              <w:spacing w:after="0"/>
            </w:pPr>
            <w:r>
              <w:rPr>
                <w:b w:val="0"/>
                <w:i w:val="0"/>
                <w:color w:val="5A6069"/>
                <w:sz w:val="18"/>
              </w:rPr>
              <w:t>OPEN — not yet decided</w:t>
            </w:r>
          </w:p>
        </w:tc>
      </w:tr>
      <w:tr>
        <w:trPr>
          <w:cantSplit/>
        </w:trPr>
        <w:tc>
          <w:tcPr>
            <w:tcW w:type="dxa" w:w="2016"/>
            <w:tcW w:w="1500" w:type="dxa"/>
            <w:shd w:val="clear" w:color="auto" w:fill="F1F5F8"/>
          </w:tcPr>
          <w:p>
            <w:pPr>
              <w:spacing w:after="0"/>
            </w:pPr>
            <w:r>
              <w:rPr>
                <w:b w:val="0"/>
                <w:i w:val="0"/>
                <w:sz w:val="19"/>
              </w:rPr>
              <w:t>Cancer roadmap</w:t>
            </w:r>
          </w:p>
        </w:tc>
        <w:tc>
          <w:tcPr>
            <w:tcW w:type="dxa" w:w="2016"/>
            <w:tcW w:w="1100" w:type="dxa"/>
            <w:shd w:val="clear" w:color="auto" w:fill="F1F5F8"/>
          </w:tcPr>
          <w:p>
            <w:pPr>
              <w:spacing w:after="0"/>
            </w:pPr>
            <w:r>
              <w:rPr>
                <w:b/>
                <w:i w:val="0"/>
                <w:sz w:val="19"/>
              </w:rPr>
              <w:t>NELM-D14</w:t>
            </w:r>
          </w:p>
        </w:tc>
        <w:tc>
          <w:tcPr>
            <w:tcW w:type="dxa" w:w="2016"/>
            <w:tcW w:w="2900" w:type="dxa"/>
            <w:shd w:val="clear" w:color="auto" w:fill="F1F5F8"/>
          </w:tcPr>
          <w:p>
            <w:pPr>
              <w:spacing w:after="0"/>
            </w:pPr>
            <w:r>
              <w:rPr>
                <w:b w:val="0"/>
                <w:i w:val="0"/>
                <w:sz w:val="19"/>
              </w:rPr>
              <w:t>Who confirms the OPTN imaging-timing wording with the review board before the first NELM filing?</w:t>
            </w:r>
          </w:p>
        </w:tc>
        <w:tc>
          <w:tcPr>
            <w:tcW w:type="dxa" w:w="2016"/>
            <w:tcW w:w="3080" w:type="dxa"/>
            <w:shd w:val="clear" w:color="auto" w:fill="F1F5F8"/>
          </w:tcPr>
          <w:p>
            <w:pPr>
              <w:spacing w:after="0"/>
            </w:pPr>
            <w:r>
              <w:rPr>
                <w:b w:val="0"/>
                <w:i w:val="0"/>
                <w:sz w:val="19"/>
              </w:rPr>
              <w:t>The page reproduces the OPTN wording unchanged rather than rewriting it as within three months, keeps current clinical staging, and confirms the intended timing with the review process before filing.…</w:t>
            </w:r>
          </w:p>
        </w:tc>
        <w:tc>
          <w:tcPr>
            <w:tcW w:type="dxa" w:w="2016"/>
            <w:tcW w:w="1500" w:type="dxa"/>
            <w:shd w:val="clear" w:color="auto" w:fill="F1F5F8"/>
          </w:tcPr>
          <w:p>
            <w:pPr>
              <w:spacing w:after="0"/>
            </w:pPr>
            <w:r>
              <w:rPr>
                <w:b w:val="0"/>
                <w:i w:val="0"/>
                <w:color w:val="5A6069"/>
                <w:sz w:val="18"/>
              </w:rPr>
              <w:t>OPEN — not yet decided</w:t>
            </w:r>
          </w:p>
        </w:tc>
      </w:tr>
      <w:tr>
        <w:trPr>
          <w:cantSplit/>
        </w:trPr>
        <w:tc>
          <w:tcPr>
            <w:tcW w:type="dxa" w:w="2016"/>
            <w:tcW w:w="1500" w:type="dxa"/>
            <w:shd w:val="clear" w:color="auto" w:fill="FFFFFF"/>
          </w:tcPr>
          <w:p>
            <w:pPr>
              <w:spacing w:after="0"/>
            </w:pPr>
            <w:r>
              <w:rPr>
                <w:b w:val="0"/>
                <w:i w:val="0"/>
                <w:sz w:val="19"/>
              </w:rPr>
              <w:t>Standard transplant pathway</w:t>
            </w:r>
          </w:p>
        </w:tc>
        <w:tc>
          <w:tcPr>
            <w:tcW w:type="dxa" w:w="2016"/>
            <w:tcW w:w="1100" w:type="dxa"/>
            <w:shd w:val="clear" w:color="auto" w:fill="FFFFFF"/>
          </w:tcPr>
          <w:p>
            <w:pPr>
              <w:spacing w:after="0"/>
            </w:pPr>
            <w:r>
              <w:rPr>
                <w:b/>
                <w:i w:val="0"/>
                <w:sz w:val="19"/>
              </w:rPr>
              <w:t>NELM G1</w:t>
            </w:r>
          </w:p>
        </w:tc>
        <w:tc>
          <w:tcPr>
            <w:tcW w:type="dxa" w:w="2016"/>
            <w:tcW w:w="2900" w:type="dxa"/>
            <w:shd w:val="clear" w:color="auto" w:fill="FFFFFF"/>
          </w:tcPr>
          <w:p>
            <w:pPr>
              <w:spacing w:after="0"/>
            </w:pPr>
            <w:r>
              <w:rPr>
                <w:b w:val="0"/>
                <w:i w:val="0"/>
                <w:sz w:val="19"/>
              </w:rPr>
              <w:t>How should discordant grade, Ki-67 or an unusual primary be handled?</w:t>
            </w:r>
          </w:p>
        </w:tc>
        <w:tc>
          <w:tcPr>
            <w:tcW w:type="dxa" w:w="2016"/>
            <w:tcW w:w="3080" w:type="dxa"/>
            <w:shd w:val="clear" w:color="auto" w:fill="FFFFFF"/>
          </w:tcPr>
          <w:p>
            <w:pPr>
              <w:spacing w:after="0"/>
            </w:pPr>
            <w:r>
              <w:rPr>
                <w:b w:val="0"/>
                <w:i w:val="0"/>
                <w:sz w:val="19"/>
              </w:rPr>
              <w:t>Obtain expert pathology review and reconcile discordant samples/units. Do not carry a historical G1 label forward if current biology suggests G3 or NEC.</w:t>
            </w:r>
          </w:p>
        </w:tc>
        <w:tc>
          <w:tcPr>
            <w:tcW w:type="dxa" w:w="2016"/>
            <w:tcW w:w="1500" w:type="dxa"/>
            <w:shd w:val="clear" w:color="auto" w:fill="FFFFFF"/>
          </w:tcPr>
          <w:p>
            <w:pPr>
              <w:spacing w:after="0"/>
            </w:pPr>
            <w:r>
              <w:rPr>
                <w:b w:val="0"/>
                <w:i w:val="0"/>
                <w:color w:val="5A6069"/>
                <w:sz w:val="18"/>
              </w:rPr>
              <w:t>Discussion required — not yet approved</w:t>
            </w:r>
          </w:p>
        </w:tc>
      </w:tr>
      <w:tr>
        <w:trPr>
          <w:cantSplit/>
        </w:trPr>
        <w:tc>
          <w:tcPr>
            <w:tcW w:type="dxa" w:w="2016"/>
            <w:tcW w:w="1500" w:type="dxa"/>
            <w:shd w:val="clear" w:color="auto" w:fill="F1F5F8"/>
          </w:tcPr>
          <w:p>
            <w:pPr>
              <w:spacing w:after="0"/>
            </w:pPr>
            <w:r>
              <w:rPr>
                <w:b w:val="0"/>
                <w:i w:val="0"/>
                <w:sz w:val="19"/>
              </w:rPr>
              <w:t>Standard transplant pathway</w:t>
            </w:r>
          </w:p>
        </w:tc>
        <w:tc>
          <w:tcPr>
            <w:tcW w:type="dxa" w:w="2016"/>
            <w:tcW w:w="1100" w:type="dxa"/>
            <w:shd w:val="clear" w:color="auto" w:fill="F1F5F8"/>
          </w:tcPr>
          <w:p>
            <w:pPr>
              <w:spacing w:after="0"/>
            </w:pPr>
            <w:r>
              <w:rPr>
                <w:b/>
                <w:i w:val="0"/>
                <w:sz w:val="19"/>
              </w:rPr>
              <w:t>NELM G2 / G5</w:t>
            </w:r>
          </w:p>
        </w:tc>
        <w:tc>
          <w:tcPr>
            <w:tcW w:type="dxa" w:w="2016"/>
            <w:tcW w:w="2900" w:type="dxa"/>
            <w:shd w:val="clear" w:color="auto" w:fill="F1F5F8"/>
          </w:tcPr>
          <w:p>
            <w:pPr>
              <w:spacing w:after="0"/>
            </w:pPr>
            <w:r>
              <w:rPr>
                <w:b w:val="0"/>
                <w:i w:val="0"/>
                <w:sz w:val="19"/>
              </w:rPr>
              <w:t>Can prior nodal disease be distinguished from active or solid-organ metastasis?</w:t>
            </w:r>
          </w:p>
        </w:tc>
        <w:tc>
          <w:tcPr>
            <w:tcW w:type="dxa" w:w="2016"/>
            <w:tcW w:w="3080" w:type="dxa"/>
            <w:shd w:val="clear" w:color="auto" w:fill="F1F5F8"/>
          </w:tcPr>
          <w:p>
            <w:pPr>
              <w:spacing w:after="0"/>
            </w:pPr>
            <w:r>
              <w:rPr>
                <w:b w:val="0"/>
                <w:i w:val="0"/>
                <w:sz w:val="19"/>
              </w:rPr>
              <w:t>Document treatment of previously involved nodes and the recurrence-free interval separately from current staging. Active nodal disease prevents transplant listing under this approach; treated nodes may be reconsidered under NLRB…</w:t>
            </w:r>
          </w:p>
        </w:tc>
        <w:tc>
          <w:tcPr>
            <w:tcW w:type="dxa" w:w="2016"/>
            <w:tcW w:w="1500" w:type="dxa"/>
            <w:shd w:val="clear" w:color="auto" w:fill="F1F5F8"/>
          </w:tcPr>
          <w:p>
            <w:pPr>
              <w:spacing w:after="0"/>
            </w:pPr>
            <w:r>
              <w:rPr>
                <w:b w:val="0"/>
                <w:i w:val="0"/>
                <w:color w:val="5A6069"/>
                <w:sz w:val="18"/>
              </w:rPr>
              <w:t>Discussion required — not yet approved</w:t>
            </w:r>
          </w:p>
        </w:tc>
      </w:tr>
      <w:tr>
        <w:trPr>
          <w:cantSplit/>
        </w:trPr>
        <w:tc>
          <w:tcPr>
            <w:tcW w:type="dxa" w:w="2016"/>
            <w:tcW w:w="1500" w:type="dxa"/>
            <w:shd w:val="clear" w:color="auto" w:fill="FFFFFF"/>
          </w:tcPr>
          <w:p>
            <w:pPr>
              <w:spacing w:after="0"/>
            </w:pPr>
            <w:r>
              <w:rPr>
                <w:b w:val="0"/>
                <w:i w:val="0"/>
                <w:sz w:val="19"/>
              </w:rPr>
              <w:t>Standard transplant pathway</w:t>
            </w:r>
          </w:p>
        </w:tc>
        <w:tc>
          <w:tcPr>
            <w:tcW w:type="dxa" w:w="2016"/>
            <w:tcW w:w="1100" w:type="dxa"/>
            <w:shd w:val="clear" w:color="auto" w:fill="FFFFFF"/>
          </w:tcPr>
          <w:p>
            <w:pPr>
              <w:spacing w:after="0"/>
            </w:pPr>
            <w:r>
              <w:rPr>
                <w:b/>
                <w:i w:val="0"/>
                <w:sz w:val="19"/>
              </w:rPr>
              <w:t>NELM G3 / G5</w:t>
            </w:r>
          </w:p>
        </w:tc>
        <w:tc>
          <w:tcPr>
            <w:tcW w:type="dxa" w:w="2016"/>
            <w:tcW w:w="2900" w:type="dxa"/>
            <w:shd w:val="clear" w:color="auto" w:fill="FFFFFF"/>
          </w:tcPr>
          <w:p>
            <w:pPr>
              <w:spacing w:after="0"/>
            </w:pPr>
            <w:r>
              <w:rPr>
                <w:b w:val="0"/>
                <w:i w:val="0"/>
                <w:sz w:val="19"/>
              </w:rPr>
              <w:t>Will our local program use Milan-NET age and liver-volume restrictions?</w:t>
            </w:r>
          </w:p>
        </w:tc>
        <w:tc>
          <w:tcPr>
            <w:tcW w:type="dxa" w:w="2016"/>
            <w:tcW w:w="3080" w:type="dxa"/>
            <w:shd w:val="clear" w:color="auto" w:fill="FFFFFF"/>
          </w:tcPr>
          <w:p>
            <w:pPr>
              <w:spacing w:after="0"/>
            </w:pPr>
            <w:r>
              <w:rPr>
                <w:b w:val="0"/>
                <w:i w:val="0"/>
                <w:sz w:val="19"/>
              </w:rPr>
              <w:t>Decide and label local age/burden thresholds explicitly; compare expected transplant benefit with nontransplant options.</w:t>
            </w:r>
          </w:p>
        </w:tc>
        <w:tc>
          <w:tcPr>
            <w:tcW w:type="dxa" w:w="2016"/>
            <w:tcW w:w="1500" w:type="dxa"/>
            <w:shd w:val="clear" w:color="auto" w:fill="FFFFFF"/>
          </w:tcPr>
          <w:p>
            <w:pPr>
              <w:spacing w:after="0"/>
            </w:pPr>
            <w:r>
              <w:rPr>
                <w:b w:val="0"/>
                <w:i w:val="0"/>
                <w:color w:val="5A6069"/>
                <w:sz w:val="18"/>
              </w:rPr>
              <w:t>Discussion required — not yet approved</w:t>
            </w:r>
          </w:p>
        </w:tc>
      </w:tr>
      <w:tr>
        <w:trPr>
          <w:cantSplit/>
        </w:trPr>
        <w:tc>
          <w:tcPr>
            <w:tcW w:type="dxa" w:w="2016"/>
            <w:tcW w:w="1500" w:type="dxa"/>
            <w:shd w:val="clear" w:color="auto" w:fill="F1F5F8"/>
          </w:tcPr>
          <w:p>
            <w:pPr>
              <w:spacing w:after="0"/>
            </w:pPr>
            <w:r>
              <w:rPr>
                <w:b w:val="0"/>
                <w:i w:val="0"/>
                <w:sz w:val="19"/>
              </w:rPr>
              <w:t>Standard transplant pathway</w:t>
            </w:r>
          </w:p>
        </w:tc>
        <w:tc>
          <w:tcPr>
            <w:tcW w:type="dxa" w:w="2016"/>
            <w:tcW w:w="1100" w:type="dxa"/>
            <w:shd w:val="clear" w:color="auto" w:fill="F1F5F8"/>
          </w:tcPr>
          <w:p>
            <w:pPr>
              <w:spacing w:after="0"/>
            </w:pPr>
            <w:r>
              <w:rPr>
                <w:b/>
                <w:i w:val="0"/>
                <w:sz w:val="19"/>
              </w:rPr>
              <w:t>NELM G4</w:t>
            </w:r>
          </w:p>
        </w:tc>
        <w:tc>
          <w:tcPr>
            <w:tcW w:type="dxa" w:w="2016"/>
            <w:tcW w:w="2900" w:type="dxa"/>
            <w:shd w:val="clear" w:color="auto" w:fill="F1F5F8"/>
          </w:tcPr>
          <w:p>
            <w:pPr>
              <w:spacing w:after="0"/>
            </w:pPr>
            <w:r>
              <w:rPr>
                <w:b w:val="0"/>
                <w:i w:val="0"/>
                <w:sz w:val="19"/>
              </w:rPr>
              <w:t>How should PRRT and hepatic radiation/embolization be sequenced?</w:t>
            </w:r>
          </w:p>
        </w:tc>
        <w:tc>
          <w:tcPr>
            <w:tcW w:type="dxa" w:w="2016"/>
            <w:tcW w:w="3080" w:type="dxa"/>
            <w:shd w:val="clear" w:color="auto" w:fill="F1F5F8"/>
          </w:tcPr>
          <w:p>
            <w:pPr>
              <w:spacing w:after="0"/>
            </w:pPr>
            <w:r>
              <w:rPr>
                <w:b w:val="0"/>
                <w:i w:val="0"/>
                <w:sz w:val="19"/>
              </w:rPr>
              <w:t>Require a treatment-exposure and reserve review by nuclear medicine, IR and transplant teams before further liver-directed treatment.</w:t>
            </w:r>
          </w:p>
        </w:tc>
        <w:tc>
          <w:tcPr>
            <w:tcW w:type="dxa" w:w="2016"/>
            <w:tcW w:w="1500" w:type="dxa"/>
            <w:shd w:val="clear" w:color="auto" w:fill="F1F5F8"/>
          </w:tcPr>
          <w:p>
            <w:pPr>
              <w:spacing w:after="0"/>
            </w:pPr>
            <w:r>
              <w:rPr>
                <w:b w:val="0"/>
                <w:i w:val="0"/>
                <w:color w:val="5A6069"/>
                <w:sz w:val="18"/>
              </w:rPr>
              <w:t>Discussion required — not yet approved</w:t>
            </w:r>
          </w:p>
        </w:tc>
      </w:tr>
      <w:tr>
        <w:trPr>
          <w:cantSplit/>
        </w:trPr>
        <w:tc>
          <w:tcPr>
            <w:tcW w:type="dxa" w:w="2016"/>
            <w:tcW w:w="1500" w:type="dxa"/>
            <w:shd w:val="clear" w:color="auto" w:fill="FFFFFF"/>
          </w:tcPr>
          <w:p>
            <w:pPr>
              <w:spacing w:after="0"/>
            </w:pPr>
            <w:r>
              <w:rPr>
                <w:b w:val="0"/>
                <w:i w:val="0"/>
                <w:sz w:val="19"/>
              </w:rPr>
              <w:t>Standard transplant pathway</w:t>
            </w:r>
          </w:p>
        </w:tc>
        <w:tc>
          <w:tcPr>
            <w:tcW w:type="dxa" w:w="2016"/>
            <w:tcW w:w="1100" w:type="dxa"/>
            <w:shd w:val="clear" w:color="auto" w:fill="FFFFFF"/>
          </w:tcPr>
          <w:p>
            <w:pPr>
              <w:spacing w:after="0"/>
            </w:pPr>
            <w:r>
              <w:rPr>
                <w:b/>
                <w:i w:val="0"/>
                <w:sz w:val="19"/>
              </w:rPr>
              <w:t>NELM G5 / G6</w:t>
            </w:r>
          </w:p>
        </w:tc>
        <w:tc>
          <w:tcPr>
            <w:tcW w:type="dxa" w:w="2016"/>
            <w:tcW w:w="2900" w:type="dxa"/>
            <w:shd w:val="clear" w:color="auto" w:fill="FFFFFF"/>
          </w:tcPr>
          <w:p>
            <w:pPr>
              <w:spacing w:after="0"/>
            </w:pPr>
            <w:r>
              <w:rPr>
                <w:b w:val="0"/>
                <w:i w:val="0"/>
                <w:sz w:val="19"/>
              </w:rPr>
              <w:t>How do we interpret the “at least 3 months prior” imaging wording?</w:t>
            </w:r>
          </w:p>
        </w:tc>
        <w:tc>
          <w:tcPr>
            <w:tcW w:type="dxa" w:w="2016"/>
            <w:tcW w:w="3080" w:type="dxa"/>
            <w:shd w:val="clear" w:color="auto" w:fill="FFFFFF"/>
          </w:tcPr>
          <w:p>
            <w:pPr>
              <w:spacing w:after="0"/>
            </w:pPr>
            <w:r>
              <w:rPr>
                <w:b w:val="0"/>
                <w:i w:val="0"/>
                <w:sz w:val="19"/>
              </w:rPr>
              <w:t>Track clearance, control and scan dates separately. Confirm allocation interpretation rather than assuming the wording means a simple maximum scan age.</w:t>
            </w:r>
          </w:p>
        </w:tc>
        <w:tc>
          <w:tcPr>
            <w:tcW w:type="dxa" w:w="2016"/>
            <w:tcW w:w="1500" w:type="dxa"/>
            <w:shd w:val="clear" w:color="auto" w:fill="FFFFFF"/>
          </w:tcPr>
          <w:p>
            <w:pPr>
              <w:spacing w:after="0"/>
            </w:pPr>
            <w:r>
              <w:rPr>
                <w:b w:val="0"/>
                <w:i w:val="0"/>
                <w:color w:val="5A6069"/>
                <w:sz w:val="18"/>
              </w:rPr>
              <w:t>Discussion required — not yet approved</w:t>
            </w:r>
          </w:p>
        </w:tc>
      </w:tr>
      <w:tr>
        <w:trPr>
          <w:cantSplit/>
        </w:trPr>
        <w:tc>
          <w:tcPr>
            <w:tcW w:type="dxa" w:w="2016"/>
            <w:tcW w:w="1500" w:type="dxa"/>
            <w:shd w:val="clear" w:color="auto" w:fill="F1F5F8"/>
          </w:tcPr>
          <w:p>
            <w:pPr>
              <w:spacing w:after="0"/>
            </w:pPr>
            <w:r>
              <w:rPr>
                <w:b w:val="0"/>
                <w:i w:val="0"/>
                <w:sz w:val="19"/>
              </w:rPr>
              <w:t>Standard transplant pathway</w:t>
            </w:r>
          </w:p>
        </w:tc>
        <w:tc>
          <w:tcPr>
            <w:tcW w:type="dxa" w:w="2016"/>
            <w:tcW w:w="1100" w:type="dxa"/>
            <w:shd w:val="clear" w:color="auto" w:fill="F1F5F8"/>
          </w:tcPr>
          <w:p>
            <w:pPr>
              <w:spacing w:after="0"/>
            </w:pPr>
            <w:r>
              <w:rPr>
                <w:b/>
                <w:i w:val="0"/>
                <w:sz w:val="19"/>
              </w:rPr>
              <w:t>NELM G6</w:t>
            </w:r>
          </w:p>
        </w:tc>
        <w:tc>
          <w:tcPr>
            <w:tcW w:type="dxa" w:w="2016"/>
            <w:tcW w:w="2900" w:type="dxa"/>
            <w:shd w:val="clear" w:color="auto" w:fill="F1F5F8"/>
          </w:tcPr>
          <w:p>
            <w:pPr>
              <w:spacing w:after="0"/>
            </w:pPr>
            <w:r>
              <w:rPr>
                <w:b w:val="0"/>
                <w:i w:val="0"/>
                <w:sz w:val="19"/>
              </w:rPr>
              <w:t>Who is responsible for functional restaging and long-term recurrence surveillance?</w:t>
            </w:r>
          </w:p>
        </w:tc>
        <w:tc>
          <w:tcPr>
            <w:tcW w:type="dxa" w:w="2016"/>
            <w:tcW w:w="3080" w:type="dxa"/>
            <w:shd w:val="clear" w:color="auto" w:fill="F1F5F8"/>
          </w:tcPr>
          <w:p>
            <w:pPr>
              <w:spacing w:after="0"/>
            </w:pPr>
            <w:r>
              <w:rPr>
                <w:b w:val="0"/>
                <w:i w:val="0"/>
                <w:sz w:val="19"/>
              </w:rPr>
              <w:t>Assign nuclear-medicine/radiology review, renewal and post-transplant follow-up owners in the local program.</w:t>
            </w:r>
          </w:p>
        </w:tc>
        <w:tc>
          <w:tcPr>
            <w:tcW w:type="dxa" w:w="2016"/>
            <w:tcW w:w="1500" w:type="dxa"/>
            <w:shd w:val="clear" w:color="auto" w:fill="F1F5F8"/>
          </w:tcPr>
          <w:p>
            <w:pPr>
              <w:spacing w:after="0"/>
            </w:pPr>
            <w:r>
              <w:rPr>
                <w:b w:val="0"/>
                <w:i w:val="0"/>
                <w:color w:val="5A6069"/>
                <w:sz w:val="18"/>
              </w:rPr>
              <w:t>Discussion required — not yet approved</w:t>
            </w:r>
          </w:p>
        </w:tc>
      </w:tr>
      <w:tr>
        <w:trPr>
          <w:cantSplit/>
        </w:trPr>
        <w:tc>
          <w:tcPr>
            <w:tcW w:type="dxa" w:w="2016"/>
            <w:tcW w:w="1500" w:type="dxa"/>
            <w:shd w:val="clear" w:color="auto" w:fill="FFFFFF"/>
          </w:tcPr>
          <w:p>
            <w:pPr>
              <w:spacing w:after="0"/>
            </w:pPr>
            <w:r>
              <w:rPr>
                <w:b w:val="0"/>
                <w:i w:val="0"/>
                <w:sz w:val="19"/>
              </w:rPr>
              <w:t>High-risk transplant protocol</w:t>
            </w:r>
          </w:p>
        </w:tc>
        <w:tc>
          <w:tcPr>
            <w:tcW w:type="dxa" w:w="2016"/>
            <w:tcW w:w="1100" w:type="dxa"/>
            <w:shd w:val="clear" w:color="auto" w:fill="FFFFFF"/>
          </w:tcPr>
          <w:p>
            <w:pPr>
              <w:spacing w:after="0"/>
            </w:pPr>
            <w:r>
              <w:rPr>
                <w:b/>
                <w:i w:val="0"/>
                <w:sz w:val="19"/>
              </w:rPr>
              <w:t>NET-B1</w:t>
            </w:r>
          </w:p>
        </w:tc>
        <w:tc>
          <w:tcPr>
            <w:tcW w:type="dxa" w:w="2016"/>
            <w:tcW w:w="2900" w:type="dxa"/>
            <w:shd w:val="clear" w:color="auto" w:fill="FFFFFF"/>
          </w:tcPr>
          <w:p>
            <w:pPr>
              <w:spacing w:after="0"/>
            </w:pPr>
            <w:r>
              <w:rPr>
                <w:b w:val="0"/>
                <w:i w:val="0"/>
                <w:sz w:val="19"/>
              </w:rPr>
              <w:t>Which patients gain enough over modern non-LT treatment?</w:t>
            </w:r>
          </w:p>
        </w:tc>
        <w:tc>
          <w:tcPr>
            <w:tcW w:type="dxa" w:w="2016"/>
            <w:tcW w:w="3080" w:type="dxa"/>
            <w:shd w:val="clear" w:color="auto" w:fill="FFFFFF"/>
          </w:tcPr>
          <w:p>
            <w:pPr>
              <w:spacing w:after="0"/>
            </w:pPr>
            <w:r>
              <w:rPr>
                <w:b w:val="0"/>
                <w:i w:val="0"/>
                <w:sz w:val="19"/>
              </w:rPr>
              <w:t>Require a demonstrable benefit trigger; excellent predicted post-LT survival alone is not enough.</w:t>
            </w:r>
          </w:p>
        </w:tc>
        <w:tc>
          <w:tcPr>
            <w:tcW w:type="dxa" w:w="2016"/>
            <w:tcW w:w="1500" w:type="dxa"/>
            <w:shd w:val="clear" w:color="auto" w:fill="FFFFFF"/>
          </w:tcPr>
          <w:p>
            <w:pPr>
              <w:spacing w:after="0"/>
            </w:pPr>
            <w:r>
              <w:rPr>
                <w:b w:val="0"/>
                <w:i w:val="0"/>
                <w:color w:val="5A6069"/>
                <w:sz w:val="18"/>
              </w:rPr>
              <w:t>Review expected benefit · not activated</w:t>
            </w:r>
          </w:p>
        </w:tc>
      </w:tr>
      <w:tr>
        <w:trPr>
          <w:cantSplit/>
        </w:trPr>
        <w:tc>
          <w:tcPr>
            <w:tcW w:type="dxa" w:w="2016"/>
            <w:tcW w:w="1500" w:type="dxa"/>
            <w:shd w:val="clear" w:color="auto" w:fill="F1F5F8"/>
          </w:tcPr>
          <w:p>
            <w:pPr>
              <w:spacing w:after="0"/>
            </w:pPr>
            <w:r>
              <w:rPr>
                <w:b w:val="0"/>
                <w:i w:val="0"/>
                <w:sz w:val="19"/>
              </w:rPr>
              <w:t>High-risk transplant protocol</w:t>
            </w:r>
          </w:p>
        </w:tc>
        <w:tc>
          <w:tcPr>
            <w:tcW w:type="dxa" w:w="2016"/>
            <w:tcW w:w="1100" w:type="dxa"/>
            <w:shd w:val="clear" w:color="auto" w:fill="F1F5F8"/>
          </w:tcPr>
          <w:p>
            <w:pPr>
              <w:spacing w:after="0"/>
            </w:pPr>
            <w:r>
              <w:rPr>
                <w:b/>
                <w:i w:val="0"/>
                <w:sz w:val="19"/>
              </w:rPr>
              <w:t>NET-B2</w:t>
            </w:r>
          </w:p>
        </w:tc>
        <w:tc>
          <w:tcPr>
            <w:tcW w:type="dxa" w:w="2016"/>
            <w:tcW w:w="2900" w:type="dxa"/>
            <w:shd w:val="clear" w:color="auto" w:fill="F1F5F8"/>
          </w:tcPr>
          <w:p>
            <w:pPr>
              <w:spacing w:after="0"/>
            </w:pPr>
            <w:r>
              <w:rPr>
                <w:b w:val="0"/>
                <w:i w:val="0"/>
                <w:sz w:val="19"/>
              </w:rPr>
              <w:t>What is guideline-aligned versus an expanded-risk proposal?</w:t>
            </w:r>
          </w:p>
        </w:tc>
        <w:tc>
          <w:tcPr>
            <w:tcW w:type="dxa" w:w="2016"/>
            <w:tcW w:w="3080" w:type="dxa"/>
            <w:shd w:val="clear" w:color="auto" w:fill="F1F5F8"/>
          </w:tcPr>
          <w:p>
            <w:pPr>
              <w:spacing w:after="0"/>
            </w:pPr>
            <w:r>
              <w:rPr>
                <w:b w:val="0"/>
                <w:i w:val="0"/>
                <w:sz w:val="19"/>
              </w:rPr>
              <w:t>Activate only well-differentiated G1/G2 disease from a known portal-drained GEP primary; retain a six-month biology test.</w:t>
            </w:r>
          </w:p>
        </w:tc>
        <w:tc>
          <w:tcPr>
            <w:tcW w:type="dxa" w:w="2016"/>
            <w:tcW w:w="1500" w:type="dxa"/>
            <w:shd w:val="clear" w:color="auto" w:fill="F1F5F8"/>
          </w:tcPr>
          <w:p>
            <w:pPr>
              <w:spacing w:after="0"/>
            </w:pPr>
            <w:r>
              <w:rPr>
                <w:b w:val="0"/>
                <w:i w:val="0"/>
                <w:color w:val="5A6069"/>
                <w:sz w:val="18"/>
              </w:rPr>
              <w:t>Review initial selection limits · not activated</w:t>
            </w:r>
          </w:p>
        </w:tc>
      </w:tr>
      <w:tr>
        <w:trPr>
          <w:cantSplit/>
        </w:trPr>
        <w:tc>
          <w:tcPr>
            <w:tcW w:type="dxa" w:w="2016"/>
            <w:tcW w:w="1500" w:type="dxa"/>
            <w:shd w:val="clear" w:color="auto" w:fill="FFFFFF"/>
          </w:tcPr>
          <w:p>
            <w:pPr>
              <w:spacing w:after="0"/>
            </w:pPr>
            <w:r>
              <w:rPr>
                <w:b w:val="0"/>
                <w:i w:val="0"/>
                <w:sz w:val="19"/>
              </w:rPr>
              <w:t>High-risk transplant protocol</w:t>
            </w:r>
          </w:p>
        </w:tc>
        <w:tc>
          <w:tcPr>
            <w:tcW w:type="dxa" w:w="2016"/>
            <w:tcW w:w="1100" w:type="dxa"/>
            <w:shd w:val="clear" w:color="auto" w:fill="FFFFFF"/>
          </w:tcPr>
          <w:p>
            <w:pPr>
              <w:spacing w:after="0"/>
            </w:pPr>
            <w:r>
              <w:rPr>
                <w:b/>
                <w:i w:val="0"/>
                <w:sz w:val="19"/>
              </w:rPr>
              <w:t>NET-B3</w:t>
            </w:r>
          </w:p>
        </w:tc>
        <w:tc>
          <w:tcPr>
            <w:tcW w:type="dxa" w:w="2016"/>
            <w:tcW w:w="2900" w:type="dxa"/>
            <w:shd w:val="clear" w:color="auto" w:fill="FFFFFF"/>
          </w:tcPr>
          <w:p>
            <w:pPr>
              <w:spacing w:after="0"/>
            </w:pPr>
            <w:r>
              <w:rPr>
                <w:b w:val="0"/>
                <w:i w:val="0"/>
                <w:sz w:val="19"/>
              </w:rPr>
              <w:t>Should age or burden remain local selection factors without being called national rules?</w:t>
            </w:r>
          </w:p>
        </w:tc>
        <w:tc>
          <w:tcPr>
            <w:tcW w:type="dxa" w:w="2016"/>
            <w:tcW w:w="3080" w:type="dxa"/>
            <w:shd w:val="clear" w:color="auto" w:fill="FFFFFF"/>
          </w:tcPr>
          <w:p>
            <w:pPr>
              <w:spacing w:after="0"/>
            </w:pPr>
            <w:r>
              <w:rPr>
                <w:b w:val="0"/>
                <w:i w:val="0"/>
                <w:sz w:val="19"/>
              </w:rPr>
              <w:t>Use age as a review trigger, not an absolute exclusion; retain a conservative opening burden and a separately declared expansion band.</w:t>
            </w:r>
          </w:p>
        </w:tc>
        <w:tc>
          <w:tcPr>
            <w:tcW w:type="dxa" w:w="2016"/>
            <w:tcW w:w="1500" w:type="dxa"/>
            <w:shd w:val="clear" w:color="auto" w:fill="FFFFFF"/>
          </w:tcPr>
          <w:p>
            <w:pPr>
              <w:spacing w:after="0"/>
            </w:pPr>
            <w:r>
              <w:rPr>
                <w:b w:val="0"/>
                <w:i w:val="0"/>
                <w:color w:val="5A6069"/>
                <w:sz w:val="18"/>
              </w:rPr>
              <w:t>Individual review · expansion not activated · not activated</w:t>
            </w:r>
          </w:p>
        </w:tc>
      </w:tr>
      <w:tr>
        <w:trPr>
          <w:cantSplit/>
        </w:trPr>
        <w:tc>
          <w:tcPr>
            <w:tcW w:type="dxa" w:w="2016"/>
            <w:tcW w:w="1500" w:type="dxa"/>
            <w:shd w:val="clear" w:color="auto" w:fill="F1F5F8"/>
          </w:tcPr>
          <w:p>
            <w:pPr>
              <w:spacing w:after="0"/>
            </w:pPr>
            <w:r>
              <w:rPr>
                <w:b w:val="0"/>
                <w:i w:val="0"/>
                <w:sz w:val="19"/>
              </w:rPr>
              <w:t>High-risk transplant protocol</w:t>
            </w:r>
          </w:p>
        </w:tc>
        <w:tc>
          <w:tcPr>
            <w:tcW w:type="dxa" w:w="2016"/>
            <w:tcW w:w="1100" w:type="dxa"/>
            <w:shd w:val="clear" w:color="auto" w:fill="F1F5F8"/>
          </w:tcPr>
          <w:p>
            <w:pPr>
              <w:spacing w:after="0"/>
            </w:pPr>
            <w:r>
              <w:rPr>
                <w:b/>
                <w:i w:val="0"/>
                <w:sz w:val="19"/>
              </w:rPr>
              <w:t>NET-B4</w:t>
            </w:r>
          </w:p>
        </w:tc>
        <w:tc>
          <w:tcPr>
            <w:tcW w:type="dxa" w:w="2016"/>
            <w:tcW w:w="2900" w:type="dxa"/>
            <w:shd w:val="clear" w:color="auto" w:fill="F1F5F8"/>
          </w:tcPr>
          <w:p>
            <w:pPr>
              <w:spacing w:after="0"/>
            </w:pPr>
            <w:r>
              <w:rPr>
                <w:b w:val="0"/>
                <w:i w:val="0"/>
                <w:sz w:val="19"/>
              </w:rPr>
              <w:t>Which previously treated extrahepatic NET sites may enter the transplant route: resected regional nodes only, or also distant nodes and a solitary treated bone lesion as ENETS 2026 suggests?</w:t>
            </w:r>
          </w:p>
        </w:tc>
        <w:tc>
          <w:tcPr>
            <w:tcW w:type="dxa" w:w="2016"/>
            <w:tcW w:w="3080" w:type="dxa"/>
            <w:shd w:val="clear" w:color="auto" w:fill="F1F5F8"/>
          </w:tcPr>
          <w:p>
            <w:pPr>
              <w:spacing w:after="0"/>
            </w:pPr>
            <w:r>
              <w:rPr>
                <w:b w:val="0"/>
                <w:i w:val="0"/>
                <w:sz w:val="19"/>
              </w:rPr>
              <w:t>Allow previously resected nodal disease after complete clearance and ≥6 months without recurrence. Keep previous lung, bone or other solid-organ metastases closed. Nodal disease cleared only by non-surgical treatment needs…</w:t>
            </w:r>
          </w:p>
        </w:tc>
        <w:tc>
          <w:tcPr>
            <w:tcW w:type="dxa" w:w="2016"/>
            <w:tcW w:w="1500" w:type="dxa"/>
            <w:shd w:val="clear" w:color="auto" w:fill="F1F5F8"/>
          </w:tcPr>
          <w:p>
            <w:pPr>
              <w:spacing w:after="0"/>
            </w:pPr>
            <w:r>
              <w:rPr>
                <w:b w:val="0"/>
                <w:i w:val="0"/>
                <w:color w:val="5A6069"/>
                <w:sz w:val="18"/>
              </w:rPr>
              <w:t>Resected nodes only, after clearance · not activated</w:t>
            </w:r>
          </w:p>
        </w:tc>
      </w:tr>
    </w:tbl>
    <w:p>
      <w:pPr>
        <w:spacing w:after="40"/>
      </w:pPr>
    </w:p>
    <w:p>
      <w:pPr>
        <w:pStyle w:val="Heading1"/>
        <w:keepNext/>
        <w:spacing w:before="280" w:after="80"/>
      </w:pPr>
      <w:r>
        <w:rPr>
          <w:b w:val="0"/>
          <w:i w:val="0"/>
        </w:rPr>
        <w:t>Part 1. Cancer roadmap</w:t>
      </w:r>
    </w:p>
    <w:p>
      <w:pPr>
        <w:spacing w:after="80"/>
      </w:pPr>
      <w:r>
        <w:rPr>
          <w:b w:val="0"/>
          <w:i w:val="0"/>
          <w:color w:val="5A6069"/>
          <w:sz w:val="18"/>
        </w:rPr>
        <w:t>Web page: https://drliuhao.github.io/mh-liver-pathways/nelm/#questions</w:t>
      </w:r>
    </w:p>
    <w:p>
      <w:pPr>
        <w:pStyle w:val="Heading2"/>
        <w:keepNext/>
        <w:spacing w:before="200" w:after="80"/>
      </w:pPr>
      <w:r>
        <w:rPr>
          <w:b w:val="0"/>
          <w:i w:val="0"/>
        </w:rPr>
        <w:t>NELM-R1 — Liver surgery when extrahepatic disease is present or treated</w:t>
      </w:r>
    </w:p>
    <w:p>
      <w:pPr>
        <w:spacing w:after="80"/>
      </w:pPr>
      <w:r>
        <w:rPr>
          <w:b w:val="0"/>
          <w:i w:val="0"/>
          <w:color w:val="5A6069"/>
          <w:sz w:val="18"/>
        </w:rPr>
        <w:t>Proposed · OPEN proposal · Clinical</w:t>
      </w:r>
    </w:p>
    <w:p>
      <w:pPr>
        <w:spacing w:after="80"/>
      </w:pPr>
      <w:r>
        <w:rPr>
          <w:b/>
          <w:i w:val="0"/>
        </w:rPr>
        <w:t xml:space="preserve">Question: </w:t>
      </w:r>
      <w:r>
        <w:rPr>
          <w:b w:val="0"/>
          <w:i w:val="0"/>
        </w:rPr>
        <w:t>Does present or previously treated extrahepatic disease preclude liver cytoreduction or resection for well-differentiated NET liver metastases?</w:t>
      </w:r>
    </w:p>
    <w:p>
      <w:pPr>
        <w:spacing w:after="120"/>
      </w:pPr>
      <w:r>
        <w:rPr>
          <w:b/>
          <w:i w:val="0"/>
          <w:sz w:val="18"/>
        </w:rPr>
        <w:t xml:space="preserve">Web page: </w:t>
      </w:r>
      <w:hyperlink r:id="rId6">
        <w:r>
          <w:rPr>
            <w:color w:val="0563C1"/>
            <w:u w:val="single"/>
            <w:sz w:val="18"/>
          </w:rPr>
          <w:t xml:space="preserve">open this question on the website</w:t>
        </w:r>
      </w:hyperlink>
    </w:p>
    <w:p>
      <w:pPr>
        <w:pStyle w:val="Heading3"/>
        <w:keepNext/>
        <w:spacing w:before="120" w:after="80"/>
      </w:pPr>
      <w:r>
        <w:rPr>
          <w:b w:val="0"/>
          <w:i w:val="0"/>
        </w:rPr>
        <w:t>Positions of guidelines, trials and papers</w:t>
      </w:r>
    </w:p>
    <w:p>
      <w:pPr>
        <w:pStyle w:val="Heading3"/>
        <w:keepNext/>
        <w:spacing w:before="120" w:after="80"/>
      </w:pPr>
      <w:r>
        <w:rPr>
          <w:b w:val="0"/>
          <w:i w:val="0"/>
        </w:rPr>
        <w:t>Evidence</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000"/>
        <w:gridCol w:w="3900"/>
        <w:gridCol w:w="4180"/>
      </w:tblGrid>
      <w:tr>
        <w:trPr>
          <w:tblHeader/>
        </w:trPr>
        <w:tc>
          <w:tcPr>
            <w:tcW w:type="dxa" w:w="3360"/>
            <w:tcW w:w="2000" w:type="dxa"/>
            <w:shd w:val="clear" w:color="auto" w:fill="17365D"/>
          </w:tcPr>
          <w:p>
            <w:r>
              <w:rPr>
                <w:b/>
                <w:i w:val="0"/>
                <w:color w:val="FFFFFF"/>
                <w:sz w:val="19"/>
              </w:rPr>
              <w:t>Source</w:t>
            </w:r>
          </w:p>
        </w:tc>
        <w:tc>
          <w:tcPr>
            <w:tcW w:type="dxa" w:w="3360"/>
            <w:tcW w:w="3900" w:type="dxa"/>
            <w:shd w:val="clear" w:color="auto" w:fill="17365D"/>
          </w:tcPr>
          <w:p>
            <w:r>
              <w:rPr>
                <w:b/>
                <w:i w:val="0"/>
                <w:color w:val="FFFFFF"/>
                <w:sz w:val="19"/>
              </w:rPr>
              <w:t>Population and selection</w:t>
            </w:r>
          </w:p>
        </w:tc>
        <w:tc>
          <w:tcPr>
            <w:tcW w:type="dxa" w:w="3360"/>
            <w:tcW w:w="4180" w:type="dxa"/>
            <w:shd w:val="clear" w:color="auto" w:fill="17365D"/>
          </w:tcPr>
          <w:p>
            <w:r>
              <w:rPr>
                <w:b/>
                <w:i w:val="0"/>
                <w:color w:val="FFFFFF"/>
                <w:sz w:val="19"/>
              </w:rPr>
              <w:t>Results, limits and location</w:t>
            </w:r>
          </w:p>
        </w:tc>
      </w:tr>
      <w:tr>
        <w:trPr>
          <w:cantSplit/>
        </w:trPr>
        <w:tc>
          <w:tcPr>
            <w:tcW w:type="dxa" w:w="3360"/>
            <w:tcW w:w="2000" w:type="dxa"/>
            <w:shd w:val="clear" w:color="auto" w:fill="F1F5F8"/>
          </w:tcPr>
          <w:p>
            <w:pPr>
              <w:spacing w:after="0"/>
            </w:pPr>
            <w:r>
              <w:rPr>
                <w:b/>
                <w:i w:val="0"/>
                <w:sz w:val="19"/>
              </w:rPr>
              <w:t>NANETS 2017 · small-bowel NET surgery</w:t>
            </w:r>
          </w:p>
          <w:p>
            <w:pPr>
              <w:spacing w:after="0"/>
            </w:pPr>
            <w:r>
              <w:rPr>
                <w:b w:val="0"/>
                <w:i w:val="0"/>
                <w:color w:val="5A6069"/>
                <w:sz w:val="18"/>
              </w:rPr>
              <w:t>Full text read</w:t>
            </w:r>
          </w:p>
        </w:tc>
        <w:tc>
          <w:tcPr>
            <w:tcW w:type="dxa" w:w="3360"/>
            <w:tcW w:w="3900" w:type="dxa"/>
            <w:shd w:val="clear" w:color="auto" w:fill="F1F5F8"/>
          </w:tcPr>
          <w:p>
            <w:pPr>
              <w:spacing w:after="0"/>
            </w:pPr>
            <w:r>
              <w:rPr>
                <w:b w:val="0"/>
                <w:i w:val="0"/>
                <w:sz w:val="19"/>
              </w:rPr>
              <w:t>NANETS small-bowel NET consensus. Recommendation 5d: extrahepatic disease is not an absolute contraindication to cytoreduction; 5c: patients with extrahepatic disease may be eligible for liver debulking when ≥70% debulking is achievable.</w:t>
            </w:r>
          </w:p>
        </w:tc>
        <w:tc>
          <w:tcPr>
            <w:tcW w:type="dxa" w:w="3360"/>
            <w:tcW w:w="4180" w:type="dxa"/>
            <w:shd w:val="clear" w:color="auto" w:fill="F1F5F8"/>
          </w:tcPr>
          <w:p>
            <w:pPr>
              <w:spacing w:after="0"/>
            </w:pPr>
            <w:r>
              <w:rPr>
                <w:b w:val="0"/>
                <w:i w:val="0"/>
                <w:sz w:val="19"/>
              </w:rPr>
              <w:t>Distant nodes resected only in select cases (threatening vital structures, or to achieve no evidence of disease).</w:t>
            </w:r>
          </w:p>
          <w:p>
            <w:pPr>
              <w:spacing w:after="0"/>
            </w:pPr>
            <w:r>
              <w:rPr>
                <w:b w:val="0"/>
                <w:i/>
                <w:sz w:val="19"/>
              </w:rPr>
              <w:t>Limits: Expert consensus.</w:t>
            </w:r>
          </w:p>
          <w:p>
            <w:pPr>
              <w:spacing w:after="0"/>
            </w:pPr>
            <w:r>
              <w:rPr>
                <w:b w:val="0"/>
                <w:i w:val="0"/>
                <w:color w:val="5A6069"/>
                <w:sz w:val="18"/>
              </w:rPr>
              <w:t>Pancreas 2017; Recommendations 3c, 5c, 5d.</w:t>
            </w:r>
          </w:p>
        </w:tc>
      </w:tr>
      <w:tr>
        <w:trPr>
          <w:cantSplit/>
        </w:trPr>
        <w:tc>
          <w:tcPr>
            <w:tcW w:type="dxa" w:w="3360"/>
            <w:tcW w:w="2000" w:type="dxa"/>
            <w:shd w:val="clear" w:color="auto" w:fill="FFFFFF"/>
          </w:tcPr>
          <w:p>
            <w:pPr>
              <w:spacing w:after="0"/>
            </w:pPr>
            <w:r>
              <w:rPr>
                <w:b/>
                <w:i w:val="0"/>
                <w:sz w:val="19"/>
              </w:rPr>
              <w:t>Gudmundsdottir 2023 · cytoreductive hepatectomy</w:t>
            </w:r>
          </w:p>
          <w:p>
            <w:pPr>
              <w:spacing w:after="0"/>
            </w:pPr>
            <w:r>
              <w:rPr>
                <w:b w:val="0"/>
                <w:i w:val="0"/>
                <w:color w:val="5A6069"/>
                <w:sz w:val="18"/>
              </w:rPr>
              <w:t>Full text read</w:t>
            </w:r>
          </w:p>
        </w:tc>
        <w:tc>
          <w:tcPr>
            <w:tcW w:type="dxa" w:w="3360"/>
            <w:tcW w:w="3900" w:type="dxa"/>
            <w:shd w:val="clear" w:color="auto" w:fill="FFFFFF"/>
          </w:tcPr>
          <w:p>
            <w:pPr>
              <w:spacing w:after="0"/>
            </w:pPr>
            <w:r>
              <w:rPr>
                <w:b w:val="0"/>
                <w:i w:val="0"/>
                <w:sz w:val="19"/>
              </w:rPr>
              <w:t>Mayo, 546 cytoreductive hepatectomies. Extrahepatic distant metastases in 16% (peritoneum, bone).</w:t>
            </w:r>
          </w:p>
        </w:tc>
        <w:tc>
          <w:tcPr>
            <w:tcW w:type="dxa" w:w="3360"/>
            <w:tcW w:w="4180" w:type="dxa"/>
            <w:shd w:val="clear" w:color="auto" w:fill="FFFFFF"/>
          </w:tcPr>
          <w:p>
            <w:pPr>
              <w:spacing w:after="0"/>
            </w:pPr>
            <w:r>
              <w:rPr>
                <w:b w:val="0"/>
                <w:i w:val="0"/>
                <w:sz w:val="19"/>
              </w:rPr>
              <w:t>Associated with worse overall survival, not progression-free survival; median survival 122 months overall.</w:t>
            </w:r>
          </w:p>
          <w:p>
            <w:pPr>
              <w:spacing w:after="0"/>
            </w:pPr>
            <w:r>
              <w:rPr>
                <w:b w:val="0"/>
                <w:i/>
                <w:sz w:val="19"/>
              </w:rPr>
              <w:t>Limits: Tables unavailable.</w:t>
            </w:r>
          </w:p>
          <w:p>
            <w:pPr>
              <w:spacing w:after="0"/>
            </w:pPr>
            <w:r>
              <w:rPr>
                <w:b w:val="0"/>
                <w:i w:val="0"/>
                <w:color w:val="5A6069"/>
                <w:sz w:val="18"/>
              </w:rPr>
              <w:t>Ann Surg Oncol 2023; Results.</w:t>
            </w:r>
          </w:p>
        </w:tc>
      </w:tr>
      <w:tr>
        <w:trPr>
          <w:cantSplit/>
        </w:trPr>
        <w:tc>
          <w:tcPr>
            <w:tcW w:type="dxa" w:w="3360"/>
            <w:tcW w:w="2000" w:type="dxa"/>
            <w:shd w:val="clear" w:color="auto" w:fill="F1F5F8"/>
          </w:tcPr>
          <w:p>
            <w:pPr>
              <w:spacing w:after="0"/>
            </w:pPr>
            <w:r>
              <w:rPr>
                <w:b/>
                <w:i w:val="0"/>
                <w:sz w:val="19"/>
              </w:rPr>
              <w:t>Mahuron 2024 · NET liver metastases with EHD</w:t>
            </w:r>
          </w:p>
          <w:p>
            <w:pPr>
              <w:spacing w:after="0"/>
            </w:pPr>
            <w:r>
              <w:rPr>
                <w:b w:val="0"/>
                <w:i w:val="0"/>
                <w:color w:val="5A6069"/>
                <w:sz w:val="18"/>
              </w:rPr>
              <w:t>Full text read</w:t>
            </w:r>
          </w:p>
        </w:tc>
        <w:tc>
          <w:tcPr>
            <w:tcW w:type="dxa" w:w="3360"/>
            <w:tcW w:w="3900" w:type="dxa"/>
            <w:shd w:val="clear" w:color="auto" w:fill="F1F5F8"/>
          </w:tcPr>
          <w:p>
            <w:pPr>
              <w:spacing w:after="0"/>
            </w:pPr>
            <w:r>
              <w:rPr>
                <w:b w:val="0"/>
                <w:i w:val="0"/>
                <w:sz w:val="19"/>
              </w:rPr>
              <w:t>California registry, 327 with extrahepatic disease. Nodes not counted as extrahepatic.</w:t>
            </w:r>
          </w:p>
        </w:tc>
        <w:tc>
          <w:tcPr>
            <w:tcW w:type="dxa" w:w="3360"/>
            <w:tcW w:w="4180" w:type="dxa"/>
            <w:shd w:val="clear" w:color="auto" w:fill="F1F5F8"/>
          </w:tcPr>
          <w:p>
            <w:pPr>
              <w:spacing w:after="0"/>
            </w:pPr>
            <w:r>
              <w:rPr>
                <w:b w:val="0"/>
                <w:i w:val="0"/>
                <w:sz w:val="19"/>
              </w:rPr>
              <w:t>Liver resection (n=23): 5-year survival 78%; non-surgical liver-directed therapy median survival 13 vs 16 months with none (not formally compared; the authors read liver-directed therapy favourably).</w:t>
            </w:r>
          </w:p>
          <w:p>
            <w:pPr>
              <w:spacing w:after="0"/>
            </w:pPr>
            <w:r>
              <w:rPr>
                <w:b w:val="0"/>
                <w:i/>
                <w:sz w:val="19"/>
              </w:rPr>
              <w:t>Limits: Univariate; billing codes.</w:t>
            </w:r>
          </w:p>
          <w:p>
            <w:pPr>
              <w:spacing w:after="0"/>
            </w:pPr>
            <w:r>
              <w:rPr>
                <w:b w:val="0"/>
                <w:i w:val="0"/>
                <w:color w:val="5A6069"/>
                <w:sz w:val="18"/>
              </w:rPr>
              <w:t>J Clin Med 2024; Results.</w:t>
            </w:r>
          </w:p>
        </w:tc>
      </w:tr>
      <w:tr>
        <w:trPr>
          <w:cantSplit/>
        </w:trPr>
        <w:tc>
          <w:tcPr>
            <w:tcW w:type="dxa" w:w="3360"/>
            <w:tcW w:w="2000" w:type="dxa"/>
            <w:shd w:val="clear" w:color="auto" w:fill="FFFFFF"/>
          </w:tcPr>
          <w:p>
            <w:pPr>
              <w:spacing w:after="0"/>
            </w:pPr>
            <w:r>
              <w:rPr>
                <w:b/>
                <w:i w:val="0"/>
                <w:sz w:val="19"/>
              </w:rPr>
              <w:t>Wedin 2025 · bone metastases in SI-NET</w:t>
            </w:r>
          </w:p>
          <w:p>
            <w:pPr>
              <w:spacing w:after="0"/>
            </w:pPr>
            <w:r>
              <w:rPr>
                <w:b w:val="0"/>
                <w:i w:val="0"/>
                <w:color w:val="5A6069"/>
                <w:sz w:val="18"/>
              </w:rPr>
              <w:t>Full text read</w:t>
            </w:r>
          </w:p>
        </w:tc>
        <w:tc>
          <w:tcPr>
            <w:tcW w:type="dxa" w:w="3360"/>
            <w:tcW w:w="3900" w:type="dxa"/>
            <w:shd w:val="clear" w:color="auto" w:fill="FFFFFF"/>
          </w:tcPr>
          <w:p>
            <w:pPr>
              <w:spacing w:after="0"/>
            </w:pPr>
            <w:r>
              <w:rPr>
                <w:b w:val="0"/>
                <w:i w:val="0"/>
                <w:sz w:val="19"/>
              </w:rPr>
              <w:t>Bone metastases in SI-NET. On SSTR-PET.</w:t>
            </w:r>
          </w:p>
        </w:tc>
        <w:tc>
          <w:tcPr>
            <w:tcW w:type="dxa" w:w="3360"/>
            <w:tcW w:w="4180" w:type="dxa"/>
            <w:shd w:val="clear" w:color="auto" w:fill="FFFFFF"/>
          </w:tcPr>
          <w:p>
            <w:pPr>
              <w:spacing w:after="0"/>
            </w:pPr>
            <w:r>
              <w:rPr>
                <w:b w:val="0"/>
                <w:i w:val="0"/>
                <w:sz w:val="19"/>
              </w:rPr>
              <w:t>Any bone metastasis HR 1.94; &gt;5 lesions median survival 18 vs 75 months.</w:t>
            </w:r>
          </w:p>
          <w:p>
            <w:pPr>
              <w:spacing w:after="0"/>
            </w:pPr>
            <w:r>
              <w:rPr>
                <w:b w:val="0"/>
                <w:i/>
                <w:sz w:val="19"/>
              </w:rPr>
              <w:t>Limits: No curative bone treatment.</w:t>
            </w:r>
          </w:p>
          <w:p>
            <w:pPr>
              <w:spacing w:after="0"/>
            </w:pPr>
            <w:r>
              <w:rPr>
                <w:b w:val="0"/>
                <w:i w:val="0"/>
                <w:color w:val="5A6069"/>
                <w:sz w:val="18"/>
              </w:rPr>
              <w:t>J Neuroendocrinol 2025.</w:t>
            </w:r>
          </w:p>
        </w:tc>
      </w:tr>
      <w:tr>
        <w:trPr>
          <w:cantSplit/>
        </w:trPr>
        <w:tc>
          <w:tcPr>
            <w:tcW w:type="dxa" w:w="3360"/>
            <w:tcW w:w="2000" w:type="dxa"/>
            <w:shd w:val="clear" w:color="auto" w:fill="F1F5F8"/>
          </w:tcPr>
          <w:p>
            <w:pPr>
              <w:spacing w:after="0"/>
            </w:pPr>
            <w:r>
              <w:rPr>
                <w:b/>
                <w:i w:val="0"/>
                <w:sz w:val="19"/>
              </w:rPr>
              <w:t>Xiang 2018 · NF-NELM resection</w:t>
            </w:r>
          </w:p>
          <w:p>
            <w:pPr>
              <w:spacing w:after="0"/>
            </w:pPr>
            <w:r>
              <w:rPr>
                <w:b w:val="0"/>
                <w:i w:val="0"/>
                <w:color w:val="5A6069"/>
                <w:sz w:val="18"/>
              </w:rPr>
              <w:t>Abstract only; full text pending</w:t>
            </w:r>
          </w:p>
        </w:tc>
        <w:tc>
          <w:tcPr>
            <w:tcW w:type="dxa" w:w="3360"/>
            <w:tcW w:w="3900" w:type="dxa"/>
            <w:shd w:val="clear" w:color="auto" w:fill="F1F5F8"/>
          </w:tcPr>
          <w:p>
            <w:pPr>
              <w:spacing w:after="0"/>
            </w:pPr>
            <w:r>
              <w:rPr>
                <w:b w:val="0"/>
                <w:i w:val="0"/>
                <w:sz w:val="19"/>
              </w:rPr>
              <w:t>Multi-institutional, 332 NF-NELM. Resection.</w:t>
            </w:r>
          </w:p>
        </w:tc>
        <w:tc>
          <w:tcPr>
            <w:tcW w:type="dxa" w:w="3360"/>
            <w:tcW w:w="4180" w:type="dxa"/>
            <w:shd w:val="clear" w:color="auto" w:fill="F1F5F8"/>
          </w:tcPr>
          <w:p>
            <w:pPr>
              <w:spacing w:after="0"/>
            </w:pPr>
            <w:r>
              <w:rPr>
                <w:b w:val="0"/>
                <w:i w:val="0"/>
                <w:sz w:val="19"/>
              </w:rPr>
              <w:t>Extrahepatic metastasis HR 3.9 for death.</w:t>
            </w:r>
          </w:p>
          <w:p>
            <w:pPr>
              <w:spacing w:after="0"/>
            </w:pPr>
            <w:r>
              <w:rPr>
                <w:b w:val="0"/>
                <w:i/>
                <w:sz w:val="19"/>
              </w:rPr>
              <w:t>Limits: Not split by treated vs untreated.</w:t>
            </w:r>
          </w:p>
          <w:p>
            <w:pPr>
              <w:spacing w:after="0"/>
            </w:pPr>
            <w:r>
              <w:rPr>
                <w:b w:val="0"/>
                <w:i w:val="0"/>
                <w:color w:val="5A6069"/>
                <w:sz w:val="18"/>
              </w:rPr>
              <w:t>Ann Surg Oncol 2018 (abstract; full text pending).</w:t>
            </w:r>
          </w:p>
        </w:tc>
      </w:tr>
      <w:tr>
        <w:trPr>
          <w:cantSplit/>
        </w:trPr>
        <w:tc>
          <w:tcPr>
            <w:tcW w:type="dxa" w:w="3360"/>
            <w:tcW w:w="2000" w:type="dxa"/>
            <w:shd w:val="clear" w:color="auto" w:fill="FFFFFF"/>
          </w:tcPr>
          <w:p>
            <w:pPr>
              <w:spacing w:after="0"/>
            </w:pPr>
            <w:r>
              <w:rPr>
                <w:b/>
                <w:i w:val="0"/>
                <w:sz w:val="19"/>
              </w:rPr>
              <w:t>Spolverato 2017 · recurrence after NELM surgery</w:t>
            </w:r>
          </w:p>
          <w:p>
            <w:pPr>
              <w:spacing w:after="0"/>
            </w:pPr>
            <w:r>
              <w:rPr>
                <w:b w:val="0"/>
                <w:i w:val="0"/>
                <w:color w:val="5A6069"/>
                <w:sz w:val="18"/>
              </w:rPr>
              <w:t>Abstract only; full text pending</w:t>
            </w:r>
          </w:p>
        </w:tc>
        <w:tc>
          <w:tcPr>
            <w:tcW w:type="dxa" w:w="3360"/>
            <w:tcW w:w="3900" w:type="dxa"/>
            <w:shd w:val="clear" w:color="auto" w:fill="FFFFFF"/>
          </w:tcPr>
          <w:p>
            <w:pPr>
              <w:spacing w:after="0"/>
            </w:pPr>
            <w:r>
              <w:rPr>
                <w:b w:val="0"/>
                <w:i w:val="0"/>
                <w:sz w:val="19"/>
              </w:rPr>
              <w:t>International, 322 NELM operations. Recurrence sites.</w:t>
            </w:r>
          </w:p>
        </w:tc>
        <w:tc>
          <w:tcPr>
            <w:tcW w:type="dxa" w:w="3360"/>
            <w:tcW w:w="4180" w:type="dxa"/>
            <w:shd w:val="clear" w:color="auto" w:fill="FFFFFF"/>
          </w:tcPr>
          <w:p>
            <w:pPr>
              <w:spacing w:after="0"/>
            </w:pPr>
            <w:r>
              <w:rPr>
                <w:b w:val="0"/>
                <w:i w:val="0"/>
                <w:sz w:val="19"/>
              </w:rPr>
              <w:t>10-year survival 0% with extrahepatic-only recurrence.</w:t>
            </w:r>
          </w:p>
          <w:p>
            <w:pPr>
              <w:spacing w:after="0"/>
            </w:pPr>
            <w:r>
              <w:rPr>
                <w:b w:val="0"/>
                <w:i/>
                <w:sz w:val="19"/>
              </w:rPr>
              <w:t>Limits: Small subgroup.</w:t>
            </w:r>
          </w:p>
          <w:p>
            <w:pPr>
              <w:spacing w:after="0"/>
            </w:pPr>
            <w:r>
              <w:rPr>
                <w:b w:val="0"/>
                <w:i w:val="0"/>
                <w:color w:val="5A6069"/>
                <w:sz w:val="18"/>
              </w:rPr>
              <w:t>J Surg Oncol 2017 (abstract; full text pending).</w:t>
            </w:r>
          </w:p>
        </w:tc>
      </w:tr>
      <w:tr>
        <w:trPr>
          <w:cantSplit/>
        </w:trPr>
        <w:tc>
          <w:tcPr>
            <w:tcW w:type="dxa" w:w="3360"/>
            <w:tcW w:w="2000" w:type="dxa"/>
            <w:shd w:val="clear" w:color="auto" w:fill="F1F5F8"/>
          </w:tcPr>
          <w:p>
            <w:pPr>
              <w:spacing w:after="0"/>
            </w:pPr>
            <w:r>
              <w:rPr>
                <w:b/>
                <w:i w:val="0"/>
                <w:sz w:val="19"/>
              </w:rPr>
              <w:t>Chan 2018 · cytoreduction with EHD</w:t>
            </w:r>
          </w:p>
          <w:p>
            <w:pPr>
              <w:spacing w:after="0"/>
            </w:pPr>
            <w:r>
              <w:rPr>
                <w:b w:val="0"/>
                <w:i w:val="0"/>
                <w:color w:val="5A6069"/>
                <w:sz w:val="18"/>
              </w:rPr>
              <w:t>Abstract only; full text pending</w:t>
            </w:r>
          </w:p>
        </w:tc>
        <w:tc>
          <w:tcPr>
            <w:tcW w:type="dxa" w:w="3360"/>
            <w:tcW w:w="3900" w:type="dxa"/>
            <w:shd w:val="clear" w:color="auto" w:fill="F1F5F8"/>
          </w:tcPr>
          <w:p>
            <w:pPr>
              <w:spacing w:after="0"/>
            </w:pPr>
            <w:r>
              <w:rPr>
                <w:b w:val="0"/>
                <w:i w:val="0"/>
                <w:sz w:val="19"/>
              </w:rPr>
              <w:t>Single centre, 55 cytoreductions with extrahepatic disease. 87% combined intra- and extrahepatic.</w:t>
            </w:r>
          </w:p>
        </w:tc>
        <w:tc>
          <w:tcPr>
            <w:tcW w:type="dxa" w:w="3360"/>
            <w:tcW w:w="4180" w:type="dxa"/>
            <w:shd w:val="clear" w:color="auto" w:fill="F1F5F8"/>
          </w:tcPr>
          <w:p>
            <w:pPr>
              <w:spacing w:after="0"/>
            </w:pPr>
            <w:r>
              <w:rPr>
                <w:b w:val="0"/>
                <w:i w:val="0"/>
                <w:sz w:val="19"/>
              </w:rPr>
              <w:t>Major morbidity 18%, mortality 3.6%.</w:t>
            </w:r>
          </w:p>
          <w:p>
            <w:pPr>
              <w:spacing w:after="0"/>
            </w:pPr>
            <w:r>
              <w:rPr>
                <w:b w:val="0"/>
                <w:i/>
                <w:sz w:val="19"/>
              </w:rPr>
              <w:t>Limits: No comparator.</w:t>
            </w:r>
          </w:p>
          <w:p>
            <w:pPr>
              <w:spacing w:after="0"/>
            </w:pPr>
            <w:r>
              <w:rPr>
                <w:b w:val="0"/>
                <w:i w:val="0"/>
                <w:color w:val="5A6069"/>
                <w:sz w:val="18"/>
              </w:rPr>
              <w:t>Ann Surg Oncol 2018 (abstract; full text pending).</w:t>
            </w:r>
          </w:p>
        </w:tc>
      </w:tr>
    </w:tbl>
    <w:p>
      <w:pPr>
        <w:spacing w:after="40"/>
      </w:pPr>
    </w:p>
    <w:p>
      <w:pPr>
        <w:pStyle w:val="Heading3"/>
        <w:keepNext/>
        <w:spacing w:before="120" w:after="80"/>
      </w:pPr>
      <w:r>
        <w:rPr>
          <w:b w:val="0"/>
          <w:i w:val="0"/>
        </w:rPr>
        <w:t>Our proposed selection (OPEN)</w:t>
      </w:r>
    </w:p>
    <w:p>
      <w:pPr>
        <w:spacing w:after="80"/>
      </w:pPr>
      <w:r>
        <w:rPr>
          <w:b w:val="0"/>
          <w:i w:val="0"/>
        </w:rPr>
        <w:t>Extrahepatic disease does not by itself preclude hepatic cytoreduction or resection of the primary for well-differentiated G1–G2 disease when at least 70% of liver disease can be removed or treated and accessible extrahepatic disease can be resected at the same time. Frame it as life-prolonging debulking; extrahepatic disease is associated with shorter survival in most, but not all, series (NANETS describes the data as conflicting).</w:t>
      </w:r>
    </w:p>
    <w:p>
      <w:pPr>
        <w:numPr>
          <w:ilvl w:val="0"/>
          <w:numId w:val="5"/>
        </w:numPr>
        <w:spacing w:after="40"/>
      </w:pPr>
      <w:r>
        <w:rPr>
          <w:b w:val="0"/>
          <w:i w:val="0"/>
        </w:rPr>
        <w:t>Proceed when ≥70% debulking is achievable and accessible extrahepatic disease (mesenteric nodes, limited peritoneal deposits) can be removed; resect distant nodes only when this renders the patient free of visible disease.</w:t>
      </w:r>
    </w:p>
    <w:p>
      <w:pPr>
        <w:numPr>
          <w:ilvl w:val="0"/>
          <w:numId w:val="5"/>
        </w:numPr>
        <w:spacing w:after="40"/>
      </w:pPr>
      <w:r>
        <w:rPr>
          <w:b w:val="0"/>
          <w:i w:val="0"/>
        </w:rPr>
        <w:t>Bone metastases are an adverse modifier, not an automatic exclusion; diffuse skeletal, brain or unresectable mesenteric-root disease argue against surgery.</w:t>
      </w:r>
    </w:p>
    <w:p>
      <w:pPr>
        <w:numPr>
          <w:ilvl w:val="0"/>
          <w:numId w:val="5"/>
        </w:numPr>
        <w:spacing w:after="40"/>
      </w:pPr>
      <w:r>
        <w:rPr>
          <w:b w:val="0"/>
          <w:i w:val="0"/>
        </w:rPr>
        <w:t>No observation period is required before cytoreduction.</w:t>
      </w:r>
    </w:p>
    <w:p>
      <w:pPr>
        <w:numPr>
          <w:ilvl w:val="0"/>
          <w:numId w:val="5"/>
        </w:numPr>
        <w:spacing w:after="40"/>
      </w:pPr>
      <w:r>
        <w:rPr>
          <w:b w:val="0"/>
          <w:i w:val="0"/>
        </w:rPr>
        <w:t>Transplant questions go to NET-B4.</w:t>
      </w:r>
    </w:p>
    <w:p>
      <w:pPr>
        <w:spacing w:after="80"/>
      </w:pPr>
      <w:r>
        <w:rPr>
          <w:b/>
          <w:i w:val="0"/>
        </w:rPr>
        <w:t xml:space="preserve">Why: </w:t>
      </w:r>
      <w:r>
        <w:rPr>
          <w:b w:val="0"/>
          <w:i w:val="0"/>
        </w:rPr>
        <w:t>NANETS consensus accepts extrahepatic disease for cytoreduction; cohorts show it shortens survival.</w:t>
      </w:r>
    </w:p>
    <w:p>
      <w:pPr>
        <w:spacing w:after="80"/>
      </w:pPr>
      <w:r>
        <w:rPr>
          <w:b/>
          <w:i w:val="0"/>
        </w:rPr>
        <w:t xml:space="preserve">Against, or uncertain: </w:t>
      </w:r>
      <w:r>
        <w:rPr>
          <w:b w:val="0"/>
          <w:i w:val="0"/>
        </w:rPr>
        <w:t>All evidence is observational and selected.</w:t>
      </w:r>
    </w:p>
    <w:p>
      <w:pPr>
        <w:spacing w:after="80"/>
      </w:pPr>
      <w:r>
        <w:rPr>
          <w:b/>
          <w:i w:val="0"/>
        </w:rPr>
        <w:t xml:space="preserve">Certainty: </w:t>
      </w:r>
      <w:r>
        <w:rPr>
          <w:b w:val="0"/>
          <w:i w:val="0"/>
        </w:rPr>
        <w:t>Low.</w:t>
      </w:r>
    </w:p>
    <w:p>
      <w:pPr>
        <w:spacing w:after="80"/>
      </w:pPr>
      <w:r>
        <w:rPr>
          <w:b/>
          <w:i w:val="0"/>
        </w:rPr>
        <w:t xml:space="preserve">What would change the answer: </w:t>
      </w:r>
      <w:r>
        <w:rPr>
          <w:b w:val="0"/>
          <w:i w:val="0"/>
        </w:rPr>
        <w:t>Comparative data by extrahepatic site.</w:t>
      </w:r>
    </w:p>
    <w:p>
      <w:pPr>
        <w:pStyle w:val="Heading3"/>
        <w:keepNext/>
        <w:spacing w:before="120" w:after="80"/>
      </w:pPr>
      <w:r>
        <w:rPr>
          <w:b w:val="0"/>
          <w:i w:val="0"/>
        </w:rPr>
        <w:t>NELM-R1 — group decision</w:t>
      </w:r>
    </w:p>
    <w:p>
      <w:pPr>
        <w:spacing w:after="0"/>
      </w:pPr>
      <w:r>
        <w:rPr>
          <w:b/>
          <w:i w:val="0"/>
        </w:rPr>
        <w:t xml:space="preserve">Accepted position (or alternative chosen): </w:t>
      </w:r>
    </w:p>
    <w:p>
      <w:pPr>
        <w:spacing w:after="200"/>
        <w:pBdr>
          <w:bottom w:val="single" w:sz="6" w:space="1" w:color="9AA8B4"/>
        </w:pBdr>
      </w:pPr>
    </w:p>
    <w:p>
      <w:pPr>
        <w:spacing w:after="0"/>
      </w:pPr>
      <w:r>
        <w:rPr>
          <w:b/>
          <w:i w:val="0"/>
        </w:rPr>
        <w:t xml:space="preserve">Rationale, dissent and exceptions: </w:t>
      </w:r>
    </w:p>
    <w:p>
      <w:pPr>
        <w:spacing w:after="200"/>
        <w:pBdr>
          <w:bottom w:val="single" w:sz="6" w:space="1" w:color="9AA8B4"/>
        </w:pBdr>
      </w:pPr>
    </w:p>
    <w:p>
      <w:pPr>
        <w:spacing w:after="0"/>
      </w:pPr>
      <w:r>
        <w:rPr>
          <w:b/>
          <w:i w:val="0"/>
        </w:rPr>
        <w:t xml:space="preserve">Owner · approval date · implementation date: </w:t>
      </w:r>
    </w:p>
    <w:p>
      <w:pPr>
        <w:spacing w:after="200"/>
        <w:pBdr>
          <w:bottom w:val="single" w:sz="6" w:space="1" w:color="9AA8B4"/>
        </w:pBdr>
      </w:pPr>
    </w:p>
    <w:p>
      <w:pPr>
        <w:pStyle w:val="Heading2"/>
        <w:keepNext/>
        <w:spacing w:before="200" w:after="80"/>
      </w:pPr>
      <w:r>
        <w:rPr>
          <w:b w:val="0"/>
          <w:i w:val="0"/>
        </w:rPr>
        <w:t>NELM-D1 — Which embolisation technique is the programme's default?</w:t>
      </w:r>
    </w:p>
    <w:p>
      <w:pPr>
        <w:spacing w:after="80"/>
      </w:pPr>
      <w:r>
        <w:rPr>
          <w:b w:val="0"/>
          <w:i w:val="0"/>
          <w:color w:val="5A6069"/>
          <w:sz w:val="18"/>
        </w:rPr>
        <w:t>OPEN — not yet decided · Clinical</w:t>
      </w:r>
    </w:p>
    <w:p>
      <w:pPr>
        <w:spacing w:after="80"/>
      </w:pPr>
      <w:r>
        <w:rPr>
          <w:b/>
          <w:i w:val="0"/>
        </w:rPr>
        <w:t xml:space="preserve">Where it is decided: </w:t>
      </w:r>
      <w:hyperlink r:id="rId9">
        <w:r>
          <w:rPr>
            <w:color w:val="0563C1"/>
            <w:u w:val="single"/>
          </w:rPr>
          <w:t xml:space="preserve">7 · Select liver-directed therapy</w:t>
        </w:r>
      </w:hyperlink>
      <w:r>
        <w:rPr>
          <w:b w:val="0"/>
          <w:i w:val="0"/>
        </w:rPr>
        <w:t xml:space="preserve"> · </w:t>
      </w:r>
      <w:hyperlink r:id="rId10">
        <w:r>
          <w:rPr>
            <w:color w:val="0563C1"/>
            <w:u w:val="single"/>
          </w:rPr>
          <w:t xml:space="preserve">3 · High-volume or progressing G1–G2 disease</w:t>
        </w:r>
      </w:hyperlink>
    </w:p>
    <w:p>
      <w:pPr>
        <w:spacing w:after="120"/>
      </w:pPr>
      <w:r>
        <w:rPr>
          <w:b/>
          <w:i w:val="0"/>
          <w:sz w:val="18"/>
        </w:rPr>
        <w:t xml:space="preserve">Web page: </w:t>
      </w:r>
      <w:hyperlink r:id="rId11">
        <w:r>
          <w:rPr>
            <w:color w:val="0563C1"/>
            <w:u w:val="single"/>
            <w:sz w:val="18"/>
          </w:rPr>
          <w:t xml:space="preserve">open this question on the website</w:t>
        </w:r>
      </w:hyperlink>
    </w:p>
    <w:p>
      <w:pPr>
        <w:pStyle w:val="Heading3"/>
        <w:keepNext/>
        <w:spacing w:before="120" w:after="80"/>
      </w:pPr>
      <w:r>
        <w:rPr>
          <w:b w:val="0"/>
          <w:i w:val="0"/>
        </w:rPr>
        <w:t>Positions of guidelines, trials and papers</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200"/>
        <w:gridCol w:w="5480"/>
        <w:gridCol w:w="2400"/>
      </w:tblGrid>
      <w:tr>
        <w:trPr>
          <w:tblHeader/>
        </w:trPr>
        <w:tc>
          <w:tcPr>
            <w:tcW w:type="dxa" w:w="3360"/>
            <w:tcW w:w="2200" w:type="dxa"/>
            <w:shd w:val="clear" w:color="auto" w:fill="17365D"/>
          </w:tcPr>
          <w:p>
            <w:r>
              <w:rPr>
                <w:b/>
                <w:i w:val="0"/>
                <w:color w:val="FFFFFF"/>
                <w:sz w:val="19"/>
              </w:rPr>
              <w:t>Source</w:t>
            </w:r>
          </w:p>
        </w:tc>
        <w:tc>
          <w:tcPr>
            <w:tcW w:type="dxa" w:w="3360"/>
            <w:tcW w:w="5480" w:type="dxa"/>
            <w:shd w:val="clear" w:color="auto" w:fill="17365D"/>
          </w:tcPr>
          <w:p>
            <w:r>
              <w:rPr>
                <w:b/>
                <w:i w:val="0"/>
                <w:color w:val="FFFFFF"/>
                <w:sz w:val="19"/>
              </w:rPr>
              <w:t>Position</w:t>
            </w:r>
          </w:p>
        </w:tc>
        <w:tc>
          <w:tcPr>
            <w:tcW w:type="dxa" w:w="3360"/>
            <w:tcW w:w="2400" w:type="dxa"/>
            <w:shd w:val="clear" w:color="auto" w:fill="17365D"/>
          </w:tcPr>
          <w:p>
            <w:r>
              <w:rPr>
                <w:b/>
                <w:i w:val="0"/>
                <w:color w:val="FFFFFF"/>
                <w:sz w:val="19"/>
              </w:rPr>
              <w:t>Where stated</w:t>
            </w:r>
          </w:p>
        </w:tc>
      </w:tr>
      <w:tr>
        <w:trPr>
          <w:cantSplit/>
        </w:trPr>
        <w:tc>
          <w:tcPr>
            <w:tcW w:type="dxa" w:w="3360"/>
            <w:tcW w:w="2200" w:type="dxa"/>
            <w:shd w:val="clear" w:color="auto" w:fill="F1F5F8"/>
          </w:tcPr>
          <w:p>
            <w:pPr>
              <w:spacing w:after="0"/>
            </w:pPr>
            <w:r>
              <w:rPr>
                <w:b/>
                <w:i w:val="0"/>
                <w:sz w:val="19"/>
              </w:rPr>
              <w:t>NCCN NE v1.2026</w:t>
            </w:r>
          </w:p>
        </w:tc>
        <w:tc>
          <w:tcPr>
            <w:tcW w:type="dxa" w:w="3360"/>
            <w:tcW w:w="5480" w:type="dxa"/>
            <w:shd w:val="clear" w:color="auto" w:fill="F1F5F8"/>
          </w:tcPr>
          <w:p>
            <w:pPr>
              <w:spacing w:after="0"/>
            </w:pPr>
            <w:r>
              <w:rPr>
                <w:b w:val="0"/>
                <w:i w:val="0"/>
                <w:sz w:val="19"/>
              </w:rPr>
              <w:t>No completed randomised study compares bland embolisation with conventional TACE, so both are acceptable; drug-eluting embolics are advised against for increased hepatobiliary toxicity in NET.</w:t>
            </w:r>
          </w:p>
        </w:tc>
        <w:tc>
          <w:tcPr>
            <w:tcW w:type="dxa" w:w="3360"/>
            <w:tcW w:w="2400" w:type="dxa"/>
            <w:shd w:val="clear" w:color="auto" w:fill="F1F5F8"/>
          </w:tcPr>
          <w:p>
            <w:pPr>
              <w:spacing w:after="0"/>
            </w:pPr>
            <w:r>
              <w:rPr>
                <w:b w:val="0"/>
                <w:i w:val="0"/>
                <w:color w:val="5A6069"/>
                <w:sz w:val="18"/>
              </w:rPr>
              <w:t>Gate 7 · Reasonable option 'Bland embolisation or conventional TACE' · when; Gate 3 · Reasonable 'Add a liver-directed procedure…' · note</w:t>
            </w:r>
          </w:p>
        </w:tc>
      </w:tr>
      <w:tr>
        <w:trPr>
          <w:cantSplit/>
        </w:trPr>
        <w:tc>
          <w:tcPr>
            <w:tcW w:type="dxa" w:w="3360"/>
            <w:tcW w:w="2200" w:type="dxa"/>
            <w:shd w:val="clear" w:color="auto" w:fill="FFFFFF"/>
          </w:tcPr>
          <w:p>
            <w:pPr>
              <w:spacing w:after="0"/>
            </w:pPr>
            <w:r>
              <w:rPr>
                <w:b/>
                <w:i w:val="0"/>
                <w:sz w:val="19"/>
              </w:rPr>
              <w:t>ENETS 2024 small intestine</w:t>
            </w:r>
          </w:p>
        </w:tc>
        <w:tc>
          <w:tcPr>
            <w:tcW w:type="dxa" w:w="3360"/>
            <w:tcW w:w="5480" w:type="dxa"/>
            <w:shd w:val="clear" w:color="auto" w:fill="FFFFFF"/>
          </w:tcPr>
          <w:p>
            <w:pPr>
              <w:spacing w:after="0"/>
            </w:pPr>
            <w:r>
              <w:rPr>
                <w:b w:val="0"/>
                <w:i w:val="0"/>
                <w:sz w:val="19"/>
              </w:rPr>
              <w:t>Generally prefers bland embolisation in small-intestine NET.</w:t>
            </w:r>
          </w:p>
        </w:tc>
        <w:tc>
          <w:tcPr>
            <w:tcW w:type="dxa" w:w="3360"/>
            <w:tcW w:w="2400" w:type="dxa"/>
            <w:shd w:val="clear" w:color="auto" w:fill="FFFFFF"/>
          </w:tcPr>
          <w:p>
            <w:pPr>
              <w:spacing w:after="0"/>
            </w:pPr>
            <w:r>
              <w:rPr>
                <w:b w:val="0"/>
                <w:i w:val="0"/>
                <w:color w:val="5A6069"/>
                <w:sz w:val="18"/>
              </w:rPr>
              <w:t>Gate 7 · Reasonable option 'Bland embolisation or conventional TACE' · caveat; What we are not sure about #14</w:t>
            </w:r>
          </w:p>
        </w:tc>
      </w:tr>
      <w:tr>
        <w:trPr>
          <w:cantSplit/>
        </w:trPr>
        <w:tc>
          <w:tcPr>
            <w:tcW w:type="dxa" w:w="3360"/>
            <w:tcW w:w="2200" w:type="dxa"/>
            <w:shd w:val="clear" w:color="auto" w:fill="F1F5F8"/>
          </w:tcPr>
          <w:p>
            <w:pPr>
              <w:spacing w:after="0"/>
            </w:pPr>
            <w:r>
              <w:rPr>
                <w:b/>
                <w:i w:val="0"/>
                <w:sz w:val="19"/>
              </w:rPr>
              <w:t>ENETS 2023 functioning panNET</w:t>
            </w:r>
          </w:p>
        </w:tc>
        <w:tc>
          <w:tcPr>
            <w:tcW w:type="dxa" w:w="3360"/>
            <w:tcW w:w="5480" w:type="dxa"/>
            <w:shd w:val="clear" w:color="auto" w:fill="F1F5F8"/>
          </w:tcPr>
          <w:p>
            <w:pPr>
              <w:spacing w:after="0"/>
            </w:pPr>
            <w:r>
              <w:rPr>
                <w:b w:val="0"/>
                <w:i w:val="0"/>
                <w:sz w:val="19"/>
              </w:rPr>
              <w:t>Calls chemoembolisation possibly more effective in functioning pancreatic NET, the opposite lean to ENETS 2024.</w:t>
            </w:r>
          </w:p>
        </w:tc>
        <w:tc>
          <w:tcPr>
            <w:tcW w:type="dxa" w:w="3360"/>
            <w:tcW w:w="2400" w:type="dxa"/>
            <w:shd w:val="clear" w:color="auto" w:fill="F1F5F8"/>
          </w:tcPr>
          <w:p>
            <w:pPr>
              <w:spacing w:after="0"/>
            </w:pPr>
            <w:r>
              <w:rPr>
                <w:b w:val="0"/>
                <w:i w:val="0"/>
                <w:color w:val="5A6069"/>
                <w:sz w:val="18"/>
              </w:rPr>
              <w:t>Gate 7 · Reasonable option 'Bland embolisation or conventional TACE' · caveat; Gate 3 · Reasonable 'Add a liver-directed procedure…' · note</w:t>
            </w:r>
          </w:p>
        </w:tc>
      </w:tr>
      <w:tr>
        <w:trPr>
          <w:cantSplit/>
        </w:trPr>
        <w:tc>
          <w:tcPr>
            <w:tcW w:type="dxa" w:w="3360"/>
            <w:tcW w:w="2200" w:type="dxa"/>
            <w:shd w:val="clear" w:color="auto" w:fill="FFFFFF"/>
          </w:tcPr>
          <w:p>
            <w:pPr>
              <w:spacing w:after="0"/>
            </w:pPr>
            <w:r>
              <w:rPr>
                <w:b/>
                <w:i w:val="0"/>
                <w:sz w:val="19"/>
              </w:rPr>
              <w:t>Gupta embolisation</w:t>
            </w:r>
          </w:p>
        </w:tc>
        <w:tc>
          <w:tcPr>
            <w:tcW w:type="dxa" w:w="3360"/>
            <w:tcW w:w="5480" w:type="dxa"/>
            <w:shd w:val="clear" w:color="auto" w:fill="FFFFFF"/>
          </w:tcPr>
          <w:p>
            <w:pPr>
              <w:spacing w:after="0"/>
            </w:pPr>
            <w:r>
              <w:rPr>
                <w:b w:val="0"/>
                <w:i w:val="0"/>
                <w:sz w:val="19"/>
              </w:rPr>
              <w:t>Retrospective 123-patient series: bland embolisation outperformed chemoembolisation on response in carcinoid (81.0% vs 44.4%) without survival difference; islet-cell results trended the other way. Roadmap critique: the referring physician chose technique, so effects are confounded.</w:t>
            </w:r>
          </w:p>
        </w:tc>
        <w:tc>
          <w:tcPr>
            <w:tcW w:type="dxa" w:w="3360"/>
            <w:tcW w:w="2400" w:type="dxa"/>
            <w:shd w:val="clear" w:color="auto" w:fill="FFFFFF"/>
          </w:tcPr>
          <w:p>
            <w:pPr>
              <w:spacing w:after="0"/>
            </w:pPr>
            <w:r>
              <w:rPr>
                <w:b w:val="0"/>
                <w:i w:val="0"/>
                <w:color w:val="5A6069"/>
                <w:sz w:val="18"/>
              </w:rPr>
              <w:t>Gate 3 · Reasonable 'Add a liver-directed procedure…' · pref and note; Gate 7 · Reasonable option 'Bland embolisation or conventional TACE' · pref; What we are not sure about #14</w:t>
            </w:r>
          </w:p>
        </w:tc>
      </w:tr>
      <w:tr>
        <w:trPr>
          <w:cantSplit/>
        </w:trPr>
        <w:tc>
          <w:tcPr>
            <w:tcW w:type="dxa" w:w="3360"/>
            <w:tcW w:w="2200" w:type="dxa"/>
            <w:shd w:val="clear" w:color="auto" w:fill="F1F5F8"/>
          </w:tcPr>
          <w:p>
            <w:pPr>
              <w:spacing w:after="0"/>
            </w:pPr>
            <w:r>
              <w:rPr>
                <w:b/>
                <w:i w:val="0"/>
                <w:sz w:val="19"/>
              </w:rPr>
              <w:t>RETNET protocol</w:t>
            </w:r>
          </w:p>
        </w:tc>
        <w:tc>
          <w:tcPr>
            <w:tcW w:type="dxa" w:w="3360"/>
            <w:tcW w:w="5480" w:type="dxa"/>
            <w:shd w:val="clear" w:color="auto" w:fill="F1F5F8"/>
          </w:tcPr>
          <w:p>
            <w:pPr>
              <w:spacing w:after="0"/>
            </w:pPr>
            <w:r>
              <w:rPr>
                <w:b w:val="0"/>
                <w:i w:val="0"/>
                <w:sz w:val="19"/>
              </w:rPr>
              <w:t>Protocol of the only prospective three-way comparison, still enrolling; it reports no outcome data. Its drug-eluting-bead arm later closed for severe complications, reported in ENETS 2024 rather than the protocol.</w:t>
            </w:r>
          </w:p>
        </w:tc>
        <w:tc>
          <w:tcPr>
            <w:tcW w:type="dxa" w:w="3360"/>
            <w:tcW w:w="2400" w:type="dxa"/>
            <w:shd w:val="clear" w:color="auto" w:fill="F1F5F8"/>
          </w:tcPr>
          <w:p>
            <w:pPr>
              <w:spacing w:after="0"/>
            </w:pPr>
            <w:r>
              <w:rPr>
                <w:b w:val="0"/>
                <w:i w:val="0"/>
                <w:color w:val="5A6069"/>
                <w:sz w:val="18"/>
              </w:rPr>
              <w:t>What we are not sure about #15; Gate 7 · Avoid 'Avoid drug-eluting embolics in NET.' · note</w:t>
            </w:r>
          </w:p>
        </w:tc>
      </w:tr>
    </w:tbl>
    <w:p>
      <w:pPr>
        <w:spacing w:after="40"/>
      </w:pPr>
    </w:p>
    <w:p>
      <w:pPr>
        <w:spacing w:after="80"/>
      </w:pPr>
      <w:r>
        <w:rPr>
          <w:b/>
          <w:i w:val="0"/>
        </w:rPr>
        <w:t xml:space="preserve">Where sources differ: </w:t>
      </w:r>
      <w:r>
        <w:rPr>
          <w:b w:val="0"/>
          <w:i w:val="0"/>
        </w:rPr>
        <w:t>NCCN accepts both techniques while ENETS 2024 leans to bland embolisation in small-intestine NET and ENETS 2023 to chemoembolisation in functioning pancreatic NET, and the comparative data are either underpowered or confounded by referral.</w:t>
      </w:r>
    </w:p>
    <w:p>
      <w:pPr>
        <w:pStyle w:val="Heading3"/>
        <w:keepNext/>
        <w:spacing w:before="120" w:after="80"/>
      </w:pPr>
      <w:r>
        <w:rPr>
          <w:b w:val="0"/>
          <w:i w:val="0"/>
        </w:rPr>
        <w:t>Our proposed selection (OPEN)</w:t>
      </w:r>
    </w:p>
    <w:p>
      <w:pPr>
        <w:spacing w:after="80"/>
      </w:pPr>
      <w:r>
        <w:rPr>
          <w:b w:val="0"/>
          <w:i w:val="0"/>
        </w:rPr>
        <w:t>No default is set. Bland embolisation and conventional TACE are both Reasonable (grade C), chosen by burden, symptoms, liver reserve and biliary-infection risk and not treated as interchangeable; drug-eluting embolics are avoided. The roadmap calls the default an expertise-and-availability decision, with technique, goal, hepatic progression-free survival and toxicity recorded for every procedure.</w:t>
      </w:r>
    </w:p>
    <w:p>
      <w:pPr>
        <w:spacing w:after="80"/>
      </w:pPr>
      <w:r>
        <w:rPr>
          <w:b/>
          <w:i w:val="0"/>
          <w:color w:val="5A6069"/>
          <w:sz w:val="18"/>
        </w:rPr>
        <w:t xml:space="preserve">Basis in the document: </w:t>
      </w:r>
      <w:r>
        <w:rPr>
          <w:b w:val="0"/>
          <w:i w:val="0"/>
          <w:color w:val="5A6069"/>
          <w:sz w:val="18"/>
        </w:rPr>
        <w:t>Gate 7 · Reasonable option 'Bland embolisation or conventional TACE'; Gate 7 · Avoid 'Avoid drug-eluting embolics in NET.' · pref; Gate 7 · flag note; What we are not sure about #14</w:t>
      </w:r>
    </w:p>
    <w:p>
      <w:pPr>
        <w:spacing w:after="80"/>
      </w:pPr>
      <w:r>
        <w:rPr>
          <w:b/>
          <w:i w:val="0"/>
        </w:rPr>
        <w:t xml:space="preserve">Why: </w:t>
      </w:r>
      <w:r>
        <w:rPr>
          <w:b w:val="0"/>
          <w:i w:val="0"/>
        </w:rPr>
        <w:t>The only prospective three-way comparison is still enrolling and its drug-eluting-bead arm closed for severe complications. One small randomised TAE versus TACE trial (Maire 2012, 26 patients, cited from ENETS rather than read in full) found no significant 2-year progression-free survival difference but was underpowered. The best non-randomised comparison favours bland embolisation on response in carcinoid disease (81.0% versus 44.4%, odds ratio 6.41) with no survival difference, but treatment was chosen by the referring physician; ENETS 2024 prefers bland in small-intestine NET while ENETS 2023 calls chemoembolisation possibly more effective in functioning pancreatic NET. Any choice is expertise and availability.</w:t>
      </w:r>
    </w:p>
    <w:p>
      <w:pPr>
        <w:spacing w:after="80"/>
      </w:pPr>
      <w:r>
        <w:rPr>
          <w:b/>
          <w:i w:val="0"/>
        </w:rPr>
        <w:t xml:space="preserve">What gets audited: </w:t>
      </w:r>
      <w:r>
        <w:rPr>
          <w:b w:val="0"/>
          <w:i w:val="0"/>
        </w:rPr>
        <w:t>Registry: technique, goal, hepatic progression-free survival, toxicity.</w:t>
      </w:r>
    </w:p>
    <w:p>
      <w:pPr>
        <w:pStyle w:val="Heading3"/>
        <w:keepNext/>
        <w:spacing w:before="120" w:after="80"/>
      </w:pPr>
      <w:r>
        <w:rPr>
          <w:b w:val="0"/>
          <w:i w:val="0"/>
        </w:rPr>
        <w:t>NELM-D1 — group decision</w:t>
      </w:r>
    </w:p>
    <w:p>
      <w:pPr>
        <w:spacing w:after="0"/>
      </w:pPr>
      <w:r>
        <w:rPr>
          <w:b/>
          <w:i w:val="0"/>
        </w:rPr>
        <w:t xml:space="preserve">Accepted position (or alternative chosen): </w:t>
      </w:r>
    </w:p>
    <w:p>
      <w:pPr>
        <w:spacing w:after="200"/>
        <w:pBdr>
          <w:bottom w:val="single" w:sz="6" w:space="1" w:color="9AA8B4"/>
        </w:pBdr>
      </w:pPr>
    </w:p>
    <w:p>
      <w:pPr>
        <w:spacing w:after="0"/>
      </w:pPr>
      <w:r>
        <w:rPr>
          <w:b/>
          <w:i w:val="0"/>
        </w:rPr>
        <w:t xml:space="preserve">Rationale, dissent and exceptions: </w:t>
      </w:r>
    </w:p>
    <w:p>
      <w:pPr>
        <w:spacing w:after="200"/>
        <w:pBdr>
          <w:bottom w:val="single" w:sz="6" w:space="1" w:color="9AA8B4"/>
        </w:pBdr>
      </w:pPr>
    </w:p>
    <w:p>
      <w:pPr>
        <w:spacing w:after="0"/>
      </w:pPr>
      <w:r>
        <w:rPr>
          <w:b/>
          <w:i w:val="0"/>
        </w:rPr>
        <w:t xml:space="preserve">Owner · approval date · implementation date: </w:t>
      </w:r>
    </w:p>
    <w:p>
      <w:pPr>
        <w:spacing w:after="200"/>
        <w:pBdr>
          <w:bottom w:val="single" w:sz="6" w:space="1" w:color="9AA8B4"/>
        </w:pBdr>
      </w:pPr>
    </w:p>
    <w:p>
      <w:pPr>
        <w:pStyle w:val="Heading2"/>
        <w:keepNext/>
        <w:spacing w:before="200" w:after="80"/>
      </w:pPr>
      <w:r>
        <w:rPr>
          <w:b w:val="0"/>
          <w:i w:val="0"/>
        </w:rPr>
        <w:t>NELM-D2 — Is first-line PRRT offered for receptor-positive grade 2–3 disease, and to whom?</w:t>
      </w:r>
    </w:p>
    <w:p>
      <w:pPr>
        <w:spacing w:after="80"/>
      </w:pPr>
      <w:r>
        <w:rPr>
          <w:b w:val="0"/>
          <w:i w:val="0"/>
          <w:color w:val="5A6069"/>
          <w:sz w:val="18"/>
        </w:rPr>
        <w:t>OPEN — not yet decided · Clinical</w:t>
      </w:r>
    </w:p>
    <w:p>
      <w:pPr>
        <w:spacing w:after="80"/>
      </w:pPr>
      <w:r>
        <w:rPr>
          <w:b/>
          <w:i w:val="0"/>
        </w:rPr>
        <w:t xml:space="preserve">Where it is decided: </w:t>
      </w:r>
      <w:hyperlink r:id="rId12">
        <w:r>
          <w:rPr>
            <w:color w:val="0563C1"/>
            <w:u w:val="single"/>
          </w:rPr>
          <w:t xml:space="preserve">4 · G3 NET versus neuroendocrine carcinoma</w:t>
        </w:r>
      </w:hyperlink>
      <w:r>
        <w:rPr>
          <w:b w:val="0"/>
          <w:i w:val="0"/>
        </w:rPr>
        <w:t xml:space="preserve"> · </w:t>
      </w:r>
      <w:hyperlink r:id="rId13">
        <w:r>
          <w:rPr>
            <w:color w:val="0563C1"/>
            <w:u w:val="single"/>
          </w:rPr>
          <w:t xml:space="preserve">6 · Select systemic therapy</w:t>
        </w:r>
      </w:hyperlink>
    </w:p>
    <w:p>
      <w:pPr>
        <w:spacing w:after="120"/>
      </w:pPr>
      <w:r>
        <w:rPr>
          <w:b/>
          <w:i w:val="0"/>
          <w:sz w:val="18"/>
        </w:rPr>
        <w:t xml:space="preserve">Web page: </w:t>
      </w:r>
      <w:hyperlink r:id="rId14">
        <w:r>
          <w:rPr>
            <w:color w:val="0563C1"/>
            <w:u w:val="single"/>
            <w:sz w:val="18"/>
          </w:rPr>
          <w:t xml:space="preserve">open this question on the website</w:t>
        </w:r>
      </w:hyperlink>
    </w:p>
    <w:p>
      <w:pPr>
        <w:pStyle w:val="Heading3"/>
        <w:keepNext/>
        <w:spacing w:before="120" w:after="80"/>
      </w:pPr>
      <w:r>
        <w:rPr>
          <w:b w:val="0"/>
          <w:i w:val="0"/>
        </w:rPr>
        <w:t>Positions of guidelines, trials and papers</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200"/>
        <w:gridCol w:w="5480"/>
        <w:gridCol w:w="2400"/>
      </w:tblGrid>
      <w:tr>
        <w:trPr>
          <w:tblHeader/>
        </w:trPr>
        <w:tc>
          <w:tcPr>
            <w:tcW w:type="dxa" w:w="3360"/>
            <w:tcW w:w="2200" w:type="dxa"/>
            <w:shd w:val="clear" w:color="auto" w:fill="17365D"/>
          </w:tcPr>
          <w:p>
            <w:r>
              <w:rPr>
                <w:b/>
                <w:i w:val="0"/>
                <w:color w:val="FFFFFF"/>
                <w:sz w:val="19"/>
              </w:rPr>
              <w:t>Source</w:t>
            </w:r>
          </w:p>
        </w:tc>
        <w:tc>
          <w:tcPr>
            <w:tcW w:type="dxa" w:w="3360"/>
            <w:tcW w:w="5480" w:type="dxa"/>
            <w:shd w:val="clear" w:color="auto" w:fill="17365D"/>
          </w:tcPr>
          <w:p>
            <w:r>
              <w:rPr>
                <w:b/>
                <w:i w:val="0"/>
                <w:color w:val="FFFFFF"/>
                <w:sz w:val="19"/>
              </w:rPr>
              <w:t>Position</w:t>
            </w:r>
          </w:p>
        </w:tc>
        <w:tc>
          <w:tcPr>
            <w:tcW w:type="dxa" w:w="3360"/>
            <w:tcW w:w="2400" w:type="dxa"/>
            <w:shd w:val="clear" w:color="auto" w:fill="17365D"/>
          </w:tcPr>
          <w:p>
            <w:r>
              <w:rPr>
                <w:b/>
                <w:i w:val="0"/>
                <w:color w:val="FFFFFF"/>
                <w:sz w:val="19"/>
              </w:rPr>
              <w:t>Where stated</w:t>
            </w:r>
          </w:p>
        </w:tc>
      </w:tr>
      <w:tr>
        <w:trPr>
          <w:cantSplit/>
        </w:trPr>
        <w:tc>
          <w:tcPr>
            <w:tcW w:type="dxa" w:w="3360"/>
            <w:tcW w:w="2200" w:type="dxa"/>
            <w:shd w:val="clear" w:color="auto" w:fill="F1F5F8"/>
          </w:tcPr>
          <w:p>
            <w:pPr>
              <w:spacing w:after="0"/>
            </w:pPr>
            <w:r>
              <w:rPr>
                <w:b/>
                <w:i w:val="0"/>
                <w:sz w:val="19"/>
              </w:rPr>
              <w:t>NETTER-2</w:t>
            </w:r>
          </w:p>
        </w:tc>
        <w:tc>
          <w:tcPr>
            <w:tcW w:type="dxa" w:w="3360"/>
            <w:tcW w:w="5480" w:type="dxa"/>
            <w:shd w:val="clear" w:color="auto" w:fill="F1F5F8"/>
          </w:tcPr>
          <w:p>
            <w:pPr>
              <w:spacing w:after="0"/>
            </w:pPr>
            <w:r>
              <w:rPr>
                <w:b w:val="0"/>
                <w:i w:val="0"/>
                <w:sz w:val="19"/>
              </w:rPr>
              <w:t>Open-label trial in newly diagnosed SSTR-positive GEP-NET with Ki-67 10–55%: progression-free survival 22.8 vs 8.5 months; overall survival immature with 48% crossover. Roadmap grades it B, not A.</w:t>
            </w:r>
          </w:p>
        </w:tc>
        <w:tc>
          <w:tcPr>
            <w:tcW w:type="dxa" w:w="3360"/>
            <w:tcW w:w="2400" w:type="dxa"/>
            <w:shd w:val="clear" w:color="auto" w:fill="F1F5F8"/>
          </w:tcPr>
          <w:p>
            <w:pPr>
              <w:spacing w:after="0"/>
            </w:pPr>
            <w:r>
              <w:rPr>
                <w:b w:val="0"/>
                <w:i w:val="0"/>
                <w:color w:val="5A6069"/>
                <w:sz w:val="18"/>
              </w:rPr>
              <w:t>Gate 4 · Standard option '177Lu-DOTATATE, well-differentiated G3, receptor-positive' · when; What we are not sure about #7</w:t>
            </w:r>
          </w:p>
        </w:tc>
      </w:tr>
      <w:tr>
        <w:trPr>
          <w:cantSplit/>
        </w:trPr>
        <w:tc>
          <w:tcPr>
            <w:tcW w:type="dxa" w:w="3360"/>
            <w:tcW w:w="2200" w:type="dxa"/>
            <w:shd w:val="clear" w:color="auto" w:fill="FFFFFF"/>
          </w:tcPr>
          <w:p>
            <w:pPr>
              <w:spacing w:after="0"/>
            </w:pPr>
            <w:r>
              <w:rPr>
                <w:b/>
                <w:i w:val="0"/>
                <w:sz w:val="19"/>
              </w:rPr>
              <w:t>Itanet 2024 RLT</w:t>
            </w:r>
          </w:p>
        </w:tc>
        <w:tc>
          <w:tcPr>
            <w:tcW w:type="dxa" w:w="3360"/>
            <w:tcW w:w="5480" w:type="dxa"/>
            <w:shd w:val="clear" w:color="auto" w:fill="FFFFFF"/>
          </w:tcPr>
          <w:p>
            <w:pPr>
              <w:spacing w:after="0"/>
            </w:pPr>
            <w:r>
              <w:rPr>
                <w:b w:val="0"/>
                <w:i w:val="0"/>
                <w:sz w:val="19"/>
              </w:rPr>
              <w:t>Grades the NETTER-2-based first-line recommendation 1b-A, stronger than the roadmap’s B, and prefers PRRT over targeted agents (2b-B) and chemotherapy (3b-A) on cross-trial comparison.</w:t>
            </w:r>
          </w:p>
        </w:tc>
        <w:tc>
          <w:tcPr>
            <w:tcW w:type="dxa" w:w="3360"/>
            <w:tcW w:w="2400" w:type="dxa"/>
            <w:shd w:val="clear" w:color="auto" w:fill="FFFFFF"/>
          </w:tcPr>
          <w:p>
            <w:pPr>
              <w:spacing w:after="0"/>
            </w:pPr>
            <w:r>
              <w:rPr>
                <w:b w:val="0"/>
                <w:i w:val="0"/>
                <w:color w:val="5A6069"/>
                <w:sz w:val="18"/>
              </w:rPr>
              <w:t>Gate 4 · Standard option '177Lu-DOTATATE, well-differentiated G3, receptor-positive' · note (pathway data; not in the Word export); Gate 6 · flag note</w:t>
            </w:r>
          </w:p>
        </w:tc>
      </w:tr>
      <w:tr>
        <w:trPr>
          <w:cantSplit/>
        </w:trPr>
        <w:tc>
          <w:tcPr>
            <w:tcW w:type="dxa" w:w="3360"/>
            <w:tcW w:w="2200" w:type="dxa"/>
            <w:shd w:val="clear" w:color="auto" w:fill="F1F5F8"/>
          </w:tcPr>
          <w:p>
            <w:pPr>
              <w:spacing w:after="0"/>
            </w:pPr>
            <w:r>
              <w:rPr>
                <w:b/>
                <w:i w:val="0"/>
                <w:sz w:val="19"/>
              </w:rPr>
              <w:t>EANM Focus 3</w:t>
            </w:r>
          </w:p>
        </w:tc>
        <w:tc>
          <w:tcPr>
            <w:tcW w:type="dxa" w:w="3360"/>
            <w:tcW w:w="5480" w:type="dxa"/>
            <w:shd w:val="clear" w:color="auto" w:fill="F1F5F8"/>
          </w:tcPr>
          <w:p>
            <w:pPr>
              <w:spacing w:after="0"/>
            </w:pPr>
            <w:r>
              <w:rPr>
                <w:b w:val="0"/>
                <w:i w:val="0"/>
                <w:sz w:val="19"/>
              </w:rPr>
              <w:t>Backed first-line PRRT only for a minority of carefully selected patients (17 of 22 panellists, 77.3%).</w:t>
            </w:r>
          </w:p>
        </w:tc>
        <w:tc>
          <w:tcPr>
            <w:tcW w:type="dxa" w:w="3360"/>
            <w:tcW w:w="2400" w:type="dxa"/>
            <w:shd w:val="clear" w:color="auto" w:fill="F1F5F8"/>
          </w:tcPr>
          <w:p>
            <w:pPr>
              <w:spacing w:after="0"/>
            </w:pPr>
            <w:r>
              <w:rPr>
                <w:b w:val="0"/>
                <w:i w:val="0"/>
                <w:color w:val="5A6069"/>
                <w:sz w:val="18"/>
              </w:rPr>
              <w:t>Gate 4 · Standard option '177Lu-DOTATATE, well-differentiated G3, receptor-positive' · note; What we are not sure about #7</w:t>
            </w:r>
          </w:p>
        </w:tc>
      </w:tr>
      <w:tr>
        <w:trPr>
          <w:cantSplit/>
        </w:trPr>
        <w:tc>
          <w:tcPr>
            <w:tcW w:type="dxa" w:w="3360"/>
            <w:tcW w:w="2200" w:type="dxa"/>
            <w:shd w:val="clear" w:color="auto" w:fill="FFFFFF"/>
          </w:tcPr>
          <w:p>
            <w:pPr>
              <w:spacing w:after="0"/>
            </w:pPr>
            <w:r>
              <w:rPr>
                <w:b/>
                <w:i w:val="0"/>
                <w:sz w:val="19"/>
              </w:rPr>
              <w:t>NCCN NE v1.2026</w:t>
            </w:r>
          </w:p>
        </w:tc>
        <w:tc>
          <w:tcPr>
            <w:tcW w:type="dxa" w:w="3360"/>
            <w:tcW w:w="5480" w:type="dxa"/>
            <w:shd w:val="clear" w:color="auto" w:fill="FFFFFF"/>
          </w:tcPr>
          <w:p>
            <w:pPr>
              <w:spacing w:after="0"/>
            </w:pPr>
            <w:r>
              <w:rPr>
                <w:b w:val="0"/>
                <w:i w:val="0"/>
                <w:sz w:val="19"/>
              </w:rPr>
              <w:t>First-line PRRT can be considered in receptor-positive GEP-NET with Ki-67 10–55%.</w:t>
            </w:r>
          </w:p>
        </w:tc>
        <w:tc>
          <w:tcPr>
            <w:tcW w:type="dxa" w:w="3360"/>
            <w:tcW w:w="2400" w:type="dxa"/>
            <w:shd w:val="clear" w:color="auto" w:fill="FFFFFF"/>
          </w:tcPr>
          <w:p>
            <w:pPr>
              <w:spacing w:after="0"/>
            </w:pPr>
            <w:r>
              <w:rPr>
                <w:b w:val="0"/>
                <w:i w:val="0"/>
                <w:color w:val="5A6069"/>
                <w:sz w:val="18"/>
              </w:rPr>
              <w:t>Quick reference 'Ki-67 thresholds that change the pathway' · row 'Ki-67 10–55%'</w:t>
            </w:r>
          </w:p>
        </w:tc>
      </w:tr>
    </w:tbl>
    <w:p>
      <w:pPr>
        <w:spacing w:after="40"/>
      </w:pPr>
    </w:p>
    <w:p>
      <w:pPr>
        <w:spacing w:after="80"/>
      </w:pPr>
      <w:r>
        <w:rPr>
          <w:b/>
          <w:i w:val="0"/>
        </w:rPr>
        <w:t xml:space="preserve">Where sources differ: </w:t>
      </w:r>
      <w:r>
        <w:rPr>
          <w:b w:val="0"/>
          <w:i w:val="0"/>
        </w:rPr>
        <w:t>Itanet and NCCN support or permit first-line PRRT while EANM confines it to highly selected patients, and the roadmap downgrades to B because NETTER-2 is open-label with immature survival and narrow entry criteria.</w:t>
      </w:r>
    </w:p>
    <w:p>
      <w:pPr>
        <w:pStyle w:val="Heading3"/>
        <w:keepNext/>
        <w:spacing w:before="120" w:after="80"/>
      </w:pPr>
      <w:r>
        <w:rPr>
          <w:b w:val="0"/>
          <w:i w:val="0"/>
        </w:rPr>
        <w:t>Our proposed selection (OPEN)</w:t>
      </w:r>
    </w:p>
    <w:p>
      <w:pPr>
        <w:spacing w:after="80"/>
      </w:pPr>
      <w:r>
        <w:rPr>
          <w:b w:val="0"/>
          <w:i w:val="0"/>
        </w:rPr>
        <w:t>Standard, grade B, for the phenotype NETTER-2 tested: uptake above normal liver in target disease, Ki-67 10–55%, documented renal, marrow and hepatic reserve, and clinically significant burden (a local criterion). Ki-67 above 55%, receptor-negative or FDG-avid disease and prior liver-directed therapy fall outside the evidence; the B downgrade and who qualifies remain open decisions.</w:t>
      </w:r>
    </w:p>
    <w:p>
      <w:pPr>
        <w:spacing w:after="80"/>
      </w:pPr>
      <w:r>
        <w:rPr>
          <w:b/>
          <w:i w:val="0"/>
          <w:color w:val="5A6069"/>
          <w:sz w:val="18"/>
        </w:rPr>
        <w:t xml:space="preserve">Basis in the document: </w:t>
      </w:r>
      <w:r>
        <w:rPr>
          <w:b w:val="0"/>
          <w:i w:val="0"/>
          <w:color w:val="5A6069"/>
          <w:sz w:val="18"/>
        </w:rPr>
        <w:t>Gate 4 · Standard option '177Lu-DOTATATE, well-differentiated G3, receptor-positive' · pref and caveat; Gate 6 · flag note</w:t>
      </w:r>
    </w:p>
    <w:p>
      <w:pPr>
        <w:spacing w:after="80"/>
      </w:pPr>
      <w:r>
        <w:rPr>
          <w:b/>
          <w:i w:val="0"/>
        </w:rPr>
        <w:t xml:space="preserve">Why: </w:t>
      </w:r>
      <w:r>
        <w:rPr>
          <w:b w:val="0"/>
          <w:i w:val="0"/>
        </w:rPr>
        <w:t>One open-label randomised trial with a progression-free survival endpoint; overall survival immature. Depends on radiopharmaceutical availability and payer authorisation.</w:t>
      </w:r>
    </w:p>
    <w:p>
      <w:pPr>
        <w:spacing w:after="80"/>
      </w:pPr>
      <w:r>
        <w:rPr>
          <w:b/>
          <w:i w:val="0"/>
        </w:rPr>
        <w:t xml:space="preserve">What gets audited: </w:t>
      </w:r>
      <w:r>
        <w:rPr>
          <w:b w:val="0"/>
          <w:i w:val="0"/>
        </w:rPr>
        <w:t>Registry: every PRRT course, progression-free survival, hepatic and renal function.</w:t>
      </w:r>
    </w:p>
    <w:p>
      <w:pPr>
        <w:pStyle w:val="Heading3"/>
        <w:keepNext/>
        <w:spacing w:before="120" w:after="80"/>
      </w:pPr>
      <w:r>
        <w:rPr>
          <w:b w:val="0"/>
          <w:i w:val="0"/>
        </w:rPr>
        <w:t>NELM-D2 — group decision</w:t>
      </w:r>
    </w:p>
    <w:p>
      <w:pPr>
        <w:spacing w:after="0"/>
      </w:pPr>
      <w:r>
        <w:rPr>
          <w:b/>
          <w:i w:val="0"/>
        </w:rPr>
        <w:t xml:space="preserve">Accepted position (or alternative chosen): </w:t>
      </w:r>
    </w:p>
    <w:p>
      <w:pPr>
        <w:spacing w:after="200"/>
        <w:pBdr>
          <w:bottom w:val="single" w:sz="6" w:space="1" w:color="9AA8B4"/>
        </w:pBdr>
      </w:pPr>
    </w:p>
    <w:p>
      <w:pPr>
        <w:spacing w:after="0"/>
      </w:pPr>
      <w:r>
        <w:rPr>
          <w:b/>
          <w:i w:val="0"/>
        </w:rPr>
        <w:t xml:space="preserve">Rationale, dissent and exceptions: </w:t>
      </w:r>
    </w:p>
    <w:p>
      <w:pPr>
        <w:spacing w:after="200"/>
        <w:pBdr>
          <w:bottom w:val="single" w:sz="6" w:space="1" w:color="9AA8B4"/>
        </w:pBdr>
      </w:pPr>
    </w:p>
    <w:p>
      <w:pPr>
        <w:spacing w:after="0"/>
      </w:pPr>
      <w:r>
        <w:rPr>
          <w:b/>
          <w:i w:val="0"/>
        </w:rPr>
        <w:t xml:space="preserve">Owner · approval date · implementation date: </w:t>
      </w:r>
    </w:p>
    <w:p>
      <w:pPr>
        <w:spacing w:after="200"/>
        <w:pBdr>
          <w:bottom w:val="single" w:sz="6" w:space="1" w:color="9AA8B4"/>
        </w:pBdr>
      </w:pPr>
    </w:p>
    <w:p>
      <w:pPr>
        <w:pStyle w:val="Heading2"/>
        <w:keepNext/>
        <w:spacing w:before="200" w:after="80"/>
      </w:pPr>
      <w:r>
        <w:rPr>
          <w:b w:val="0"/>
          <w:i w:val="0"/>
        </w:rPr>
        <w:t>NELM-D3 — Hepatic burden threshold above which cytoreduction is not attempted.</w:t>
      </w:r>
    </w:p>
    <w:p>
      <w:pPr>
        <w:spacing w:after="80"/>
      </w:pPr>
      <w:r>
        <w:rPr>
          <w:b w:val="0"/>
          <w:i w:val="0"/>
          <w:color w:val="5A6069"/>
          <w:sz w:val="18"/>
        </w:rPr>
        <w:t>OPEN — not yet decided · Clinical</w:t>
      </w:r>
    </w:p>
    <w:p>
      <w:pPr>
        <w:spacing w:after="80"/>
      </w:pPr>
      <w:r>
        <w:rPr>
          <w:b/>
          <w:i w:val="0"/>
        </w:rPr>
        <w:t xml:space="preserve">Where it is decided: </w:t>
      </w:r>
      <w:hyperlink r:id="rId15">
        <w:r>
          <w:rPr>
            <w:color w:val="0563C1"/>
            <w:u w:val="single"/>
          </w:rPr>
          <w:t xml:space="preserve">5 · Assess surgical cytoreduction</w:t>
        </w:r>
      </w:hyperlink>
    </w:p>
    <w:p>
      <w:pPr>
        <w:spacing w:after="120"/>
      </w:pPr>
      <w:r>
        <w:rPr>
          <w:b/>
          <w:i w:val="0"/>
          <w:sz w:val="18"/>
        </w:rPr>
        <w:t xml:space="preserve">Web page: </w:t>
      </w:r>
      <w:hyperlink r:id="rId16">
        <w:r>
          <w:rPr>
            <w:color w:val="0563C1"/>
            <w:u w:val="single"/>
            <w:sz w:val="18"/>
          </w:rPr>
          <w:t xml:space="preserve">open this question on the website</w:t>
        </w:r>
      </w:hyperlink>
    </w:p>
    <w:p>
      <w:pPr>
        <w:pStyle w:val="Heading3"/>
        <w:keepNext/>
        <w:spacing w:before="120" w:after="80"/>
      </w:pPr>
      <w:r>
        <w:rPr>
          <w:b w:val="0"/>
          <w:i w:val="0"/>
        </w:rPr>
        <w:t>Positions of guidelines, trials and papers</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200"/>
        <w:gridCol w:w="5480"/>
        <w:gridCol w:w="2400"/>
      </w:tblGrid>
      <w:tr>
        <w:trPr>
          <w:tblHeader/>
        </w:trPr>
        <w:tc>
          <w:tcPr>
            <w:tcW w:type="dxa" w:w="3360"/>
            <w:tcW w:w="2200" w:type="dxa"/>
            <w:shd w:val="clear" w:color="auto" w:fill="17365D"/>
          </w:tcPr>
          <w:p>
            <w:r>
              <w:rPr>
                <w:b/>
                <w:i w:val="0"/>
                <w:color w:val="FFFFFF"/>
                <w:sz w:val="19"/>
              </w:rPr>
              <w:t>Source</w:t>
            </w:r>
          </w:p>
        </w:tc>
        <w:tc>
          <w:tcPr>
            <w:tcW w:type="dxa" w:w="3360"/>
            <w:tcW w:w="5480" w:type="dxa"/>
            <w:shd w:val="clear" w:color="auto" w:fill="17365D"/>
          </w:tcPr>
          <w:p>
            <w:r>
              <w:rPr>
                <w:b/>
                <w:i w:val="0"/>
                <w:color w:val="FFFFFF"/>
                <w:sz w:val="19"/>
              </w:rPr>
              <w:t>Position</w:t>
            </w:r>
          </w:p>
        </w:tc>
        <w:tc>
          <w:tcPr>
            <w:tcW w:type="dxa" w:w="3360"/>
            <w:tcW w:w="2400" w:type="dxa"/>
            <w:shd w:val="clear" w:color="auto" w:fill="17365D"/>
          </w:tcPr>
          <w:p>
            <w:r>
              <w:rPr>
                <w:b/>
                <w:i w:val="0"/>
                <w:color w:val="FFFFFF"/>
                <w:sz w:val="19"/>
              </w:rPr>
              <w:t>Where stated</w:t>
            </w:r>
          </w:p>
        </w:tc>
      </w:tr>
      <w:tr>
        <w:trPr>
          <w:cantSplit/>
        </w:trPr>
        <w:tc>
          <w:tcPr>
            <w:tcW w:type="dxa" w:w="3360"/>
            <w:tcW w:w="2200" w:type="dxa"/>
            <w:shd w:val="clear" w:color="auto" w:fill="F1F5F8"/>
          </w:tcPr>
          <w:p>
            <w:pPr>
              <w:spacing w:after="0"/>
            </w:pPr>
            <w:r>
              <w:rPr>
                <w:b/>
                <w:i w:val="0"/>
                <w:sz w:val="19"/>
              </w:rPr>
              <w:t>NCCN NE v1.2026</w:t>
            </w:r>
          </w:p>
        </w:tc>
        <w:tc>
          <w:tcPr>
            <w:tcW w:type="dxa" w:w="3360"/>
            <w:tcW w:w="5480" w:type="dxa"/>
            <w:shd w:val="clear" w:color="auto" w:fill="F1F5F8"/>
          </w:tcPr>
          <w:p>
            <w:pPr>
              <w:spacing w:after="0"/>
            </w:pPr>
            <w:r>
              <w:rPr>
                <w:b w:val="0"/>
                <w:i w:val="0"/>
                <w:sz w:val="19"/>
              </w:rPr>
              <w:t>Still prints debulking of more than 90% of metastatic disease for symptom relief and progression-free survival; the roadmap notes the 90% figure began as a symptom-relief observation never validated oncologically.</w:t>
            </w:r>
          </w:p>
        </w:tc>
        <w:tc>
          <w:tcPr>
            <w:tcW w:type="dxa" w:w="3360"/>
            <w:tcW w:w="2400" w:type="dxa"/>
            <w:shd w:val="clear" w:color="auto" w:fill="F1F5F8"/>
          </w:tcPr>
          <w:p>
            <w:pPr>
              <w:spacing w:after="0"/>
            </w:pPr>
            <w:r>
              <w:rPr>
                <w:b w:val="0"/>
                <w:i w:val="0"/>
                <w:color w:val="5A6069"/>
                <w:sz w:val="18"/>
              </w:rPr>
              <w:t>Quick reference 'Cytoreduction thresholds, and what supports them' · row 'More than 90% of metastatic disease — NCCN'</w:t>
            </w:r>
          </w:p>
        </w:tc>
      </w:tr>
      <w:tr>
        <w:trPr>
          <w:cantSplit/>
        </w:trPr>
        <w:tc>
          <w:tcPr>
            <w:tcW w:type="dxa" w:w="3360"/>
            <w:tcW w:w="2200" w:type="dxa"/>
            <w:shd w:val="clear" w:color="auto" w:fill="FFFFFF"/>
          </w:tcPr>
          <w:p>
            <w:pPr>
              <w:spacing w:after="0"/>
            </w:pPr>
            <w:r>
              <w:rPr>
                <w:b/>
                <w:i w:val="0"/>
                <w:sz w:val="19"/>
              </w:rPr>
              <w:t>NANETS 2017 surgical</w:t>
            </w:r>
          </w:p>
        </w:tc>
        <w:tc>
          <w:tcPr>
            <w:tcW w:type="dxa" w:w="3360"/>
            <w:tcW w:w="5480" w:type="dxa"/>
            <w:shd w:val="clear" w:color="auto" w:fill="FFFFFF"/>
          </w:tcPr>
          <w:p>
            <w:pPr>
              <w:spacing w:after="0"/>
            </w:pPr>
            <w:r>
              <w:rPr>
                <w:b w:val="0"/>
                <w:i w:val="0"/>
                <w:sz w:val="19"/>
              </w:rPr>
              <w:t>Small-bowel NET: at least 70% of visible liver disease, near consensus with one dissent, resting on two retrospective single-institution series from the centres that championed the lower threshold.</w:t>
            </w:r>
          </w:p>
        </w:tc>
        <w:tc>
          <w:tcPr>
            <w:tcW w:type="dxa" w:w="3360"/>
            <w:tcW w:w="2400" w:type="dxa"/>
            <w:shd w:val="clear" w:color="auto" w:fill="FFFFFF"/>
          </w:tcPr>
          <w:p>
            <w:pPr>
              <w:spacing w:after="0"/>
            </w:pPr>
            <w:r>
              <w:rPr>
                <w:b w:val="0"/>
                <w:i w:val="0"/>
                <w:color w:val="5A6069"/>
                <w:sz w:val="18"/>
              </w:rPr>
              <w:t>Quick reference 'Cytoreduction thresholds…' · row 'At least 70% of visible liver disease — NANETS 2017, small bowel'; What we are not sure about #1</w:t>
            </w:r>
          </w:p>
        </w:tc>
      </w:tr>
      <w:tr>
        <w:trPr>
          <w:cantSplit/>
        </w:trPr>
        <w:tc>
          <w:tcPr>
            <w:tcW w:type="dxa" w:w="3360"/>
            <w:tcW w:w="2200" w:type="dxa"/>
            <w:shd w:val="clear" w:color="auto" w:fill="F1F5F8"/>
          </w:tcPr>
          <w:p>
            <w:pPr>
              <w:spacing w:after="0"/>
            </w:pPr>
            <w:r>
              <w:rPr>
                <w:b/>
                <w:i w:val="0"/>
                <w:sz w:val="19"/>
              </w:rPr>
              <w:t>NANETS 2020 surgical</w:t>
            </w:r>
          </w:p>
        </w:tc>
        <w:tc>
          <w:tcPr>
            <w:tcW w:type="dxa" w:w="3360"/>
            <w:tcW w:w="5480" w:type="dxa"/>
            <w:shd w:val="clear" w:color="auto" w:fill="F1F5F8"/>
          </w:tcPr>
          <w:p>
            <w:pPr>
              <w:spacing w:after="0"/>
            </w:pPr>
            <w:r>
              <w:rPr>
                <w:b w:val="0"/>
                <w:i w:val="0"/>
                <w:sz w:val="19"/>
              </w:rPr>
              <w:t>Pancreatic NET: no consensus; over half favoured an individualised target above 70%, some held only complete clearance helps, and a minority doubted any benefit of cytoreduction is established.</w:t>
            </w:r>
          </w:p>
        </w:tc>
        <w:tc>
          <w:tcPr>
            <w:tcW w:type="dxa" w:w="3360"/>
            <w:tcW w:w="2400" w:type="dxa"/>
            <w:shd w:val="clear" w:color="auto" w:fill="F1F5F8"/>
          </w:tcPr>
          <w:p>
            <w:pPr>
              <w:spacing w:after="0"/>
            </w:pPr>
            <w:r>
              <w:rPr>
                <w:b w:val="0"/>
                <w:i w:val="0"/>
                <w:color w:val="5A6069"/>
                <w:sz w:val="18"/>
              </w:rPr>
              <w:t>Quick reference 'Cytoreduction thresholds…' · row 'More than 70%, individualised — NANETS 2020'</w:t>
            </w:r>
          </w:p>
        </w:tc>
      </w:tr>
      <w:tr>
        <w:trPr>
          <w:cantSplit/>
        </w:trPr>
        <w:tc>
          <w:tcPr>
            <w:tcW w:type="dxa" w:w="3360"/>
            <w:tcW w:w="2200" w:type="dxa"/>
            <w:shd w:val="clear" w:color="auto" w:fill="FFFFFF"/>
          </w:tcPr>
          <w:p>
            <w:pPr>
              <w:spacing w:after="0"/>
            </w:pPr>
            <w:r>
              <w:rPr>
                <w:b/>
                <w:i w:val="0"/>
                <w:sz w:val="19"/>
              </w:rPr>
              <w:t>ENETS 2023 functioning panNET</w:t>
            </w:r>
          </w:p>
        </w:tc>
        <w:tc>
          <w:tcPr>
            <w:tcW w:type="dxa" w:w="3360"/>
            <w:tcW w:w="5480" w:type="dxa"/>
            <w:shd w:val="clear" w:color="auto" w:fill="FFFFFF"/>
          </w:tcPr>
          <w:p>
            <w:pPr>
              <w:spacing w:after="0"/>
            </w:pPr>
            <w:r>
              <w:rPr>
                <w:b w:val="0"/>
                <w:i w:val="0"/>
                <w:sz w:val="19"/>
              </w:rPr>
              <w:t>70–90% or more of visible disease with adequate liver function (2b, grade B), with no guidance on which end of the range applies to whom.</w:t>
            </w:r>
          </w:p>
        </w:tc>
        <w:tc>
          <w:tcPr>
            <w:tcW w:type="dxa" w:w="3360"/>
            <w:tcW w:w="2400" w:type="dxa"/>
            <w:shd w:val="clear" w:color="auto" w:fill="FFFFFF"/>
          </w:tcPr>
          <w:p>
            <w:pPr>
              <w:spacing w:after="0"/>
            </w:pPr>
            <w:r>
              <w:rPr>
                <w:b w:val="0"/>
                <w:i w:val="0"/>
                <w:color w:val="5A6069"/>
                <w:sz w:val="18"/>
              </w:rPr>
              <w:t>Quick reference 'Cytoreduction thresholds…' · row '70–90% or more — ENETS 2023'; Gate 5 · Reasonable 'Operate for meaningful reduction…' · note</w:t>
            </w:r>
          </w:p>
        </w:tc>
      </w:tr>
      <w:tr>
        <w:trPr>
          <w:cantSplit/>
        </w:trPr>
        <w:tc>
          <w:tcPr>
            <w:tcW w:type="dxa" w:w="3360"/>
            <w:tcW w:w="2200" w:type="dxa"/>
            <w:shd w:val="clear" w:color="auto" w:fill="F1F5F8"/>
          </w:tcPr>
          <w:p>
            <w:pPr>
              <w:spacing w:after="0"/>
            </w:pPr>
            <w:r>
              <w:rPr>
                <w:b/>
                <w:i w:val="0"/>
                <w:sz w:val="19"/>
              </w:rPr>
              <w:t>Graff-Baker debulking</w:t>
            </w:r>
          </w:p>
        </w:tc>
        <w:tc>
          <w:tcPr>
            <w:tcW w:type="dxa" w:w="3360"/>
            <w:tcW w:w="5480" w:type="dxa"/>
            <w:shd w:val="clear" w:color="auto" w:fill="F1F5F8"/>
          </w:tcPr>
          <w:p>
            <w:pPr>
              <w:spacing w:after="0"/>
            </w:pPr>
            <w:r>
              <w:rPr>
                <w:b w:val="0"/>
                <w:i w:val="0"/>
                <w:sz w:val="19"/>
              </w:rPr>
              <w:t>The 52-patient series cited for 70% excluded patients in whom 70% looked unachievable, so has no sub-70% arm; extent of debulking did not correlate with liver progression-free or disease-specific survival.</w:t>
            </w:r>
          </w:p>
        </w:tc>
        <w:tc>
          <w:tcPr>
            <w:tcW w:type="dxa" w:w="3360"/>
            <w:tcW w:w="2400" w:type="dxa"/>
            <w:shd w:val="clear" w:color="auto" w:fill="F1F5F8"/>
          </w:tcPr>
          <w:p>
            <w:pPr>
              <w:spacing w:after="0"/>
            </w:pPr>
            <w:r>
              <w:rPr>
                <w:b w:val="0"/>
                <w:i w:val="0"/>
                <w:color w:val="5A6069"/>
                <w:sz w:val="18"/>
              </w:rPr>
              <w:t>Gate 5 · Reasonable 'Operate for meaningful reduction…' · note</w:t>
            </w:r>
          </w:p>
        </w:tc>
      </w:tr>
    </w:tbl>
    <w:p>
      <w:pPr>
        <w:spacing w:after="40"/>
      </w:pPr>
    </w:p>
    <w:p>
      <w:pPr>
        <w:spacing w:after="80"/>
      </w:pPr>
      <w:r>
        <w:rPr>
          <w:b/>
          <w:i w:val="0"/>
        </w:rPr>
        <w:t xml:space="preserve">Where sources differ: </w:t>
      </w:r>
      <w:r>
        <w:rPr>
          <w:b w:val="0"/>
          <w:i w:val="0"/>
        </w:rPr>
        <w:t>Targets run from more than 90% (NCCN) through 70% (NANETS 2017) and 70–90% (ENETS 2023) to none at all (ENETS 2024, ESMO), and no comparative study supports any of them.</w:t>
      </w:r>
    </w:p>
    <w:p>
      <w:pPr>
        <w:pStyle w:val="Heading3"/>
        <w:keepNext/>
        <w:spacing w:before="120" w:after="80"/>
      </w:pPr>
      <w:r>
        <w:rPr>
          <w:b w:val="0"/>
          <w:i w:val="0"/>
        </w:rPr>
        <w:t>Our proposed selection (OPEN)</w:t>
      </w:r>
    </w:p>
    <w:p>
      <w:pPr>
        <w:spacing w:after="80"/>
      </w:pPr>
      <w:r>
        <w:rPr>
          <w:b w:val="0"/>
          <w:i w:val="0"/>
        </w:rPr>
        <w:t>No percentage is adopted as evidence. Operate only when a named target can be cleared, with the expected residual stated beforehand, in a patient fit for a long operation with enough functional parenchyma; avoid diffuse-miliary disease and liver replacement above roughly 50–70%. The open NELM-R1 proposal uses at least 70% achievable debulking when extrahepatic disease is present.</w:t>
      </w:r>
    </w:p>
    <w:p>
      <w:pPr>
        <w:spacing w:after="80"/>
      </w:pPr>
      <w:r>
        <w:rPr>
          <w:b/>
          <w:i w:val="0"/>
          <w:color w:val="5A6069"/>
          <w:sz w:val="18"/>
        </w:rPr>
        <w:t xml:space="preserve">Basis in the document: </w:t>
      </w:r>
      <w:r>
        <w:rPr>
          <w:b w:val="0"/>
          <w:i w:val="0"/>
          <w:color w:val="5A6069"/>
          <w:sz w:val="18"/>
        </w:rPr>
        <w:t>What we are not sure about #1; Gate 5 · Reasonable 'Operate for meaningful reduction…' · caveat; Gate 5 · Avoid 'Do not call debulking complete eradication…'; NELM-R1 · proposed position</w:t>
      </w:r>
    </w:p>
    <w:p>
      <w:pPr>
        <w:spacing w:after="80"/>
      </w:pPr>
      <w:r>
        <w:rPr>
          <w:b/>
          <w:i w:val="0"/>
        </w:rPr>
        <w:t xml:space="preserve">Why: </w:t>
      </w:r>
      <w:r>
        <w:rPr>
          <w:b w:val="0"/>
          <w:i w:val="0"/>
        </w:rPr>
        <w:t>Debulking series are single-arm and selection-driven and no threshold is evidence-derived. The 90% figure was an observation about symptom relief, never validated oncologically; the 70% figure was set by consensus on two retrospective series from the championing centres, and the cohort most cited for it excluded by design every patient in whom 70% was unachievable, so it has no sub-70% arm. NANETS 2020 reached no consensus for pancreatic primaries.</w:t>
      </w:r>
    </w:p>
    <w:p>
      <w:pPr>
        <w:spacing w:after="80"/>
      </w:pPr>
      <w:r>
        <w:rPr>
          <w:b/>
          <w:i w:val="0"/>
        </w:rPr>
        <w:t xml:space="preserve">What gets audited: </w:t>
      </w:r>
      <w:r>
        <w:rPr>
          <w:b w:val="0"/>
          <w:i w:val="0"/>
        </w:rPr>
        <w:t>Registry: burden before and after, residual, liver progression-free survival.</w:t>
      </w:r>
    </w:p>
    <w:p>
      <w:pPr>
        <w:pStyle w:val="Heading3"/>
        <w:keepNext/>
        <w:spacing w:before="120" w:after="80"/>
      </w:pPr>
      <w:r>
        <w:rPr>
          <w:b w:val="0"/>
          <w:i w:val="0"/>
        </w:rPr>
        <w:t>NELM-D3 — group decision</w:t>
      </w:r>
    </w:p>
    <w:p>
      <w:pPr>
        <w:spacing w:after="0"/>
      </w:pPr>
      <w:r>
        <w:rPr>
          <w:b/>
          <w:i w:val="0"/>
        </w:rPr>
        <w:t xml:space="preserve">Accepted position (or alternative chosen): </w:t>
      </w:r>
    </w:p>
    <w:p>
      <w:pPr>
        <w:spacing w:after="200"/>
        <w:pBdr>
          <w:bottom w:val="single" w:sz="6" w:space="1" w:color="9AA8B4"/>
        </w:pBdr>
      </w:pPr>
    </w:p>
    <w:p>
      <w:pPr>
        <w:spacing w:after="0"/>
      </w:pPr>
      <w:r>
        <w:rPr>
          <w:b/>
          <w:i w:val="0"/>
        </w:rPr>
        <w:t xml:space="preserve">Rationale, dissent and exceptions: </w:t>
      </w:r>
    </w:p>
    <w:p>
      <w:pPr>
        <w:spacing w:after="200"/>
        <w:pBdr>
          <w:bottom w:val="single" w:sz="6" w:space="1" w:color="9AA8B4"/>
        </w:pBdr>
      </w:pPr>
    </w:p>
    <w:p>
      <w:pPr>
        <w:spacing w:after="0"/>
      </w:pPr>
      <w:r>
        <w:rPr>
          <w:b/>
          <w:i w:val="0"/>
        </w:rPr>
        <w:t xml:space="preserve">Owner · approval date · implementation date: </w:t>
      </w:r>
    </w:p>
    <w:p>
      <w:pPr>
        <w:spacing w:after="200"/>
        <w:pBdr>
          <w:bottom w:val="single" w:sz="6" w:space="1" w:color="9AA8B4"/>
        </w:pBdr>
      </w:pPr>
    </w:p>
    <w:p>
      <w:pPr>
        <w:pStyle w:val="Heading2"/>
        <w:keepNext/>
        <w:spacing w:before="200" w:after="80"/>
      </w:pPr>
      <w:r>
        <w:rPr>
          <w:b w:val="0"/>
          <w:i w:val="0"/>
        </w:rPr>
        <w:t>NELM-D4 — Does the programme offer radioembolisation in this disease at all, and at what point?</w:t>
      </w:r>
    </w:p>
    <w:p>
      <w:pPr>
        <w:spacing w:after="80"/>
      </w:pPr>
      <w:r>
        <w:rPr>
          <w:b w:val="0"/>
          <w:i w:val="0"/>
          <w:color w:val="5A6069"/>
          <w:sz w:val="18"/>
        </w:rPr>
        <w:t>OPEN — not yet decided · Clinical</w:t>
      </w:r>
    </w:p>
    <w:p>
      <w:pPr>
        <w:spacing w:after="80"/>
      </w:pPr>
      <w:r>
        <w:rPr>
          <w:b/>
          <w:i w:val="0"/>
        </w:rPr>
        <w:t xml:space="preserve">Where it is decided: </w:t>
      </w:r>
      <w:hyperlink r:id="rId9">
        <w:r>
          <w:rPr>
            <w:color w:val="0563C1"/>
            <w:u w:val="single"/>
          </w:rPr>
          <w:t xml:space="preserve">7 · Select liver-directed therapy</w:t>
        </w:r>
      </w:hyperlink>
      <w:r>
        <w:rPr>
          <w:b w:val="0"/>
          <w:i w:val="0"/>
        </w:rPr>
        <w:t xml:space="preserve"> · </w:t>
      </w:r>
      <w:hyperlink r:id="rId17">
        <w:r>
          <w:rPr>
            <w:color w:val="0563C1"/>
            <w:u w:val="single"/>
          </w:rPr>
          <w:t xml:space="preserve">2 · Low-volume G1–G2 disease</w:t>
        </w:r>
      </w:hyperlink>
    </w:p>
    <w:p>
      <w:pPr>
        <w:spacing w:after="120"/>
      </w:pPr>
      <w:r>
        <w:rPr>
          <w:b/>
          <w:i w:val="0"/>
          <w:sz w:val="18"/>
        </w:rPr>
        <w:t xml:space="preserve">Web page: </w:t>
      </w:r>
      <w:hyperlink r:id="rId18">
        <w:r>
          <w:rPr>
            <w:color w:val="0563C1"/>
            <w:u w:val="single"/>
            <w:sz w:val="18"/>
          </w:rPr>
          <w:t xml:space="preserve">open this question on the website</w:t>
        </w:r>
      </w:hyperlink>
    </w:p>
    <w:p>
      <w:pPr>
        <w:pStyle w:val="Heading3"/>
        <w:keepNext/>
        <w:spacing w:before="120" w:after="80"/>
      </w:pPr>
      <w:r>
        <w:rPr>
          <w:b w:val="0"/>
          <w:i w:val="0"/>
        </w:rPr>
        <w:t>Positions of guidelines, trials and papers</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200"/>
        <w:gridCol w:w="5480"/>
        <w:gridCol w:w="2400"/>
      </w:tblGrid>
      <w:tr>
        <w:trPr>
          <w:tblHeader/>
        </w:trPr>
        <w:tc>
          <w:tcPr>
            <w:tcW w:type="dxa" w:w="3360"/>
            <w:tcW w:w="2200" w:type="dxa"/>
            <w:shd w:val="clear" w:color="auto" w:fill="17365D"/>
          </w:tcPr>
          <w:p>
            <w:r>
              <w:rPr>
                <w:b/>
                <w:i w:val="0"/>
                <w:color w:val="FFFFFF"/>
                <w:sz w:val="19"/>
              </w:rPr>
              <w:t>Source</w:t>
            </w:r>
          </w:p>
        </w:tc>
        <w:tc>
          <w:tcPr>
            <w:tcW w:type="dxa" w:w="3360"/>
            <w:tcW w:w="5480" w:type="dxa"/>
            <w:shd w:val="clear" w:color="auto" w:fill="17365D"/>
          </w:tcPr>
          <w:p>
            <w:r>
              <w:rPr>
                <w:b/>
                <w:i w:val="0"/>
                <w:color w:val="FFFFFF"/>
                <w:sz w:val="19"/>
              </w:rPr>
              <w:t>Position</w:t>
            </w:r>
          </w:p>
        </w:tc>
        <w:tc>
          <w:tcPr>
            <w:tcW w:type="dxa" w:w="3360"/>
            <w:tcW w:w="2400" w:type="dxa"/>
            <w:shd w:val="clear" w:color="auto" w:fill="17365D"/>
          </w:tcPr>
          <w:p>
            <w:r>
              <w:rPr>
                <w:b/>
                <w:i w:val="0"/>
                <w:color w:val="FFFFFF"/>
                <w:sz w:val="19"/>
              </w:rPr>
              <w:t>Where stated</w:t>
            </w:r>
          </w:p>
        </w:tc>
      </w:tr>
      <w:tr>
        <w:trPr>
          <w:cantSplit/>
        </w:trPr>
        <w:tc>
          <w:tcPr>
            <w:tcW w:type="dxa" w:w="3360"/>
            <w:tcW w:w="2200" w:type="dxa"/>
            <w:shd w:val="clear" w:color="auto" w:fill="F1F5F8"/>
          </w:tcPr>
          <w:p>
            <w:pPr>
              <w:spacing w:after="0"/>
            </w:pPr>
            <w:r>
              <w:rPr>
                <w:b/>
                <w:i w:val="0"/>
                <w:sz w:val="19"/>
              </w:rPr>
              <w:t>NCCN NE v1.2026</w:t>
            </w:r>
          </w:p>
        </w:tc>
        <w:tc>
          <w:tcPr>
            <w:tcW w:type="dxa" w:w="3360"/>
            <w:tcW w:w="5480" w:type="dxa"/>
            <w:shd w:val="clear" w:color="auto" w:fill="F1F5F8"/>
          </w:tcPr>
          <w:p>
            <w:pPr>
              <w:spacing w:after="0"/>
            </w:pPr>
            <w:r>
              <w:rPr>
                <w:b w:val="0"/>
                <w:i w:val="0"/>
                <w:sz w:val="19"/>
              </w:rPr>
              <w:t>Permits radioembolisation, especially for lobar or segmental distribution or after Whipple or biliary instrumentation; a mandatory exhaustion-of-all-options rule before Y90 is a local restriction, not NCCN.</w:t>
            </w:r>
          </w:p>
        </w:tc>
        <w:tc>
          <w:tcPr>
            <w:tcW w:type="dxa" w:w="3360"/>
            <w:tcW w:w="2400" w:type="dxa"/>
            <w:shd w:val="clear" w:color="auto" w:fill="F1F5F8"/>
          </w:tcPr>
          <w:p>
            <w:pPr>
              <w:spacing w:after="0"/>
            </w:pPr>
            <w:r>
              <w:rPr>
                <w:b w:val="0"/>
                <w:i w:val="0"/>
                <w:color w:val="5A6069"/>
                <w:sz w:val="18"/>
              </w:rPr>
              <w:t>Gate 7 · Reasonable option 'Radioembolisation — Y-90 or holmium-166' · when; Gate 7 · flag note; What we are not sure about #31</w:t>
            </w:r>
          </w:p>
        </w:tc>
      </w:tr>
      <w:tr>
        <w:trPr>
          <w:cantSplit/>
        </w:trPr>
        <w:tc>
          <w:tcPr>
            <w:tcW w:type="dxa" w:w="3360"/>
            <w:tcW w:w="2200" w:type="dxa"/>
            <w:shd w:val="clear" w:color="auto" w:fill="FFFFFF"/>
          </w:tcPr>
          <w:p>
            <w:pPr>
              <w:spacing w:after="0"/>
            </w:pPr>
            <w:r>
              <w:rPr>
                <w:b/>
                <w:i w:val="0"/>
                <w:sz w:val="19"/>
              </w:rPr>
              <w:t>NANETS 2017 medical</w:t>
            </w:r>
          </w:p>
        </w:tc>
        <w:tc>
          <w:tcPr>
            <w:tcW w:type="dxa" w:w="3360"/>
            <w:tcW w:w="5480" w:type="dxa"/>
            <w:shd w:val="clear" w:color="auto" w:fill="FFFFFF"/>
          </w:tcPr>
          <w:p>
            <w:pPr>
              <w:spacing w:after="0"/>
            </w:pPr>
            <w:r>
              <w:rPr>
                <w:b w:val="0"/>
                <w:i w:val="0"/>
                <w:sz w:val="19"/>
              </w:rPr>
              <w:t>Found no agreement on which embolisation modality to prefer; considered radioembolisation evidence too thin for second line but supported it in later lines for liver-dominant disease.</w:t>
            </w:r>
          </w:p>
        </w:tc>
        <w:tc>
          <w:tcPr>
            <w:tcW w:type="dxa" w:w="3360"/>
            <w:tcW w:w="2400" w:type="dxa"/>
            <w:shd w:val="clear" w:color="auto" w:fill="FFFFFF"/>
          </w:tcPr>
          <w:p>
            <w:pPr>
              <w:spacing w:after="0"/>
            </w:pPr>
            <w:r>
              <w:rPr>
                <w:b w:val="0"/>
                <w:i w:val="0"/>
                <w:color w:val="5A6069"/>
                <w:sz w:val="18"/>
              </w:rPr>
              <w:t>What we are not sure about #31</w:t>
            </w:r>
          </w:p>
        </w:tc>
      </w:tr>
      <w:tr>
        <w:trPr>
          <w:cantSplit/>
        </w:trPr>
        <w:tc>
          <w:tcPr>
            <w:tcW w:type="dxa" w:w="3360"/>
            <w:tcW w:w="2200" w:type="dxa"/>
            <w:shd w:val="clear" w:color="auto" w:fill="F1F5F8"/>
          </w:tcPr>
          <w:p>
            <w:pPr>
              <w:spacing w:after="0"/>
            </w:pPr>
            <w:r>
              <w:rPr>
                <w:b/>
                <w:i w:val="0"/>
                <w:sz w:val="19"/>
              </w:rPr>
              <w:t>Kennedy Y-90</w:t>
            </w:r>
          </w:p>
        </w:tc>
        <w:tc>
          <w:tcPr>
            <w:tcW w:type="dxa" w:w="3360"/>
            <w:tcW w:w="5480" w:type="dxa"/>
            <w:shd w:val="clear" w:color="auto" w:fill="F1F5F8"/>
          </w:tcPr>
          <w:p>
            <w:pPr>
              <w:spacing w:after="0"/>
            </w:pPr>
            <w:r>
              <w:rPr>
                <w:b w:val="0"/>
                <w:i w:val="0"/>
                <w:sz w:val="19"/>
              </w:rPr>
              <w:t>Ten-centre retrospective series of 148 patients reporting 70-month median survival; the roadmap calls this immature, unstandardised for response and not a treatment effect.</w:t>
            </w:r>
          </w:p>
        </w:tc>
        <w:tc>
          <w:tcPr>
            <w:tcW w:type="dxa" w:w="3360"/>
            <w:tcW w:w="2400" w:type="dxa"/>
            <w:shd w:val="clear" w:color="auto" w:fill="F1F5F8"/>
          </w:tcPr>
          <w:p>
            <w:pPr>
              <w:spacing w:after="0"/>
            </w:pPr>
            <w:r>
              <w:rPr>
                <w:b w:val="0"/>
                <w:i w:val="0"/>
                <w:color w:val="5A6069"/>
                <w:sz w:val="18"/>
              </w:rPr>
              <w:t>Gate 7 · Reasonable option 'Radioembolisation — Y-90 or holmium-166' · pref; What we are not sure about #17</w:t>
            </w:r>
          </w:p>
        </w:tc>
      </w:tr>
      <w:tr>
        <w:trPr>
          <w:cantSplit/>
        </w:trPr>
        <w:tc>
          <w:tcPr>
            <w:tcW w:type="dxa" w:w="3360"/>
            <w:tcW w:w="2200" w:type="dxa"/>
            <w:shd w:val="clear" w:color="auto" w:fill="FFFFFF"/>
          </w:tcPr>
          <w:p>
            <w:pPr>
              <w:spacing w:after="0"/>
            </w:pPr>
            <w:r>
              <w:rPr>
                <w:b/>
                <w:i w:val="0"/>
                <w:sz w:val="19"/>
              </w:rPr>
              <w:t>Y-90 late toxicity</w:t>
            </w:r>
          </w:p>
        </w:tc>
        <w:tc>
          <w:tcPr>
            <w:tcW w:type="dxa" w:w="3360"/>
            <w:tcW w:w="5480" w:type="dxa"/>
            <w:shd w:val="clear" w:color="auto" w:fill="FFFFFF"/>
          </w:tcPr>
          <w:p>
            <w:pPr>
              <w:spacing w:after="0"/>
            </w:pPr>
            <w:r>
              <w:rPr>
                <w:b w:val="0"/>
                <w:i w:val="0"/>
                <w:sz w:val="19"/>
              </w:rPr>
              <w:t>Cirrhosis-like morphology or portal-hypertension signs in 15 of 52 (29%) followed beyond a year, more after bilobar treatment; median survival 28.0 months in 93 patients; no radioembolisation-induced liver failure.</w:t>
            </w:r>
          </w:p>
        </w:tc>
        <w:tc>
          <w:tcPr>
            <w:tcW w:type="dxa" w:w="3360"/>
            <w:tcW w:w="2400" w:type="dxa"/>
            <w:shd w:val="clear" w:color="auto" w:fill="FFFFFF"/>
          </w:tcPr>
          <w:p>
            <w:pPr>
              <w:spacing w:after="0"/>
            </w:pPr>
            <w:r>
              <w:rPr>
                <w:b w:val="0"/>
                <w:i w:val="0"/>
                <w:color w:val="5A6069"/>
                <w:sz w:val="18"/>
              </w:rPr>
              <w:t>Gate 2 · Avoid 'Do not offer Y90 radioembolisation without a phenotype-specific rationale.' · caveat; Gate 7 · Reasonable option 'Radioembolisation — Y-90 or holmium-166' · caveat; What we are not sure about #17 and #18</w:t>
            </w:r>
          </w:p>
        </w:tc>
      </w:tr>
      <w:tr>
        <w:trPr>
          <w:cantSplit/>
        </w:trPr>
        <w:tc>
          <w:tcPr>
            <w:tcW w:type="dxa" w:w="3360"/>
            <w:tcW w:w="2200" w:type="dxa"/>
            <w:shd w:val="clear" w:color="auto" w:fill="F1F5F8"/>
          </w:tcPr>
          <w:p>
            <w:pPr>
              <w:spacing w:after="0"/>
            </w:pPr>
            <w:r>
              <w:rPr>
                <w:b/>
                <w:i w:val="0"/>
                <w:sz w:val="19"/>
              </w:rPr>
              <w:t>HEPAR PLuS</w:t>
            </w:r>
          </w:p>
        </w:tc>
        <w:tc>
          <w:tcPr>
            <w:tcW w:type="dxa" w:w="3360"/>
            <w:tcW w:w="5480" w:type="dxa"/>
            <w:shd w:val="clear" w:color="auto" w:fill="F1F5F8"/>
          </w:tcPr>
          <w:p>
            <w:pPr>
              <w:spacing w:after="0"/>
            </w:pPr>
            <w:r>
              <w:rPr>
                <w:b w:val="0"/>
                <w:i w:val="0"/>
                <w:sz w:val="19"/>
              </w:rPr>
              <w:t>Adding holmium SIRT to PRRT gave 2-year hepatic progression-free survival 82% vs 50% in 24 matched pairs, without survival benefit; manufacturer-funded; sequencing safety remains unknown either way.</w:t>
            </w:r>
          </w:p>
        </w:tc>
        <w:tc>
          <w:tcPr>
            <w:tcW w:type="dxa" w:w="3360"/>
            <w:tcW w:w="2400" w:type="dxa"/>
            <w:shd w:val="clear" w:color="auto" w:fill="F1F5F8"/>
          </w:tcPr>
          <w:p>
            <w:pPr>
              <w:spacing w:after="0"/>
            </w:pPr>
            <w:r>
              <w:rPr>
                <w:b w:val="0"/>
                <w:i w:val="0"/>
                <w:color w:val="5A6069"/>
                <w:sz w:val="18"/>
              </w:rPr>
              <w:t>Gate 7 · Reasonable option 'Radioembolisation — Y-90 or holmium-166' · pref; What we are not sure about #19</w:t>
            </w:r>
          </w:p>
        </w:tc>
      </w:tr>
    </w:tbl>
    <w:p>
      <w:pPr>
        <w:spacing w:after="40"/>
      </w:pPr>
    </w:p>
    <w:p>
      <w:pPr>
        <w:spacing w:after="80"/>
      </w:pPr>
      <w:r>
        <w:rPr>
          <w:b/>
          <w:i w:val="0"/>
        </w:rPr>
        <w:t xml:space="preserve">Where sources differ: </w:t>
      </w:r>
      <w:r>
        <w:rPr>
          <w:b w:val="0"/>
          <w:i w:val="0"/>
        </w:rPr>
        <w:t>NCCN allows earlier radioembolisation for specific anatomy and NANETS reached no modality consensus, while the supporting series are retrospective or historically controlled and the late hepatic-injury risk is real but unquantified.</w:t>
      </w:r>
    </w:p>
    <w:p>
      <w:pPr>
        <w:pStyle w:val="Heading3"/>
        <w:keepNext/>
        <w:spacing w:before="120" w:after="80"/>
      </w:pPr>
      <w:r>
        <w:rPr>
          <w:b w:val="0"/>
          <w:i w:val="0"/>
        </w:rPr>
        <w:t>Our proposed selection (OPEN)</w:t>
      </w:r>
    </w:p>
    <w:p>
      <w:pPr>
        <w:spacing w:after="80"/>
      </w:pPr>
      <w:r>
        <w:rPr>
          <w:b w:val="0"/>
          <w:i w:val="0"/>
        </w:rPr>
        <w:t>Radioembolisation (Y-90 or holmium-166) is Reasonable, grade C and expertise-dependent for selected lobar or segmental liver-dominant disease with a stated rationale, not restricted to last resort; it is avoided in low-burden disease with a long horizon, where cumulative hepatic radiation raises the threshold. Whether the programme offers it at all is unresolved.</w:t>
      </w:r>
    </w:p>
    <w:p>
      <w:pPr>
        <w:spacing w:after="80"/>
      </w:pPr>
      <w:r>
        <w:rPr>
          <w:b/>
          <w:i w:val="0"/>
          <w:color w:val="5A6069"/>
          <w:sz w:val="18"/>
        </w:rPr>
        <w:t xml:space="preserve">Basis in the document: </w:t>
      </w:r>
      <w:r>
        <w:rPr>
          <w:b w:val="0"/>
          <w:i w:val="0"/>
          <w:color w:val="5A6069"/>
          <w:sz w:val="18"/>
        </w:rPr>
        <w:t>Gate 7 · Reasonable option 'Radioembolisation — Y-90 or holmium-166'; Gate 2 · Avoid 'Do not offer Y90 radioembolisation without a phenotype-specific rationale.'; Gate 7 · flag note</w:t>
      </w:r>
    </w:p>
    <w:p>
      <w:pPr>
        <w:spacing w:after="80"/>
      </w:pPr>
      <w:r>
        <w:rPr>
          <w:b/>
          <w:i w:val="0"/>
        </w:rPr>
        <w:t xml:space="preserve">Why: </w:t>
      </w:r>
      <w:r>
        <w:rPr>
          <w:b w:val="0"/>
          <w:i w:val="0"/>
        </w:rPr>
        <w:t>Evidence is minimal and the long treatment horizon makes cumulative hepatic radiation injury the dominant consideration.</w:t>
      </w:r>
    </w:p>
    <w:p>
      <w:pPr>
        <w:spacing w:after="80"/>
      </w:pPr>
      <w:r>
        <w:rPr>
          <w:b/>
          <w:i w:val="0"/>
        </w:rPr>
        <w:t xml:space="preserve">What gets audited: </w:t>
      </w:r>
      <w:r>
        <w:rPr>
          <w:b w:val="0"/>
          <w:i w:val="0"/>
        </w:rPr>
        <w:t>Registry required if offered; long-term hepatic follow-up.</w:t>
      </w:r>
    </w:p>
    <w:p>
      <w:pPr>
        <w:pStyle w:val="Heading3"/>
        <w:keepNext/>
        <w:spacing w:before="120" w:after="80"/>
      </w:pPr>
      <w:r>
        <w:rPr>
          <w:b w:val="0"/>
          <w:i w:val="0"/>
        </w:rPr>
        <w:t>NELM-D4 — group decision</w:t>
      </w:r>
    </w:p>
    <w:p>
      <w:pPr>
        <w:spacing w:after="0"/>
      </w:pPr>
      <w:r>
        <w:rPr>
          <w:b/>
          <w:i w:val="0"/>
        </w:rPr>
        <w:t xml:space="preserve">Accepted position (or alternative chosen): </w:t>
      </w:r>
    </w:p>
    <w:p>
      <w:pPr>
        <w:spacing w:after="200"/>
        <w:pBdr>
          <w:bottom w:val="single" w:sz="6" w:space="1" w:color="9AA8B4"/>
        </w:pBdr>
      </w:pPr>
    </w:p>
    <w:p>
      <w:pPr>
        <w:spacing w:after="0"/>
      </w:pPr>
      <w:r>
        <w:rPr>
          <w:b/>
          <w:i w:val="0"/>
        </w:rPr>
        <w:t xml:space="preserve">Rationale, dissent and exceptions: </w:t>
      </w:r>
    </w:p>
    <w:p>
      <w:pPr>
        <w:spacing w:after="200"/>
        <w:pBdr>
          <w:bottom w:val="single" w:sz="6" w:space="1" w:color="9AA8B4"/>
        </w:pBdr>
      </w:pPr>
    </w:p>
    <w:p>
      <w:pPr>
        <w:spacing w:after="0"/>
      </w:pPr>
      <w:r>
        <w:rPr>
          <w:b/>
          <w:i w:val="0"/>
        </w:rPr>
        <w:t xml:space="preserve">Owner · approval date · implementation date: </w:t>
      </w:r>
    </w:p>
    <w:p>
      <w:pPr>
        <w:spacing w:after="200"/>
        <w:pBdr>
          <w:bottom w:val="single" w:sz="6" w:space="1" w:color="9AA8B4"/>
        </w:pBdr>
      </w:pPr>
    </w:p>
    <w:p>
      <w:pPr>
        <w:pStyle w:val="Heading2"/>
        <w:keepNext/>
        <w:spacing w:before="200" w:after="80"/>
      </w:pPr>
      <w:r>
        <w:rPr>
          <w:b w:val="0"/>
          <w:i w:val="0"/>
        </w:rPr>
        <w:t>NELM-D5 — Does the programme open a NELM transplant protocol?</w:t>
      </w:r>
    </w:p>
    <w:p>
      <w:pPr>
        <w:spacing w:after="80"/>
      </w:pPr>
      <w:r>
        <w:rPr>
          <w:b w:val="0"/>
          <w:i w:val="0"/>
          <w:color w:val="5A6069"/>
          <w:sz w:val="18"/>
        </w:rPr>
        <w:t>OPEN — not yet decided · Clinical</w:t>
      </w:r>
    </w:p>
    <w:p>
      <w:pPr>
        <w:spacing w:after="80"/>
      </w:pPr>
      <w:r>
        <w:rPr>
          <w:b/>
          <w:i w:val="0"/>
        </w:rPr>
        <w:t xml:space="preserve">Where it is decided: </w:t>
      </w:r>
      <w:hyperlink r:id="rId19">
        <w:r>
          <w:rPr>
            <w:color w:val="0563C1"/>
            <w:u w:val="single"/>
          </w:rPr>
          <w:t xml:space="preserve">9 · Assess transplant eligibility</w:t>
        </w:r>
      </w:hyperlink>
    </w:p>
    <w:p>
      <w:pPr>
        <w:spacing w:after="120"/>
      </w:pPr>
      <w:r>
        <w:rPr>
          <w:b/>
          <w:i w:val="0"/>
          <w:sz w:val="18"/>
        </w:rPr>
        <w:t xml:space="preserve">Web page: </w:t>
      </w:r>
      <w:hyperlink r:id="rId20">
        <w:r>
          <w:rPr>
            <w:color w:val="0563C1"/>
            <w:u w:val="single"/>
            <w:sz w:val="18"/>
          </w:rPr>
          <w:t xml:space="preserve">open this question on the website</w:t>
        </w:r>
      </w:hyperlink>
    </w:p>
    <w:p>
      <w:pPr>
        <w:pStyle w:val="Heading3"/>
        <w:keepNext/>
        <w:spacing w:before="120" w:after="80"/>
      </w:pPr>
      <w:r>
        <w:rPr>
          <w:b w:val="0"/>
          <w:i w:val="0"/>
        </w:rPr>
        <w:t>Positions of guidelines, trials and papers</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200"/>
        <w:gridCol w:w="5480"/>
        <w:gridCol w:w="2400"/>
      </w:tblGrid>
      <w:tr>
        <w:trPr>
          <w:tblHeader/>
        </w:trPr>
        <w:tc>
          <w:tcPr>
            <w:tcW w:type="dxa" w:w="3360"/>
            <w:tcW w:w="2200" w:type="dxa"/>
            <w:shd w:val="clear" w:color="auto" w:fill="17365D"/>
          </w:tcPr>
          <w:p>
            <w:r>
              <w:rPr>
                <w:b/>
                <w:i w:val="0"/>
                <w:color w:val="FFFFFF"/>
                <w:sz w:val="19"/>
              </w:rPr>
              <w:t>Source</w:t>
            </w:r>
          </w:p>
        </w:tc>
        <w:tc>
          <w:tcPr>
            <w:tcW w:type="dxa" w:w="3360"/>
            <w:tcW w:w="5480" w:type="dxa"/>
            <w:shd w:val="clear" w:color="auto" w:fill="17365D"/>
          </w:tcPr>
          <w:p>
            <w:r>
              <w:rPr>
                <w:b/>
                <w:i w:val="0"/>
                <w:color w:val="FFFFFF"/>
                <w:sz w:val="19"/>
              </w:rPr>
              <w:t>Position</w:t>
            </w:r>
          </w:p>
        </w:tc>
        <w:tc>
          <w:tcPr>
            <w:tcW w:type="dxa" w:w="3360"/>
            <w:tcW w:w="2400" w:type="dxa"/>
            <w:shd w:val="clear" w:color="auto" w:fill="17365D"/>
          </w:tcPr>
          <w:p>
            <w:r>
              <w:rPr>
                <w:b/>
                <w:i w:val="0"/>
                <w:color w:val="FFFFFF"/>
                <w:sz w:val="19"/>
              </w:rPr>
              <w:t>Where stated</w:t>
            </w:r>
          </w:p>
        </w:tc>
      </w:tr>
      <w:tr>
        <w:trPr>
          <w:cantSplit/>
        </w:trPr>
        <w:tc>
          <w:tcPr>
            <w:tcW w:type="dxa" w:w="3360"/>
            <w:tcW w:w="2200" w:type="dxa"/>
            <w:shd w:val="clear" w:color="auto" w:fill="F1F5F8"/>
          </w:tcPr>
          <w:p>
            <w:pPr>
              <w:spacing w:after="0"/>
            </w:pPr>
            <w:r>
              <w:rPr>
                <w:b/>
                <w:i w:val="0"/>
                <w:sz w:val="19"/>
              </w:rPr>
              <w:t>Milan-NET transplant</w:t>
            </w:r>
          </w:p>
        </w:tc>
        <w:tc>
          <w:tcPr>
            <w:tcW w:type="dxa" w:w="3360"/>
            <w:tcW w:w="5480" w:type="dxa"/>
            <w:shd w:val="clear" w:color="auto" w:fill="F1F5F8"/>
          </w:tcPr>
          <w:p>
            <w:pPr>
              <w:spacing w:after="0"/>
            </w:pPr>
            <w:r>
              <w:rPr>
                <w:b w:val="0"/>
                <w:i w:val="0"/>
                <w:sz w:val="19"/>
              </w:rPr>
              <w:t>5- and 10-year survival 97.2% and 88.8% with transplant vs 50.9% and 22.4% without. Roadmap critique: non-randomised, younger recipients, self-selected controls; adjusted benefit 6.82 months at 5 years.</w:t>
            </w:r>
          </w:p>
        </w:tc>
        <w:tc>
          <w:tcPr>
            <w:tcW w:type="dxa" w:w="3360"/>
            <w:tcW w:w="2400" w:type="dxa"/>
            <w:shd w:val="clear" w:color="auto" w:fill="F1F5F8"/>
          </w:tcPr>
          <w:p>
            <w:pPr>
              <w:spacing w:after="0"/>
            </w:pPr>
            <w:r>
              <w:rPr>
                <w:b w:val="0"/>
                <w:i w:val="0"/>
                <w:color w:val="5A6069"/>
                <w:sz w:val="18"/>
              </w:rPr>
              <w:t>Gate 9 · Reasonable 'Offer transplantation only within a trial or prospective registry…' · pref and note</w:t>
            </w:r>
          </w:p>
        </w:tc>
      </w:tr>
      <w:tr>
        <w:trPr>
          <w:cantSplit/>
        </w:trPr>
        <w:tc>
          <w:tcPr>
            <w:tcW w:type="dxa" w:w="3360"/>
            <w:tcW w:w="2200" w:type="dxa"/>
            <w:shd w:val="clear" w:color="auto" w:fill="FFFFFF"/>
          </w:tcPr>
          <w:p>
            <w:pPr>
              <w:spacing w:after="0"/>
            </w:pPr>
            <w:r>
              <w:rPr>
                <w:b/>
                <w:i w:val="0"/>
                <w:sz w:val="19"/>
              </w:rPr>
              <w:t>Resection vs transplant</w:t>
            </w:r>
          </w:p>
        </w:tc>
        <w:tc>
          <w:tcPr>
            <w:tcW w:type="dxa" w:w="3360"/>
            <w:tcW w:w="5480" w:type="dxa"/>
            <w:shd w:val="clear" w:color="auto" w:fill="FFFFFF"/>
          </w:tcPr>
          <w:p>
            <w:pPr>
              <w:spacing w:after="0"/>
            </w:pPr>
            <w:r>
              <w:rPr>
                <w:b w:val="0"/>
                <w:i w:val="0"/>
                <w:sz w:val="19"/>
              </w:rPr>
              <w:t>Same unit: 10-year survival 93% after transplant vs 75% after resection, univariate only, with recipients selected by a test of time; nodal status, absent from Milan criteria, predicted post-transplant survival.</w:t>
            </w:r>
          </w:p>
        </w:tc>
        <w:tc>
          <w:tcPr>
            <w:tcW w:type="dxa" w:w="3360"/>
            <w:tcW w:w="2400" w:type="dxa"/>
            <w:shd w:val="clear" w:color="auto" w:fill="FFFFFF"/>
          </w:tcPr>
          <w:p>
            <w:pPr>
              <w:spacing w:after="0"/>
            </w:pPr>
            <w:r>
              <w:rPr>
                <w:b w:val="0"/>
                <w:i w:val="0"/>
                <w:color w:val="5A6069"/>
                <w:sz w:val="18"/>
              </w:rPr>
              <w:t>Gate 9 · Reasonable 'Offer transplantation only…' · pref and note; Gate 9 · Avoid 'Do not take the published series' criteria…' · caveat</w:t>
            </w:r>
          </w:p>
        </w:tc>
      </w:tr>
      <w:tr>
        <w:trPr>
          <w:cantSplit/>
        </w:trPr>
        <w:tc>
          <w:tcPr>
            <w:tcW w:type="dxa" w:w="3360"/>
            <w:tcW w:w="2200" w:type="dxa"/>
            <w:shd w:val="clear" w:color="auto" w:fill="F1F5F8"/>
          </w:tcPr>
          <w:p>
            <w:pPr>
              <w:spacing w:after="0"/>
            </w:pPr>
            <w:r>
              <w:rPr>
                <w:b/>
                <w:i w:val="0"/>
                <w:sz w:val="19"/>
              </w:rPr>
              <w:t>NCCN NE v1.2026</w:t>
            </w:r>
          </w:p>
        </w:tc>
        <w:tc>
          <w:tcPr>
            <w:tcW w:type="dxa" w:w="3360"/>
            <w:tcW w:w="5480" w:type="dxa"/>
            <w:shd w:val="clear" w:color="auto" w:fill="F1F5F8"/>
          </w:tcPr>
          <w:p>
            <w:pPr>
              <w:spacing w:after="0"/>
            </w:pPr>
            <w:r>
              <w:rPr>
                <w:b w:val="0"/>
                <w:i w:val="0"/>
                <w:sz w:val="19"/>
              </w:rPr>
              <w:t>Deems liver transplantation investigational, acknowledging considerable associated risks.</w:t>
            </w:r>
          </w:p>
        </w:tc>
        <w:tc>
          <w:tcPr>
            <w:tcW w:type="dxa" w:w="3360"/>
            <w:tcW w:w="2400" w:type="dxa"/>
            <w:shd w:val="clear" w:color="auto" w:fill="F1F5F8"/>
          </w:tcPr>
          <w:p>
            <w:pPr>
              <w:spacing w:after="0"/>
            </w:pPr>
            <w:r>
              <w:rPr>
                <w:b w:val="0"/>
                <w:i w:val="0"/>
                <w:color w:val="5A6069"/>
                <w:sz w:val="18"/>
              </w:rPr>
              <w:t>Gate 9 · Reasonable 'Offer transplantation only…' · caveat</w:t>
            </w:r>
          </w:p>
        </w:tc>
      </w:tr>
      <w:tr>
        <w:trPr>
          <w:cantSplit/>
        </w:trPr>
        <w:tc>
          <w:tcPr>
            <w:tcW w:type="dxa" w:w="3360"/>
            <w:tcW w:w="2200" w:type="dxa"/>
            <w:shd w:val="clear" w:color="auto" w:fill="FFFFFF"/>
          </w:tcPr>
          <w:p>
            <w:pPr>
              <w:spacing w:after="0"/>
            </w:pPr>
            <w:r>
              <w:rPr>
                <w:b/>
                <w:i w:val="0"/>
                <w:sz w:val="19"/>
              </w:rPr>
              <w:t>ENETS 2024 small intestine</w:t>
            </w:r>
          </w:p>
        </w:tc>
        <w:tc>
          <w:tcPr>
            <w:tcW w:type="dxa" w:w="3360"/>
            <w:tcW w:w="5480" w:type="dxa"/>
            <w:shd w:val="clear" w:color="auto" w:fill="FFFFFF"/>
          </w:tcPr>
          <w:p>
            <w:pPr>
              <w:spacing w:after="0"/>
            </w:pPr>
            <w:r>
              <w:rPr>
                <w:b w:val="0"/>
                <w:i w:val="0"/>
                <w:sz w:val="19"/>
              </w:rPr>
              <w:t>Reduces transplantation to a rare consideration in selected individuals after primary resection leaves liver-only disease.</w:t>
            </w:r>
          </w:p>
        </w:tc>
        <w:tc>
          <w:tcPr>
            <w:tcW w:type="dxa" w:w="3360"/>
            <w:tcW w:w="2400" w:type="dxa"/>
            <w:shd w:val="clear" w:color="auto" w:fill="FFFFFF"/>
          </w:tcPr>
          <w:p>
            <w:pPr>
              <w:spacing w:after="0"/>
            </w:pPr>
            <w:r>
              <w:rPr>
                <w:b w:val="0"/>
                <w:i w:val="0"/>
                <w:color w:val="5A6069"/>
                <w:sz w:val="18"/>
              </w:rPr>
              <w:t>Gate 9 · Reasonable 'Where disease is limited enough to clear, compare resection…' · pref</w:t>
            </w:r>
          </w:p>
        </w:tc>
      </w:tr>
      <w:tr>
        <w:trPr>
          <w:cantSplit/>
        </w:trPr>
        <w:tc>
          <w:tcPr>
            <w:tcW w:type="dxa" w:w="3360"/>
            <w:tcW w:w="2200" w:type="dxa"/>
            <w:shd w:val="clear" w:color="auto" w:fill="F1F5F8"/>
          </w:tcPr>
          <w:p>
            <w:pPr>
              <w:spacing w:after="0"/>
            </w:pPr>
            <w:r>
              <w:rPr>
                <w:b/>
                <w:i w:val="0"/>
                <w:sz w:val="19"/>
              </w:rPr>
              <w:t>OPTN NLRB guidance 2025</w:t>
            </w:r>
          </w:p>
        </w:tc>
        <w:tc>
          <w:tcPr>
            <w:tcW w:type="dxa" w:w="3360"/>
            <w:tcW w:w="5480" w:type="dxa"/>
            <w:shd w:val="clear" w:color="auto" w:fill="F1F5F8"/>
          </w:tcPr>
          <w:p>
            <w:pPr>
              <w:spacing w:after="0"/>
            </w:pPr>
            <w:r>
              <w:rPr>
                <w:b w:val="0"/>
                <w:i w:val="0"/>
                <w:sz w:val="19"/>
              </w:rPr>
              <w:t>NELM is a nonstandard, not standardised, MELD exception; the guidance requires G1/G2 histology with Ki-67 under 20%, a portal-drained GEP primary and six months without recurrence, but states no age limit or hepatic burden cutoff.</w:t>
            </w:r>
          </w:p>
        </w:tc>
        <w:tc>
          <w:tcPr>
            <w:tcW w:type="dxa" w:w="3360"/>
            <w:tcW w:w="2400" w:type="dxa"/>
            <w:shd w:val="clear" w:color="auto" w:fill="F1F5F8"/>
          </w:tcPr>
          <w:p>
            <w:pPr>
              <w:spacing w:after="0"/>
            </w:pPr>
            <w:r>
              <w:rPr>
                <w:b w:val="0"/>
                <w:i w:val="0"/>
                <w:color w:val="5A6069"/>
                <w:sz w:val="18"/>
              </w:rPr>
              <w:t>Quick reference 'Milan-NET transplant criteria' · OPTN column; What we are not sure about #23 and #24</w:t>
            </w:r>
          </w:p>
        </w:tc>
      </w:tr>
    </w:tbl>
    <w:p>
      <w:pPr>
        <w:spacing w:after="40"/>
      </w:pPr>
    </w:p>
    <w:p>
      <w:pPr>
        <w:spacing w:after="80"/>
      </w:pPr>
      <w:r>
        <w:rPr>
          <w:b/>
          <w:i w:val="0"/>
        </w:rPr>
        <w:t xml:space="preserve">Where sources differ: </w:t>
      </w:r>
      <w:r>
        <w:rPr>
          <w:b w:val="0"/>
          <w:i w:val="0"/>
        </w:rPr>
        <w:t>The Milan series reports large survival gains that the roadmap judges largely selection-driven, NCCN calls transplantation investigational and ENETS 2024 a rare consideration, so opening a protocol is an institutional judgement on graft stewardship.</w:t>
      </w:r>
    </w:p>
    <w:p>
      <w:pPr>
        <w:pStyle w:val="Heading3"/>
        <w:keepNext/>
        <w:spacing w:before="120" w:after="80"/>
      </w:pPr>
      <w:r>
        <w:rPr>
          <w:b w:val="0"/>
          <w:i w:val="0"/>
        </w:rPr>
        <w:t>Our proposed selection (OPEN)</w:t>
      </w:r>
    </w:p>
    <w:p>
      <w:pPr>
        <w:spacing w:after="80"/>
      </w:pPr>
      <w:r>
        <w:rPr>
          <w:b w:val="0"/>
          <w:i w:val="0"/>
        </w:rPr>
        <w:t>Transplantation only within a trial or prospective registry under restrictive criteria (Reasonable, grade C), via the nonstandard review-board route at MMaT-3, after comparing resection or cytoreduction at the same board; never for G3 or carcinoma, extrahepatic disease, an unresected primary, no observation period or no registry entry. Whether to open the protocol remains undecided.</w:t>
      </w:r>
    </w:p>
    <w:p>
      <w:pPr>
        <w:spacing w:after="80"/>
      </w:pPr>
      <w:r>
        <w:rPr>
          <w:b/>
          <w:i w:val="0"/>
          <w:color w:val="5A6069"/>
          <w:sz w:val="18"/>
        </w:rPr>
        <w:t xml:space="preserve">Basis in the document: </w:t>
      </w:r>
      <w:r>
        <w:rPr>
          <w:b w:val="0"/>
          <w:i w:val="0"/>
          <w:color w:val="5A6069"/>
          <w:sz w:val="18"/>
        </w:rPr>
        <w:t>Gate 9 · Reasonable 'Offer transplantation only within a trial or prospective registry…'; Gate 9 · Reasonable 'Where disease is limited enough to clear…'; Gate 9 · Avoid 'Do not list G3 disease…' · note</w:t>
      </w:r>
    </w:p>
    <w:p>
      <w:pPr>
        <w:spacing w:after="80"/>
      </w:pPr>
      <w:r>
        <w:rPr>
          <w:b/>
          <w:i w:val="0"/>
        </w:rPr>
        <w:t xml:space="preserve">Why: </w:t>
      </w:r>
      <w:r>
        <w:rPr>
          <w:b w:val="0"/>
          <w:i w:val="0"/>
        </w:rPr>
        <w:t>Non-randomised series: 42 transplanted patients at one centre over 15 years, with recipients 15 years younger, a self-selected comparison arm, a pre-targeted-therapy comparator and 88% marginal grafts; adjustment for measured factors narrowed the benefit to 6.82 months at 5 years and unmeasured selection remains, and 6 of the 9 deaths after transplantation were from transplant sequelae. NCCN still calls transplantation investigational and NELM is a nonstandard exception, not a standardised one. Graft stewardship is an institutional judgement.</w:t>
      </w:r>
    </w:p>
    <w:p>
      <w:pPr>
        <w:spacing w:after="80"/>
      </w:pPr>
      <w:r>
        <w:rPr>
          <w:b/>
          <w:i w:val="0"/>
        </w:rPr>
        <w:t xml:space="preserve">What gets audited: </w:t>
      </w:r>
      <w:r>
        <w:rPr>
          <w:b w:val="0"/>
          <w:i w:val="0"/>
        </w:rPr>
        <w:t>Registry required if opened.</w:t>
      </w:r>
    </w:p>
    <w:p>
      <w:pPr>
        <w:pStyle w:val="Heading3"/>
        <w:keepNext/>
        <w:spacing w:before="120" w:after="80"/>
      </w:pPr>
      <w:r>
        <w:rPr>
          <w:b w:val="0"/>
          <w:i w:val="0"/>
        </w:rPr>
        <w:t>NELM-D5 — group decision</w:t>
      </w:r>
    </w:p>
    <w:p>
      <w:pPr>
        <w:spacing w:after="0"/>
      </w:pPr>
      <w:r>
        <w:rPr>
          <w:b/>
          <w:i w:val="0"/>
        </w:rPr>
        <w:t xml:space="preserve">Accepted position (or alternative chosen): </w:t>
      </w:r>
    </w:p>
    <w:p>
      <w:pPr>
        <w:spacing w:after="200"/>
        <w:pBdr>
          <w:bottom w:val="single" w:sz="6" w:space="1" w:color="9AA8B4"/>
        </w:pBdr>
      </w:pPr>
    </w:p>
    <w:p>
      <w:pPr>
        <w:spacing w:after="0"/>
      </w:pPr>
      <w:r>
        <w:rPr>
          <w:b/>
          <w:i w:val="0"/>
        </w:rPr>
        <w:t xml:space="preserve">Rationale, dissent and exceptions: </w:t>
      </w:r>
    </w:p>
    <w:p>
      <w:pPr>
        <w:spacing w:after="200"/>
        <w:pBdr>
          <w:bottom w:val="single" w:sz="6" w:space="1" w:color="9AA8B4"/>
        </w:pBdr>
      </w:pPr>
    </w:p>
    <w:p>
      <w:pPr>
        <w:spacing w:after="0"/>
      </w:pPr>
      <w:r>
        <w:rPr>
          <w:b/>
          <w:i w:val="0"/>
        </w:rPr>
        <w:t xml:space="preserve">Owner · approval date · implementation date: </w:t>
      </w:r>
    </w:p>
    <w:p>
      <w:pPr>
        <w:spacing w:after="200"/>
        <w:pBdr>
          <w:bottom w:val="single" w:sz="6" w:space="1" w:color="9AA8B4"/>
        </w:pBdr>
      </w:pPr>
    </w:p>
    <w:p>
      <w:pPr>
        <w:pStyle w:val="Heading2"/>
        <w:keepNext/>
        <w:spacing w:before="200" w:after="80"/>
      </w:pPr>
      <w:r>
        <w:rPr>
          <w:b w:val="0"/>
          <w:i w:val="0"/>
        </w:rPr>
        <w:t>NELM-D6 — Who owns carcinoid-crisis prophylaxis, and how is it verified before each procedure?</w:t>
      </w:r>
    </w:p>
    <w:p>
      <w:pPr>
        <w:spacing w:after="80"/>
      </w:pPr>
      <w:r>
        <w:rPr>
          <w:b w:val="0"/>
          <w:i w:val="0"/>
          <w:color w:val="5A6069"/>
          <w:sz w:val="18"/>
        </w:rPr>
        <w:t>OPEN — not yet decided · Governance</w:t>
      </w:r>
    </w:p>
    <w:p>
      <w:pPr>
        <w:spacing w:after="80"/>
      </w:pPr>
      <w:r>
        <w:rPr>
          <w:b/>
          <w:i w:val="0"/>
        </w:rPr>
        <w:t xml:space="preserve">Where it is decided: </w:t>
      </w:r>
      <w:hyperlink r:id="rId21">
        <w:r>
          <w:rPr>
            <w:color w:val="0563C1"/>
            <w:u w:val="single"/>
          </w:rPr>
          <w:t xml:space="preserve">8 · Hormone-related symptoms and crisis prevention</w:t>
        </w:r>
      </w:hyperlink>
    </w:p>
    <w:p>
      <w:pPr>
        <w:spacing w:after="120"/>
      </w:pPr>
      <w:r>
        <w:rPr>
          <w:b/>
          <w:i w:val="0"/>
          <w:sz w:val="18"/>
        </w:rPr>
        <w:t xml:space="preserve">Web page: </w:t>
      </w:r>
      <w:hyperlink r:id="rId22">
        <w:r>
          <w:rPr>
            <w:color w:val="0563C1"/>
            <w:u w:val="single"/>
            <w:sz w:val="18"/>
          </w:rPr>
          <w:t xml:space="preserve">open this question on the website</w:t>
        </w:r>
      </w:hyperlink>
    </w:p>
    <w:p>
      <w:pPr>
        <w:pStyle w:val="Heading3"/>
        <w:keepNext/>
        <w:spacing w:before="120" w:after="80"/>
      </w:pPr>
      <w:r>
        <w:rPr>
          <w:b w:val="0"/>
          <w:i w:val="0"/>
        </w:rPr>
        <w:t>Positions of guidelines, trials and papers</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200"/>
        <w:gridCol w:w="5480"/>
        <w:gridCol w:w="2400"/>
      </w:tblGrid>
      <w:tr>
        <w:trPr>
          <w:tblHeader/>
        </w:trPr>
        <w:tc>
          <w:tcPr>
            <w:tcW w:type="dxa" w:w="3360"/>
            <w:tcW w:w="2200" w:type="dxa"/>
            <w:shd w:val="clear" w:color="auto" w:fill="17365D"/>
          </w:tcPr>
          <w:p>
            <w:r>
              <w:rPr>
                <w:b/>
                <w:i w:val="0"/>
                <w:color w:val="FFFFFF"/>
                <w:sz w:val="19"/>
              </w:rPr>
              <w:t>Source</w:t>
            </w:r>
          </w:p>
        </w:tc>
        <w:tc>
          <w:tcPr>
            <w:tcW w:type="dxa" w:w="3360"/>
            <w:tcW w:w="5480" w:type="dxa"/>
            <w:shd w:val="clear" w:color="auto" w:fill="17365D"/>
          </w:tcPr>
          <w:p>
            <w:r>
              <w:rPr>
                <w:b/>
                <w:i w:val="0"/>
                <w:color w:val="FFFFFF"/>
                <w:sz w:val="19"/>
              </w:rPr>
              <w:t>Position</w:t>
            </w:r>
          </w:p>
        </w:tc>
        <w:tc>
          <w:tcPr>
            <w:tcW w:type="dxa" w:w="3360"/>
            <w:tcW w:w="2400" w:type="dxa"/>
            <w:shd w:val="clear" w:color="auto" w:fill="17365D"/>
          </w:tcPr>
          <w:p>
            <w:r>
              <w:rPr>
                <w:b/>
                <w:i w:val="0"/>
                <w:color w:val="FFFFFF"/>
                <w:sz w:val="19"/>
              </w:rPr>
              <w:t>Where stated</w:t>
            </w:r>
          </w:p>
        </w:tc>
      </w:tr>
      <w:tr>
        <w:trPr>
          <w:cantSplit/>
        </w:trPr>
        <w:tc>
          <w:tcPr>
            <w:tcW w:type="dxa" w:w="3360"/>
            <w:tcW w:w="2200" w:type="dxa"/>
            <w:shd w:val="clear" w:color="auto" w:fill="F1F5F8"/>
          </w:tcPr>
          <w:p>
            <w:pPr>
              <w:spacing w:after="0"/>
            </w:pPr>
            <w:r>
              <w:rPr>
                <w:b/>
                <w:i w:val="0"/>
                <w:sz w:val="19"/>
              </w:rPr>
              <w:t>NCCN NE v1.2026</w:t>
            </w:r>
          </w:p>
        </w:tc>
        <w:tc>
          <w:tcPr>
            <w:tcW w:type="dxa" w:w="3360"/>
            <w:tcW w:w="5480" w:type="dxa"/>
            <w:shd w:val="clear" w:color="auto" w:fill="F1F5F8"/>
          </w:tcPr>
          <w:p>
            <w:pPr>
              <w:spacing w:after="0"/>
            </w:pPr>
            <w:r>
              <w:rPr>
                <w:b w:val="0"/>
                <w:i w:val="0"/>
                <w:sz w:val="19"/>
              </w:rPr>
              <w:t>Prophylactic octreotide is likely ineffective at preventing intraoperative carcinoid crisis, yet NCCN preserves short-acting octreotide before embolisation for hormonal syndromes.</w:t>
            </w:r>
          </w:p>
        </w:tc>
        <w:tc>
          <w:tcPr>
            <w:tcW w:type="dxa" w:w="3360"/>
            <w:tcW w:w="2400" w:type="dxa"/>
            <w:shd w:val="clear" w:color="auto" w:fill="F1F5F8"/>
          </w:tcPr>
          <w:p>
            <w:pPr>
              <w:spacing w:after="0"/>
            </w:pPr>
            <w:r>
              <w:rPr>
                <w:b w:val="0"/>
                <w:i w:val="0"/>
                <w:color w:val="5A6069"/>
                <w:sz w:val="18"/>
              </w:rPr>
              <w:t>Gate 8 · Avoid 'Do not rely on prophylactic octreotide…' · caveat; Gate 8 · Standard 'Give short-acting octreotide before embolisation…' · note</w:t>
            </w:r>
          </w:p>
        </w:tc>
      </w:tr>
      <w:tr>
        <w:trPr>
          <w:cantSplit/>
        </w:trPr>
        <w:tc>
          <w:tcPr>
            <w:tcW w:type="dxa" w:w="3360"/>
            <w:tcW w:w="2200" w:type="dxa"/>
            <w:shd w:val="clear" w:color="auto" w:fill="FFFFFF"/>
          </w:tcPr>
          <w:p>
            <w:pPr>
              <w:spacing w:after="0"/>
            </w:pPr>
            <w:r>
              <w:rPr>
                <w:b/>
                <w:i w:val="0"/>
                <w:sz w:val="19"/>
              </w:rPr>
              <w:t>NANETS 2017 surgical</w:t>
            </w:r>
          </w:p>
        </w:tc>
        <w:tc>
          <w:tcPr>
            <w:tcW w:type="dxa" w:w="3360"/>
            <w:tcW w:w="5480" w:type="dxa"/>
            <w:shd w:val="clear" w:color="auto" w:fill="FFFFFF"/>
          </w:tcPr>
          <w:p>
            <w:pPr>
              <w:spacing w:after="0"/>
            </w:pPr>
            <w:r>
              <w:rPr>
                <w:b w:val="0"/>
                <w:i w:val="0"/>
                <w:sz w:val="19"/>
              </w:rPr>
              <w:t>Says crisis prevention has not been established while sanctioning an intraoperative octreotide infusion; the roadmap calls this internally conflicted.</w:t>
            </w:r>
          </w:p>
        </w:tc>
        <w:tc>
          <w:tcPr>
            <w:tcW w:type="dxa" w:w="3360"/>
            <w:tcW w:w="2400" w:type="dxa"/>
            <w:shd w:val="clear" w:color="auto" w:fill="FFFFFF"/>
          </w:tcPr>
          <w:p>
            <w:pPr>
              <w:spacing w:after="0"/>
            </w:pPr>
            <w:r>
              <w:rPr>
                <w:b w:val="0"/>
                <w:i w:val="0"/>
                <w:color w:val="5A6069"/>
                <w:sz w:val="18"/>
              </w:rPr>
              <w:t>Gate 8 · Avoid 'Do not rely on prophylactic octreotide…' · caveat and note</w:t>
            </w:r>
          </w:p>
        </w:tc>
      </w:tr>
      <w:tr>
        <w:trPr>
          <w:cantSplit/>
        </w:trPr>
        <w:tc>
          <w:tcPr>
            <w:tcW w:type="dxa" w:w="3360"/>
            <w:tcW w:w="2200" w:type="dxa"/>
            <w:shd w:val="clear" w:color="auto" w:fill="F1F5F8"/>
          </w:tcPr>
          <w:p>
            <w:pPr>
              <w:spacing w:after="0"/>
            </w:pPr>
            <w:r>
              <w:rPr>
                <w:b/>
                <w:i w:val="0"/>
                <w:sz w:val="19"/>
              </w:rPr>
              <w:t>NANETS 2020 surgical</w:t>
            </w:r>
          </w:p>
        </w:tc>
        <w:tc>
          <w:tcPr>
            <w:tcW w:type="dxa" w:w="3360"/>
            <w:tcW w:w="5480" w:type="dxa"/>
            <w:shd w:val="clear" w:color="auto" w:fill="F1F5F8"/>
          </w:tcPr>
          <w:p>
            <w:pPr>
              <w:spacing w:after="0"/>
            </w:pPr>
            <w:r>
              <w:rPr>
                <w:b w:val="0"/>
                <w:i w:val="0"/>
                <w:sz w:val="19"/>
              </w:rPr>
              <w:t>Calls the role of analogues in preventing crisis in pancreatic NET undefined.</w:t>
            </w:r>
          </w:p>
        </w:tc>
        <w:tc>
          <w:tcPr>
            <w:tcW w:type="dxa" w:w="3360"/>
            <w:tcW w:w="2400" w:type="dxa"/>
            <w:shd w:val="clear" w:color="auto" w:fill="F1F5F8"/>
          </w:tcPr>
          <w:p>
            <w:pPr>
              <w:spacing w:after="0"/>
            </w:pPr>
            <w:r>
              <w:rPr>
                <w:b w:val="0"/>
                <w:i w:val="0"/>
                <w:color w:val="5A6069"/>
                <w:sz w:val="18"/>
              </w:rPr>
              <w:t>Gate 8 · Avoid 'Do not rely on prophylactic octreotide…' · caveat</w:t>
            </w:r>
          </w:p>
        </w:tc>
      </w:tr>
      <w:tr>
        <w:trPr>
          <w:cantSplit/>
        </w:trPr>
        <w:tc>
          <w:tcPr>
            <w:tcW w:type="dxa" w:w="3360"/>
            <w:tcW w:w="2200" w:type="dxa"/>
            <w:shd w:val="clear" w:color="auto" w:fill="FFFFFF"/>
          </w:tcPr>
          <w:p>
            <w:pPr>
              <w:spacing w:after="0"/>
            </w:pPr>
            <w:r>
              <w:rPr>
                <w:b/>
                <w:i w:val="0"/>
                <w:sz w:val="19"/>
              </w:rPr>
              <w:t>Carcinoid crisis in PRRT</w:t>
            </w:r>
          </w:p>
        </w:tc>
        <w:tc>
          <w:tcPr>
            <w:tcW w:type="dxa" w:w="3360"/>
            <w:tcW w:w="5480" w:type="dxa"/>
            <w:shd w:val="clear" w:color="auto" w:fill="FFFFFF"/>
          </w:tcPr>
          <w:p>
            <w:pPr>
              <w:spacing w:after="0"/>
            </w:pPr>
            <w:r>
              <w:rPr>
                <w:b w:val="0"/>
                <w:i w:val="0"/>
                <w:sz w:val="19"/>
              </w:rPr>
              <w:t>Narrative review putting crisis at 1–2% after 177Lu-dotatate and warning that octreotide near a dose can block uptake; its own 127 administrations produced no crisis, and it gives no rule for the trade-off.</w:t>
            </w:r>
          </w:p>
        </w:tc>
        <w:tc>
          <w:tcPr>
            <w:tcW w:type="dxa" w:w="3360"/>
            <w:tcW w:w="2400" w:type="dxa"/>
            <w:shd w:val="clear" w:color="auto" w:fill="FFFFFF"/>
          </w:tcPr>
          <w:p>
            <w:pPr>
              <w:spacing w:after="0"/>
            </w:pPr>
            <w:r>
              <w:rPr>
                <w:b w:val="0"/>
                <w:i w:val="0"/>
                <w:color w:val="5A6069"/>
                <w:sz w:val="18"/>
              </w:rPr>
              <w:t>Gate 8 · Standard 'Give short-acting octreotide…' · caveat; Gate 8 · Avoid 'Do not rely on prophylactic octreotide…' · note</w:t>
            </w:r>
          </w:p>
        </w:tc>
      </w:tr>
    </w:tbl>
    <w:p>
      <w:pPr>
        <w:spacing w:after="40"/>
      </w:pPr>
    </w:p>
    <w:p>
      <w:pPr>
        <w:spacing w:after="80"/>
      </w:pPr>
      <w:r>
        <w:rPr>
          <w:b/>
          <w:i w:val="0"/>
        </w:rPr>
        <w:t xml:space="preserve">Where sources differ: </w:t>
      </w:r>
      <w:r>
        <w:rPr>
          <w:b w:val="0"/>
          <w:i w:val="0"/>
        </w:rPr>
        <w:t>Sources agree prophylaxis is unproven but differ on intraoperative octreotide and on incidence (1–2% after PRRT versus 24–30% intraoperative events in surgical series), so the roadmap makes preparedness, not prophylaxis, the safeguard.</w:t>
      </w:r>
    </w:p>
    <w:p>
      <w:pPr>
        <w:pStyle w:val="Heading3"/>
        <w:keepNext/>
        <w:spacing w:before="120" w:after="80"/>
      </w:pPr>
      <w:r>
        <w:rPr>
          <w:b w:val="0"/>
          <w:i w:val="0"/>
        </w:rPr>
        <w:t>Our proposed selection (OPEN)</w:t>
      </w:r>
    </w:p>
    <w:p>
      <w:pPr>
        <w:spacing w:after="80"/>
      </w:pPr>
      <w:r>
        <w:rPr>
          <w:b w:val="0"/>
          <w:i w:val="0"/>
        </w:rPr>
        <w:t>Every functional patient has a written, procedure-specific crisis plan with a named owner, rescue octreotide in the room and immediate haemodynamic treatment (Standard, grade D). The board names the prophylaxis owner separately, prophylaxis is documented before every procedure and audited for adherence, and octreotide near PRRT is decided explicitly with nuclear medicine.</w:t>
      </w:r>
    </w:p>
    <w:p>
      <w:pPr>
        <w:spacing w:after="80"/>
      </w:pPr>
      <w:r>
        <w:rPr>
          <w:b/>
          <w:i w:val="0"/>
          <w:color w:val="5A6069"/>
          <w:sz w:val="18"/>
        </w:rPr>
        <w:t xml:space="preserve">Basis in the document: </w:t>
      </w:r>
      <w:r>
        <w:rPr>
          <w:b w:val="0"/>
          <w:i w:val="0"/>
          <w:color w:val="5A6069"/>
          <w:sz w:val="18"/>
        </w:rPr>
        <w:t>Gate 8 · Standard 'Write a procedure-specific crisis plan…'; Operations · board meeting · Output; Operations · dashboard · Functional disease; Gate 8 · Standard 'Give short-acting octreotide…' · caveat</w:t>
      </w:r>
    </w:p>
    <w:p>
      <w:pPr>
        <w:spacing w:after="80"/>
      </w:pPr>
      <w:r>
        <w:rPr>
          <w:b/>
          <w:i w:val="0"/>
        </w:rPr>
        <w:t xml:space="preserve">Why: </w:t>
      </w:r>
      <w:r>
        <w:rPr>
          <w:b w:val="0"/>
          <w:i w:val="0"/>
        </w:rPr>
        <w:t>Not an evidence question. It is a named safety process that fails when it lives in individual memory.</w:t>
      </w:r>
    </w:p>
    <w:p>
      <w:pPr>
        <w:spacing w:after="80"/>
      </w:pPr>
      <w:r>
        <w:rPr>
          <w:b/>
          <w:i w:val="0"/>
        </w:rPr>
        <w:t xml:space="preserve">What gets audited: </w:t>
      </w:r>
      <w:r>
        <w:rPr>
          <w:b w:val="0"/>
          <w:i w:val="0"/>
        </w:rPr>
        <w:t>Audit: prophylaxis documented before every procedure in functional patients.</w:t>
      </w:r>
    </w:p>
    <w:p>
      <w:pPr>
        <w:pStyle w:val="Heading3"/>
        <w:keepNext/>
        <w:spacing w:before="120" w:after="80"/>
      </w:pPr>
      <w:r>
        <w:rPr>
          <w:b w:val="0"/>
          <w:i w:val="0"/>
        </w:rPr>
        <w:t>NELM-D6 — group decision</w:t>
      </w:r>
    </w:p>
    <w:p>
      <w:pPr>
        <w:spacing w:after="0"/>
      </w:pPr>
      <w:r>
        <w:rPr>
          <w:b/>
          <w:i w:val="0"/>
        </w:rPr>
        <w:t xml:space="preserve">Accepted position (or alternative chosen): </w:t>
      </w:r>
    </w:p>
    <w:p>
      <w:pPr>
        <w:spacing w:after="200"/>
        <w:pBdr>
          <w:bottom w:val="single" w:sz="6" w:space="1" w:color="9AA8B4"/>
        </w:pBdr>
      </w:pPr>
    </w:p>
    <w:p>
      <w:pPr>
        <w:spacing w:after="0"/>
      </w:pPr>
      <w:r>
        <w:rPr>
          <w:b/>
          <w:i w:val="0"/>
        </w:rPr>
        <w:t xml:space="preserve">Rationale, dissent and exceptions: </w:t>
      </w:r>
    </w:p>
    <w:p>
      <w:pPr>
        <w:spacing w:after="200"/>
        <w:pBdr>
          <w:bottom w:val="single" w:sz="6" w:space="1" w:color="9AA8B4"/>
        </w:pBdr>
      </w:pPr>
    </w:p>
    <w:p>
      <w:pPr>
        <w:spacing w:after="0"/>
      </w:pPr>
      <w:r>
        <w:rPr>
          <w:b/>
          <w:i w:val="0"/>
        </w:rPr>
        <w:t xml:space="preserve">Owner · approval date · implementation date: </w:t>
      </w:r>
    </w:p>
    <w:p>
      <w:pPr>
        <w:spacing w:after="200"/>
        <w:pBdr>
          <w:bottom w:val="single" w:sz="6" w:space="1" w:color="9AA8B4"/>
        </w:pBdr>
      </w:pPr>
    </w:p>
    <w:p>
      <w:pPr>
        <w:pStyle w:val="Heading2"/>
        <w:keepNext/>
        <w:spacing w:before="200" w:after="80"/>
      </w:pPr>
      <w:r>
        <w:rPr>
          <w:b w:val="0"/>
          <w:i w:val="0"/>
        </w:rPr>
        <w:t>NELM-D7 — Re-biopsy policy for suspected grade progression or transformation.</w:t>
      </w:r>
    </w:p>
    <w:p>
      <w:pPr>
        <w:spacing w:after="80"/>
      </w:pPr>
      <w:r>
        <w:rPr>
          <w:b w:val="0"/>
          <w:i w:val="0"/>
          <w:color w:val="5A6069"/>
          <w:sz w:val="18"/>
        </w:rPr>
        <w:t>OPEN — not yet decided · Clinical</w:t>
      </w:r>
    </w:p>
    <w:p>
      <w:pPr>
        <w:spacing w:after="80"/>
      </w:pPr>
      <w:r>
        <w:rPr>
          <w:b/>
          <w:i w:val="0"/>
        </w:rPr>
        <w:t xml:space="preserve">Where it is decided: </w:t>
      </w:r>
      <w:hyperlink r:id="rId23">
        <w:r>
          <w:rPr>
            <w:color w:val="0563C1"/>
            <w:u w:val="single"/>
          </w:rPr>
          <w:t xml:space="preserve">1 · Confirm differentiation and grade</w:t>
        </w:r>
      </w:hyperlink>
      <w:r>
        <w:rPr>
          <w:b w:val="0"/>
          <w:i w:val="0"/>
        </w:rPr>
        <w:t xml:space="preserve"> · </w:t>
      </w:r>
      <w:hyperlink r:id="rId12">
        <w:r>
          <w:rPr>
            <w:color w:val="0563C1"/>
            <w:u w:val="single"/>
          </w:rPr>
          <w:t xml:space="preserve">4 · G3 NET versus neuroendocrine carcinoma</w:t>
        </w:r>
      </w:hyperlink>
    </w:p>
    <w:p>
      <w:pPr>
        <w:spacing w:after="120"/>
      </w:pPr>
      <w:r>
        <w:rPr>
          <w:b/>
          <w:i w:val="0"/>
          <w:sz w:val="18"/>
        </w:rPr>
        <w:t xml:space="preserve">Web page: </w:t>
      </w:r>
      <w:hyperlink r:id="rId24">
        <w:r>
          <w:rPr>
            <w:color w:val="0563C1"/>
            <w:u w:val="single"/>
            <w:sz w:val="18"/>
          </w:rPr>
          <w:t xml:space="preserve">open this question on the website</w:t>
        </w:r>
      </w:hyperlink>
    </w:p>
    <w:p>
      <w:pPr>
        <w:pStyle w:val="Heading3"/>
        <w:keepNext/>
        <w:spacing w:before="120" w:after="80"/>
      </w:pPr>
      <w:r>
        <w:rPr>
          <w:b w:val="0"/>
          <w:i w:val="0"/>
        </w:rPr>
        <w:t>Positions of guidelines, trials and papers</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200"/>
        <w:gridCol w:w="5480"/>
        <w:gridCol w:w="2400"/>
      </w:tblGrid>
      <w:tr>
        <w:trPr>
          <w:tblHeader/>
        </w:trPr>
        <w:tc>
          <w:tcPr>
            <w:tcW w:type="dxa" w:w="3360"/>
            <w:tcW w:w="2200" w:type="dxa"/>
            <w:shd w:val="clear" w:color="auto" w:fill="17365D"/>
          </w:tcPr>
          <w:p>
            <w:r>
              <w:rPr>
                <w:b/>
                <w:i w:val="0"/>
                <w:color w:val="FFFFFF"/>
                <w:sz w:val="19"/>
              </w:rPr>
              <w:t>Source</w:t>
            </w:r>
          </w:p>
        </w:tc>
        <w:tc>
          <w:tcPr>
            <w:tcW w:type="dxa" w:w="3360"/>
            <w:tcW w:w="5480" w:type="dxa"/>
            <w:shd w:val="clear" w:color="auto" w:fill="17365D"/>
          </w:tcPr>
          <w:p>
            <w:r>
              <w:rPr>
                <w:b/>
                <w:i w:val="0"/>
                <w:color w:val="FFFFFF"/>
                <w:sz w:val="19"/>
              </w:rPr>
              <w:t>Position</w:t>
            </w:r>
          </w:p>
        </w:tc>
        <w:tc>
          <w:tcPr>
            <w:tcW w:type="dxa" w:w="3360"/>
            <w:tcW w:w="2400" w:type="dxa"/>
            <w:shd w:val="clear" w:color="auto" w:fill="17365D"/>
          </w:tcPr>
          <w:p>
            <w:r>
              <w:rPr>
                <w:b/>
                <w:i w:val="0"/>
                <w:color w:val="FFFFFF"/>
                <w:sz w:val="19"/>
              </w:rPr>
              <w:t>Where stated</w:t>
            </w:r>
          </w:p>
        </w:tc>
      </w:tr>
      <w:tr>
        <w:trPr>
          <w:cantSplit/>
        </w:trPr>
        <w:tc>
          <w:tcPr>
            <w:tcW w:type="dxa" w:w="3360"/>
            <w:tcW w:w="2200" w:type="dxa"/>
            <w:shd w:val="clear" w:color="auto" w:fill="F1F5F8"/>
          </w:tcPr>
          <w:p>
            <w:pPr>
              <w:spacing w:after="0"/>
            </w:pPr>
            <w:r>
              <w:rPr>
                <w:b/>
                <w:i w:val="0"/>
                <w:sz w:val="19"/>
              </w:rPr>
              <w:t>Itanet 2024 RLT</w:t>
            </w:r>
          </w:p>
        </w:tc>
        <w:tc>
          <w:tcPr>
            <w:tcW w:type="dxa" w:w="3360"/>
            <w:tcW w:w="5480" w:type="dxa"/>
            <w:shd w:val="clear" w:color="auto" w:fill="F1F5F8"/>
          </w:tcPr>
          <w:p>
            <w:pPr>
              <w:spacing w:after="0"/>
            </w:pPr>
            <w:r>
              <w:rPr>
                <w:b w:val="0"/>
                <w:i w:val="0"/>
                <w:sz w:val="19"/>
              </w:rPr>
              <w:t>Grades re-evaluation before radioligand therapy when behaviour changes 3a-A, stronger than the roadmap’s ‘consider’.</w:t>
            </w:r>
          </w:p>
        </w:tc>
        <w:tc>
          <w:tcPr>
            <w:tcW w:type="dxa" w:w="3360"/>
            <w:tcW w:w="2400" w:type="dxa"/>
            <w:shd w:val="clear" w:color="auto" w:fill="F1F5F8"/>
          </w:tcPr>
          <w:p>
            <w:pPr>
              <w:spacing w:after="0"/>
            </w:pPr>
            <w:r>
              <w:rPr>
                <w:b w:val="0"/>
                <w:i w:val="0"/>
                <w:color w:val="5A6069"/>
                <w:sz w:val="18"/>
              </w:rPr>
              <w:t>Gate 1 · Reasonable 'Consider re-biopsy on unexpected behavioural change or discordant FDG avidity.' · note</w:t>
            </w:r>
          </w:p>
        </w:tc>
      </w:tr>
    </w:tbl>
    <w:p>
      <w:pPr>
        <w:spacing w:after="40"/>
      </w:pPr>
    </w:p>
    <w:p>
      <w:pPr>
        <w:spacing w:after="80"/>
      </w:pPr>
      <w:r>
        <w:rPr>
          <w:b/>
          <w:i w:val="0"/>
        </w:rPr>
        <w:t xml:space="preserve">Where sources differ: </w:t>
      </w:r>
      <w:r>
        <w:rPr>
          <w:b w:val="0"/>
          <w:i w:val="0"/>
        </w:rPr>
        <w:t>Itanet supports re-evaluation before radioligand therapy on behavioural change, but no study defines the trigger or interval, which is why the roadmap holds re-biopsy at grade C.</w:t>
      </w:r>
    </w:p>
    <w:p>
      <w:pPr>
        <w:pStyle w:val="Heading3"/>
        <w:keepNext/>
        <w:spacing w:before="120" w:after="80"/>
      </w:pPr>
      <w:r>
        <w:rPr>
          <w:b w:val="0"/>
          <w:i w:val="0"/>
        </w:rPr>
        <w:t>Our proposed selection (OPEN)</w:t>
      </w:r>
    </w:p>
    <w:p>
      <w:pPr>
        <w:spacing w:after="80"/>
      </w:pPr>
      <w:r>
        <w:rPr>
          <w:b w:val="0"/>
          <w:i w:val="0"/>
        </w:rPr>
        <w:t>Consider re-biopsy (Reasonable, grade C) on unexpected behavioural change or discordant FDG avidity, particularly where the original grading is years old or the disease has changed pace, but not as a scheduled ritual; grade is reassessed on any metachronously sampled specimen. Whether re-biopsy becomes a required step before PRRT remains open for local ratification.</w:t>
      </w:r>
    </w:p>
    <w:p>
      <w:pPr>
        <w:spacing w:after="80"/>
      </w:pPr>
      <w:r>
        <w:rPr>
          <w:b/>
          <w:i w:val="0"/>
          <w:color w:val="5A6069"/>
          <w:sz w:val="18"/>
        </w:rPr>
        <w:t xml:space="preserve">Basis in the document: </w:t>
      </w:r>
      <w:r>
        <w:rPr>
          <w:b w:val="0"/>
          <w:i w:val="0"/>
          <w:color w:val="5A6069"/>
          <w:sz w:val="18"/>
        </w:rPr>
        <w:t>Gate 1 · Reasonable 'Consider re-biopsy on unexpected behavioural change…' · pref, caveat and note; Gate 1 · Standard 'Get a biopsy with the Ki-67 index…' · pref</w:t>
      </w:r>
    </w:p>
    <w:p>
      <w:pPr>
        <w:spacing w:after="80"/>
      </w:pPr>
      <w:r>
        <w:rPr>
          <w:b/>
          <w:i w:val="0"/>
        </w:rPr>
        <w:t xml:space="preserve">Why: </w:t>
      </w:r>
      <w:r>
        <w:rPr>
          <w:b w:val="0"/>
          <w:i w:val="0"/>
        </w:rPr>
        <w:t>No evidence defines the trigger or interval; behaviour-driven in practice.</w:t>
      </w:r>
    </w:p>
    <w:p>
      <w:pPr>
        <w:spacing w:after="80"/>
      </w:pPr>
      <w:r>
        <w:rPr>
          <w:b/>
          <w:i w:val="0"/>
        </w:rPr>
        <w:t xml:space="preserve">What gets audited: </w:t>
      </w:r>
      <w:r>
        <w:rPr>
          <w:b w:val="0"/>
          <w:i w:val="0"/>
        </w:rPr>
        <w:t>Audit: re-biopsy rate, change in pathway when performed.</w:t>
      </w:r>
    </w:p>
    <w:p>
      <w:pPr>
        <w:pStyle w:val="Heading3"/>
        <w:keepNext/>
        <w:spacing w:before="120" w:after="80"/>
      </w:pPr>
      <w:r>
        <w:rPr>
          <w:b w:val="0"/>
          <w:i w:val="0"/>
        </w:rPr>
        <w:t>NELM-D7 — group decision</w:t>
      </w:r>
    </w:p>
    <w:p>
      <w:pPr>
        <w:spacing w:after="0"/>
      </w:pPr>
      <w:r>
        <w:rPr>
          <w:b/>
          <w:i w:val="0"/>
        </w:rPr>
        <w:t xml:space="preserve">Accepted position (or alternative chosen): </w:t>
      </w:r>
    </w:p>
    <w:p>
      <w:pPr>
        <w:spacing w:after="200"/>
        <w:pBdr>
          <w:bottom w:val="single" w:sz="6" w:space="1" w:color="9AA8B4"/>
        </w:pBdr>
      </w:pPr>
    </w:p>
    <w:p>
      <w:pPr>
        <w:spacing w:after="0"/>
      </w:pPr>
      <w:r>
        <w:rPr>
          <w:b/>
          <w:i w:val="0"/>
        </w:rPr>
        <w:t xml:space="preserve">Rationale, dissent and exceptions: </w:t>
      </w:r>
    </w:p>
    <w:p>
      <w:pPr>
        <w:spacing w:after="200"/>
        <w:pBdr>
          <w:bottom w:val="single" w:sz="6" w:space="1" w:color="9AA8B4"/>
        </w:pBdr>
      </w:pPr>
    </w:p>
    <w:p>
      <w:pPr>
        <w:spacing w:after="0"/>
      </w:pPr>
      <w:r>
        <w:rPr>
          <w:b/>
          <w:i w:val="0"/>
        </w:rPr>
        <w:t xml:space="preserve">Owner · approval date · implementation date: </w:t>
      </w:r>
    </w:p>
    <w:p>
      <w:pPr>
        <w:spacing w:after="200"/>
        <w:pBdr>
          <w:bottom w:val="single" w:sz="6" w:space="1" w:color="9AA8B4"/>
        </w:pBdr>
      </w:pPr>
    </w:p>
    <w:p>
      <w:pPr>
        <w:pStyle w:val="Heading2"/>
        <w:keepNext/>
        <w:spacing w:before="200" w:after="80"/>
      </w:pPr>
      <w:r>
        <w:rPr>
          <w:b w:val="0"/>
          <w:i w:val="0"/>
        </w:rPr>
        <w:t>NELM-D8 — Who owns subsequent NCCN and OPTN update checks, and on what cycle?</w:t>
      </w:r>
    </w:p>
    <w:p>
      <w:pPr>
        <w:spacing w:after="80"/>
      </w:pPr>
      <w:r>
        <w:rPr>
          <w:b w:val="0"/>
          <w:i w:val="0"/>
          <w:color w:val="5A6069"/>
          <w:sz w:val="18"/>
        </w:rPr>
        <w:t>OPEN — not yet decided · Governance</w:t>
      </w:r>
    </w:p>
    <w:p>
      <w:pPr>
        <w:spacing w:after="120"/>
      </w:pPr>
      <w:r>
        <w:rPr>
          <w:b/>
          <w:i w:val="0"/>
          <w:sz w:val="18"/>
        </w:rPr>
        <w:t xml:space="preserve">Web page: </w:t>
      </w:r>
      <w:hyperlink r:id="rId25">
        <w:r>
          <w:rPr>
            <w:color w:val="0563C1"/>
            <w:u w:val="single"/>
            <w:sz w:val="18"/>
          </w:rPr>
          <w:t xml:space="preserve">open this question on the website</w:t>
        </w:r>
      </w:hyperlink>
    </w:p>
    <w:p>
      <w:pPr>
        <w:pStyle w:val="Heading3"/>
        <w:keepNext/>
        <w:spacing w:before="120" w:after="80"/>
      </w:pPr>
      <w:r>
        <w:rPr>
          <w:b w:val="0"/>
          <w:i w:val="0"/>
        </w:rPr>
        <w:t>Positions of guidelines, trials and papers</w:t>
      </w:r>
    </w:p>
    <w:p>
      <w:pPr>
        <w:spacing w:after="80"/>
      </w:pPr>
      <w:r>
        <w:rPr>
          <w:b w:val="0"/>
          <w:i/>
        </w:rPr>
        <w:t>No guideline, trial or paper takes a position on this question; it is a programme decision.</w:t>
      </w:r>
    </w:p>
    <w:p>
      <w:pPr>
        <w:spacing w:after="80"/>
      </w:pPr>
      <w:r>
        <w:rPr>
          <w:b/>
          <w:i w:val="0"/>
        </w:rPr>
        <w:t xml:space="preserve">Where sources differ: </w:t>
      </w:r>
      <w:r>
        <w:rPr>
          <w:b w:val="0"/>
          <w:i w:val="0"/>
        </w:rPr>
        <w:t>No source positions; programme decision.</w:t>
      </w:r>
    </w:p>
    <w:p>
      <w:pPr>
        <w:pStyle w:val="Heading3"/>
        <w:keepNext/>
        <w:spacing w:before="120" w:after="80"/>
      </w:pPr>
      <w:r>
        <w:rPr>
          <w:b w:val="0"/>
          <w:i w:val="0"/>
        </w:rPr>
        <w:t>Our proposed selection (OPEN)</w:t>
      </w:r>
    </w:p>
    <w:p>
      <w:pPr>
        <w:spacing w:after="80"/>
      </w:pPr>
      <w:r>
        <w:rPr>
          <w:b w:val="0"/>
          <w:i w:val="0"/>
        </w:rPr>
        <w:t>Source reconciliation is complete in this version (NCCN v1.2026; OPTN Policy 9 checked 1 October 2026). A named owner should verify each later NCCN edition and current OPTN allocation requirements on an agreed cycle, tracked on the dashboard, and ratify the documented institutional positions; the owner and cycle are not yet named.</w:t>
      </w:r>
    </w:p>
    <w:p>
      <w:pPr>
        <w:spacing w:after="80"/>
      </w:pPr>
      <w:r>
        <w:rPr>
          <w:b/>
          <w:i w:val="0"/>
          <w:color w:val="5A6069"/>
          <w:sz w:val="18"/>
        </w:rPr>
        <w:t xml:space="preserve">Basis in the document: </w:t>
      </w:r>
      <w:r>
        <w:rPr>
          <w:b w:val="0"/>
          <w:i w:val="0"/>
          <w:color w:val="5A6069"/>
          <w:sz w:val="18"/>
        </w:rPr>
        <w:t>Decisions table #8 · why; Operations · dashboard · Source recency; Provenance</w:t>
      </w:r>
    </w:p>
    <w:p>
      <w:pPr>
        <w:spacing w:after="80"/>
      </w:pPr>
      <w:r>
        <w:rPr>
          <w:b/>
          <w:i w:val="0"/>
        </w:rPr>
        <w:t xml:space="preserve">Why: </w:t>
      </w:r>
      <w:r>
        <w:rPr>
          <w:b w:val="0"/>
          <w:i w:val="0"/>
        </w:rPr>
        <w:t>Source reconciliation is complete in this version. An owner is assigned to verify subsequent editions and current allocation requirements, ratify the documented institutional positions, and maintain the update cycle.</w:t>
      </w:r>
    </w:p>
    <w:p>
      <w:pPr>
        <w:spacing w:after="80"/>
      </w:pPr>
      <w:r>
        <w:rPr>
          <w:b/>
          <w:i w:val="0"/>
        </w:rPr>
        <w:t xml:space="preserve">What gets audited: </w:t>
      </w:r>
      <w:r>
        <w:rPr>
          <w:b w:val="0"/>
          <w:i w:val="0"/>
        </w:rPr>
        <w:t>Named owner plus edition and date plus update cycle.</w:t>
      </w:r>
    </w:p>
    <w:p>
      <w:pPr>
        <w:pStyle w:val="Heading3"/>
        <w:keepNext/>
        <w:spacing w:before="120" w:after="80"/>
      </w:pPr>
      <w:r>
        <w:rPr>
          <w:b w:val="0"/>
          <w:i w:val="0"/>
        </w:rPr>
        <w:t>NELM-D8 — group decision</w:t>
      </w:r>
    </w:p>
    <w:p>
      <w:pPr>
        <w:spacing w:after="0"/>
      </w:pPr>
      <w:r>
        <w:rPr>
          <w:b/>
          <w:i w:val="0"/>
        </w:rPr>
        <w:t xml:space="preserve">Accepted position (or alternative chosen): </w:t>
      </w:r>
    </w:p>
    <w:p>
      <w:pPr>
        <w:spacing w:after="200"/>
        <w:pBdr>
          <w:bottom w:val="single" w:sz="6" w:space="1" w:color="9AA8B4"/>
        </w:pBdr>
      </w:pPr>
    </w:p>
    <w:p>
      <w:pPr>
        <w:spacing w:after="0"/>
      </w:pPr>
      <w:r>
        <w:rPr>
          <w:b/>
          <w:i w:val="0"/>
        </w:rPr>
        <w:t xml:space="preserve">Rationale, dissent and exceptions: </w:t>
      </w:r>
    </w:p>
    <w:p>
      <w:pPr>
        <w:spacing w:after="200"/>
        <w:pBdr>
          <w:bottom w:val="single" w:sz="6" w:space="1" w:color="9AA8B4"/>
        </w:pBdr>
      </w:pPr>
    </w:p>
    <w:p>
      <w:pPr>
        <w:spacing w:after="0"/>
      </w:pPr>
      <w:r>
        <w:rPr>
          <w:b/>
          <w:i w:val="0"/>
        </w:rPr>
        <w:t xml:space="preserve">Owner · approval date · implementation date: </w:t>
      </w:r>
    </w:p>
    <w:p>
      <w:pPr>
        <w:spacing w:after="200"/>
        <w:pBdr>
          <w:bottom w:val="single" w:sz="6" w:space="1" w:color="9AA8B4"/>
        </w:pBdr>
      </w:pPr>
    </w:p>
    <w:p>
      <w:pPr>
        <w:pStyle w:val="Heading2"/>
        <w:keepNext/>
        <w:spacing w:before="200" w:after="80"/>
      </w:pPr>
      <w:r>
        <w:rPr>
          <w:b w:val="0"/>
          <w:i w:val="0"/>
        </w:rPr>
        <w:t>NELM-D9 — Is hepatic debulking offered in well-differentiated G3 disease, and under what conditions?</w:t>
      </w:r>
    </w:p>
    <w:p>
      <w:pPr>
        <w:spacing w:after="80"/>
      </w:pPr>
      <w:r>
        <w:rPr>
          <w:b w:val="0"/>
          <w:i w:val="0"/>
          <w:color w:val="5A6069"/>
          <w:sz w:val="18"/>
        </w:rPr>
        <w:t>OPEN — not yet decided · Clinical</w:t>
      </w:r>
    </w:p>
    <w:p>
      <w:pPr>
        <w:spacing w:after="80"/>
      </w:pPr>
      <w:r>
        <w:rPr>
          <w:b/>
          <w:i w:val="0"/>
        </w:rPr>
        <w:t xml:space="preserve">Where it is decided: </w:t>
      </w:r>
      <w:hyperlink r:id="rId12">
        <w:r>
          <w:rPr>
            <w:color w:val="0563C1"/>
            <w:u w:val="single"/>
          </w:rPr>
          <w:t xml:space="preserve">4 · G3 NET versus neuroendocrine carcinoma</w:t>
        </w:r>
      </w:hyperlink>
      <w:r>
        <w:rPr>
          <w:b w:val="0"/>
          <w:i w:val="0"/>
        </w:rPr>
        <w:t xml:space="preserve"> · </w:t>
      </w:r>
      <w:hyperlink r:id="rId15">
        <w:r>
          <w:rPr>
            <w:color w:val="0563C1"/>
            <w:u w:val="single"/>
          </w:rPr>
          <w:t xml:space="preserve">5 · Assess surgical cytoreduction</w:t>
        </w:r>
      </w:hyperlink>
    </w:p>
    <w:p>
      <w:pPr>
        <w:spacing w:after="120"/>
      </w:pPr>
      <w:r>
        <w:rPr>
          <w:b/>
          <w:i w:val="0"/>
          <w:sz w:val="18"/>
        </w:rPr>
        <w:t xml:space="preserve">Web page: </w:t>
      </w:r>
      <w:hyperlink r:id="rId26">
        <w:r>
          <w:rPr>
            <w:color w:val="0563C1"/>
            <w:u w:val="single"/>
            <w:sz w:val="18"/>
          </w:rPr>
          <w:t xml:space="preserve">open this question on the website</w:t>
        </w:r>
      </w:hyperlink>
    </w:p>
    <w:p>
      <w:pPr>
        <w:pStyle w:val="Heading3"/>
        <w:keepNext/>
        <w:spacing w:before="120" w:after="80"/>
      </w:pPr>
      <w:r>
        <w:rPr>
          <w:b w:val="0"/>
          <w:i w:val="0"/>
        </w:rPr>
        <w:t>Positions of guidelines, trials and papers</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200"/>
        <w:gridCol w:w="5480"/>
        <w:gridCol w:w="2400"/>
      </w:tblGrid>
      <w:tr>
        <w:trPr>
          <w:tblHeader/>
        </w:trPr>
        <w:tc>
          <w:tcPr>
            <w:tcW w:type="dxa" w:w="3360"/>
            <w:tcW w:w="2200" w:type="dxa"/>
            <w:shd w:val="clear" w:color="auto" w:fill="17365D"/>
          </w:tcPr>
          <w:p>
            <w:r>
              <w:rPr>
                <w:b/>
                <w:i w:val="0"/>
                <w:color w:val="FFFFFF"/>
                <w:sz w:val="19"/>
              </w:rPr>
              <w:t>Source</w:t>
            </w:r>
          </w:p>
        </w:tc>
        <w:tc>
          <w:tcPr>
            <w:tcW w:type="dxa" w:w="3360"/>
            <w:tcW w:w="5480" w:type="dxa"/>
            <w:shd w:val="clear" w:color="auto" w:fill="17365D"/>
          </w:tcPr>
          <w:p>
            <w:r>
              <w:rPr>
                <w:b/>
                <w:i w:val="0"/>
                <w:color w:val="FFFFFF"/>
                <w:sz w:val="19"/>
              </w:rPr>
              <w:t>Position</w:t>
            </w:r>
          </w:p>
        </w:tc>
        <w:tc>
          <w:tcPr>
            <w:tcW w:type="dxa" w:w="3360"/>
            <w:tcW w:w="2400" w:type="dxa"/>
            <w:shd w:val="clear" w:color="auto" w:fill="17365D"/>
          </w:tcPr>
          <w:p>
            <w:r>
              <w:rPr>
                <w:b/>
                <w:i w:val="0"/>
                <w:color w:val="FFFFFF"/>
                <w:sz w:val="19"/>
              </w:rPr>
              <w:t>Where stated</w:t>
            </w:r>
          </w:p>
        </w:tc>
      </w:tr>
      <w:tr>
        <w:trPr>
          <w:cantSplit/>
        </w:trPr>
        <w:tc>
          <w:tcPr>
            <w:tcW w:type="dxa" w:w="3360"/>
            <w:tcW w:w="2200" w:type="dxa"/>
            <w:shd w:val="clear" w:color="auto" w:fill="F1F5F8"/>
          </w:tcPr>
          <w:p>
            <w:pPr>
              <w:spacing w:after="0"/>
            </w:pPr>
            <w:r>
              <w:rPr>
                <w:b/>
                <w:i w:val="0"/>
                <w:sz w:val="19"/>
              </w:rPr>
              <w:t>NANETS 2017 surgical</w:t>
            </w:r>
          </w:p>
        </w:tc>
        <w:tc>
          <w:tcPr>
            <w:tcW w:type="dxa" w:w="3360"/>
            <w:tcW w:w="5480" w:type="dxa"/>
            <w:shd w:val="clear" w:color="auto" w:fill="F1F5F8"/>
          </w:tcPr>
          <w:p>
            <w:pPr>
              <w:spacing w:after="0"/>
            </w:pPr>
            <w:r>
              <w:rPr>
                <w:b w:val="0"/>
                <w:i w:val="0"/>
                <w:sz w:val="19"/>
              </w:rPr>
              <w:t>Refers grade 3 liver metastases for systemic therapy rather than cytoreduction.</w:t>
            </w:r>
          </w:p>
        </w:tc>
        <w:tc>
          <w:tcPr>
            <w:tcW w:type="dxa" w:w="3360"/>
            <w:tcW w:w="2400" w:type="dxa"/>
            <w:shd w:val="clear" w:color="auto" w:fill="F1F5F8"/>
          </w:tcPr>
          <w:p>
            <w:pPr>
              <w:spacing w:after="0"/>
            </w:pPr>
            <w:r>
              <w:rPr>
                <w:b w:val="0"/>
                <w:i w:val="0"/>
                <w:color w:val="5A6069"/>
                <w:sz w:val="18"/>
              </w:rPr>
              <w:t>Gate 4 · flag note; What we are not sure about #34</w:t>
            </w:r>
          </w:p>
        </w:tc>
      </w:tr>
      <w:tr>
        <w:trPr>
          <w:cantSplit/>
        </w:trPr>
        <w:tc>
          <w:tcPr>
            <w:tcW w:type="dxa" w:w="3360"/>
            <w:tcW w:w="2200" w:type="dxa"/>
            <w:shd w:val="clear" w:color="auto" w:fill="FFFFFF"/>
          </w:tcPr>
          <w:p>
            <w:pPr>
              <w:spacing w:after="0"/>
            </w:pPr>
            <w:r>
              <w:rPr>
                <w:b/>
                <w:i w:val="0"/>
                <w:sz w:val="19"/>
              </w:rPr>
              <w:t>NANETS 2020 surgical</w:t>
            </w:r>
          </w:p>
        </w:tc>
        <w:tc>
          <w:tcPr>
            <w:tcW w:type="dxa" w:w="3360"/>
            <w:tcW w:w="5480" w:type="dxa"/>
            <w:shd w:val="clear" w:color="auto" w:fill="FFFFFF"/>
          </w:tcPr>
          <w:p>
            <w:pPr>
              <w:spacing w:after="0"/>
            </w:pPr>
            <w:r>
              <w:rPr>
                <w:b w:val="0"/>
                <w:i w:val="0"/>
                <w:sz w:val="19"/>
              </w:rPr>
              <w:t>Carcinoma should not be resected; localised well-differentiated G3 may be resected within multimodal therapy, with liver cytoreduction often not indicated, while conceding its well-differentiated G3 recommendations are unsupported.</w:t>
            </w:r>
          </w:p>
        </w:tc>
        <w:tc>
          <w:tcPr>
            <w:tcW w:type="dxa" w:w="3360"/>
            <w:tcW w:w="2400" w:type="dxa"/>
            <w:shd w:val="clear" w:color="auto" w:fill="FFFFFF"/>
          </w:tcPr>
          <w:p>
            <w:pPr>
              <w:spacing w:after="0"/>
            </w:pPr>
            <w:r>
              <w:rPr>
                <w:b w:val="0"/>
                <w:i w:val="0"/>
                <w:color w:val="5A6069"/>
                <w:sz w:val="18"/>
              </w:rPr>
              <w:t>Gate 4 · flag note; What we are not sure about #34</w:t>
            </w:r>
          </w:p>
        </w:tc>
      </w:tr>
      <w:tr>
        <w:trPr>
          <w:cantSplit/>
        </w:trPr>
        <w:tc>
          <w:tcPr>
            <w:tcW w:type="dxa" w:w="3360"/>
            <w:tcW w:w="2200" w:type="dxa"/>
            <w:shd w:val="clear" w:color="auto" w:fill="F1F5F8"/>
          </w:tcPr>
          <w:p>
            <w:pPr>
              <w:spacing w:after="0"/>
            </w:pPr>
            <w:r>
              <w:rPr>
                <w:b/>
                <w:i w:val="0"/>
                <w:sz w:val="19"/>
              </w:rPr>
              <w:t>ENETS 2023 NEC</w:t>
            </w:r>
          </w:p>
        </w:tc>
        <w:tc>
          <w:tcPr>
            <w:tcW w:type="dxa" w:w="3360"/>
            <w:tcW w:w="5480" w:type="dxa"/>
            <w:shd w:val="clear" w:color="auto" w:fill="F1F5F8"/>
          </w:tcPr>
          <w:p>
            <w:pPr>
              <w:spacing w:after="0"/>
            </w:pPr>
            <w:r>
              <w:rPr>
                <w:b w:val="0"/>
                <w:i w:val="0"/>
                <w:sz w:val="19"/>
              </w:rPr>
              <w:t>Excludes well-differentiated G3 NET from scope by design; advises against metastasectomy in metastatic digestive carcinoma only at grade 5D.</w:t>
            </w:r>
          </w:p>
        </w:tc>
        <w:tc>
          <w:tcPr>
            <w:tcW w:type="dxa" w:w="3360"/>
            <w:tcW w:w="2400" w:type="dxa"/>
            <w:shd w:val="clear" w:color="auto" w:fill="F1F5F8"/>
          </w:tcPr>
          <w:p>
            <w:pPr>
              <w:spacing w:after="0"/>
            </w:pPr>
            <w:r>
              <w:rPr>
                <w:b w:val="0"/>
                <w:i w:val="0"/>
                <w:color w:val="5A6069"/>
                <w:sz w:val="18"/>
              </w:rPr>
              <w:t>What we are not sure about #34; Gate 4 · Standard 'Poorly differentiated neuroendocrine carcinoma: platinum–etoposide…' · caveat</w:t>
            </w:r>
          </w:p>
        </w:tc>
      </w:tr>
      <w:tr>
        <w:trPr>
          <w:cantSplit/>
        </w:trPr>
        <w:tc>
          <w:tcPr>
            <w:tcW w:type="dxa" w:w="3360"/>
            <w:tcW w:w="2200" w:type="dxa"/>
            <w:shd w:val="clear" w:color="auto" w:fill="FFFFFF"/>
          </w:tcPr>
          <w:p>
            <w:pPr>
              <w:spacing w:after="0"/>
            </w:pPr>
            <w:r>
              <w:rPr>
                <w:b/>
                <w:i w:val="0"/>
                <w:sz w:val="19"/>
              </w:rPr>
              <w:t>ASCO 2023 systemic</w:t>
            </w:r>
          </w:p>
        </w:tc>
        <w:tc>
          <w:tcPr>
            <w:tcW w:type="dxa" w:w="3360"/>
            <w:tcW w:w="5480" w:type="dxa"/>
            <w:shd w:val="clear" w:color="auto" w:fill="FFFFFF"/>
          </w:tcPr>
          <w:p>
            <w:pPr>
              <w:spacing w:after="0"/>
            </w:pPr>
            <w:r>
              <w:rPr>
                <w:b w:val="0"/>
                <w:i w:val="0"/>
                <w:sz w:val="19"/>
              </w:rPr>
              <w:t>Allows the whole G1–G2 menu in G3 disease on informal consensus rated very low quality, and supports no Ki-67 cutoff.</w:t>
            </w:r>
          </w:p>
        </w:tc>
        <w:tc>
          <w:tcPr>
            <w:tcW w:type="dxa" w:w="3360"/>
            <w:tcW w:w="2400" w:type="dxa"/>
            <w:shd w:val="clear" w:color="auto" w:fill="FFFFFF"/>
          </w:tcPr>
          <w:p>
            <w:pPr>
              <w:spacing w:after="0"/>
            </w:pPr>
            <w:r>
              <w:rPr>
                <w:b w:val="0"/>
                <w:i w:val="0"/>
                <w:color w:val="5A6069"/>
                <w:sz w:val="18"/>
              </w:rPr>
              <w:t>What we are not sure about #34</w:t>
            </w:r>
          </w:p>
        </w:tc>
      </w:tr>
      <w:tr>
        <w:trPr>
          <w:cantSplit/>
        </w:trPr>
        <w:tc>
          <w:tcPr>
            <w:tcW w:type="dxa" w:w="3360"/>
            <w:tcW w:w="2200" w:type="dxa"/>
            <w:shd w:val="clear" w:color="auto" w:fill="F1F5F8"/>
          </w:tcPr>
          <w:p>
            <w:pPr>
              <w:spacing w:after="0"/>
            </w:pPr>
            <w:r>
              <w:rPr>
                <w:b/>
                <w:i w:val="0"/>
                <w:sz w:val="19"/>
              </w:rPr>
              <w:t>NETTER-2</w:t>
            </w:r>
          </w:p>
        </w:tc>
        <w:tc>
          <w:tcPr>
            <w:tcW w:type="dxa" w:w="3360"/>
            <w:tcW w:w="5480" w:type="dxa"/>
            <w:shd w:val="clear" w:color="auto" w:fill="F1F5F8"/>
          </w:tcPr>
          <w:p>
            <w:pPr>
              <w:spacing w:after="0"/>
            </w:pPr>
            <w:r>
              <w:rPr>
                <w:b w:val="0"/>
                <w:i w:val="0"/>
                <w:sz w:val="19"/>
              </w:rPr>
              <w:t>Gives this phenotype the strongest randomised systemic evidence on the page, which is why the surgical question will reach the board; it does not address surgery.</w:t>
            </w:r>
          </w:p>
        </w:tc>
        <w:tc>
          <w:tcPr>
            <w:tcW w:type="dxa" w:w="3360"/>
            <w:tcW w:w="2400" w:type="dxa"/>
            <w:shd w:val="clear" w:color="auto" w:fill="F1F5F8"/>
          </w:tcPr>
          <w:p>
            <w:pPr>
              <w:spacing w:after="0"/>
            </w:pPr>
            <w:r>
              <w:rPr>
                <w:b w:val="0"/>
                <w:i w:val="0"/>
                <w:color w:val="5A6069"/>
                <w:sz w:val="18"/>
              </w:rPr>
              <w:t>Decisions table #9 · why; What we are not sure about #34</w:t>
            </w:r>
          </w:p>
        </w:tc>
      </w:tr>
    </w:tbl>
    <w:p>
      <w:pPr>
        <w:spacing w:after="40"/>
      </w:pPr>
    </w:p>
    <w:p>
      <w:pPr>
        <w:spacing w:after="80"/>
      </w:pPr>
      <w:r>
        <w:rPr>
          <w:b/>
          <w:i w:val="0"/>
        </w:rPr>
        <w:t xml:space="preserve">Where sources differ: </w:t>
      </w:r>
      <w:r>
        <w:rPr>
          <w:b w:val="0"/>
          <w:i w:val="0"/>
        </w:rPr>
        <w:t>Both NANETS papers lean against G3 liver cytoreduction but NANETS 2020 calls its own G3 advice unsupported, ENETS 2023 is silent by scope and ASCO permits the G1–G2 menu on very low-quality consensus.</w:t>
      </w:r>
    </w:p>
    <w:p>
      <w:pPr>
        <w:pStyle w:val="Heading3"/>
        <w:keepNext/>
        <w:spacing w:before="120" w:after="80"/>
      </w:pPr>
      <w:r>
        <w:rPr>
          <w:b w:val="0"/>
          <w:i w:val="0"/>
        </w:rPr>
        <w:t>Our proposed selection (OPEN)</w:t>
      </w:r>
    </w:p>
    <w:p>
      <w:pPr>
        <w:spacing w:after="80"/>
      </w:pPr>
      <w:r>
        <w:rPr>
          <w:b w:val="0"/>
          <w:i w:val="0"/>
        </w:rPr>
        <w:t>The roadmap states no position on G3 hepatic debulking. It keeps eligibility for a G3 systemic option distinct from eligibility for cytoreduction or transplantation, and alignment area 15 asks whether G3 debulking should join the Avoid column except for selected limited disease within multimodal therapy.</w:t>
      </w:r>
    </w:p>
    <w:p>
      <w:pPr>
        <w:spacing w:after="80"/>
      </w:pPr>
      <w:r>
        <w:rPr>
          <w:b/>
          <w:i w:val="0"/>
          <w:color w:val="5A6069"/>
          <w:sz w:val="18"/>
        </w:rPr>
        <w:t xml:space="preserve">Basis in the document: </w:t>
      </w:r>
      <w:r>
        <w:rPr>
          <w:b w:val="0"/>
          <w:i w:val="0"/>
          <w:color w:val="5A6069"/>
          <w:sz w:val="18"/>
        </w:rPr>
        <w:t>Gate 4 · flag note; Gate 4 · Avoid 'Do not apply a universal platinum regimen to all G3 NET…'; What we are not sure about #34</w:t>
      </w:r>
    </w:p>
    <w:p>
      <w:pPr>
        <w:spacing w:after="80"/>
      </w:pPr>
      <w:r>
        <w:rPr>
          <w:b/>
          <w:i w:val="0"/>
        </w:rPr>
        <w:t xml:space="preserve">Why: </w:t>
      </w:r>
      <w:r>
        <w:rPr>
          <w:b w:val="0"/>
          <w:i w:val="0"/>
        </w:rPr>
        <w:t>The roadmap is silent and the guidelines conflict. Both NANETS surgical papers advise against cytoreducing G3 liver metastases, NANETS 2020 conceding that its well-differentiated G3 recommendations are unsupported; ENETS 2023 excludes well-differentiated G3 by scope; ASCO permits the G1–G2 menu on very low quality informal consensus. NETTER-2 meanwhile gives this phenotype the strongest randomised systemic evidence on the page, so the surgical question will be asked at board. Alignment area 15.</w:t>
      </w:r>
    </w:p>
    <w:p>
      <w:pPr>
        <w:spacing w:after="80"/>
      </w:pPr>
      <w:r>
        <w:rPr>
          <w:b/>
          <w:i w:val="0"/>
        </w:rPr>
        <w:t xml:space="preserve">What gets audited: </w:t>
      </w:r>
      <w:r>
        <w:rPr>
          <w:b w:val="0"/>
          <w:i w:val="0"/>
        </w:rPr>
        <w:t>Registry: every G3 hepatic operation with differentiation, Ki-67, residual disease and liver progression-free survival.</w:t>
      </w:r>
    </w:p>
    <w:p>
      <w:pPr>
        <w:pStyle w:val="Heading3"/>
        <w:keepNext/>
        <w:spacing w:before="120" w:after="80"/>
      </w:pPr>
      <w:r>
        <w:rPr>
          <w:b w:val="0"/>
          <w:i w:val="0"/>
        </w:rPr>
        <w:t>NELM-D9 — group decision</w:t>
      </w:r>
    </w:p>
    <w:p>
      <w:pPr>
        <w:spacing w:after="0"/>
      </w:pPr>
      <w:r>
        <w:rPr>
          <w:b/>
          <w:i w:val="0"/>
        </w:rPr>
        <w:t xml:space="preserve">Accepted position (or alternative chosen): </w:t>
      </w:r>
    </w:p>
    <w:p>
      <w:pPr>
        <w:spacing w:after="200"/>
        <w:pBdr>
          <w:bottom w:val="single" w:sz="6" w:space="1" w:color="9AA8B4"/>
        </w:pBdr>
      </w:pPr>
    </w:p>
    <w:p>
      <w:pPr>
        <w:spacing w:after="0"/>
      </w:pPr>
      <w:r>
        <w:rPr>
          <w:b/>
          <w:i w:val="0"/>
        </w:rPr>
        <w:t xml:space="preserve">Rationale, dissent and exceptions: </w:t>
      </w:r>
    </w:p>
    <w:p>
      <w:pPr>
        <w:spacing w:after="200"/>
        <w:pBdr>
          <w:bottom w:val="single" w:sz="6" w:space="1" w:color="9AA8B4"/>
        </w:pBdr>
      </w:pPr>
    </w:p>
    <w:p>
      <w:pPr>
        <w:spacing w:after="0"/>
      </w:pPr>
      <w:r>
        <w:rPr>
          <w:b/>
          <w:i w:val="0"/>
        </w:rPr>
        <w:t xml:space="preserve">Owner · approval date · implementation date: </w:t>
      </w:r>
    </w:p>
    <w:p>
      <w:pPr>
        <w:spacing w:after="200"/>
        <w:pBdr>
          <w:bottom w:val="single" w:sz="6" w:space="1" w:color="9AA8B4"/>
        </w:pBdr>
      </w:pPr>
    </w:p>
    <w:p>
      <w:pPr>
        <w:pStyle w:val="Heading2"/>
        <w:keepNext/>
        <w:spacing w:before="200" w:after="80"/>
      </w:pPr>
      <w:r>
        <w:rPr>
          <w:b w:val="0"/>
          <w:i w:val="0"/>
        </w:rPr>
        <w:t>NELM-D10 — Is first-line PRRT offered to a patient who has already had liver-directed therapy?</w:t>
      </w:r>
    </w:p>
    <w:p>
      <w:pPr>
        <w:spacing w:after="80"/>
      </w:pPr>
      <w:r>
        <w:rPr>
          <w:b w:val="0"/>
          <w:i w:val="0"/>
          <w:color w:val="5A6069"/>
          <w:sz w:val="18"/>
        </w:rPr>
        <w:t>OPEN — not yet decided · Clinical</w:t>
      </w:r>
    </w:p>
    <w:p>
      <w:pPr>
        <w:spacing w:after="80"/>
      </w:pPr>
      <w:r>
        <w:rPr>
          <w:b/>
          <w:i w:val="0"/>
        </w:rPr>
        <w:t xml:space="preserve">Where it is decided: </w:t>
      </w:r>
      <w:hyperlink r:id="rId13">
        <w:r>
          <w:rPr>
            <w:color w:val="0563C1"/>
            <w:u w:val="single"/>
          </w:rPr>
          <w:t xml:space="preserve">6 · Select systemic therapy</w:t>
        </w:r>
      </w:hyperlink>
      <w:r>
        <w:rPr>
          <w:b w:val="0"/>
          <w:i w:val="0"/>
        </w:rPr>
        <w:t xml:space="preserve"> · </w:t>
      </w:r>
      <w:hyperlink r:id="rId9">
        <w:r>
          <w:rPr>
            <w:color w:val="0563C1"/>
            <w:u w:val="single"/>
          </w:rPr>
          <w:t xml:space="preserve">7 · Select liver-directed therapy</w:t>
        </w:r>
      </w:hyperlink>
    </w:p>
    <w:p>
      <w:pPr>
        <w:spacing w:after="120"/>
      </w:pPr>
      <w:r>
        <w:rPr>
          <w:b/>
          <w:i w:val="0"/>
          <w:sz w:val="18"/>
        </w:rPr>
        <w:t xml:space="preserve">Web page: </w:t>
      </w:r>
      <w:hyperlink r:id="rId27">
        <w:r>
          <w:rPr>
            <w:color w:val="0563C1"/>
            <w:u w:val="single"/>
            <w:sz w:val="18"/>
          </w:rPr>
          <w:t xml:space="preserve">open this question on the website</w:t>
        </w:r>
      </w:hyperlink>
    </w:p>
    <w:p>
      <w:pPr>
        <w:pStyle w:val="Heading3"/>
        <w:keepNext/>
        <w:spacing w:before="120" w:after="80"/>
      </w:pPr>
      <w:r>
        <w:rPr>
          <w:b w:val="0"/>
          <w:i w:val="0"/>
        </w:rPr>
        <w:t>Positions of guidelines, trials and papers</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200"/>
        <w:gridCol w:w="5480"/>
        <w:gridCol w:w="2400"/>
      </w:tblGrid>
      <w:tr>
        <w:trPr>
          <w:tblHeader/>
        </w:trPr>
        <w:tc>
          <w:tcPr>
            <w:tcW w:type="dxa" w:w="3360"/>
            <w:tcW w:w="2200" w:type="dxa"/>
            <w:shd w:val="clear" w:color="auto" w:fill="17365D"/>
          </w:tcPr>
          <w:p>
            <w:r>
              <w:rPr>
                <w:b/>
                <w:i w:val="0"/>
                <w:color w:val="FFFFFF"/>
                <w:sz w:val="19"/>
              </w:rPr>
              <w:t>Source</w:t>
            </w:r>
          </w:p>
        </w:tc>
        <w:tc>
          <w:tcPr>
            <w:tcW w:type="dxa" w:w="3360"/>
            <w:tcW w:w="5480" w:type="dxa"/>
            <w:shd w:val="clear" w:color="auto" w:fill="17365D"/>
          </w:tcPr>
          <w:p>
            <w:r>
              <w:rPr>
                <w:b/>
                <w:i w:val="0"/>
                <w:color w:val="FFFFFF"/>
                <w:sz w:val="19"/>
              </w:rPr>
              <w:t>Position</w:t>
            </w:r>
          </w:p>
        </w:tc>
        <w:tc>
          <w:tcPr>
            <w:tcW w:type="dxa" w:w="3360"/>
            <w:tcW w:w="2400" w:type="dxa"/>
            <w:shd w:val="clear" w:color="auto" w:fill="17365D"/>
          </w:tcPr>
          <w:p>
            <w:r>
              <w:rPr>
                <w:b/>
                <w:i w:val="0"/>
                <w:color w:val="FFFFFF"/>
                <w:sz w:val="19"/>
              </w:rPr>
              <w:t>Where stated</w:t>
            </w:r>
          </w:p>
        </w:tc>
      </w:tr>
      <w:tr>
        <w:trPr>
          <w:cantSplit/>
        </w:trPr>
        <w:tc>
          <w:tcPr>
            <w:tcW w:type="dxa" w:w="3360"/>
            <w:tcW w:w="2200" w:type="dxa"/>
            <w:shd w:val="clear" w:color="auto" w:fill="F1F5F8"/>
          </w:tcPr>
          <w:p>
            <w:pPr>
              <w:spacing w:after="0"/>
            </w:pPr>
            <w:r>
              <w:rPr>
                <w:b/>
                <w:i w:val="0"/>
                <w:sz w:val="19"/>
              </w:rPr>
              <w:t>NETTER-2</w:t>
            </w:r>
          </w:p>
        </w:tc>
        <w:tc>
          <w:tcPr>
            <w:tcW w:type="dxa" w:w="3360"/>
            <w:tcW w:w="5480" w:type="dxa"/>
            <w:shd w:val="clear" w:color="auto" w:fill="F1F5F8"/>
          </w:tcPr>
          <w:p>
            <w:pPr>
              <w:spacing w:after="0"/>
            </w:pPr>
            <w:r>
              <w:rPr>
                <w:b w:val="0"/>
                <w:i w:val="0"/>
                <w:sz w:val="19"/>
              </w:rPr>
              <w:t>Excluded any previous hepatic artery embolisation or radiofrequency ablation and required uptake score 3–4 in every target lesion, so its first-line evidence does not describe this patient.</w:t>
            </w:r>
          </w:p>
        </w:tc>
        <w:tc>
          <w:tcPr>
            <w:tcW w:type="dxa" w:w="3360"/>
            <w:tcW w:w="2400" w:type="dxa"/>
            <w:shd w:val="clear" w:color="auto" w:fill="F1F5F8"/>
          </w:tcPr>
          <w:p>
            <w:pPr>
              <w:spacing w:after="0"/>
            </w:pPr>
            <w:r>
              <w:rPr>
                <w:b w:val="0"/>
                <w:i w:val="0"/>
                <w:color w:val="5A6069"/>
                <w:sz w:val="18"/>
              </w:rPr>
              <w:t>Gate 6 · Standard 'Document somatostatin-receptor uptake…' · note; Gate 4 · Standard option '177Lu-DOTATATE…' · caveat</w:t>
            </w:r>
          </w:p>
        </w:tc>
      </w:tr>
      <w:tr>
        <w:trPr>
          <w:cantSplit/>
        </w:trPr>
        <w:tc>
          <w:tcPr>
            <w:tcW w:type="dxa" w:w="3360"/>
            <w:tcW w:w="2200" w:type="dxa"/>
            <w:shd w:val="clear" w:color="auto" w:fill="FFFFFF"/>
          </w:tcPr>
          <w:p>
            <w:pPr>
              <w:spacing w:after="0"/>
            </w:pPr>
            <w:r>
              <w:rPr>
                <w:b/>
                <w:i w:val="0"/>
                <w:sz w:val="19"/>
              </w:rPr>
              <w:t>NANETS 2017 medical</w:t>
            </w:r>
          </w:p>
        </w:tc>
        <w:tc>
          <w:tcPr>
            <w:tcW w:type="dxa" w:w="3360"/>
            <w:tcW w:w="5480" w:type="dxa"/>
            <w:shd w:val="clear" w:color="auto" w:fill="FFFFFF"/>
          </w:tcPr>
          <w:p>
            <w:pPr>
              <w:spacing w:after="0"/>
            </w:pPr>
            <w:r>
              <w:rPr>
                <w:b w:val="0"/>
                <w:i w:val="0"/>
                <w:sz w:val="19"/>
              </w:rPr>
              <w:t>States that cumulative hepatic radiation from radioembolisation followed by PRRT is unstudied.</w:t>
            </w:r>
          </w:p>
        </w:tc>
        <w:tc>
          <w:tcPr>
            <w:tcW w:type="dxa" w:w="3360"/>
            <w:tcW w:w="2400" w:type="dxa"/>
            <w:shd w:val="clear" w:color="auto" w:fill="FFFFFF"/>
          </w:tcPr>
          <w:p>
            <w:pPr>
              <w:spacing w:after="0"/>
            </w:pPr>
            <w:r>
              <w:rPr>
                <w:b w:val="0"/>
                <w:i w:val="0"/>
                <w:color w:val="5A6069"/>
                <w:sz w:val="18"/>
              </w:rPr>
              <w:t>What we are not sure about #12; Gate 6 · Standard 'Document somatostatin-receptor uptake…' · note</w:t>
            </w:r>
          </w:p>
        </w:tc>
      </w:tr>
      <w:tr>
        <w:trPr>
          <w:cantSplit/>
        </w:trPr>
        <w:tc>
          <w:tcPr>
            <w:tcW w:type="dxa" w:w="3360"/>
            <w:tcW w:w="2200" w:type="dxa"/>
            <w:shd w:val="clear" w:color="auto" w:fill="F1F5F8"/>
          </w:tcPr>
          <w:p>
            <w:pPr>
              <w:spacing w:after="0"/>
            </w:pPr>
            <w:r>
              <w:rPr>
                <w:b/>
                <w:i w:val="0"/>
                <w:sz w:val="19"/>
              </w:rPr>
              <w:t>NANETS/SNMMI PRRT</w:t>
            </w:r>
          </w:p>
        </w:tc>
        <w:tc>
          <w:tcPr>
            <w:tcW w:type="dxa" w:w="3360"/>
            <w:tcW w:w="5480" w:type="dxa"/>
            <w:shd w:val="clear" w:color="auto" w:fill="F1F5F8"/>
          </w:tcPr>
          <w:p>
            <w:pPr>
              <w:spacing w:after="0"/>
            </w:pPr>
            <w:r>
              <w:rPr>
                <w:b w:val="0"/>
                <w:i w:val="0"/>
                <w:sz w:val="19"/>
              </w:rPr>
              <w:t>Prior liver-directed therapy raises concern for PRRT hepatotoxicity.</w:t>
            </w:r>
          </w:p>
        </w:tc>
        <w:tc>
          <w:tcPr>
            <w:tcW w:type="dxa" w:w="3360"/>
            <w:tcW w:w="2400" w:type="dxa"/>
            <w:shd w:val="clear" w:color="auto" w:fill="F1F5F8"/>
          </w:tcPr>
          <w:p>
            <w:pPr>
              <w:spacing w:after="0"/>
            </w:pPr>
            <w:r>
              <w:rPr>
                <w:b w:val="0"/>
                <w:i w:val="0"/>
                <w:color w:val="5A6069"/>
                <w:sz w:val="18"/>
              </w:rPr>
              <w:t>What we are not sure about #12; Decisions table #10 · why</w:t>
            </w:r>
          </w:p>
        </w:tc>
      </w:tr>
      <w:tr>
        <w:trPr>
          <w:cantSplit/>
        </w:trPr>
        <w:tc>
          <w:tcPr>
            <w:tcW w:type="dxa" w:w="3360"/>
            <w:tcW w:w="2200" w:type="dxa"/>
            <w:shd w:val="clear" w:color="auto" w:fill="FFFFFF"/>
          </w:tcPr>
          <w:p>
            <w:pPr>
              <w:spacing w:after="0"/>
            </w:pPr>
            <w:r>
              <w:rPr>
                <w:b/>
                <w:i w:val="0"/>
                <w:sz w:val="19"/>
              </w:rPr>
              <w:t>HEPAR PLuS</w:t>
            </w:r>
          </w:p>
        </w:tc>
        <w:tc>
          <w:tcPr>
            <w:tcW w:type="dxa" w:w="3360"/>
            <w:tcW w:w="5480" w:type="dxa"/>
            <w:shd w:val="clear" w:color="auto" w:fill="FFFFFF"/>
          </w:tcPr>
          <w:p>
            <w:pPr>
              <w:spacing w:after="0"/>
            </w:pPr>
            <w:r>
              <w:rPr>
                <w:b w:val="0"/>
                <w:i w:val="0"/>
                <w:sz w:val="19"/>
              </w:rPr>
              <w:t>Combined PRRT with holmium SIRT in 24 matched pairs; per the roadmap, whether sequencing radioembolisation and PRRT is safe remains unknown in either direction.</w:t>
            </w:r>
          </w:p>
        </w:tc>
        <w:tc>
          <w:tcPr>
            <w:tcW w:type="dxa" w:w="3360"/>
            <w:tcW w:w="2400" w:type="dxa"/>
            <w:shd w:val="clear" w:color="auto" w:fill="FFFFFF"/>
          </w:tcPr>
          <w:p>
            <w:pPr>
              <w:spacing w:after="0"/>
            </w:pPr>
            <w:r>
              <w:rPr>
                <w:b w:val="0"/>
                <w:i w:val="0"/>
                <w:color w:val="5A6069"/>
                <w:sz w:val="18"/>
              </w:rPr>
              <w:t>What we are not sure about #19; Gate 6 · Standard 'Document somatostatin-receptor uptake…' · note</w:t>
            </w:r>
          </w:p>
        </w:tc>
      </w:tr>
    </w:tbl>
    <w:p>
      <w:pPr>
        <w:spacing w:after="40"/>
      </w:pPr>
    </w:p>
    <w:p>
      <w:pPr>
        <w:spacing w:after="80"/>
      </w:pPr>
      <w:r>
        <w:rPr>
          <w:b/>
          <w:i w:val="0"/>
        </w:rPr>
        <w:t xml:space="preserve">Where sources differ: </w:t>
      </w:r>
      <w:r>
        <w:rPr>
          <w:b w:val="0"/>
          <w:i w:val="0"/>
        </w:rPr>
        <w:t>No source has tested first-line PRRT after liver-directed therapy: NETTER-2 excluded such patients and NANETS and NANETS/SNMMI flag cumulative hepatotoxicity as unstudied or concerning.</w:t>
      </w:r>
    </w:p>
    <w:p>
      <w:pPr>
        <w:pStyle w:val="Heading3"/>
        <w:keepNext/>
        <w:spacing w:before="120" w:after="80"/>
      </w:pPr>
      <w:r>
        <w:rPr>
          <w:b w:val="0"/>
          <w:i w:val="0"/>
        </w:rPr>
        <w:t>Our proposed selection (OPEN)</w:t>
      </w:r>
    </w:p>
    <w:p>
      <w:pPr>
        <w:spacing w:after="80"/>
      </w:pPr>
      <w:r>
        <w:rPr>
          <w:b w:val="0"/>
          <w:i w:val="0"/>
        </w:rPr>
        <w:t>No explicit answer. Before every PRRT course the roadmap requires uptake above normal liver in target disease and documented renal, marrow and hepatic reserve, and reviews cumulative hepatic-directed exposure before either PRRT or radioembolisation, recording it in the registry; it notes the first-line evidence does not describe previously treated patients.</w:t>
      </w:r>
    </w:p>
    <w:p>
      <w:pPr>
        <w:spacing w:after="80"/>
      </w:pPr>
      <w:r>
        <w:rPr>
          <w:b/>
          <w:i w:val="0"/>
          <w:color w:val="5A6069"/>
          <w:sz w:val="18"/>
        </w:rPr>
        <w:t xml:space="preserve">Basis in the document: </w:t>
      </w:r>
      <w:r>
        <w:rPr>
          <w:b w:val="0"/>
          <w:i w:val="0"/>
          <w:color w:val="5A6069"/>
          <w:sz w:val="18"/>
        </w:rPr>
        <w:t>Gate 6 · Standard 'Document somatostatin-receptor uptake greater than normal liver…' and note; Operations · dashboard · Radioembolisation; What we are not sure about #12</w:t>
      </w:r>
    </w:p>
    <w:p>
      <w:pPr>
        <w:spacing w:after="80"/>
      </w:pPr>
      <w:r>
        <w:rPr>
          <w:b/>
          <w:i w:val="0"/>
        </w:rPr>
        <w:t xml:space="preserve">Why: </w:t>
      </w:r>
      <w:r>
        <w:rPr>
          <w:b w:val="0"/>
          <w:i w:val="0"/>
        </w:rPr>
        <w:t>NETTER-2 excluded any previous hepatic artery embolisation or radiofrequency ablation, and required uptake score 3 or 4 in every target lesion, so the first-line evidence does not describe this patient at all. NANETS states cumulative hepatic radiation from radioembolisation followed by PRRT is unstudied, and NANETS/SNMMI that prior liver-directed therapy raises concern for PRRT hepatotoxicity.</w:t>
      </w:r>
    </w:p>
    <w:p>
      <w:pPr>
        <w:spacing w:after="80"/>
      </w:pPr>
      <w:r>
        <w:rPr>
          <w:b/>
          <w:i w:val="0"/>
        </w:rPr>
        <w:t xml:space="preserve">What gets audited: </w:t>
      </w:r>
      <w:r>
        <w:rPr>
          <w:b w:val="0"/>
          <w:i w:val="0"/>
        </w:rPr>
        <w:t>Registry: cumulative hepatic-directed exposure before each PRRT course, with hepatic and renal function.</w:t>
      </w:r>
    </w:p>
    <w:p>
      <w:pPr>
        <w:pStyle w:val="Heading3"/>
        <w:keepNext/>
        <w:spacing w:before="120" w:after="80"/>
      </w:pPr>
      <w:r>
        <w:rPr>
          <w:b w:val="0"/>
          <w:i w:val="0"/>
        </w:rPr>
        <w:t>NELM-D10 — group decision</w:t>
      </w:r>
    </w:p>
    <w:p>
      <w:pPr>
        <w:spacing w:after="0"/>
      </w:pPr>
      <w:r>
        <w:rPr>
          <w:b/>
          <w:i w:val="0"/>
        </w:rPr>
        <w:t xml:space="preserve">Accepted position (or alternative chosen): </w:t>
      </w:r>
    </w:p>
    <w:p>
      <w:pPr>
        <w:spacing w:after="200"/>
        <w:pBdr>
          <w:bottom w:val="single" w:sz="6" w:space="1" w:color="9AA8B4"/>
        </w:pBdr>
      </w:pPr>
    </w:p>
    <w:p>
      <w:pPr>
        <w:spacing w:after="0"/>
      </w:pPr>
      <w:r>
        <w:rPr>
          <w:b/>
          <w:i w:val="0"/>
        </w:rPr>
        <w:t xml:space="preserve">Rationale, dissent and exceptions: </w:t>
      </w:r>
    </w:p>
    <w:p>
      <w:pPr>
        <w:spacing w:after="200"/>
        <w:pBdr>
          <w:bottom w:val="single" w:sz="6" w:space="1" w:color="9AA8B4"/>
        </w:pBdr>
      </w:pPr>
    </w:p>
    <w:p>
      <w:pPr>
        <w:spacing w:after="0"/>
      </w:pPr>
      <w:r>
        <w:rPr>
          <w:b/>
          <w:i w:val="0"/>
        </w:rPr>
        <w:t xml:space="preserve">Owner · approval date · implementation date: </w:t>
      </w:r>
    </w:p>
    <w:p>
      <w:pPr>
        <w:spacing w:after="200"/>
        <w:pBdr>
          <w:bottom w:val="single" w:sz="6" w:space="1" w:color="9AA8B4"/>
        </w:pBdr>
      </w:pPr>
    </w:p>
    <w:p>
      <w:pPr>
        <w:pStyle w:val="Heading2"/>
        <w:keepNext/>
        <w:spacing w:before="200" w:after="80"/>
      </w:pPr>
      <w:r>
        <w:rPr>
          <w:b w:val="0"/>
          <w:i w:val="0"/>
        </w:rPr>
        <w:t>NELM-D11 — Does the programme reproduce or restate the NCCN position against drug-eluting embolics, and on what basis?</w:t>
      </w:r>
    </w:p>
    <w:p>
      <w:pPr>
        <w:spacing w:after="80"/>
      </w:pPr>
      <w:r>
        <w:rPr>
          <w:b w:val="0"/>
          <w:i w:val="0"/>
          <w:color w:val="5A6069"/>
          <w:sz w:val="18"/>
        </w:rPr>
        <w:t>OPEN — not yet decided · Governance</w:t>
      </w:r>
    </w:p>
    <w:p>
      <w:pPr>
        <w:spacing w:after="80"/>
      </w:pPr>
      <w:r>
        <w:rPr>
          <w:b/>
          <w:i w:val="0"/>
        </w:rPr>
        <w:t xml:space="preserve">Where it is decided: </w:t>
      </w:r>
      <w:hyperlink r:id="rId9">
        <w:r>
          <w:rPr>
            <w:color w:val="0563C1"/>
            <w:u w:val="single"/>
          </w:rPr>
          <w:t xml:space="preserve">7 · Select liver-directed therapy</w:t>
        </w:r>
      </w:hyperlink>
    </w:p>
    <w:p>
      <w:pPr>
        <w:spacing w:after="120"/>
      </w:pPr>
      <w:r>
        <w:rPr>
          <w:b/>
          <w:i w:val="0"/>
          <w:sz w:val="18"/>
        </w:rPr>
        <w:t xml:space="preserve">Web page: </w:t>
      </w:r>
      <w:hyperlink r:id="rId28">
        <w:r>
          <w:rPr>
            <w:color w:val="0563C1"/>
            <w:u w:val="single"/>
            <w:sz w:val="18"/>
          </w:rPr>
          <w:t xml:space="preserve">open this question on the website</w:t>
        </w:r>
      </w:hyperlink>
    </w:p>
    <w:p>
      <w:pPr>
        <w:pStyle w:val="Heading3"/>
        <w:keepNext/>
        <w:spacing w:before="120" w:after="80"/>
      </w:pPr>
      <w:r>
        <w:rPr>
          <w:b w:val="0"/>
          <w:i w:val="0"/>
        </w:rPr>
        <w:t>Positions of guidelines, trials and papers</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200"/>
        <w:gridCol w:w="5480"/>
        <w:gridCol w:w="2400"/>
      </w:tblGrid>
      <w:tr>
        <w:trPr>
          <w:tblHeader/>
        </w:trPr>
        <w:tc>
          <w:tcPr>
            <w:tcW w:type="dxa" w:w="3360"/>
            <w:tcW w:w="2200" w:type="dxa"/>
            <w:shd w:val="clear" w:color="auto" w:fill="17365D"/>
          </w:tcPr>
          <w:p>
            <w:r>
              <w:rPr>
                <w:b/>
                <w:i w:val="0"/>
                <w:color w:val="FFFFFF"/>
                <w:sz w:val="19"/>
              </w:rPr>
              <w:t>Source</w:t>
            </w:r>
          </w:p>
        </w:tc>
        <w:tc>
          <w:tcPr>
            <w:tcW w:type="dxa" w:w="3360"/>
            <w:tcW w:w="5480" w:type="dxa"/>
            <w:shd w:val="clear" w:color="auto" w:fill="17365D"/>
          </w:tcPr>
          <w:p>
            <w:r>
              <w:rPr>
                <w:b/>
                <w:i w:val="0"/>
                <w:color w:val="FFFFFF"/>
                <w:sz w:val="19"/>
              </w:rPr>
              <w:t>Position</w:t>
            </w:r>
          </w:p>
        </w:tc>
        <w:tc>
          <w:tcPr>
            <w:tcW w:type="dxa" w:w="3360"/>
            <w:tcW w:w="2400" w:type="dxa"/>
            <w:shd w:val="clear" w:color="auto" w:fill="17365D"/>
          </w:tcPr>
          <w:p>
            <w:r>
              <w:rPr>
                <w:b/>
                <w:i w:val="0"/>
                <w:color w:val="FFFFFF"/>
                <w:sz w:val="19"/>
              </w:rPr>
              <w:t>Where stated</w:t>
            </w:r>
          </w:p>
        </w:tc>
      </w:tr>
      <w:tr>
        <w:trPr>
          <w:cantSplit/>
        </w:trPr>
        <w:tc>
          <w:tcPr>
            <w:tcW w:type="dxa" w:w="3360"/>
            <w:tcW w:w="2200" w:type="dxa"/>
            <w:shd w:val="clear" w:color="auto" w:fill="F1F5F8"/>
          </w:tcPr>
          <w:p>
            <w:pPr>
              <w:spacing w:after="0"/>
            </w:pPr>
            <w:r>
              <w:rPr>
                <w:b/>
                <w:i w:val="0"/>
                <w:sz w:val="19"/>
              </w:rPr>
              <w:t>NCCN NE v1.2026</w:t>
            </w:r>
          </w:p>
        </w:tc>
        <w:tc>
          <w:tcPr>
            <w:tcW w:type="dxa" w:w="3360"/>
            <w:tcW w:w="5480" w:type="dxa"/>
            <w:shd w:val="clear" w:color="auto" w:fill="F1F5F8"/>
          </w:tcPr>
          <w:p>
            <w:pPr>
              <w:spacing w:after="0"/>
            </w:pPr>
            <w:r>
              <w:rPr>
                <w:b w:val="0"/>
                <w:i w:val="0"/>
                <w:sz w:val="19"/>
              </w:rPr>
              <w:t>Advises against drug-eluting embolics in NET because they carry increased hepatobiliary toxicity in this population.</w:t>
            </w:r>
          </w:p>
        </w:tc>
        <w:tc>
          <w:tcPr>
            <w:tcW w:type="dxa" w:w="3360"/>
            <w:tcW w:w="2400" w:type="dxa"/>
            <w:shd w:val="clear" w:color="auto" w:fill="F1F5F8"/>
          </w:tcPr>
          <w:p>
            <w:pPr>
              <w:spacing w:after="0"/>
            </w:pPr>
            <w:r>
              <w:rPr>
                <w:b w:val="0"/>
                <w:i w:val="0"/>
                <w:color w:val="5A6069"/>
                <w:sz w:val="18"/>
              </w:rPr>
              <w:t>Gate 7 · Avoid 'Avoid drug-eluting embolics in NET.' · caveat</w:t>
            </w:r>
          </w:p>
        </w:tc>
      </w:tr>
      <w:tr>
        <w:trPr>
          <w:cantSplit/>
        </w:trPr>
        <w:tc>
          <w:tcPr>
            <w:tcW w:type="dxa" w:w="3360"/>
            <w:tcW w:w="2200" w:type="dxa"/>
            <w:shd w:val="clear" w:color="auto" w:fill="FFFFFF"/>
          </w:tcPr>
          <w:p>
            <w:pPr>
              <w:spacing w:after="0"/>
            </w:pPr>
            <w:r>
              <w:rPr>
                <w:b/>
                <w:i w:val="0"/>
                <w:sz w:val="19"/>
              </w:rPr>
              <w:t>DEB-TACE phase 2</w:t>
            </w:r>
          </w:p>
        </w:tc>
        <w:tc>
          <w:tcPr>
            <w:tcW w:type="dxa" w:w="3360"/>
            <w:tcW w:w="5480" w:type="dxa"/>
            <w:shd w:val="clear" w:color="auto" w:fill="FFFFFF"/>
          </w:tcPr>
          <w:p>
            <w:pPr>
              <w:spacing w:after="0"/>
            </w:pPr>
            <w:r>
              <w:rPr>
                <w:b w:val="0"/>
                <w:i w:val="0"/>
                <w:sz w:val="19"/>
              </w:rPr>
              <w:t>Stopped on its safety endpoint: biloma in 7 of 13 (54%), two deaths. Roadmap critique: interrupted interim analysis, invisible beads with a tactile endpoint, injury in lowest-burden patients, rate out of line with other series.</w:t>
            </w:r>
          </w:p>
        </w:tc>
        <w:tc>
          <w:tcPr>
            <w:tcW w:type="dxa" w:w="3360"/>
            <w:tcW w:w="2400" w:type="dxa"/>
            <w:shd w:val="clear" w:color="auto" w:fill="FFFFFF"/>
          </w:tcPr>
          <w:p>
            <w:pPr>
              <w:spacing w:after="0"/>
            </w:pPr>
            <w:r>
              <w:rPr>
                <w:b w:val="0"/>
                <w:i w:val="0"/>
                <w:color w:val="5A6069"/>
                <w:sz w:val="18"/>
              </w:rPr>
              <w:t>Gate 7 · Avoid 'Avoid drug-eluting embolics in NET.' · caveat and note</w:t>
            </w:r>
          </w:p>
        </w:tc>
      </w:tr>
      <w:tr>
        <w:trPr>
          <w:cantSplit/>
        </w:trPr>
        <w:tc>
          <w:tcPr>
            <w:tcW w:type="dxa" w:w="3360"/>
            <w:tcW w:w="2200" w:type="dxa"/>
            <w:shd w:val="clear" w:color="auto" w:fill="F1F5F8"/>
          </w:tcPr>
          <w:p>
            <w:pPr>
              <w:spacing w:after="0"/>
            </w:pPr>
            <w:r>
              <w:rPr>
                <w:b/>
                <w:i w:val="0"/>
                <w:sz w:val="19"/>
              </w:rPr>
              <w:t>ENETS 2024 small intestine</w:t>
            </w:r>
          </w:p>
        </w:tc>
        <w:tc>
          <w:tcPr>
            <w:tcW w:type="dxa" w:w="3360"/>
            <w:tcW w:w="5480" w:type="dxa"/>
            <w:shd w:val="clear" w:color="auto" w:fill="F1F5F8"/>
          </w:tcPr>
          <w:p>
            <w:pPr>
              <w:spacing w:after="0"/>
            </w:pPr>
            <w:r>
              <w:rPr>
                <w:b w:val="0"/>
                <w:i w:val="0"/>
                <w:sz w:val="19"/>
              </w:rPr>
              <w:t>Reports that RETNET’s drug-eluting-bead arm closed for increased severe complications.</w:t>
            </w:r>
          </w:p>
        </w:tc>
        <w:tc>
          <w:tcPr>
            <w:tcW w:type="dxa" w:w="3360"/>
            <w:tcW w:w="2400" w:type="dxa"/>
            <w:shd w:val="clear" w:color="auto" w:fill="F1F5F8"/>
          </w:tcPr>
          <w:p>
            <w:pPr>
              <w:spacing w:after="0"/>
            </w:pPr>
            <w:r>
              <w:rPr>
                <w:b w:val="0"/>
                <w:i w:val="0"/>
                <w:color w:val="5A6069"/>
                <w:sz w:val="18"/>
              </w:rPr>
              <w:t>Gate 7 · Avoid 'Avoid drug-eluting embolics in NET.' · note</w:t>
            </w:r>
          </w:p>
        </w:tc>
      </w:tr>
      <w:tr>
        <w:trPr>
          <w:cantSplit/>
        </w:trPr>
        <w:tc>
          <w:tcPr>
            <w:tcW w:type="dxa" w:w="3360"/>
            <w:tcW w:w="2200" w:type="dxa"/>
            <w:shd w:val="clear" w:color="auto" w:fill="FFFFFF"/>
          </w:tcPr>
          <w:p>
            <w:pPr>
              <w:spacing w:after="0"/>
            </w:pPr>
            <w:r>
              <w:rPr>
                <w:b/>
                <w:i w:val="0"/>
                <w:sz w:val="19"/>
              </w:rPr>
              <w:t>RETNET protocol</w:t>
            </w:r>
          </w:p>
        </w:tc>
        <w:tc>
          <w:tcPr>
            <w:tcW w:type="dxa" w:w="3360"/>
            <w:tcW w:w="5480" w:type="dxa"/>
            <w:shd w:val="clear" w:color="auto" w:fill="FFFFFF"/>
          </w:tcPr>
          <w:p>
            <w:pPr>
              <w:spacing w:after="0"/>
            </w:pPr>
            <w:r>
              <w:rPr>
                <w:b w:val="0"/>
                <w:i w:val="0"/>
                <w:sz w:val="19"/>
              </w:rPr>
              <w:t>Protocol paper only, with no outcome data; its power calculation assumed drug-eluting and lipiodol chemoembolisation equally safe, which the later arm closure contradicted.</w:t>
            </w:r>
          </w:p>
        </w:tc>
        <w:tc>
          <w:tcPr>
            <w:tcW w:type="dxa" w:w="3360"/>
            <w:tcW w:w="2400" w:type="dxa"/>
            <w:shd w:val="clear" w:color="auto" w:fill="FFFFFF"/>
          </w:tcPr>
          <w:p>
            <w:pPr>
              <w:spacing w:after="0"/>
            </w:pPr>
            <w:r>
              <w:rPr>
                <w:b w:val="0"/>
                <w:i w:val="0"/>
                <w:color w:val="5A6069"/>
                <w:sz w:val="18"/>
              </w:rPr>
              <w:t>What we are not sure about #15</w:t>
            </w:r>
          </w:p>
        </w:tc>
      </w:tr>
    </w:tbl>
    <w:p>
      <w:pPr>
        <w:spacing w:after="40"/>
      </w:pPr>
    </w:p>
    <w:p>
      <w:pPr>
        <w:spacing w:after="80"/>
      </w:pPr>
      <w:r>
        <w:rPr>
          <w:b/>
          <w:i w:val="0"/>
        </w:rPr>
        <w:t xml:space="preserve">Where sources differ: </w:t>
      </w:r>
      <w:r>
        <w:rPr>
          <w:b w:val="0"/>
          <w:i w:val="0"/>
        </w:rPr>
        <w:t>All sources point to avoidance, but the roadmap judges the basis thin, one 13-patient interim analysis plus an arm closure reported only in a guideline, so the position is precautionary rather than a demonstrated class effect.</w:t>
      </w:r>
    </w:p>
    <w:p>
      <w:pPr>
        <w:pStyle w:val="Heading3"/>
        <w:keepNext/>
        <w:spacing w:before="120" w:after="80"/>
      </w:pPr>
      <w:r>
        <w:rPr>
          <w:b w:val="0"/>
          <w:i w:val="0"/>
        </w:rPr>
        <w:t>Our proposed selection (OPEN)</w:t>
      </w:r>
    </w:p>
    <w:p>
      <w:pPr>
        <w:spacing w:after="80"/>
      </w:pPr>
      <w:r>
        <w:rPr>
          <w:b w:val="0"/>
          <w:i w:val="0"/>
        </w:rPr>
        <w:t>Keep the avoidance (Avoid, downgraded to grade C) and state its basis: a precautionary institutional choice, justified because the biliary harm is irreversible and two patients died, not a demonstrated class effect; use bland embolisation or conventional TACE instead. Any drug-eluting embolic use in NET is recorded as an exception with named approval.</w:t>
      </w:r>
    </w:p>
    <w:p>
      <w:pPr>
        <w:spacing w:after="80"/>
      </w:pPr>
      <w:r>
        <w:rPr>
          <w:b/>
          <w:i w:val="0"/>
          <w:color w:val="5A6069"/>
          <w:sz w:val="18"/>
        </w:rPr>
        <w:t xml:space="preserve">Basis in the document: </w:t>
      </w:r>
      <w:r>
        <w:rPr>
          <w:b w:val="0"/>
          <w:i w:val="0"/>
          <w:color w:val="5A6069"/>
          <w:sz w:val="18"/>
        </w:rPr>
        <w:t>Gate 7 · Avoid 'Avoid drug-eluting embolics in NET.' · pref and note; What we are not sure about #16; Decisions table #11 · audit</w:t>
      </w:r>
    </w:p>
    <w:p>
      <w:pPr>
        <w:spacing w:after="80"/>
      </w:pPr>
      <w:r>
        <w:rPr>
          <w:b/>
          <w:i w:val="0"/>
        </w:rPr>
        <w:t xml:space="preserve">Why: </w:t>
      </w:r>
      <w:r>
        <w:rPr>
          <w:b w:val="0"/>
          <w:i w:val="0"/>
        </w:rPr>
        <w:t>The position is kept but it is a precautionary institutional choice, not a demonstrated class effect: a 13-patient interrupted interim analysis in which bilomas fell on the lowest-burden patients, with invisible beads and a tactile endpoint, and a biliary injury rate far out of line with other drug-eluting series. The confirmatory signal is an arm closure in an ongoing trial reported in a guideline. Stating the basis matters because the harm is irreversible and two patients died.</w:t>
      </w:r>
    </w:p>
    <w:p>
      <w:pPr>
        <w:spacing w:after="80"/>
      </w:pPr>
      <w:r>
        <w:rPr>
          <w:b/>
          <w:i w:val="0"/>
        </w:rPr>
        <w:t xml:space="preserve">What gets audited: </w:t>
      </w:r>
      <w:r>
        <w:rPr>
          <w:b w:val="0"/>
          <w:i w:val="0"/>
        </w:rPr>
        <w:t>Audit: any drug-eluting embolic use in NET recorded as an exception with named approval.</w:t>
      </w:r>
    </w:p>
    <w:p>
      <w:pPr>
        <w:pStyle w:val="Heading3"/>
        <w:keepNext/>
        <w:spacing w:before="120" w:after="80"/>
      </w:pPr>
      <w:r>
        <w:rPr>
          <w:b w:val="0"/>
          <w:i w:val="0"/>
        </w:rPr>
        <w:t>NELM-D11 — group decision</w:t>
      </w:r>
    </w:p>
    <w:p>
      <w:pPr>
        <w:spacing w:after="0"/>
      </w:pPr>
      <w:r>
        <w:rPr>
          <w:b/>
          <w:i w:val="0"/>
        </w:rPr>
        <w:t xml:space="preserve">Accepted position (or alternative chosen): </w:t>
      </w:r>
    </w:p>
    <w:p>
      <w:pPr>
        <w:spacing w:after="200"/>
        <w:pBdr>
          <w:bottom w:val="single" w:sz="6" w:space="1" w:color="9AA8B4"/>
        </w:pBdr>
      </w:pPr>
    </w:p>
    <w:p>
      <w:pPr>
        <w:spacing w:after="0"/>
      </w:pPr>
      <w:r>
        <w:rPr>
          <w:b/>
          <w:i w:val="0"/>
        </w:rPr>
        <w:t xml:space="preserve">Rationale, dissent and exceptions: </w:t>
      </w:r>
    </w:p>
    <w:p>
      <w:pPr>
        <w:spacing w:after="200"/>
        <w:pBdr>
          <w:bottom w:val="single" w:sz="6" w:space="1" w:color="9AA8B4"/>
        </w:pBdr>
      </w:pPr>
    </w:p>
    <w:p>
      <w:pPr>
        <w:spacing w:after="0"/>
      </w:pPr>
      <w:r>
        <w:rPr>
          <w:b/>
          <w:i w:val="0"/>
        </w:rPr>
        <w:t xml:space="preserve">Owner · approval date · implementation date: </w:t>
      </w:r>
    </w:p>
    <w:p>
      <w:pPr>
        <w:spacing w:after="200"/>
        <w:pBdr>
          <w:bottom w:val="single" w:sz="6" w:space="1" w:color="9AA8B4"/>
        </w:pBdr>
      </w:pPr>
    </w:p>
    <w:p>
      <w:pPr>
        <w:pStyle w:val="Heading2"/>
        <w:keepNext/>
        <w:spacing w:before="200" w:after="80"/>
      </w:pPr>
      <w:r>
        <w:rPr>
          <w:b w:val="0"/>
          <w:i w:val="0"/>
        </w:rPr>
        <w:t>NELM-D12 — Who corrects the shared liver-directed-therapy matrix entry that attributes outcome figures to RETNET?</w:t>
      </w:r>
    </w:p>
    <w:p>
      <w:pPr>
        <w:spacing w:after="80"/>
      </w:pPr>
      <w:r>
        <w:rPr>
          <w:b w:val="0"/>
          <w:i w:val="0"/>
          <w:color w:val="5A6069"/>
          <w:sz w:val="18"/>
        </w:rPr>
        <w:t>OPEN — not yet decided · Governance</w:t>
      </w:r>
    </w:p>
    <w:p>
      <w:pPr>
        <w:spacing w:after="80"/>
      </w:pPr>
      <w:r>
        <w:rPr>
          <w:b/>
          <w:i w:val="0"/>
        </w:rPr>
        <w:t xml:space="preserve">Where it is decided: </w:t>
      </w:r>
      <w:hyperlink r:id="rId9">
        <w:r>
          <w:rPr>
            <w:color w:val="0563C1"/>
            <w:u w:val="single"/>
          </w:rPr>
          <w:t xml:space="preserve">7 · Select liver-directed therapy</w:t>
        </w:r>
      </w:hyperlink>
    </w:p>
    <w:p>
      <w:pPr>
        <w:spacing w:after="120"/>
      </w:pPr>
      <w:r>
        <w:rPr>
          <w:b/>
          <w:i w:val="0"/>
          <w:sz w:val="18"/>
        </w:rPr>
        <w:t xml:space="preserve">Web page: </w:t>
      </w:r>
      <w:hyperlink r:id="rId29">
        <w:r>
          <w:rPr>
            <w:color w:val="0563C1"/>
            <w:u w:val="single"/>
            <w:sz w:val="18"/>
          </w:rPr>
          <w:t xml:space="preserve">open this question on the website</w:t>
        </w:r>
      </w:hyperlink>
    </w:p>
    <w:p>
      <w:pPr>
        <w:pStyle w:val="Heading3"/>
        <w:keepNext/>
        <w:spacing w:before="120" w:after="80"/>
      </w:pPr>
      <w:r>
        <w:rPr>
          <w:b w:val="0"/>
          <w:i w:val="0"/>
        </w:rPr>
        <w:t>Positions of guidelines, trials and papers</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200"/>
        <w:gridCol w:w="5480"/>
        <w:gridCol w:w="2400"/>
      </w:tblGrid>
      <w:tr>
        <w:trPr>
          <w:tblHeader/>
        </w:trPr>
        <w:tc>
          <w:tcPr>
            <w:tcW w:type="dxa" w:w="3360"/>
            <w:tcW w:w="2200" w:type="dxa"/>
            <w:shd w:val="clear" w:color="auto" w:fill="17365D"/>
          </w:tcPr>
          <w:p>
            <w:r>
              <w:rPr>
                <w:b/>
                <w:i w:val="0"/>
                <w:color w:val="FFFFFF"/>
                <w:sz w:val="19"/>
              </w:rPr>
              <w:t>Source</w:t>
            </w:r>
          </w:p>
        </w:tc>
        <w:tc>
          <w:tcPr>
            <w:tcW w:type="dxa" w:w="3360"/>
            <w:tcW w:w="5480" w:type="dxa"/>
            <w:shd w:val="clear" w:color="auto" w:fill="17365D"/>
          </w:tcPr>
          <w:p>
            <w:r>
              <w:rPr>
                <w:b/>
                <w:i w:val="0"/>
                <w:color w:val="FFFFFF"/>
                <w:sz w:val="19"/>
              </w:rPr>
              <w:t>Position</w:t>
            </w:r>
          </w:p>
        </w:tc>
        <w:tc>
          <w:tcPr>
            <w:tcW w:type="dxa" w:w="3360"/>
            <w:tcW w:w="2400" w:type="dxa"/>
            <w:shd w:val="clear" w:color="auto" w:fill="17365D"/>
          </w:tcPr>
          <w:p>
            <w:r>
              <w:rPr>
                <w:b/>
                <w:i w:val="0"/>
                <w:color w:val="FFFFFF"/>
                <w:sz w:val="19"/>
              </w:rPr>
              <w:t>Where stated</w:t>
            </w:r>
          </w:p>
        </w:tc>
      </w:tr>
      <w:tr>
        <w:trPr>
          <w:cantSplit/>
        </w:trPr>
        <w:tc>
          <w:tcPr>
            <w:tcW w:type="dxa" w:w="3360"/>
            <w:tcW w:w="2200" w:type="dxa"/>
            <w:shd w:val="clear" w:color="auto" w:fill="F1F5F8"/>
          </w:tcPr>
          <w:p>
            <w:pPr>
              <w:spacing w:after="0"/>
            </w:pPr>
            <w:r>
              <w:rPr>
                <w:b/>
                <w:i w:val="0"/>
                <w:sz w:val="19"/>
              </w:rPr>
              <w:t>RETNET protocol</w:t>
            </w:r>
          </w:p>
        </w:tc>
        <w:tc>
          <w:tcPr>
            <w:tcW w:type="dxa" w:w="3360"/>
            <w:tcW w:w="5480" w:type="dxa"/>
            <w:shd w:val="clear" w:color="auto" w:fill="F1F5F8"/>
          </w:tcPr>
          <w:p>
            <w:pPr>
              <w:spacing w:after="0"/>
            </w:pPr>
            <w:r>
              <w:rPr>
                <w:b w:val="0"/>
                <w:i w:val="0"/>
                <w:sz w:val="19"/>
              </w:rPr>
              <w:t>The depot paper is the published study protocol and reports no response, progression-free survival or survival data, so any outcome figure attributed to it is unsourced.</w:t>
            </w:r>
          </w:p>
        </w:tc>
        <w:tc>
          <w:tcPr>
            <w:tcW w:type="dxa" w:w="3360"/>
            <w:tcW w:w="2400" w:type="dxa"/>
            <w:shd w:val="clear" w:color="auto" w:fill="F1F5F8"/>
          </w:tcPr>
          <w:p>
            <w:pPr>
              <w:spacing w:after="0"/>
            </w:pPr>
            <w:r>
              <w:rPr>
                <w:b w:val="0"/>
                <w:i w:val="0"/>
                <w:color w:val="5A6069"/>
                <w:sz w:val="18"/>
              </w:rPr>
              <w:t>What we are not sure about #15; Gate 7 · flag note</w:t>
            </w:r>
          </w:p>
        </w:tc>
      </w:tr>
      <w:tr>
        <w:trPr>
          <w:cantSplit/>
        </w:trPr>
        <w:tc>
          <w:tcPr>
            <w:tcW w:type="dxa" w:w="3360"/>
            <w:tcW w:w="2200" w:type="dxa"/>
            <w:shd w:val="clear" w:color="auto" w:fill="FFFFFF"/>
          </w:tcPr>
          <w:p>
            <w:pPr>
              <w:spacing w:after="0"/>
            </w:pPr>
            <w:r>
              <w:rPr>
                <w:b/>
                <w:i w:val="0"/>
                <w:sz w:val="19"/>
              </w:rPr>
              <w:t>ENETS 2024 small intestine</w:t>
            </w:r>
          </w:p>
        </w:tc>
        <w:tc>
          <w:tcPr>
            <w:tcW w:type="dxa" w:w="3360"/>
            <w:tcW w:w="5480" w:type="dxa"/>
            <w:shd w:val="clear" w:color="auto" w:fill="FFFFFF"/>
          </w:tcPr>
          <w:p>
            <w:pPr>
              <w:spacing w:after="0"/>
            </w:pPr>
            <w:r>
              <w:rPr>
                <w:b w:val="0"/>
                <w:i w:val="0"/>
                <w:sz w:val="19"/>
              </w:rPr>
              <w:t>Is where the closure of RETNET’s drug-eluting-bead arm is reported, the trial’s only practice-changing result so far.</w:t>
            </w:r>
          </w:p>
        </w:tc>
        <w:tc>
          <w:tcPr>
            <w:tcW w:type="dxa" w:w="3360"/>
            <w:tcW w:w="2400" w:type="dxa"/>
            <w:shd w:val="clear" w:color="auto" w:fill="FFFFFF"/>
          </w:tcPr>
          <w:p>
            <w:pPr>
              <w:spacing w:after="0"/>
            </w:pPr>
            <w:r>
              <w:rPr>
                <w:b w:val="0"/>
                <w:i w:val="0"/>
                <w:color w:val="5A6069"/>
                <w:sz w:val="18"/>
              </w:rPr>
              <w:t>What we are not sure about #15; Gate 7 · Avoid 'Avoid drug-eluting embolics in NET.' · note</w:t>
            </w:r>
          </w:p>
        </w:tc>
      </w:tr>
    </w:tbl>
    <w:p>
      <w:pPr>
        <w:spacing w:after="40"/>
      </w:pPr>
    </w:p>
    <w:p>
      <w:pPr>
        <w:spacing w:after="80"/>
      </w:pPr>
      <w:r>
        <w:rPr>
          <w:b/>
          <w:i w:val="0"/>
        </w:rPr>
        <w:t xml:space="preserve">Where sources differ: </w:t>
      </w:r>
      <w:r>
        <w:rPr>
          <w:b w:val="0"/>
          <w:i w:val="0"/>
        </w:rPr>
        <w:t>No source disagreement: the shared matrix cites outcome figures the RETNET paper does not contain, and who corrects it is a programme decision.</w:t>
      </w:r>
    </w:p>
    <w:p>
      <w:pPr>
        <w:pStyle w:val="Heading3"/>
        <w:keepNext/>
        <w:spacing w:before="120" w:after="80"/>
      </w:pPr>
      <w:r>
        <w:rPr>
          <w:b w:val="0"/>
          <w:i w:val="0"/>
        </w:rPr>
        <w:t>Our proposed selection (OPEN)</w:t>
      </w:r>
    </w:p>
    <w:p>
      <w:pPr>
        <w:spacing w:after="80"/>
      </w:pPr>
      <w:r>
        <w:rPr>
          <w:b w:val="0"/>
          <w:i w:val="0"/>
        </w:rPr>
        <w:t>No efficacy figure on the NELM page is attributed to RETNET. The shared matrix entry should be corrected at its source and the other pathways checked for the same entry, with a named owner reconciling matrix entries against the depot abstracts each cycle; the owner is not yet named.</w:t>
      </w:r>
    </w:p>
    <w:p>
      <w:pPr>
        <w:spacing w:after="80"/>
      </w:pPr>
      <w:r>
        <w:rPr>
          <w:b/>
          <w:i w:val="0"/>
          <w:color w:val="5A6069"/>
          <w:sz w:val="18"/>
        </w:rPr>
        <w:t xml:space="preserve">Basis in the document: </w:t>
      </w:r>
      <w:r>
        <w:rPr>
          <w:b w:val="0"/>
          <w:i w:val="0"/>
          <w:color w:val="5A6069"/>
          <w:sz w:val="18"/>
        </w:rPr>
        <w:t>Gate 7 · flag note; What we are not sure about #15; Decisions table #12 · why and audit</w:t>
      </w:r>
    </w:p>
    <w:p>
      <w:pPr>
        <w:spacing w:after="80"/>
      </w:pPr>
      <w:r>
        <w:rPr>
          <w:b/>
          <w:i w:val="0"/>
        </w:rPr>
        <w:t xml:space="preserve">Why: </w:t>
      </w:r>
      <w:r>
        <w:rPr>
          <w:b w:val="0"/>
          <w:i w:val="0"/>
        </w:rPr>
        <w:t>The RETNET paper is a published protocol with no outcome data of any kind, so any response, progression-free survival or survival figure attributed to it is unsourced. The matrix is shared across pathways, so the correction has to be made at its source and the other pathways checked for the same entry.</w:t>
      </w:r>
    </w:p>
    <w:p>
      <w:pPr>
        <w:spacing w:after="80"/>
      </w:pPr>
      <w:r>
        <w:rPr>
          <w:b/>
          <w:i w:val="0"/>
        </w:rPr>
        <w:t xml:space="preserve">What gets audited: </w:t>
      </w:r>
      <w:r>
        <w:rPr>
          <w:b w:val="0"/>
          <w:i w:val="0"/>
        </w:rPr>
        <w:t>Source-recency check: matrix entries reconciled against the depot abstracts by a named owner each cycle.</w:t>
      </w:r>
    </w:p>
    <w:p>
      <w:pPr>
        <w:pStyle w:val="Heading3"/>
        <w:keepNext/>
        <w:spacing w:before="120" w:after="80"/>
      </w:pPr>
      <w:r>
        <w:rPr>
          <w:b w:val="0"/>
          <w:i w:val="0"/>
        </w:rPr>
        <w:t>NELM-D12 — group decision</w:t>
      </w:r>
    </w:p>
    <w:p>
      <w:pPr>
        <w:spacing w:after="0"/>
      </w:pPr>
      <w:r>
        <w:rPr>
          <w:b/>
          <w:i w:val="0"/>
        </w:rPr>
        <w:t xml:space="preserve">Accepted position (or alternative chosen): </w:t>
      </w:r>
    </w:p>
    <w:p>
      <w:pPr>
        <w:spacing w:after="200"/>
        <w:pBdr>
          <w:bottom w:val="single" w:sz="6" w:space="1" w:color="9AA8B4"/>
        </w:pBdr>
      </w:pPr>
    </w:p>
    <w:p>
      <w:pPr>
        <w:spacing w:after="0"/>
      </w:pPr>
      <w:r>
        <w:rPr>
          <w:b/>
          <w:i w:val="0"/>
        </w:rPr>
        <w:t xml:space="preserve">Rationale, dissent and exceptions: </w:t>
      </w:r>
    </w:p>
    <w:p>
      <w:pPr>
        <w:spacing w:after="200"/>
        <w:pBdr>
          <w:bottom w:val="single" w:sz="6" w:space="1" w:color="9AA8B4"/>
        </w:pBdr>
      </w:pPr>
    </w:p>
    <w:p>
      <w:pPr>
        <w:spacing w:after="0"/>
      </w:pPr>
      <w:r>
        <w:rPr>
          <w:b/>
          <w:i w:val="0"/>
        </w:rPr>
        <w:t xml:space="preserve">Owner · approval date · implementation date: </w:t>
      </w:r>
    </w:p>
    <w:p>
      <w:pPr>
        <w:spacing w:after="200"/>
        <w:pBdr>
          <w:bottom w:val="single" w:sz="6" w:space="1" w:color="9AA8B4"/>
        </w:pBdr>
      </w:pPr>
    </w:p>
    <w:p>
      <w:pPr>
        <w:pStyle w:val="Heading2"/>
        <w:keepNext/>
        <w:spacing w:before="200" w:after="80"/>
      </w:pPr>
      <w:r>
        <w:rPr>
          <w:b w:val="0"/>
          <w:i w:val="0"/>
        </w:rPr>
        <w:t>NELM-D13 — Which surveillance interval does the programme adopt for observed low-burden disease, and is observation documented as an equal alternative to an immediate analogue?</w:t>
      </w:r>
    </w:p>
    <w:p>
      <w:pPr>
        <w:spacing w:after="80"/>
      </w:pPr>
      <w:r>
        <w:rPr>
          <w:b w:val="0"/>
          <w:i w:val="0"/>
          <w:color w:val="5A6069"/>
          <w:sz w:val="18"/>
        </w:rPr>
        <w:t>OPEN — not yet decided · Clinical</w:t>
      </w:r>
    </w:p>
    <w:p>
      <w:pPr>
        <w:spacing w:after="80"/>
      </w:pPr>
      <w:r>
        <w:rPr>
          <w:b/>
          <w:i w:val="0"/>
        </w:rPr>
        <w:t xml:space="preserve">Where it is decided: </w:t>
      </w:r>
      <w:hyperlink r:id="rId17">
        <w:r>
          <w:rPr>
            <w:color w:val="0563C1"/>
            <w:u w:val="single"/>
          </w:rPr>
          <w:t xml:space="preserve">2 · Low-volume G1–G2 disease</w:t>
        </w:r>
      </w:hyperlink>
    </w:p>
    <w:p>
      <w:pPr>
        <w:spacing w:after="120"/>
      </w:pPr>
      <w:r>
        <w:rPr>
          <w:b/>
          <w:i w:val="0"/>
          <w:sz w:val="18"/>
        </w:rPr>
        <w:t xml:space="preserve">Web page: </w:t>
      </w:r>
      <w:hyperlink r:id="rId30">
        <w:r>
          <w:rPr>
            <w:color w:val="0563C1"/>
            <w:u w:val="single"/>
            <w:sz w:val="18"/>
          </w:rPr>
          <w:t xml:space="preserve">open this question on the website</w:t>
        </w:r>
      </w:hyperlink>
    </w:p>
    <w:p>
      <w:pPr>
        <w:pStyle w:val="Heading3"/>
        <w:keepNext/>
        <w:spacing w:before="120" w:after="80"/>
      </w:pPr>
      <w:r>
        <w:rPr>
          <w:b w:val="0"/>
          <w:i w:val="0"/>
        </w:rPr>
        <w:t>Positions of guidelines, trials and papers</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200"/>
        <w:gridCol w:w="5480"/>
        <w:gridCol w:w="2400"/>
      </w:tblGrid>
      <w:tr>
        <w:trPr>
          <w:tblHeader/>
        </w:trPr>
        <w:tc>
          <w:tcPr>
            <w:tcW w:type="dxa" w:w="3360"/>
            <w:tcW w:w="2200" w:type="dxa"/>
            <w:shd w:val="clear" w:color="auto" w:fill="17365D"/>
          </w:tcPr>
          <w:p>
            <w:r>
              <w:rPr>
                <w:b/>
                <w:i w:val="0"/>
                <w:color w:val="FFFFFF"/>
                <w:sz w:val="19"/>
              </w:rPr>
              <w:t>Source</w:t>
            </w:r>
          </w:p>
        </w:tc>
        <w:tc>
          <w:tcPr>
            <w:tcW w:type="dxa" w:w="3360"/>
            <w:tcW w:w="5480" w:type="dxa"/>
            <w:shd w:val="clear" w:color="auto" w:fill="17365D"/>
          </w:tcPr>
          <w:p>
            <w:r>
              <w:rPr>
                <w:b/>
                <w:i w:val="0"/>
                <w:color w:val="FFFFFF"/>
                <w:sz w:val="19"/>
              </w:rPr>
              <w:t>Position</w:t>
            </w:r>
          </w:p>
        </w:tc>
        <w:tc>
          <w:tcPr>
            <w:tcW w:type="dxa" w:w="3360"/>
            <w:tcW w:w="2400" w:type="dxa"/>
            <w:shd w:val="clear" w:color="auto" w:fill="17365D"/>
          </w:tcPr>
          <w:p>
            <w:r>
              <w:rPr>
                <w:b/>
                <w:i w:val="0"/>
                <w:color w:val="FFFFFF"/>
                <w:sz w:val="19"/>
              </w:rPr>
              <w:t>Where stated</w:t>
            </w:r>
          </w:p>
        </w:tc>
      </w:tr>
      <w:tr>
        <w:trPr>
          <w:cantSplit/>
        </w:trPr>
        <w:tc>
          <w:tcPr>
            <w:tcW w:type="dxa" w:w="3360"/>
            <w:tcW w:w="2200" w:type="dxa"/>
            <w:shd w:val="clear" w:color="auto" w:fill="F1F5F8"/>
          </w:tcPr>
          <w:p>
            <w:pPr>
              <w:spacing w:after="0"/>
            </w:pPr>
            <w:r>
              <w:rPr>
                <w:b/>
                <w:i w:val="0"/>
                <w:sz w:val="19"/>
              </w:rPr>
              <w:t>NCCN NE v1.2026</w:t>
            </w:r>
          </w:p>
        </w:tc>
        <w:tc>
          <w:tcPr>
            <w:tcW w:type="dxa" w:w="3360"/>
            <w:tcW w:w="5480" w:type="dxa"/>
            <w:shd w:val="clear" w:color="auto" w:fill="F1F5F8"/>
          </w:tcPr>
          <w:p>
            <w:pPr>
              <w:spacing w:after="0"/>
            </w:pPr>
            <w:r>
              <w:rPr>
                <w:b w:val="0"/>
                <w:i w:val="0"/>
                <w:sz w:val="19"/>
              </w:rPr>
              <w:t>Observation with serial imaging is an option at low tumour burden, with imaging every 12 weeks to 12 months.</w:t>
            </w:r>
          </w:p>
        </w:tc>
        <w:tc>
          <w:tcPr>
            <w:tcW w:type="dxa" w:w="3360"/>
            <w:tcW w:w="2400" w:type="dxa"/>
            <w:shd w:val="clear" w:color="auto" w:fill="F1F5F8"/>
          </w:tcPr>
          <w:p>
            <w:pPr>
              <w:spacing w:after="0"/>
            </w:pPr>
            <w:r>
              <w:rPr>
                <w:b w:val="0"/>
                <w:i w:val="0"/>
                <w:color w:val="5A6069"/>
                <w:sz w:val="18"/>
              </w:rPr>
              <w:t>Gate 2 · Reasonable option 'Observation with scheduled imaging' · when and caveat</w:t>
            </w:r>
          </w:p>
        </w:tc>
      </w:tr>
      <w:tr>
        <w:trPr>
          <w:cantSplit/>
        </w:trPr>
        <w:tc>
          <w:tcPr>
            <w:tcW w:type="dxa" w:w="3360"/>
            <w:tcW w:w="2200" w:type="dxa"/>
            <w:shd w:val="clear" w:color="auto" w:fill="FFFFFF"/>
          </w:tcPr>
          <w:p>
            <w:pPr>
              <w:spacing w:after="0"/>
            </w:pPr>
            <w:r>
              <w:rPr>
                <w:b/>
                <w:i w:val="0"/>
                <w:sz w:val="19"/>
              </w:rPr>
              <w:t>ASCO 2023 systemic</w:t>
            </w:r>
          </w:p>
        </w:tc>
        <w:tc>
          <w:tcPr>
            <w:tcW w:type="dxa" w:w="3360"/>
            <w:tcW w:w="5480" w:type="dxa"/>
            <w:shd w:val="clear" w:color="auto" w:fill="FFFFFF"/>
          </w:tcPr>
          <w:p>
            <w:pPr>
              <w:spacing w:after="0"/>
            </w:pPr>
            <w:r>
              <w:rPr>
                <w:b w:val="0"/>
                <w:i w:val="0"/>
                <w:sz w:val="19"/>
              </w:rPr>
              <w:t>Suggests imaging every 3 to 6 months and places the observation evidence strongest at Ki-67 under 10%.</w:t>
            </w:r>
          </w:p>
        </w:tc>
        <w:tc>
          <w:tcPr>
            <w:tcW w:type="dxa" w:w="3360"/>
            <w:tcW w:w="2400" w:type="dxa"/>
            <w:shd w:val="clear" w:color="auto" w:fill="FFFFFF"/>
          </w:tcPr>
          <w:p>
            <w:pPr>
              <w:spacing w:after="0"/>
            </w:pPr>
            <w:r>
              <w:rPr>
                <w:b w:val="0"/>
                <w:i w:val="0"/>
                <w:color w:val="5A6069"/>
                <w:sz w:val="18"/>
              </w:rPr>
              <w:t>Gate 2 · Reasonable option 'Observation with scheduled imaging' · when; What we are not sure about #30</w:t>
            </w:r>
          </w:p>
        </w:tc>
      </w:tr>
      <w:tr>
        <w:trPr>
          <w:cantSplit/>
        </w:trPr>
        <w:tc>
          <w:tcPr>
            <w:tcW w:type="dxa" w:w="3360"/>
            <w:tcW w:w="2200" w:type="dxa"/>
            <w:shd w:val="clear" w:color="auto" w:fill="F1F5F8"/>
          </w:tcPr>
          <w:p>
            <w:pPr>
              <w:spacing w:after="0"/>
            </w:pPr>
            <w:r>
              <w:rPr>
                <w:b/>
                <w:i w:val="0"/>
                <w:sz w:val="19"/>
              </w:rPr>
              <w:t>NANETS 2017 medical</w:t>
            </w:r>
          </w:p>
        </w:tc>
        <w:tc>
          <w:tcPr>
            <w:tcW w:type="dxa" w:w="3360"/>
            <w:tcW w:w="5480" w:type="dxa"/>
            <w:shd w:val="clear" w:color="auto" w:fill="F1F5F8"/>
          </w:tcPr>
          <w:p>
            <w:pPr>
              <w:spacing w:after="0"/>
            </w:pPr>
            <w:r>
              <w:rPr>
                <w:b w:val="0"/>
                <w:i w:val="0"/>
                <w:sz w:val="19"/>
              </w:rPr>
              <w:t>Suggests 3 to 4 months if observing; the midgut panel split about evenly between analogue and observation and accepted either, which the roadmap reads as absent consensus rather than endorsement.</w:t>
            </w:r>
          </w:p>
        </w:tc>
        <w:tc>
          <w:tcPr>
            <w:tcW w:type="dxa" w:w="3360"/>
            <w:tcW w:w="2400" w:type="dxa"/>
            <w:shd w:val="clear" w:color="auto" w:fill="F1F5F8"/>
          </w:tcPr>
          <w:p>
            <w:pPr>
              <w:spacing w:after="0"/>
            </w:pPr>
            <w:r>
              <w:rPr>
                <w:b w:val="0"/>
                <w:i w:val="0"/>
                <w:color w:val="5A6069"/>
                <w:sz w:val="18"/>
              </w:rPr>
              <w:t>What we are not sure about #30; Decisions table #13 · why</w:t>
            </w:r>
          </w:p>
        </w:tc>
      </w:tr>
      <w:tr>
        <w:trPr>
          <w:cantSplit/>
        </w:trPr>
        <w:tc>
          <w:tcPr>
            <w:tcW w:type="dxa" w:w="3360"/>
            <w:tcW w:w="2200" w:type="dxa"/>
            <w:shd w:val="clear" w:color="auto" w:fill="FFFFFF"/>
          </w:tcPr>
          <w:p>
            <w:pPr>
              <w:spacing w:after="0"/>
            </w:pPr>
            <w:r>
              <w:rPr>
                <w:b/>
                <w:i w:val="0"/>
                <w:sz w:val="19"/>
              </w:rPr>
              <w:t>ENETS 2024 small intestine</w:t>
            </w:r>
          </w:p>
        </w:tc>
        <w:tc>
          <w:tcPr>
            <w:tcW w:type="dxa" w:w="3360"/>
            <w:tcW w:w="5480" w:type="dxa"/>
            <w:shd w:val="clear" w:color="auto" w:fill="FFFFFF"/>
          </w:tcPr>
          <w:p>
            <w:pPr>
              <w:spacing w:after="0"/>
            </w:pPr>
            <w:r>
              <w:rPr>
                <w:b w:val="0"/>
                <w:i w:val="0"/>
                <w:sz w:val="19"/>
              </w:rPr>
              <w:t>Limits watch and wait to selected small-intestine NET that are G1, asymptomatic, low-burden and/or stable (B-2b).</w:t>
            </w:r>
          </w:p>
        </w:tc>
        <w:tc>
          <w:tcPr>
            <w:tcW w:type="dxa" w:w="3360"/>
            <w:tcW w:w="2400" w:type="dxa"/>
            <w:shd w:val="clear" w:color="auto" w:fill="FFFFFF"/>
          </w:tcPr>
          <w:p>
            <w:pPr>
              <w:spacing w:after="0"/>
            </w:pPr>
            <w:r>
              <w:rPr>
                <w:b w:val="0"/>
                <w:i w:val="0"/>
                <w:color w:val="5A6069"/>
                <w:sz w:val="18"/>
              </w:rPr>
              <w:t>Gate 2 · Reasonable option 'Observation with scheduled imaging' · when</w:t>
            </w:r>
          </w:p>
        </w:tc>
      </w:tr>
      <w:tr>
        <w:trPr>
          <w:cantSplit/>
        </w:trPr>
        <w:tc>
          <w:tcPr>
            <w:tcW w:type="dxa" w:w="3360"/>
            <w:tcW w:w="2200" w:type="dxa"/>
            <w:shd w:val="clear" w:color="auto" w:fill="F1F5F8"/>
          </w:tcPr>
          <w:p>
            <w:pPr>
              <w:spacing w:after="0"/>
            </w:pPr>
            <w:r>
              <w:rPr>
                <w:b/>
                <w:i w:val="0"/>
                <w:sz w:val="19"/>
              </w:rPr>
              <w:t>ESMO 2020 GEP-NEN</w:t>
            </w:r>
          </w:p>
        </w:tc>
        <w:tc>
          <w:tcPr>
            <w:tcW w:type="dxa" w:w="3360"/>
            <w:tcW w:w="5480" w:type="dxa"/>
            <w:shd w:val="clear" w:color="auto" w:fill="F1F5F8"/>
          </w:tcPr>
          <w:p>
            <w:pPr>
              <w:spacing w:after="0"/>
            </w:pPr>
            <w:r>
              <w:rPr>
                <w:b w:val="0"/>
                <w:i w:val="0"/>
                <w:sz w:val="19"/>
              </w:rPr>
              <w:t>Restricts watch and wait to Ki-67 under 2% with low burden and stable disease [IV, A].</w:t>
            </w:r>
          </w:p>
        </w:tc>
        <w:tc>
          <w:tcPr>
            <w:tcW w:type="dxa" w:w="3360"/>
            <w:tcW w:w="2400" w:type="dxa"/>
            <w:shd w:val="clear" w:color="auto" w:fill="F1F5F8"/>
          </w:tcPr>
          <w:p>
            <w:pPr>
              <w:spacing w:after="0"/>
            </w:pPr>
            <w:r>
              <w:rPr>
                <w:b w:val="0"/>
                <w:i w:val="0"/>
                <w:color w:val="5A6069"/>
                <w:sz w:val="18"/>
              </w:rPr>
              <w:t>Gate 2 · Reasonable option 'Observation with scheduled imaging' · when</w:t>
            </w:r>
          </w:p>
        </w:tc>
      </w:tr>
    </w:tbl>
    <w:p>
      <w:pPr>
        <w:spacing w:after="40"/>
      </w:pPr>
    </w:p>
    <w:p>
      <w:pPr>
        <w:spacing w:after="80"/>
      </w:pPr>
      <w:r>
        <w:rPr>
          <w:b/>
          <w:i w:val="0"/>
        </w:rPr>
        <w:t xml:space="preserve">Where sources differ: </w:t>
      </w:r>
      <w:r>
        <w:rPr>
          <w:b w:val="0"/>
          <w:i w:val="0"/>
        </w:rPr>
        <w:t>No trial compares intervals, and the published intervals (12 weeks–12 months, 3–6 months, 3–4 months) and eligibility limits (selected G1, Ki-67 under 2% or under 10%) disagree, with none derived.</w:t>
      </w:r>
    </w:p>
    <w:p>
      <w:pPr>
        <w:pStyle w:val="Heading3"/>
        <w:keepNext/>
        <w:spacing w:before="120" w:after="80"/>
      </w:pPr>
      <w:r>
        <w:rPr>
          <w:b w:val="0"/>
          <w:i w:val="0"/>
        </w:rPr>
        <w:t>Our proposed selection (OPEN)</w:t>
      </w:r>
    </w:p>
    <w:p>
      <w:pPr>
        <w:spacing w:after="80"/>
      </w:pPr>
      <w:r>
        <w:rPr>
          <w:b w:val="0"/>
          <w:i w:val="0"/>
        </w:rPr>
        <w:t>Observation is a Reasonable alternative (grade B) for asymptomatic, low-volume, radiologically stable disease: imaging every 3 to 4 months at first, about every 6 months once stable, treating on progression or symptoms. The interval is a local choice within the NCCN range; whether observation is a documented equal alternative and grade B fits is alignment area 3.</w:t>
      </w:r>
    </w:p>
    <w:p>
      <w:pPr>
        <w:spacing w:after="80"/>
      </w:pPr>
      <w:r>
        <w:rPr>
          <w:b/>
          <w:i w:val="0"/>
          <w:color w:val="5A6069"/>
          <w:sz w:val="18"/>
        </w:rPr>
        <w:t xml:space="preserve">Basis in the document: </w:t>
      </w:r>
      <w:r>
        <w:rPr>
          <w:b w:val="0"/>
          <w:i w:val="0"/>
          <w:color w:val="5A6069"/>
          <w:sz w:val="18"/>
        </w:rPr>
        <w:t>Gate 2 · Reasonable option 'Observation with scheduled imaging' · pref, caveat and flag note; What we are not sure about #30</w:t>
      </w:r>
    </w:p>
    <w:p>
      <w:pPr>
        <w:spacing w:after="80"/>
      </w:pPr>
      <w:r>
        <w:rPr>
          <w:b/>
          <w:i w:val="0"/>
        </w:rPr>
        <w:t xml:space="preserve">Why: </w:t>
      </w:r>
      <w:r>
        <w:rPr>
          <w:b w:val="0"/>
          <w:i w:val="0"/>
        </w:rPr>
        <w:t>No trial compares intervals. NCCN allows every 12 weeks to 12 months, ASCO suggests 3 to 6 months, NANETS suggests 3 to 4 months while splitting evenly on whether to observe at all, ENETS restricts watch and wait to selected G1 and ESMO to Ki-67 under 2%. The roadmap's 3-to-4-month choice is local, and alignment area 3 asks whether observation is a documented alternative and whether grade B fits it.</w:t>
      </w:r>
    </w:p>
    <w:p>
      <w:pPr>
        <w:spacing w:after="80"/>
      </w:pPr>
      <w:r>
        <w:rPr>
          <w:b/>
          <w:i w:val="0"/>
        </w:rPr>
        <w:t xml:space="preserve">What gets audited: </w:t>
      </w:r>
      <w:r>
        <w:rPr>
          <w:b w:val="0"/>
          <w:i w:val="0"/>
        </w:rPr>
        <w:t>Audit: documented interval and the alternative considered on every observed patient; progression at first scan after a missed interval.</w:t>
      </w:r>
    </w:p>
    <w:p>
      <w:pPr>
        <w:pStyle w:val="Heading3"/>
        <w:keepNext/>
        <w:spacing w:before="120" w:after="80"/>
      </w:pPr>
      <w:r>
        <w:rPr>
          <w:b w:val="0"/>
          <w:i w:val="0"/>
        </w:rPr>
        <w:t>NELM-D13 — group decision</w:t>
      </w:r>
    </w:p>
    <w:p>
      <w:pPr>
        <w:spacing w:after="0"/>
      </w:pPr>
      <w:r>
        <w:rPr>
          <w:b/>
          <w:i w:val="0"/>
        </w:rPr>
        <w:t xml:space="preserve">Accepted position (or alternative chosen): </w:t>
      </w:r>
    </w:p>
    <w:p>
      <w:pPr>
        <w:spacing w:after="200"/>
        <w:pBdr>
          <w:bottom w:val="single" w:sz="6" w:space="1" w:color="9AA8B4"/>
        </w:pBdr>
      </w:pPr>
    </w:p>
    <w:p>
      <w:pPr>
        <w:spacing w:after="0"/>
      </w:pPr>
      <w:r>
        <w:rPr>
          <w:b/>
          <w:i w:val="0"/>
        </w:rPr>
        <w:t xml:space="preserve">Rationale, dissent and exceptions: </w:t>
      </w:r>
    </w:p>
    <w:p>
      <w:pPr>
        <w:spacing w:after="200"/>
        <w:pBdr>
          <w:bottom w:val="single" w:sz="6" w:space="1" w:color="9AA8B4"/>
        </w:pBdr>
      </w:pPr>
    </w:p>
    <w:p>
      <w:pPr>
        <w:spacing w:after="0"/>
      </w:pPr>
      <w:r>
        <w:rPr>
          <w:b/>
          <w:i w:val="0"/>
        </w:rPr>
        <w:t xml:space="preserve">Owner · approval date · implementation date: </w:t>
      </w:r>
    </w:p>
    <w:p>
      <w:pPr>
        <w:spacing w:after="200"/>
        <w:pBdr>
          <w:bottom w:val="single" w:sz="6" w:space="1" w:color="9AA8B4"/>
        </w:pBdr>
      </w:pPr>
    </w:p>
    <w:p>
      <w:pPr>
        <w:pStyle w:val="Heading2"/>
        <w:keepNext/>
        <w:spacing w:before="200" w:after="80"/>
      </w:pPr>
      <w:r>
        <w:rPr>
          <w:b w:val="0"/>
          <w:i w:val="0"/>
        </w:rPr>
        <w:t>NELM-D14 — Who confirms the OPTN imaging-timing wording with the review board before the first NELM filing?</w:t>
      </w:r>
    </w:p>
    <w:p>
      <w:pPr>
        <w:spacing w:after="80"/>
      </w:pPr>
      <w:r>
        <w:rPr>
          <w:b w:val="0"/>
          <w:i w:val="0"/>
          <w:color w:val="5A6069"/>
          <w:sz w:val="18"/>
        </w:rPr>
        <w:t>OPEN — not yet decided · Governance</w:t>
      </w:r>
    </w:p>
    <w:p>
      <w:pPr>
        <w:spacing w:after="80"/>
      </w:pPr>
      <w:r>
        <w:rPr>
          <w:b/>
          <w:i w:val="0"/>
        </w:rPr>
        <w:t xml:space="preserve">Where it is decided: </w:t>
      </w:r>
      <w:hyperlink r:id="rId19">
        <w:r>
          <w:rPr>
            <w:color w:val="0563C1"/>
            <w:u w:val="single"/>
          </w:rPr>
          <w:t xml:space="preserve">9 · Assess transplant eligibility</w:t>
        </w:r>
      </w:hyperlink>
    </w:p>
    <w:p>
      <w:pPr>
        <w:spacing w:after="120"/>
      </w:pPr>
      <w:r>
        <w:rPr>
          <w:b/>
          <w:i w:val="0"/>
          <w:sz w:val="18"/>
        </w:rPr>
        <w:t xml:space="preserve">Web page: </w:t>
      </w:r>
      <w:hyperlink r:id="rId31">
        <w:r>
          <w:rPr>
            <w:color w:val="0563C1"/>
            <w:u w:val="single"/>
            <w:sz w:val="18"/>
          </w:rPr>
          <w:t xml:space="preserve">open this question on the website</w:t>
        </w:r>
      </w:hyperlink>
    </w:p>
    <w:p>
      <w:pPr>
        <w:pStyle w:val="Heading3"/>
        <w:keepNext/>
        <w:spacing w:before="120" w:after="80"/>
      </w:pPr>
      <w:r>
        <w:rPr>
          <w:b w:val="0"/>
          <w:i w:val="0"/>
        </w:rPr>
        <w:t>Positions of guidelines, trials and papers</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200"/>
        <w:gridCol w:w="5480"/>
        <w:gridCol w:w="2400"/>
      </w:tblGrid>
      <w:tr>
        <w:trPr>
          <w:tblHeader/>
        </w:trPr>
        <w:tc>
          <w:tcPr>
            <w:tcW w:type="dxa" w:w="3360"/>
            <w:tcW w:w="2200" w:type="dxa"/>
            <w:shd w:val="clear" w:color="auto" w:fill="17365D"/>
          </w:tcPr>
          <w:p>
            <w:r>
              <w:rPr>
                <w:b/>
                <w:i w:val="0"/>
                <w:color w:val="FFFFFF"/>
                <w:sz w:val="19"/>
              </w:rPr>
              <w:t>Source</w:t>
            </w:r>
          </w:p>
        </w:tc>
        <w:tc>
          <w:tcPr>
            <w:tcW w:type="dxa" w:w="3360"/>
            <w:tcW w:w="5480" w:type="dxa"/>
            <w:shd w:val="clear" w:color="auto" w:fill="17365D"/>
          </w:tcPr>
          <w:p>
            <w:r>
              <w:rPr>
                <w:b/>
                <w:i w:val="0"/>
                <w:color w:val="FFFFFF"/>
                <w:sz w:val="19"/>
              </w:rPr>
              <w:t>Position</w:t>
            </w:r>
          </w:p>
        </w:tc>
        <w:tc>
          <w:tcPr>
            <w:tcW w:type="dxa" w:w="3360"/>
            <w:tcW w:w="2400" w:type="dxa"/>
            <w:shd w:val="clear" w:color="auto" w:fill="17365D"/>
          </w:tcPr>
          <w:p>
            <w:r>
              <w:rPr>
                <w:b/>
                <w:i w:val="0"/>
                <w:color w:val="FFFFFF"/>
                <w:sz w:val="19"/>
              </w:rPr>
              <w:t>Where stated</w:t>
            </w:r>
          </w:p>
        </w:tc>
      </w:tr>
      <w:tr>
        <w:trPr>
          <w:cantSplit/>
        </w:trPr>
        <w:tc>
          <w:tcPr>
            <w:tcW w:type="dxa" w:w="3360"/>
            <w:tcW w:w="2200" w:type="dxa"/>
            <w:shd w:val="clear" w:color="auto" w:fill="F1F5F8"/>
          </w:tcPr>
          <w:p>
            <w:pPr>
              <w:spacing w:after="0"/>
            </w:pPr>
            <w:r>
              <w:rPr>
                <w:b/>
                <w:i w:val="0"/>
                <w:sz w:val="19"/>
              </w:rPr>
              <w:t>OPTN NLRB guidance 2025</w:t>
            </w:r>
          </w:p>
        </w:tc>
        <w:tc>
          <w:tcPr>
            <w:tcW w:type="dxa" w:w="3360"/>
            <w:tcW w:w="5480" w:type="dxa"/>
            <w:shd w:val="clear" w:color="auto" w:fill="F1F5F8"/>
          </w:tcPr>
          <w:p>
            <w:pPr>
              <w:spacing w:after="0"/>
            </w:pPr>
            <w:r>
              <w:rPr>
                <w:b w:val="0"/>
                <w:i w:val="0"/>
                <w:sz w:val="19"/>
              </w:rPr>
              <w:t>Requires extrahepatic workup, including receptor scintigraphy or Ga-68 imaging or PET, at least 3 months before the initial or extension request; read literally, a floor on the imaging’s age.</w:t>
            </w:r>
          </w:p>
        </w:tc>
        <w:tc>
          <w:tcPr>
            <w:tcW w:type="dxa" w:w="3360"/>
            <w:tcW w:w="2400" w:type="dxa"/>
            <w:shd w:val="clear" w:color="auto" w:fill="F1F5F8"/>
          </w:tcPr>
          <w:p>
            <w:pPr>
              <w:spacing w:after="0"/>
            </w:pPr>
            <w:r>
              <w:rPr>
                <w:b w:val="0"/>
                <w:i w:val="0"/>
                <w:color w:val="5A6069"/>
                <w:sz w:val="18"/>
              </w:rPr>
              <w:t>Gate 9 · Standard 'Hold the allocation record and the renewal ownership from the start…' · caveat; What we are not sure about #25</w:t>
            </w:r>
          </w:p>
        </w:tc>
      </w:tr>
      <w:tr>
        <w:trPr>
          <w:cantSplit/>
        </w:trPr>
        <w:tc>
          <w:tcPr>
            <w:tcW w:type="dxa" w:w="3360"/>
            <w:tcW w:w="2200" w:type="dxa"/>
            <w:shd w:val="clear" w:color="auto" w:fill="FFFFFF"/>
          </w:tcPr>
          <w:p>
            <w:pPr>
              <w:spacing w:after="0"/>
            </w:pPr>
            <w:r>
              <w:rPr>
                <w:b/>
                <w:i w:val="0"/>
                <w:sz w:val="19"/>
              </w:rPr>
              <w:t>Milan-NET transplant</w:t>
            </w:r>
          </w:p>
        </w:tc>
        <w:tc>
          <w:tcPr>
            <w:tcW w:type="dxa" w:w="3360"/>
            <w:tcW w:w="5480" w:type="dxa"/>
            <w:shd w:val="clear" w:color="auto" w:fill="FFFFFF"/>
          </w:tcPr>
          <w:p>
            <w:pPr>
              <w:spacing w:after="0"/>
            </w:pPr>
            <w:r>
              <w:rPr>
                <w:b w:val="0"/>
                <w:i w:val="0"/>
                <w:sz w:val="19"/>
              </w:rPr>
              <w:t>Requires restaging at six months, by total-body CT or MRI with octreoscan or Ga-68 PET, to show no extrahepatic spread.</w:t>
            </w:r>
          </w:p>
        </w:tc>
        <w:tc>
          <w:tcPr>
            <w:tcW w:type="dxa" w:w="3360"/>
            <w:tcW w:w="2400" w:type="dxa"/>
            <w:shd w:val="clear" w:color="auto" w:fill="FFFFFF"/>
          </w:tcPr>
          <w:p>
            <w:pPr>
              <w:spacing w:after="0"/>
            </w:pPr>
            <w:r>
              <w:rPr>
                <w:b w:val="0"/>
                <w:i w:val="0"/>
                <w:color w:val="5A6069"/>
                <w:sz w:val="18"/>
              </w:rPr>
              <w:t>Quick reference 'Milan-NET transplant criteria' · row 'No extrahepatic spread at six-month restaging…'</w:t>
            </w:r>
          </w:p>
        </w:tc>
      </w:tr>
    </w:tbl>
    <w:p>
      <w:pPr>
        <w:spacing w:after="40"/>
      </w:pPr>
    </w:p>
    <w:p>
      <w:pPr>
        <w:spacing w:after="80"/>
      </w:pPr>
      <w:r>
        <w:rPr>
          <w:b/>
          <w:i w:val="0"/>
        </w:rPr>
        <w:t xml:space="preserve">Where sources differ: </w:t>
      </w:r>
      <w:r>
        <w:rPr>
          <w:b w:val="0"/>
          <w:i w:val="0"/>
        </w:rPr>
        <w:t>Read literally, the OPTN wording sets a minimum age for the imaging, whereas clinicians assume a recency requirement, and the intended meaning has not been confirmed with the review board.</w:t>
      </w:r>
    </w:p>
    <w:p>
      <w:pPr>
        <w:pStyle w:val="Heading3"/>
        <w:keepNext/>
        <w:spacing w:before="120" w:after="80"/>
      </w:pPr>
      <w:r>
        <w:rPr>
          <w:b w:val="0"/>
          <w:i w:val="0"/>
        </w:rPr>
        <w:t>Our proposed selection (OPEN)</w:t>
      </w:r>
    </w:p>
    <w:p>
      <w:pPr>
        <w:spacing w:after="80"/>
      </w:pPr>
      <w:r>
        <w:rPr>
          <w:b w:val="0"/>
          <w:i w:val="0"/>
        </w:rPr>
        <w:t>The page reproduces the OPTN wording unchanged rather than rewriting it as within three months, keeps current clinical staging, and confirms the intended timing with the review process before filing. The allocation record logs imaging and submit dates with named coordinator and physician sign-off; who confirms the wording is not yet named.</w:t>
      </w:r>
    </w:p>
    <w:p>
      <w:pPr>
        <w:spacing w:after="80"/>
      </w:pPr>
      <w:r>
        <w:rPr>
          <w:b/>
          <w:i w:val="0"/>
          <w:color w:val="5A6069"/>
          <w:sz w:val="18"/>
        </w:rPr>
        <w:t xml:space="preserve">Basis in the document: </w:t>
      </w:r>
      <w:r>
        <w:rPr>
          <w:b w:val="0"/>
          <w:i w:val="0"/>
          <w:color w:val="5A6069"/>
          <w:sz w:val="18"/>
        </w:rPr>
        <w:t>Gate 9 · Standard 'Hold the allocation record and the renewal ownership from the start…' · pref and caveat; What we are not sure about #25; Decisions table #14 · audit</w:t>
      </w:r>
    </w:p>
    <w:p>
      <w:pPr>
        <w:spacing w:after="80"/>
      </w:pPr>
      <w:r>
        <w:rPr>
          <w:b/>
          <w:i w:val="0"/>
        </w:rPr>
        <w:t xml:space="preserve">Why: </w:t>
      </w:r>
      <w:r>
        <w:rPr>
          <w:b w:val="0"/>
          <w:i w:val="0"/>
        </w:rPr>
        <w:t>The guidance requires extrahepatic workup 'at least 3 months prior to initial or extension request (submit date)', which read literally sets a minimum age for the imaging rather than the recency requirement a clinician assumes. The page reproduces the wording unchanged rather than correcting it; somebody has to resolve the intent before a listing depends on it.</w:t>
      </w:r>
    </w:p>
    <w:p>
      <w:pPr>
        <w:spacing w:after="80"/>
      </w:pPr>
      <w:r>
        <w:rPr>
          <w:b/>
          <w:i w:val="0"/>
        </w:rPr>
        <w:t xml:space="preserve">What gets audited: </w:t>
      </w:r>
      <w:r>
        <w:rPr>
          <w:b w:val="0"/>
          <w:i w:val="0"/>
        </w:rPr>
        <w:t>Allocation record: imaging dates against submit dates for every request and extension, with the named coordinator's sign-off.</w:t>
      </w:r>
    </w:p>
    <w:p>
      <w:pPr>
        <w:pStyle w:val="Heading3"/>
        <w:keepNext/>
        <w:spacing w:before="120" w:after="80"/>
      </w:pPr>
      <w:r>
        <w:rPr>
          <w:b w:val="0"/>
          <w:i w:val="0"/>
        </w:rPr>
        <w:t>NELM-D14 — group decision</w:t>
      </w:r>
    </w:p>
    <w:p>
      <w:pPr>
        <w:spacing w:after="0"/>
      </w:pPr>
      <w:r>
        <w:rPr>
          <w:b/>
          <w:i w:val="0"/>
        </w:rPr>
        <w:t xml:space="preserve">Accepted position (or alternative chosen): </w:t>
      </w:r>
    </w:p>
    <w:p>
      <w:pPr>
        <w:spacing w:after="200"/>
        <w:pBdr>
          <w:bottom w:val="single" w:sz="6" w:space="1" w:color="9AA8B4"/>
        </w:pBdr>
      </w:pPr>
    </w:p>
    <w:p>
      <w:pPr>
        <w:spacing w:after="0"/>
      </w:pPr>
      <w:r>
        <w:rPr>
          <w:b/>
          <w:i w:val="0"/>
        </w:rPr>
        <w:t xml:space="preserve">Rationale, dissent and exceptions: </w:t>
      </w:r>
    </w:p>
    <w:p>
      <w:pPr>
        <w:spacing w:after="200"/>
        <w:pBdr>
          <w:bottom w:val="single" w:sz="6" w:space="1" w:color="9AA8B4"/>
        </w:pBdr>
      </w:pPr>
    </w:p>
    <w:p>
      <w:pPr>
        <w:spacing w:after="0"/>
      </w:pPr>
      <w:r>
        <w:rPr>
          <w:b/>
          <w:i w:val="0"/>
        </w:rPr>
        <w:t xml:space="preserve">Owner · approval date · implementation date: </w:t>
      </w:r>
    </w:p>
    <w:p>
      <w:pPr>
        <w:spacing w:after="200"/>
        <w:pBdr>
          <w:bottom w:val="single" w:sz="6" w:space="1" w:color="9AA8B4"/>
        </w:pBdr>
      </w:pPr>
    </w:p>
    <w:p>
      <w:pPr>
        <w:pStyle w:val="Heading1"/>
        <w:keepNext/>
        <w:spacing w:before="280" w:after="80"/>
      </w:pPr>
      <w:r>
        <w:rPr>
          <w:b w:val="0"/>
          <w:i w:val="0"/>
        </w:rPr>
        <w:t>Part 2. Standard transplant pathway</w:t>
      </w:r>
    </w:p>
    <w:p>
      <w:pPr>
        <w:spacing w:after="80"/>
      </w:pPr>
      <w:r>
        <w:rPr>
          <w:b w:val="0"/>
          <w:i w:val="0"/>
          <w:color w:val="5A6069"/>
          <w:sz w:val="18"/>
        </w:rPr>
        <w:t>Web page: https://drliuhao.github.io/mh-liver-pathways/transplant/nelm/#meeting</w:t>
      </w:r>
    </w:p>
    <w:p>
      <w:pPr>
        <w:pStyle w:val="Heading2"/>
        <w:keepNext/>
        <w:spacing w:before="200" w:after="80"/>
      </w:pPr>
      <w:r>
        <w:rPr>
          <w:b w:val="0"/>
          <w:i w:val="0"/>
        </w:rPr>
        <w:t>NELM G1 — How should discordant grade, Ki-67 or an unusual primary be handled?</w:t>
      </w:r>
    </w:p>
    <w:p>
      <w:pPr>
        <w:spacing w:after="80"/>
      </w:pPr>
      <w:r>
        <w:rPr>
          <w:b w:val="0"/>
          <w:i w:val="0"/>
          <w:color w:val="5A6069"/>
          <w:sz w:val="18"/>
        </w:rPr>
        <w:t>Discussion required — not yet approved · Standard pathway</w:t>
      </w:r>
    </w:p>
    <w:p>
      <w:pPr>
        <w:spacing w:after="80"/>
      </w:pPr>
      <w:r>
        <w:rPr>
          <w:b/>
          <w:i w:val="0"/>
        </w:rPr>
        <w:t xml:space="preserve">Where it is decided: </w:t>
      </w:r>
      <w:hyperlink r:id="rId32">
        <w:r>
          <w:rPr>
            <w:color w:val="0563C1"/>
            <w:u w:val="single"/>
          </w:rPr>
          <w:t xml:space="preserve">Confirm differentiation and grade</w:t>
        </w:r>
      </w:hyperlink>
    </w:p>
    <w:p>
      <w:pPr>
        <w:spacing w:after="120"/>
      </w:pPr>
      <w:r>
        <w:rPr>
          <w:b/>
          <w:i w:val="0"/>
          <w:sz w:val="18"/>
        </w:rPr>
        <w:t xml:space="preserve">Web page: </w:t>
      </w:r>
      <w:hyperlink r:id="rId33">
        <w:r>
          <w:rPr>
            <w:color w:val="0563C1"/>
            <w:u w:val="single"/>
            <w:sz w:val="18"/>
          </w:rPr>
          <w:t xml:space="preserve">open this question on the website</w:t>
        </w:r>
      </w:hyperlink>
    </w:p>
    <w:p>
      <w:pPr>
        <w:pStyle w:val="Heading3"/>
        <w:keepNext/>
        <w:spacing w:before="120" w:after="80"/>
      </w:pPr>
      <w:r>
        <w:rPr>
          <w:b w:val="0"/>
          <w:i w:val="0"/>
        </w:rPr>
        <w:t>Positions of guidelines, trials and papers</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200"/>
        <w:gridCol w:w="5480"/>
        <w:gridCol w:w="2400"/>
      </w:tblGrid>
      <w:tr>
        <w:trPr>
          <w:tblHeader/>
        </w:trPr>
        <w:tc>
          <w:tcPr>
            <w:tcW w:type="dxa" w:w="3360"/>
            <w:tcW w:w="2200" w:type="dxa"/>
            <w:shd w:val="clear" w:color="auto" w:fill="17365D"/>
          </w:tcPr>
          <w:p>
            <w:r>
              <w:rPr>
                <w:b/>
                <w:i w:val="0"/>
                <w:color w:val="FFFFFF"/>
                <w:sz w:val="19"/>
              </w:rPr>
              <w:t>Source</w:t>
            </w:r>
          </w:p>
        </w:tc>
        <w:tc>
          <w:tcPr>
            <w:tcW w:type="dxa" w:w="3360"/>
            <w:tcW w:w="5480" w:type="dxa"/>
            <w:shd w:val="clear" w:color="auto" w:fill="17365D"/>
          </w:tcPr>
          <w:p>
            <w:r>
              <w:rPr>
                <w:b/>
                <w:i w:val="0"/>
                <w:color w:val="FFFFFF"/>
                <w:sz w:val="19"/>
              </w:rPr>
              <w:t>Position</w:t>
            </w:r>
          </w:p>
        </w:tc>
        <w:tc>
          <w:tcPr>
            <w:tcW w:type="dxa" w:w="3360"/>
            <w:tcW w:w="2400" w:type="dxa"/>
            <w:shd w:val="clear" w:color="auto" w:fill="17365D"/>
          </w:tcPr>
          <w:p>
            <w:r>
              <w:rPr>
                <w:b/>
                <w:i w:val="0"/>
                <w:color w:val="FFFFFF"/>
                <w:sz w:val="19"/>
              </w:rPr>
              <w:t>Where stated</w:t>
            </w:r>
          </w:p>
        </w:tc>
      </w:tr>
      <w:tr>
        <w:trPr>
          <w:cantSplit/>
        </w:trPr>
        <w:tc>
          <w:tcPr>
            <w:tcW w:type="dxa" w:w="3360"/>
            <w:tcW w:w="2200" w:type="dxa"/>
            <w:shd w:val="clear" w:color="auto" w:fill="F1F5F8"/>
          </w:tcPr>
          <w:p>
            <w:pPr>
              <w:spacing w:after="0"/>
            </w:pPr>
            <w:r>
              <w:rPr>
                <w:b/>
                <w:i w:val="0"/>
                <w:sz w:val="19"/>
              </w:rPr>
              <w:t>NLRB · NET</w:t>
            </w:r>
          </w:p>
        </w:tc>
        <w:tc>
          <w:tcPr>
            <w:tcW w:type="dxa" w:w="3360"/>
            <w:tcW w:w="5480" w:type="dxa"/>
            <w:shd w:val="clear" w:color="auto" w:fill="F1F5F8"/>
          </w:tcPr>
          <w:p>
            <w:pPr>
              <w:spacing w:after="0"/>
            </w:pPr>
            <w:r>
              <w:rPr>
                <w:b w:val="0"/>
                <w:i w:val="0"/>
                <w:sz w:val="19"/>
              </w:rPr>
              <w:t>“mitotic rate less than 20 per 10 HPF and index less than 20%”</w:t>
            </w:r>
          </w:p>
        </w:tc>
        <w:tc>
          <w:tcPr>
            <w:tcW w:type="dxa" w:w="3360"/>
            <w:tcW w:w="2400" w:type="dxa"/>
            <w:shd w:val="clear" w:color="auto" w:fill="F1F5F8"/>
          </w:tcPr>
          <w:p>
            <w:pPr>
              <w:spacing w:after="0"/>
            </w:pPr>
            <w:r>
              <w:rPr>
                <w:b w:val="0"/>
                <w:i w:val="0"/>
                <w:color w:val="5A6069"/>
                <w:sz w:val="18"/>
              </w:rPr>
              <w:t>NET selection criterion 3</w:t>
            </w:r>
          </w:p>
        </w:tc>
      </w:tr>
      <w:tr>
        <w:trPr>
          <w:cantSplit/>
        </w:trPr>
        <w:tc>
          <w:tcPr>
            <w:tcW w:type="dxa" w:w="3360"/>
            <w:tcW w:w="2200" w:type="dxa"/>
            <w:shd w:val="clear" w:color="auto" w:fill="FFFFFF"/>
          </w:tcPr>
          <w:p>
            <w:pPr>
              <w:spacing w:after="0"/>
            </w:pPr>
            <w:r>
              <w:rPr>
                <w:b/>
                <w:i w:val="0"/>
                <w:sz w:val="19"/>
              </w:rPr>
              <w:t>Milan-NET · cohort</w:t>
            </w:r>
          </w:p>
        </w:tc>
        <w:tc>
          <w:tcPr>
            <w:tcW w:type="dxa" w:w="3360"/>
            <w:tcW w:w="5480" w:type="dxa"/>
            <w:shd w:val="clear" w:color="auto" w:fill="FFFFFF"/>
          </w:tcPr>
          <w:p>
            <w:pPr>
              <w:spacing w:after="0"/>
            </w:pPr>
            <w:r>
              <w:rPr>
                <w:b w:val="0"/>
                <w:i w:val="0"/>
                <w:sz w:val="19"/>
              </w:rPr>
              <w:t>“Confirmed histology of low-grade (G1-G2) NET”</w:t>
            </w:r>
          </w:p>
        </w:tc>
        <w:tc>
          <w:tcPr>
            <w:tcW w:type="dxa" w:w="3360"/>
            <w:tcW w:w="2400" w:type="dxa"/>
            <w:shd w:val="clear" w:color="auto" w:fill="FFFFFF"/>
          </w:tcPr>
          <w:p>
            <w:pPr>
              <w:spacing w:after="0"/>
            </w:pPr>
            <w:r>
              <w:rPr>
                <w:b w:val="0"/>
                <w:i w:val="0"/>
                <w:color w:val="5A6069"/>
                <w:sz w:val="18"/>
              </w:rPr>
              <w:t>Table 1</w:t>
            </w:r>
          </w:p>
        </w:tc>
      </w:tr>
    </w:tbl>
    <w:p>
      <w:pPr>
        <w:spacing w:after="40"/>
      </w:pPr>
    </w:p>
    <w:p>
      <w:pPr>
        <w:pStyle w:val="Heading3"/>
        <w:keepNext/>
        <w:spacing w:before="120" w:after="80"/>
      </w:pPr>
      <w:r>
        <w:rPr>
          <w:b w:val="0"/>
          <w:i w:val="0"/>
        </w:rPr>
        <w:t>Our proposed selection (OPEN)</w:t>
      </w:r>
    </w:p>
    <w:p>
      <w:pPr>
        <w:spacing w:after="80"/>
      </w:pPr>
      <w:r>
        <w:rPr>
          <w:b w:val="0"/>
          <w:i w:val="0"/>
        </w:rPr>
        <w:t>Obtain expert pathology review and reconcile discordant samples/units. Do not carry a historical G1 label forward if current biology suggests G3 or NEC.</w:t>
      </w:r>
    </w:p>
    <w:p>
      <w:pPr>
        <w:spacing w:after="80"/>
      </w:pPr>
      <w:r>
        <w:rPr>
          <w:b/>
          <w:i w:val="0"/>
        </w:rPr>
        <w:t xml:space="preserve">Why: </w:t>
      </w:r>
      <w:r>
        <w:rPr>
          <w:b w:val="0"/>
          <w:i w:val="0"/>
        </w:rPr>
        <w:t>Tumor grade affects transplant selection as well as prognosis.</w:t>
      </w:r>
    </w:p>
    <w:p>
      <w:pPr>
        <w:spacing w:after="80"/>
      </w:pPr>
      <w:r>
        <w:rPr>
          <w:b/>
          <w:i w:val="0"/>
        </w:rPr>
        <w:t xml:space="preserve">Owners: </w:t>
      </w:r>
      <w:r>
        <w:rPr>
          <w:b w:val="0"/>
          <w:i w:val="0"/>
        </w:rPr>
        <w:t>NET pathology · oncology</w:t>
      </w:r>
    </w:p>
    <w:p>
      <w:pPr>
        <w:pStyle w:val="Heading3"/>
        <w:keepNext/>
        <w:spacing w:before="120" w:after="80"/>
      </w:pPr>
      <w:r>
        <w:rPr>
          <w:b w:val="0"/>
          <w:i w:val="0"/>
        </w:rPr>
        <w:t>NELM G1 — group decision</w:t>
      </w:r>
    </w:p>
    <w:p>
      <w:pPr>
        <w:spacing w:after="0"/>
      </w:pPr>
      <w:r>
        <w:rPr>
          <w:b/>
          <w:i w:val="0"/>
        </w:rPr>
        <w:t xml:space="preserve">Accepted position (or alternative chosen): </w:t>
      </w:r>
    </w:p>
    <w:p>
      <w:pPr>
        <w:spacing w:after="200"/>
        <w:pBdr>
          <w:bottom w:val="single" w:sz="6" w:space="1" w:color="9AA8B4"/>
        </w:pBdr>
      </w:pPr>
    </w:p>
    <w:p>
      <w:pPr>
        <w:spacing w:after="0"/>
      </w:pPr>
      <w:r>
        <w:rPr>
          <w:b/>
          <w:i w:val="0"/>
        </w:rPr>
        <w:t xml:space="preserve">Rationale, dissent and exceptions: </w:t>
      </w:r>
    </w:p>
    <w:p>
      <w:pPr>
        <w:spacing w:after="200"/>
        <w:pBdr>
          <w:bottom w:val="single" w:sz="6" w:space="1" w:color="9AA8B4"/>
        </w:pBdr>
      </w:pPr>
    </w:p>
    <w:p>
      <w:pPr>
        <w:spacing w:after="0"/>
      </w:pPr>
      <w:r>
        <w:rPr>
          <w:b/>
          <w:i w:val="0"/>
        </w:rPr>
        <w:t xml:space="preserve">Owner · approval date · implementation date: </w:t>
      </w:r>
    </w:p>
    <w:p>
      <w:pPr>
        <w:spacing w:after="200"/>
        <w:pBdr>
          <w:bottom w:val="single" w:sz="6" w:space="1" w:color="9AA8B4"/>
        </w:pBdr>
      </w:pPr>
    </w:p>
    <w:p>
      <w:pPr>
        <w:pStyle w:val="Heading2"/>
        <w:keepNext/>
        <w:spacing w:before="200" w:after="80"/>
      </w:pPr>
      <w:r>
        <w:rPr>
          <w:b w:val="0"/>
          <w:i w:val="0"/>
        </w:rPr>
        <w:t>NELM G2 / G5 — Can prior nodal disease be distinguished from active or solid-organ metastasis?</w:t>
      </w:r>
    </w:p>
    <w:p>
      <w:pPr>
        <w:spacing w:after="80"/>
      </w:pPr>
      <w:r>
        <w:rPr>
          <w:b w:val="0"/>
          <w:i w:val="0"/>
          <w:color w:val="5A6069"/>
          <w:sz w:val="18"/>
        </w:rPr>
        <w:t>Discussion required — not yet approved · Standard pathway</w:t>
      </w:r>
    </w:p>
    <w:p>
      <w:pPr>
        <w:spacing w:after="80"/>
      </w:pPr>
      <w:r>
        <w:rPr>
          <w:b/>
          <w:i w:val="0"/>
        </w:rPr>
        <w:t xml:space="preserve">Where it is decided: </w:t>
      </w:r>
      <w:hyperlink r:id="rId34">
        <w:r>
          <w:rPr>
            <w:color w:val="0563C1"/>
            <w:u w:val="single"/>
          </w:rPr>
          <w:t xml:space="preserve">Stage disease and confirm primary treatment</w:t>
        </w:r>
      </w:hyperlink>
      <w:r>
        <w:rPr>
          <w:b w:val="0"/>
          <w:i w:val="0"/>
        </w:rPr>
        <w:t xml:space="preserve"> · </w:t>
      </w:r>
      <w:hyperlink r:id="rId35">
        <w:r>
          <w:rPr>
            <w:color w:val="0563C1"/>
            <w:u w:val="single"/>
          </w:rPr>
          <w:t xml:space="preserve">Verify disease control</w:t>
        </w:r>
      </w:hyperlink>
    </w:p>
    <w:p>
      <w:pPr>
        <w:spacing w:after="120"/>
      </w:pPr>
      <w:r>
        <w:rPr>
          <w:b/>
          <w:i w:val="0"/>
          <w:sz w:val="18"/>
        </w:rPr>
        <w:t xml:space="preserve">Web page: </w:t>
      </w:r>
      <w:hyperlink r:id="rId36">
        <w:r>
          <w:rPr>
            <w:color w:val="0563C1"/>
            <w:u w:val="single"/>
            <w:sz w:val="18"/>
          </w:rPr>
          <w:t xml:space="preserve">open this question on the website</w:t>
        </w:r>
      </w:hyperlink>
    </w:p>
    <w:p>
      <w:pPr>
        <w:pStyle w:val="Heading3"/>
        <w:keepNext/>
        <w:spacing w:before="120" w:after="80"/>
      </w:pPr>
      <w:r>
        <w:rPr>
          <w:b w:val="0"/>
          <w:i w:val="0"/>
        </w:rPr>
        <w:t>Positions of guidelines, trials and papers</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200"/>
        <w:gridCol w:w="5480"/>
        <w:gridCol w:w="2400"/>
      </w:tblGrid>
      <w:tr>
        <w:trPr>
          <w:tblHeader/>
        </w:trPr>
        <w:tc>
          <w:tcPr>
            <w:tcW w:type="dxa" w:w="3360"/>
            <w:tcW w:w="2200" w:type="dxa"/>
            <w:shd w:val="clear" w:color="auto" w:fill="17365D"/>
          </w:tcPr>
          <w:p>
            <w:r>
              <w:rPr>
                <w:b/>
                <w:i w:val="0"/>
                <w:color w:val="FFFFFF"/>
                <w:sz w:val="19"/>
              </w:rPr>
              <w:t>Source</w:t>
            </w:r>
          </w:p>
        </w:tc>
        <w:tc>
          <w:tcPr>
            <w:tcW w:type="dxa" w:w="3360"/>
            <w:tcW w:w="5480" w:type="dxa"/>
            <w:shd w:val="clear" w:color="auto" w:fill="17365D"/>
          </w:tcPr>
          <w:p>
            <w:r>
              <w:rPr>
                <w:b/>
                <w:i w:val="0"/>
                <w:color w:val="FFFFFF"/>
                <w:sz w:val="19"/>
              </w:rPr>
              <w:t>Position</w:t>
            </w:r>
          </w:p>
        </w:tc>
        <w:tc>
          <w:tcPr>
            <w:tcW w:type="dxa" w:w="3360"/>
            <w:tcW w:w="2400" w:type="dxa"/>
            <w:shd w:val="clear" w:color="auto" w:fill="17365D"/>
          </w:tcPr>
          <w:p>
            <w:r>
              <w:rPr>
                <w:b/>
                <w:i w:val="0"/>
                <w:color w:val="FFFFFF"/>
                <w:sz w:val="19"/>
              </w:rPr>
              <w:t>Where stated</w:t>
            </w:r>
          </w:p>
        </w:tc>
      </w:tr>
      <w:tr>
        <w:trPr>
          <w:cantSplit/>
        </w:trPr>
        <w:tc>
          <w:tcPr>
            <w:tcW w:type="dxa" w:w="3360"/>
            <w:tcW w:w="2200" w:type="dxa"/>
            <w:shd w:val="clear" w:color="auto" w:fill="F1F5F8"/>
          </w:tcPr>
          <w:p>
            <w:pPr>
              <w:spacing w:after="0"/>
            </w:pPr>
            <w:r>
              <w:rPr>
                <w:b/>
                <w:i w:val="0"/>
                <w:sz w:val="19"/>
              </w:rPr>
              <w:t>NLRB · NET</w:t>
            </w:r>
          </w:p>
        </w:tc>
        <w:tc>
          <w:tcPr>
            <w:tcW w:type="dxa" w:w="3360"/>
            <w:tcW w:w="5480" w:type="dxa"/>
            <w:shd w:val="clear" w:color="auto" w:fill="F1F5F8"/>
          </w:tcPr>
          <w:p>
            <w:pPr>
              <w:spacing w:after="0"/>
            </w:pPr>
            <w:r>
              <w:rPr>
                <w:b w:val="0"/>
                <w:i w:val="0"/>
                <w:sz w:val="19"/>
              </w:rPr>
              <w:t>“lymph-nodal Ga68 positive locations”</w:t>
            </w:r>
          </w:p>
        </w:tc>
        <w:tc>
          <w:tcPr>
            <w:tcW w:type="dxa" w:w="3360"/>
            <w:tcW w:w="2400" w:type="dxa"/>
            <w:shd w:val="clear" w:color="auto" w:fill="F1F5F8"/>
          </w:tcPr>
          <w:p>
            <w:pPr>
              <w:spacing w:after="0"/>
            </w:pPr>
            <w:r>
              <w:rPr>
                <w:b w:val="0"/>
                <w:i w:val="0"/>
                <w:color w:val="5A6069"/>
                <w:sz w:val="18"/>
              </w:rPr>
              <w:t>Example of extrahepatic progression</w:t>
            </w:r>
          </w:p>
        </w:tc>
      </w:tr>
      <w:tr>
        <w:trPr>
          <w:cantSplit/>
        </w:trPr>
        <w:tc>
          <w:tcPr>
            <w:tcW w:type="dxa" w:w="3360"/>
            <w:tcW w:w="2200" w:type="dxa"/>
            <w:shd w:val="clear" w:color="auto" w:fill="FFFFFF"/>
          </w:tcPr>
          <w:p>
            <w:pPr>
              <w:spacing w:after="0"/>
            </w:pPr>
            <w:r>
              <w:rPr>
                <w:b/>
                <w:i w:val="0"/>
                <w:sz w:val="19"/>
              </w:rPr>
              <w:t>NLRB · NET</w:t>
            </w:r>
          </w:p>
        </w:tc>
        <w:tc>
          <w:tcPr>
            <w:tcW w:type="dxa" w:w="3360"/>
            <w:tcW w:w="5480" w:type="dxa"/>
            <w:shd w:val="clear" w:color="auto" w:fill="FFFFFF"/>
          </w:tcPr>
          <w:p>
            <w:pPr>
              <w:spacing w:after="0"/>
            </w:pPr>
            <w:r>
              <w:rPr>
                <w:b w:val="0"/>
                <w:i w:val="0"/>
                <w:sz w:val="19"/>
              </w:rPr>
              <w:t>“zeroed and remained so for at least 6 months”</w:t>
            </w:r>
          </w:p>
        </w:tc>
        <w:tc>
          <w:tcPr>
            <w:tcW w:type="dxa" w:w="3360"/>
            <w:tcW w:w="2400" w:type="dxa"/>
            <w:shd w:val="clear" w:color="auto" w:fill="FFFFFF"/>
          </w:tcPr>
          <w:p>
            <w:pPr>
              <w:spacing w:after="0"/>
            </w:pPr>
            <w:r>
              <w:rPr>
                <w:b w:val="0"/>
                <w:i w:val="0"/>
                <w:color w:val="5A6069"/>
                <w:sz w:val="18"/>
              </w:rPr>
              <w:t>Reconsideration wording</w:t>
            </w:r>
          </w:p>
        </w:tc>
      </w:tr>
      <w:tr>
        <w:trPr>
          <w:cantSplit/>
        </w:trPr>
        <w:tc>
          <w:tcPr>
            <w:tcW w:type="dxa" w:w="3360"/>
            <w:tcW w:w="2200" w:type="dxa"/>
            <w:shd w:val="clear" w:color="auto" w:fill="F1F5F8"/>
          </w:tcPr>
          <w:p>
            <w:pPr>
              <w:spacing w:after="0"/>
            </w:pPr>
            <w:r>
              <w:rPr>
                <w:b/>
                <w:i w:val="0"/>
                <w:sz w:val="19"/>
              </w:rPr>
              <w:t>NLRB · NET</w:t>
            </w:r>
          </w:p>
        </w:tc>
        <w:tc>
          <w:tcPr>
            <w:tcW w:type="dxa" w:w="3360"/>
            <w:tcW w:w="5480" w:type="dxa"/>
            <w:shd w:val="clear" w:color="auto" w:fill="F1F5F8"/>
          </w:tcPr>
          <w:p>
            <w:pPr>
              <w:spacing w:after="0"/>
            </w:pPr>
            <w:r>
              <w:rPr>
                <w:b w:val="0"/>
                <w:i w:val="0"/>
                <w:sz w:val="19"/>
              </w:rPr>
              <w:t>“Presence of extra-hepatic solid organ metastases (i.e. lungs, bones) should be a permanent exclusion.”</w:t>
            </w:r>
          </w:p>
        </w:tc>
        <w:tc>
          <w:tcPr>
            <w:tcW w:type="dxa" w:w="3360"/>
            <w:tcW w:w="2400" w:type="dxa"/>
            <w:shd w:val="clear" w:color="auto" w:fill="F1F5F8"/>
          </w:tcPr>
          <w:p>
            <w:pPr>
              <w:spacing w:after="0"/>
            </w:pPr>
            <w:r>
              <w:rPr>
                <w:b w:val="0"/>
                <w:i w:val="0"/>
                <w:color w:val="5A6069"/>
                <w:sz w:val="18"/>
              </w:rPr>
              <w:t>NET exclusions</w:t>
            </w:r>
          </w:p>
        </w:tc>
      </w:tr>
    </w:tbl>
    <w:p>
      <w:pPr>
        <w:spacing w:after="40"/>
      </w:pPr>
    </w:p>
    <w:p>
      <w:pPr>
        <w:pStyle w:val="Heading3"/>
        <w:keepNext/>
        <w:spacing w:before="120" w:after="80"/>
      </w:pPr>
      <w:r>
        <w:rPr>
          <w:b w:val="0"/>
          <w:i w:val="0"/>
        </w:rPr>
        <w:t>Our proposed selection (OPEN)</w:t>
      </w:r>
    </w:p>
    <w:p>
      <w:pPr>
        <w:spacing w:after="80"/>
      </w:pPr>
      <w:r>
        <w:rPr>
          <w:b w:val="0"/>
          <w:i w:val="0"/>
        </w:rPr>
        <w:t>Document treatment of previously involved nodes and the recurrence-free interval separately from current staging. Active nodal disease prevents transplant listing under this approach; treated nodes may be reconsidered under NLRB guidance. Lung or bone metastases remain a separate exclusion.</w:t>
      </w:r>
    </w:p>
    <w:p>
      <w:pPr>
        <w:spacing w:after="80"/>
      </w:pPr>
      <w:r>
        <w:rPr>
          <w:b/>
          <w:i w:val="0"/>
        </w:rPr>
        <w:t xml:space="preserve">Why: </w:t>
      </w:r>
      <w:r>
        <w:rPr>
          <w:b w:val="0"/>
          <w:i w:val="0"/>
        </w:rPr>
        <w:t>Prior nodal disease that has been removed is assessed differently from active nodal metastasis when considering NET transplantation.</w:t>
      </w:r>
    </w:p>
    <w:p>
      <w:pPr>
        <w:spacing w:after="80"/>
      </w:pPr>
      <w:r>
        <w:rPr>
          <w:b/>
          <w:i w:val="0"/>
        </w:rPr>
        <w:t xml:space="preserve">Owners: </w:t>
      </w:r>
      <w:r>
        <w:rPr>
          <w:b w:val="0"/>
          <w:i w:val="0"/>
        </w:rPr>
        <w:t>NET MDT · nuclear medicine · transplant surgery</w:t>
      </w:r>
    </w:p>
    <w:p>
      <w:pPr>
        <w:pStyle w:val="Heading3"/>
        <w:keepNext/>
        <w:spacing w:before="120" w:after="80"/>
      </w:pPr>
      <w:r>
        <w:rPr>
          <w:b w:val="0"/>
          <w:i w:val="0"/>
        </w:rPr>
        <w:t>NELM G2 / G5 — group decision</w:t>
      </w:r>
    </w:p>
    <w:p>
      <w:pPr>
        <w:spacing w:after="0"/>
      </w:pPr>
      <w:r>
        <w:rPr>
          <w:b/>
          <w:i w:val="0"/>
        </w:rPr>
        <w:t xml:space="preserve">Accepted position (or alternative chosen): </w:t>
      </w:r>
    </w:p>
    <w:p>
      <w:pPr>
        <w:spacing w:after="200"/>
        <w:pBdr>
          <w:bottom w:val="single" w:sz="6" w:space="1" w:color="9AA8B4"/>
        </w:pBdr>
      </w:pPr>
    </w:p>
    <w:p>
      <w:pPr>
        <w:spacing w:after="0"/>
      </w:pPr>
      <w:r>
        <w:rPr>
          <w:b/>
          <w:i w:val="0"/>
        </w:rPr>
        <w:t xml:space="preserve">Rationale, dissent and exceptions: </w:t>
      </w:r>
    </w:p>
    <w:p>
      <w:pPr>
        <w:spacing w:after="200"/>
        <w:pBdr>
          <w:bottom w:val="single" w:sz="6" w:space="1" w:color="9AA8B4"/>
        </w:pBdr>
      </w:pPr>
    </w:p>
    <w:p>
      <w:pPr>
        <w:spacing w:after="0"/>
      </w:pPr>
      <w:r>
        <w:rPr>
          <w:b/>
          <w:i w:val="0"/>
        </w:rPr>
        <w:t xml:space="preserve">Owner · approval date · implementation date: </w:t>
      </w:r>
    </w:p>
    <w:p>
      <w:pPr>
        <w:spacing w:after="200"/>
        <w:pBdr>
          <w:bottom w:val="single" w:sz="6" w:space="1" w:color="9AA8B4"/>
        </w:pBdr>
      </w:pPr>
    </w:p>
    <w:p>
      <w:pPr>
        <w:pStyle w:val="Heading2"/>
        <w:keepNext/>
        <w:spacing w:before="200" w:after="80"/>
      </w:pPr>
      <w:r>
        <w:rPr>
          <w:b w:val="0"/>
          <w:i w:val="0"/>
        </w:rPr>
        <w:t>NELM G3 / G5 — Will our local program use Milan-NET age and liver-volume restrictions?</w:t>
      </w:r>
    </w:p>
    <w:p>
      <w:pPr>
        <w:spacing w:after="80"/>
      </w:pPr>
      <w:r>
        <w:rPr>
          <w:b w:val="0"/>
          <w:i w:val="0"/>
          <w:color w:val="5A6069"/>
          <w:sz w:val="18"/>
        </w:rPr>
        <w:t>Discussion required — not yet approved · Standard pathway</w:t>
      </w:r>
    </w:p>
    <w:p>
      <w:pPr>
        <w:spacing w:after="80"/>
      </w:pPr>
      <w:r>
        <w:rPr>
          <w:b/>
          <w:i w:val="0"/>
        </w:rPr>
        <w:t xml:space="preserve">Where it is decided: </w:t>
      </w:r>
      <w:hyperlink r:id="rId37">
        <w:r>
          <w:rPr>
            <w:color w:val="0563C1"/>
            <w:u w:val="single"/>
          </w:rPr>
          <w:t xml:space="preserve">Compare treatment options</w:t>
        </w:r>
      </w:hyperlink>
      <w:r>
        <w:rPr>
          <w:b w:val="0"/>
          <w:i w:val="0"/>
        </w:rPr>
        <w:t xml:space="preserve"> · </w:t>
      </w:r>
      <w:hyperlink r:id="rId38">
        <w:r>
          <w:rPr>
            <w:color w:val="0563C1"/>
            <w:u w:val="single"/>
          </w:rPr>
          <w:t xml:space="preserve">Request and renew the MELD exception</w:t>
        </w:r>
      </w:hyperlink>
    </w:p>
    <w:p>
      <w:pPr>
        <w:spacing w:after="120"/>
      </w:pPr>
      <w:r>
        <w:rPr>
          <w:b/>
          <w:i w:val="0"/>
          <w:sz w:val="18"/>
        </w:rPr>
        <w:t xml:space="preserve">Web page: </w:t>
      </w:r>
      <w:hyperlink r:id="rId39">
        <w:r>
          <w:rPr>
            <w:color w:val="0563C1"/>
            <w:u w:val="single"/>
            <w:sz w:val="18"/>
          </w:rPr>
          <w:t xml:space="preserve">open this question on the website</w:t>
        </w:r>
      </w:hyperlink>
    </w:p>
    <w:p>
      <w:pPr>
        <w:pStyle w:val="Heading3"/>
        <w:keepNext/>
        <w:spacing w:before="120" w:after="80"/>
      </w:pPr>
      <w:r>
        <w:rPr>
          <w:b w:val="0"/>
          <w:i w:val="0"/>
        </w:rPr>
        <w:t>Positions of guidelines, trials and papers</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200"/>
        <w:gridCol w:w="5480"/>
        <w:gridCol w:w="2400"/>
      </w:tblGrid>
      <w:tr>
        <w:trPr>
          <w:tblHeader/>
        </w:trPr>
        <w:tc>
          <w:tcPr>
            <w:tcW w:type="dxa" w:w="3360"/>
            <w:tcW w:w="2200" w:type="dxa"/>
            <w:shd w:val="clear" w:color="auto" w:fill="17365D"/>
          </w:tcPr>
          <w:p>
            <w:r>
              <w:rPr>
                <w:b/>
                <w:i w:val="0"/>
                <w:color w:val="FFFFFF"/>
                <w:sz w:val="19"/>
              </w:rPr>
              <w:t>Source</w:t>
            </w:r>
          </w:p>
        </w:tc>
        <w:tc>
          <w:tcPr>
            <w:tcW w:type="dxa" w:w="3360"/>
            <w:tcW w:w="5480" w:type="dxa"/>
            <w:shd w:val="clear" w:color="auto" w:fill="17365D"/>
          </w:tcPr>
          <w:p>
            <w:r>
              <w:rPr>
                <w:b/>
                <w:i w:val="0"/>
                <w:color w:val="FFFFFF"/>
                <w:sz w:val="19"/>
              </w:rPr>
              <w:t>Position</w:t>
            </w:r>
          </w:p>
        </w:tc>
        <w:tc>
          <w:tcPr>
            <w:tcW w:type="dxa" w:w="3360"/>
            <w:tcW w:w="2400" w:type="dxa"/>
            <w:shd w:val="clear" w:color="auto" w:fill="17365D"/>
          </w:tcPr>
          <w:p>
            <w:r>
              <w:rPr>
                <w:b/>
                <w:i w:val="0"/>
                <w:color w:val="FFFFFF"/>
                <w:sz w:val="19"/>
              </w:rPr>
              <w:t>Where stated</w:t>
            </w:r>
          </w:p>
        </w:tc>
      </w:tr>
      <w:tr>
        <w:trPr>
          <w:cantSplit/>
        </w:trPr>
        <w:tc>
          <w:tcPr>
            <w:tcW w:type="dxa" w:w="3360"/>
            <w:tcW w:w="2200" w:type="dxa"/>
            <w:shd w:val="clear" w:color="auto" w:fill="F1F5F8"/>
          </w:tcPr>
          <w:p>
            <w:pPr>
              <w:spacing w:after="0"/>
            </w:pPr>
            <w:r>
              <w:rPr>
                <w:b/>
                <w:i w:val="0"/>
                <w:sz w:val="19"/>
              </w:rPr>
              <w:t>Milan-NET · cohort</w:t>
            </w:r>
          </w:p>
        </w:tc>
        <w:tc>
          <w:tcPr>
            <w:tcW w:type="dxa" w:w="3360"/>
            <w:tcW w:w="5480" w:type="dxa"/>
            <w:shd w:val="clear" w:color="auto" w:fill="F1F5F8"/>
          </w:tcPr>
          <w:p>
            <w:pPr>
              <w:spacing w:after="0"/>
            </w:pPr>
            <w:r>
              <w:rPr>
                <w:b w:val="0"/>
                <w:i w:val="0"/>
                <w:sz w:val="19"/>
              </w:rPr>
              <w:t>“Metastatic diffusion to &lt;50% of the total liver volume”</w:t>
            </w:r>
          </w:p>
        </w:tc>
        <w:tc>
          <w:tcPr>
            <w:tcW w:type="dxa" w:w="3360"/>
            <w:tcW w:w="2400" w:type="dxa"/>
            <w:shd w:val="clear" w:color="auto" w:fill="F1F5F8"/>
          </w:tcPr>
          <w:p>
            <w:pPr>
              <w:spacing w:after="0"/>
            </w:pPr>
            <w:r>
              <w:rPr>
                <w:b w:val="0"/>
                <w:i w:val="0"/>
                <w:color w:val="5A6069"/>
                <w:sz w:val="18"/>
              </w:rPr>
              <w:t>Table 1</w:t>
            </w:r>
          </w:p>
        </w:tc>
      </w:tr>
      <w:tr>
        <w:trPr>
          <w:cantSplit/>
        </w:trPr>
        <w:tc>
          <w:tcPr>
            <w:tcW w:type="dxa" w:w="3360"/>
            <w:tcW w:w="2200" w:type="dxa"/>
            <w:shd w:val="clear" w:color="auto" w:fill="FFFFFF"/>
          </w:tcPr>
          <w:p>
            <w:pPr>
              <w:spacing w:after="0"/>
            </w:pPr>
            <w:r>
              <w:rPr>
                <w:b/>
                <w:i w:val="0"/>
                <w:sz w:val="19"/>
              </w:rPr>
              <w:t>Milan-NET · cohort</w:t>
            </w:r>
          </w:p>
        </w:tc>
        <w:tc>
          <w:tcPr>
            <w:tcW w:type="dxa" w:w="3360"/>
            <w:tcW w:w="5480" w:type="dxa"/>
            <w:shd w:val="clear" w:color="auto" w:fill="FFFFFF"/>
          </w:tcPr>
          <w:p>
            <w:pPr>
              <w:spacing w:after="0"/>
            </w:pPr>
            <w:r>
              <w:rPr>
                <w:b w:val="0"/>
                <w:i w:val="0"/>
                <w:sz w:val="19"/>
              </w:rPr>
              <w:t>“Age &lt; 60 (relative criteria)”</w:t>
            </w:r>
          </w:p>
        </w:tc>
        <w:tc>
          <w:tcPr>
            <w:tcW w:type="dxa" w:w="3360"/>
            <w:tcW w:w="2400" w:type="dxa"/>
            <w:shd w:val="clear" w:color="auto" w:fill="FFFFFF"/>
          </w:tcPr>
          <w:p>
            <w:pPr>
              <w:spacing w:after="0"/>
            </w:pPr>
            <w:r>
              <w:rPr>
                <w:b w:val="0"/>
                <w:i w:val="0"/>
                <w:color w:val="5A6069"/>
                <w:sz w:val="18"/>
              </w:rPr>
              <w:t>Table 1</w:t>
            </w:r>
          </w:p>
        </w:tc>
      </w:tr>
      <w:tr>
        <w:trPr>
          <w:cantSplit/>
        </w:trPr>
        <w:tc>
          <w:tcPr>
            <w:tcW w:type="dxa" w:w="3360"/>
            <w:tcW w:w="2200" w:type="dxa"/>
            <w:shd w:val="clear" w:color="auto" w:fill="F1F5F8"/>
          </w:tcPr>
          <w:p>
            <w:pPr>
              <w:spacing w:after="0"/>
            </w:pPr>
            <w:r>
              <w:rPr>
                <w:b/>
                <w:i w:val="0"/>
                <w:sz w:val="19"/>
              </w:rPr>
              <w:t>NLRB · NET</w:t>
            </w:r>
          </w:p>
        </w:tc>
        <w:tc>
          <w:tcPr>
            <w:tcW w:type="dxa" w:w="3360"/>
            <w:tcW w:w="5480" w:type="dxa"/>
            <w:shd w:val="clear" w:color="auto" w:fill="F1F5F8"/>
          </w:tcPr>
          <w:p>
            <w:pPr>
              <w:spacing w:after="0"/>
            </w:pPr>
            <w:r>
              <w:rPr>
                <w:b w:val="0"/>
                <w:i w:val="0"/>
                <w:sz w:val="19"/>
              </w:rPr>
              <w:t>The current NLRB list does not repeat these exact age/volume restrictions.</w:t>
            </w:r>
          </w:p>
        </w:tc>
        <w:tc>
          <w:tcPr>
            <w:tcW w:type="dxa" w:w="3360"/>
            <w:tcW w:w="2400" w:type="dxa"/>
            <w:shd w:val="clear" w:color="auto" w:fill="F1F5F8"/>
          </w:tcPr>
          <w:p>
            <w:pPr>
              <w:spacing w:after="0"/>
            </w:pPr>
            <w:r>
              <w:rPr>
                <w:b w:val="0"/>
                <w:i w:val="0"/>
                <w:color w:val="5A6069"/>
                <w:sz w:val="18"/>
              </w:rPr>
              <w:t>December 2025 · pp.8–9</w:t>
            </w:r>
          </w:p>
        </w:tc>
      </w:tr>
    </w:tbl>
    <w:p>
      <w:pPr>
        <w:spacing w:after="40"/>
      </w:pPr>
    </w:p>
    <w:p>
      <w:pPr>
        <w:pStyle w:val="Heading3"/>
        <w:keepNext/>
        <w:spacing w:before="120" w:after="80"/>
      </w:pPr>
      <w:r>
        <w:rPr>
          <w:b w:val="0"/>
          <w:i w:val="0"/>
        </w:rPr>
        <w:t>Our proposed selection (OPEN)</w:t>
      </w:r>
    </w:p>
    <w:p>
      <w:pPr>
        <w:spacing w:after="80"/>
      </w:pPr>
      <w:r>
        <w:rPr>
          <w:b w:val="0"/>
          <w:i w:val="0"/>
        </w:rPr>
        <w:t>Decide and label local age/burden thresholds explicitly; compare expected transplant benefit with nontransplant options.</w:t>
      </w:r>
    </w:p>
    <w:p>
      <w:pPr>
        <w:spacing w:after="80"/>
      </w:pPr>
      <w:r>
        <w:rPr>
          <w:b/>
          <w:i w:val="0"/>
        </w:rPr>
        <w:t xml:space="preserve">Why: </w:t>
      </w:r>
      <w:r>
        <w:rPr>
          <w:b w:val="0"/>
          <w:i w:val="0"/>
        </w:rPr>
        <w:t>Cohort selection rules must not be presented as universally binding allocation policy.</w:t>
      </w:r>
    </w:p>
    <w:p>
      <w:pPr>
        <w:spacing w:after="80"/>
      </w:pPr>
      <w:r>
        <w:rPr>
          <w:b/>
          <w:i w:val="0"/>
        </w:rPr>
        <w:t xml:space="preserve">Owners: </w:t>
      </w:r>
      <w:r>
        <w:rPr>
          <w:b w:val="0"/>
          <w:i w:val="0"/>
        </w:rPr>
        <w:t>NET MDT · transplant governance</w:t>
      </w:r>
    </w:p>
    <w:p>
      <w:pPr>
        <w:pStyle w:val="Heading3"/>
        <w:keepNext/>
        <w:spacing w:before="120" w:after="80"/>
      </w:pPr>
      <w:r>
        <w:rPr>
          <w:b w:val="0"/>
          <w:i w:val="0"/>
        </w:rPr>
        <w:t>NELM G3 / G5 — group decision</w:t>
      </w:r>
    </w:p>
    <w:p>
      <w:pPr>
        <w:spacing w:after="0"/>
      </w:pPr>
      <w:r>
        <w:rPr>
          <w:b/>
          <w:i w:val="0"/>
        </w:rPr>
        <w:t xml:space="preserve">Accepted position (or alternative chosen): </w:t>
      </w:r>
    </w:p>
    <w:p>
      <w:pPr>
        <w:spacing w:after="200"/>
        <w:pBdr>
          <w:bottom w:val="single" w:sz="6" w:space="1" w:color="9AA8B4"/>
        </w:pBdr>
      </w:pPr>
    </w:p>
    <w:p>
      <w:pPr>
        <w:spacing w:after="0"/>
      </w:pPr>
      <w:r>
        <w:rPr>
          <w:b/>
          <w:i w:val="0"/>
        </w:rPr>
        <w:t xml:space="preserve">Rationale, dissent and exceptions: </w:t>
      </w:r>
    </w:p>
    <w:p>
      <w:pPr>
        <w:spacing w:after="200"/>
        <w:pBdr>
          <w:bottom w:val="single" w:sz="6" w:space="1" w:color="9AA8B4"/>
        </w:pBdr>
      </w:pPr>
    </w:p>
    <w:p>
      <w:pPr>
        <w:spacing w:after="0"/>
      </w:pPr>
      <w:r>
        <w:rPr>
          <w:b/>
          <w:i w:val="0"/>
        </w:rPr>
        <w:t xml:space="preserve">Owner · approval date · implementation date: </w:t>
      </w:r>
    </w:p>
    <w:p>
      <w:pPr>
        <w:spacing w:after="200"/>
        <w:pBdr>
          <w:bottom w:val="single" w:sz="6" w:space="1" w:color="9AA8B4"/>
        </w:pBdr>
      </w:pPr>
    </w:p>
    <w:p>
      <w:pPr>
        <w:pStyle w:val="Heading2"/>
        <w:keepNext/>
        <w:spacing w:before="200" w:after="80"/>
      </w:pPr>
      <w:r>
        <w:rPr>
          <w:b w:val="0"/>
          <w:i w:val="0"/>
        </w:rPr>
        <w:t>NELM G4 — How should PRRT and hepatic radiation/embolization be sequenced?</w:t>
      </w:r>
    </w:p>
    <w:p>
      <w:pPr>
        <w:spacing w:after="80"/>
      </w:pPr>
      <w:r>
        <w:rPr>
          <w:b w:val="0"/>
          <w:i w:val="0"/>
          <w:color w:val="5A6069"/>
          <w:sz w:val="18"/>
        </w:rPr>
        <w:t>Discussion required — not yet approved · Standard pathway</w:t>
      </w:r>
    </w:p>
    <w:p>
      <w:pPr>
        <w:spacing w:after="80"/>
      </w:pPr>
      <w:r>
        <w:rPr>
          <w:b/>
          <w:i w:val="0"/>
        </w:rPr>
        <w:t xml:space="preserve">Where it is decided: </w:t>
      </w:r>
      <w:hyperlink r:id="rId40">
        <w:r>
          <w:rPr>
            <w:color w:val="0563C1"/>
            <w:u w:val="single"/>
          </w:rPr>
          <w:t xml:space="preserve">Review treatment exposure</w:t>
        </w:r>
      </w:hyperlink>
    </w:p>
    <w:p>
      <w:pPr>
        <w:spacing w:after="120"/>
      </w:pPr>
      <w:r>
        <w:rPr>
          <w:b/>
          <w:i w:val="0"/>
          <w:sz w:val="18"/>
        </w:rPr>
        <w:t xml:space="preserve">Web page: </w:t>
      </w:r>
      <w:hyperlink r:id="rId41">
        <w:r>
          <w:rPr>
            <w:color w:val="0563C1"/>
            <w:u w:val="single"/>
            <w:sz w:val="18"/>
          </w:rPr>
          <w:t xml:space="preserve">open this question on the website</w:t>
        </w:r>
      </w:hyperlink>
    </w:p>
    <w:p>
      <w:pPr>
        <w:pStyle w:val="Heading3"/>
        <w:keepNext/>
        <w:spacing w:before="120" w:after="80"/>
      </w:pPr>
      <w:r>
        <w:rPr>
          <w:b w:val="0"/>
          <w:i w:val="0"/>
        </w:rPr>
        <w:t>Positions of guidelines, trials and papers</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200"/>
        <w:gridCol w:w="5480"/>
        <w:gridCol w:w="2400"/>
      </w:tblGrid>
      <w:tr>
        <w:trPr>
          <w:tblHeader/>
        </w:trPr>
        <w:tc>
          <w:tcPr>
            <w:tcW w:type="dxa" w:w="3360"/>
            <w:tcW w:w="2200" w:type="dxa"/>
            <w:shd w:val="clear" w:color="auto" w:fill="17365D"/>
          </w:tcPr>
          <w:p>
            <w:r>
              <w:rPr>
                <w:b/>
                <w:i w:val="0"/>
                <w:color w:val="FFFFFF"/>
                <w:sz w:val="19"/>
              </w:rPr>
              <w:t>Source</w:t>
            </w:r>
          </w:p>
        </w:tc>
        <w:tc>
          <w:tcPr>
            <w:tcW w:type="dxa" w:w="3360"/>
            <w:tcW w:w="5480" w:type="dxa"/>
            <w:shd w:val="clear" w:color="auto" w:fill="17365D"/>
          </w:tcPr>
          <w:p>
            <w:r>
              <w:rPr>
                <w:b/>
                <w:i w:val="0"/>
                <w:color w:val="FFFFFF"/>
                <w:sz w:val="19"/>
              </w:rPr>
              <w:t>Position</w:t>
            </w:r>
          </w:p>
        </w:tc>
        <w:tc>
          <w:tcPr>
            <w:tcW w:type="dxa" w:w="3360"/>
            <w:tcW w:w="2400" w:type="dxa"/>
            <w:shd w:val="clear" w:color="auto" w:fill="17365D"/>
          </w:tcPr>
          <w:p>
            <w:r>
              <w:rPr>
                <w:b/>
                <w:i w:val="0"/>
                <w:color w:val="FFFFFF"/>
                <w:sz w:val="19"/>
              </w:rPr>
              <w:t>Where stated</w:t>
            </w:r>
          </w:p>
        </w:tc>
      </w:tr>
      <w:tr>
        <w:trPr>
          <w:cantSplit/>
        </w:trPr>
        <w:tc>
          <w:tcPr>
            <w:tcW w:type="dxa" w:w="3360"/>
            <w:tcW w:w="2200" w:type="dxa"/>
            <w:shd w:val="clear" w:color="auto" w:fill="F1F5F8"/>
          </w:tcPr>
          <w:p>
            <w:pPr>
              <w:spacing w:after="0"/>
            </w:pPr>
            <w:r>
              <w:rPr>
                <w:b/>
                <w:i w:val="0"/>
                <w:sz w:val="19"/>
              </w:rPr>
              <w:t>NLRB · NET</w:t>
            </w:r>
          </w:p>
        </w:tc>
        <w:tc>
          <w:tcPr>
            <w:tcW w:type="dxa" w:w="3360"/>
            <w:tcW w:w="5480" w:type="dxa"/>
            <w:shd w:val="clear" w:color="auto" w:fill="F1F5F8"/>
          </w:tcPr>
          <w:p>
            <w:pPr>
              <w:spacing w:after="0"/>
            </w:pPr>
            <w:r>
              <w:rPr>
                <w:b w:val="0"/>
                <w:i w:val="0"/>
                <w:sz w:val="19"/>
              </w:rPr>
              <w:t>Guidance defines disease features and staging, not a mandatory PRRT/Y90 sequence.</w:t>
            </w:r>
          </w:p>
        </w:tc>
        <w:tc>
          <w:tcPr>
            <w:tcW w:type="dxa" w:w="3360"/>
            <w:tcW w:w="2400" w:type="dxa"/>
            <w:shd w:val="clear" w:color="auto" w:fill="F1F5F8"/>
          </w:tcPr>
          <w:p>
            <w:pPr>
              <w:spacing w:after="0"/>
            </w:pPr>
            <w:r>
              <w:rPr>
                <w:b w:val="0"/>
                <w:i w:val="0"/>
                <w:color w:val="5A6069"/>
                <w:sz w:val="18"/>
              </w:rPr>
              <w:t>December 2025 · pp.8–9</w:t>
            </w:r>
          </w:p>
        </w:tc>
      </w:tr>
      <w:tr>
        <w:trPr>
          <w:cantSplit/>
        </w:trPr>
        <w:tc>
          <w:tcPr>
            <w:tcW w:type="dxa" w:w="3360"/>
            <w:tcW w:w="2200" w:type="dxa"/>
            <w:shd w:val="clear" w:color="auto" w:fill="FFFFFF"/>
          </w:tcPr>
          <w:p>
            <w:pPr>
              <w:spacing w:after="0"/>
            </w:pPr>
            <w:r>
              <w:rPr>
                <w:b/>
                <w:i w:val="0"/>
                <w:sz w:val="19"/>
              </w:rPr>
              <w:t>Milan-NET · cohort</w:t>
            </w:r>
          </w:p>
        </w:tc>
        <w:tc>
          <w:tcPr>
            <w:tcW w:type="dxa" w:w="3360"/>
            <w:tcW w:w="5480" w:type="dxa"/>
            <w:shd w:val="clear" w:color="auto" w:fill="FFFFFF"/>
          </w:tcPr>
          <w:p>
            <w:pPr>
              <w:spacing w:after="0"/>
            </w:pPr>
            <w:r>
              <w:rPr>
                <w:b w:val="0"/>
                <w:i w:val="0"/>
                <w:sz w:val="19"/>
              </w:rPr>
              <w:t>Selected NET transplant experience does not validate a universal cumulative radiation threshold.</w:t>
            </w:r>
          </w:p>
        </w:tc>
        <w:tc>
          <w:tcPr>
            <w:tcW w:type="dxa" w:w="3360"/>
            <w:tcW w:w="2400" w:type="dxa"/>
            <w:shd w:val="clear" w:color="auto" w:fill="FFFFFF"/>
          </w:tcPr>
          <w:p>
            <w:pPr>
              <w:spacing w:after="0"/>
            </w:pPr>
            <w:r>
              <w:rPr>
                <w:b w:val="0"/>
                <w:i w:val="0"/>
                <w:color w:val="5A6069"/>
                <w:sz w:val="18"/>
              </w:rPr>
              <w:t>Mazzaferro et al. · AJT · 2016 · Table 1, PDF p.2</w:t>
            </w:r>
          </w:p>
        </w:tc>
      </w:tr>
    </w:tbl>
    <w:p>
      <w:pPr>
        <w:spacing w:after="40"/>
      </w:pPr>
    </w:p>
    <w:p>
      <w:pPr>
        <w:pStyle w:val="Heading3"/>
        <w:keepNext/>
        <w:spacing w:before="120" w:after="80"/>
      </w:pPr>
      <w:r>
        <w:rPr>
          <w:b w:val="0"/>
          <w:i w:val="0"/>
        </w:rPr>
        <w:t>Our proposed selection (OPEN)</w:t>
      </w:r>
    </w:p>
    <w:p>
      <w:pPr>
        <w:spacing w:after="80"/>
      </w:pPr>
      <w:r>
        <w:rPr>
          <w:b w:val="0"/>
          <w:i w:val="0"/>
        </w:rPr>
        <w:t>Require a treatment-exposure and reserve review by nuclear medicine, IR and transplant teams before further liver-directed treatment.</w:t>
      </w:r>
    </w:p>
    <w:p>
      <w:pPr>
        <w:spacing w:after="80"/>
      </w:pPr>
      <w:r>
        <w:rPr>
          <w:b/>
          <w:i w:val="0"/>
        </w:rPr>
        <w:t xml:space="preserve">Why: </w:t>
      </w:r>
      <w:r>
        <w:rPr>
          <w:b w:val="0"/>
          <w:i w:val="0"/>
        </w:rPr>
        <w:t>This is a local multidisciplinary safety decision; avoid unsupported numeric stop rules.</w:t>
      </w:r>
    </w:p>
    <w:p>
      <w:pPr>
        <w:spacing w:after="80"/>
      </w:pPr>
      <w:r>
        <w:rPr>
          <w:b/>
          <w:i w:val="0"/>
        </w:rPr>
        <w:t xml:space="preserve">Owners: </w:t>
      </w:r>
      <w:r>
        <w:rPr>
          <w:b w:val="0"/>
          <w:i w:val="0"/>
        </w:rPr>
        <w:t>Nuclear medicine · IR · oncology</w:t>
      </w:r>
    </w:p>
    <w:p>
      <w:pPr>
        <w:pStyle w:val="Heading3"/>
        <w:keepNext/>
        <w:spacing w:before="120" w:after="80"/>
      </w:pPr>
      <w:r>
        <w:rPr>
          <w:b w:val="0"/>
          <w:i w:val="0"/>
        </w:rPr>
        <w:t>NELM G4 — group decision</w:t>
      </w:r>
    </w:p>
    <w:p>
      <w:pPr>
        <w:spacing w:after="0"/>
      </w:pPr>
      <w:r>
        <w:rPr>
          <w:b/>
          <w:i w:val="0"/>
        </w:rPr>
        <w:t xml:space="preserve">Accepted position (or alternative chosen): </w:t>
      </w:r>
    </w:p>
    <w:p>
      <w:pPr>
        <w:spacing w:after="200"/>
        <w:pBdr>
          <w:bottom w:val="single" w:sz="6" w:space="1" w:color="9AA8B4"/>
        </w:pBdr>
      </w:pPr>
    </w:p>
    <w:p>
      <w:pPr>
        <w:spacing w:after="0"/>
      </w:pPr>
      <w:r>
        <w:rPr>
          <w:b/>
          <w:i w:val="0"/>
        </w:rPr>
        <w:t xml:space="preserve">Rationale, dissent and exceptions: </w:t>
      </w:r>
    </w:p>
    <w:p>
      <w:pPr>
        <w:spacing w:after="200"/>
        <w:pBdr>
          <w:bottom w:val="single" w:sz="6" w:space="1" w:color="9AA8B4"/>
        </w:pBdr>
      </w:pPr>
    </w:p>
    <w:p>
      <w:pPr>
        <w:spacing w:after="0"/>
      </w:pPr>
      <w:r>
        <w:rPr>
          <w:b/>
          <w:i w:val="0"/>
        </w:rPr>
        <w:t xml:space="preserve">Owner · approval date · implementation date: </w:t>
      </w:r>
    </w:p>
    <w:p>
      <w:pPr>
        <w:spacing w:after="200"/>
        <w:pBdr>
          <w:bottom w:val="single" w:sz="6" w:space="1" w:color="9AA8B4"/>
        </w:pBdr>
      </w:pPr>
    </w:p>
    <w:p>
      <w:pPr>
        <w:pStyle w:val="Heading2"/>
        <w:keepNext/>
        <w:spacing w:before="200" w:after="80"/>
      </w:pPr>
      <w:r>
        <w:rPr>
          <w:b w:val="0"/>
          <w:i w:val="0"/>
        </w:rPr>
        <w:t>NELM G5 / G6 — How do we interpret the “at least 3 months prior” imaging wording?</w:t>
      </w:r>
    </w:p>
    <w:p>
      <w:pPr>
        <w:spacing w:after="80"/>
      </w:pPr>
      <w:r>
        <w:rPr>
          <w:b w:val="0"/>
          <w:i w:val="0"/>
          <w:color w:val="5A6069"/>
          <w:sz w:val="18"/>
        </w:rPr>
        <w:t>Discussion required — not yet approved · Standard pathway</w:t>
      </w:r>
    </w:p>
    <w:p>
      <w:pPr>
        <w:spacing w:after="80"/>
      </w:pPr>
      <w:r>
        <w:rPr>
          <w:b/>
          <w:i w:val="0"/>
        </w:rPr>
        <w:t xml:space="preserve">Where it is decided: </w:t>
      </w:r>
      <w:hyperlink r:id="rId35">
        <w:r>
          <w:rPr>
            <w:color w:val="0563C1"/>
            <w:u w:val="single"/>
          </w:rPr>
          <w:t xml:space="preserve">Verify disease control</w:t>
        </w:r>
      </w:hyperlink>
    </w:p>
    <w:p>
      <w:pPr>
        <w:spacing w:after="120"/>
      </w:pPr>
      <w:r>
        <w:rPr>
          <w:b/>
          <w:i w:val="0"/>
          <w:sz w:val="18"/>
        </w:rPr>
        <w:t xml:space="preserve">Web page: </w:t>
      </w:r>
      <w:hyperlink r:id="rId42">
        <w:r>
          <w:rPr>
            <w:color w:val="0563C1"/>
            <w:u w:val="single"/>
            <w:sz w:val="18"/>
          </w:rPr>
          <w:t xml:space="preserve">open this question on the website</w:t>
        </w:r>
      </w:hyperlink>
    </w:p>
    <w:p>
      <w:pPr>
        <w:pStyle w:val="Heading3"/>
        <w:keepNext/>
        <w:spacing w:before="120" w:after="80"/>
      </w:pPr>
      <w:r>
        <w:rPr>
          <w:b w:val="0"/>
          <w:i w:val="0"/>
        </w:rPr>
        <w:t>Positions of guidelines, trials and papers</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200"/>
        <w:gridCol w:w="5480"/>
        <w:gridCol w:w="2400"/>
      </w:tblGrid>
      <w:tr>
        <w:trPr>
          <w:tblHeader/>
        </w:trPr>
        <w:tc>
          <w:tcPr>
            <w:tcW w:type="dxa" w:w="3360"/>
            <w:tcW w:w="2200" w:type="dxa"/>
            <w:shd w:val="clear" w:color="auto" w:fill="17365D"/>
          </w:tcPr>
          <w:p>
            <w:r>
              <w:rPr>
                <w:b/>
                <w:i w:val="0"/>
                <w:color w:val="FFFFFF"/>
                <w:sz w:val="19"/>
              </w:rPr>
              <w:t>Source</w:t>
            </w:r>
          </w:p>
        </w:tc>
        <w:tc>
          <w:tcPr>
            <w:tcW w:type="dxa" w:w="3360"/>
            <w:tcW w:w="5480" w:type="dxa"/>
            <w:shd w:val="clear" w:color="auto" w:fill="17365D"/>
          </w:tcPr>
          <w:p>
            <w:r>
              <w:rPr>
                <w:b/>
                <w:i w:val="0"/>
                <w:color w:val="FFFFFF"/>
                <w:sz w:val="19"/>
              </w:rPr>
              <w:t>Position</w:t>
            </w:r>
          </w:p>
        </w:tc>
        <w:tc>
          <w:tcPr>
            <w:tcW w:type="dxa" w:w="3360"/>
            <w:tcW w:w="2400" w:type="dxa"/>
            <w:shd w:val="clear" w:color="auto" w:fill="17365D"/>
          </w:tcPr>
          <w:p>
            <w:r>
              <w:rPr>
                <w:b/>
                <w:i w:val="0"/>
                <w:color w:val="FFFFFF"/>
                <w:sz w:val="19"/>
              </w:rPr>
              <w:t>Where stated</w:t>
            </w:r>
          </w:p>
        </w:tc>
      </w:tr>
      <w:tr>
        <w:trPr>
          <w:cantSplit/>
        </w:trPr>
        <w:tc>
          <w:tcPr>
            <w:tcW w:type="dxa" w:w="3360"/>
            <w:tcW w:w="2200" w:type="dxa"/>
            <w:shd w:val="clear" w:color="auto" w:fill="F1F5F8"/>
          </w:tcPr>
          <w:p>
            <w:pPr>
              <w:spacing w:after="0"/>
            </w:pPr>
            <w:r>
              <w:rPr>
                <w:b/>
                <w:i w:val="0"/>
                <w:sz w:val="19"/>
              </w:rPr>
              <w:t>NLRB · NET</w:t>
            </w:r>
          </w:p>
        </w:tc>
        <w:tc>
          <w:tcPr>
            <w:tcW w:type="dxa" w:w="3360"/>
            <w:tcW w:w="5480" w:type="dxa"/>
            <w:shd w:val="clear" w:color="auto" w:fill="F1F5F8"/>
          </w:tcPr>
          <w:p>
            <w:pPr>
              <w:spacing w:after="0"/>
            </w:pPr>
            <w:r>
              <w:rPr>
                <w:b w:val="0"/>
                <w:i w:val="0"/>
                <w:sz w:val="19"/>
              </w:rPr>
              <w:t>“at least 3 months prior to initial or extension MELD exception request”</w:t>
            </w:r>
          </w:p>
        </w:tc>
        <w:tc>
          <w:tcPr>
            <w:tcW w:type="dxa" w:w="3360"/>
            <w:tcW w:w="2400" w:type="dxa"/>
            <w:shd w:val="clear" w:color="auto" w:fill="F1F5F8"/>
          </w:tcPr>
          <w:p>
            <w:pPr>
              <w:spacing w:after="0"/>
            </w:pPr>
            <w:r>
              <w:rPr>
                <w:b w:val="0"/>
                <w:i w:val="0"/>
                <w:color w:val="5A6069"/>
                <w:sz w:val="18"/>
              </w:rPr>
              <w:t>NET metastatic-workup criterion</w:t>
            </w:r>
          </w:p>
        </w:tc>
      </w:tr>
      <w:tr>
        <w:trPr>
          <w:cantSplit/>
        </w:trPr>
        <w:tc>
          <w:tcPr>
            <w:tcW w:type="dxa" w:w="3360"/>
            <w:tcW w:w="2200" w:type="dxa"/>
            <w:shd w:val="clear" w:color="auto" w:fill="FFFFFF"/>
          </w:tcPr>
          <w:p>
            <w:pPr>
              <w:spacing w:after="0"/>
            </w:pPr>
            <w:r>
              <w:rPr>
                <w:b/>
                <w:i w:val="0"/>
                <w:sz w:val="19"/>
              </w:rPr>
              <w:t>Milan-NET · cohort</w:t>
            </w:r>
          </w:p>
        </w:tc>
        <w:tc>
          <w:tcPr>
            <w:tcW w:type="dxa" w:w="3360"/>
            <w:tcW w:w="5480" w:type="dxa"/>
            <w:shd w:val="clear" w:color="auto" w:fill="FFFFFF"/>
          </w:tcPr>
          <w:p>
            <w:pPr>
              <w:spacing w:after="0"/>
            </w:pPr>
            <w:r>
              <w:rPr>
                <w:b w:val="0"/>
                <w:i w:val="0"/>
                <w:sz w:val="19"/>
              </w:rPr>
              <w:t>“Stable disease/response to therapies for at least 6 months prior to transplant consideration”</w:t>
            </w:r>
          </w:p>
        </w:tc>
        <w:tc>
          <w:tcPr>
            <w:tcW w:type="dxa" w:w="3360"/>
            <w:tcW w:w="2400" w:type="dxa"/>
            <w:shd w:val="clear" w:color="auto" w:fill="FFFFFF"/>
          </w:tcPr>
          <w:p>
            <w:pPr>
              <w:spacing w:after="0"/>
            </w:pPr>
            <w:r>
              <w:rPr>
                <w:b w:val="0"/>
                <w:i w:val="0"/>
                <w:color w:val="5A6069"/>
                <w:sz w:val="18"/>
              </w:rPr>
              <w:t>Table 1</w:t>
            </w:r>
          </w:p>
        </w:tc>
      </w:tr>
    </w:tbl>
    <w:p>
      <w:pPr>
        <w:spacing w:after="40"/>
      </w:pPr>
    </w:p>
    <w:p>
      <w:pPr>
        <w:pStyle w:val="Heading3"/>
        <w:keepNext/>
        <w:spacing w:before="120" w:after="80"/>
      </w:pPr>
      <w:r>
        <w:rPr>
          <w:b w:val="0"/>
          <w:i w:val="0"/>
        </w:rPr>
        <w:t>Our proposed selection (OPEN)</w:t>
      </w:r>
    </w:p>
    <w:p>
      <w:pPr>
        <w:spacing w:after="80"/>
      </w:pPr>
      <w:r>
        <w:rPr>
          <w:b w:val="0"/>
          <w:i w:val="0"/>
        </w:rPr>
        <w:t>Track clearance, control and scan dates separately. Confirm allocation interpretation rather than assuming the wording means a simple maximum scan age.</w:t>
      </w:r>
    </w:p>
    <w:p>
      <w:pPr>
        <w:spacing w:after="80"/>
      </w:pPr>
      <w:r>
        <w:rPr>
          <w:b/>
          <w:i w:val="0"/>
        </w:rPr>
        <w:t xml:space="preserve">Why: </w:t>
      </w:r>
      <w:r>
        <w:rPr>
          <w:b w:val="0"/>
          <w:i w:val="0"/>
        </w:rPr>
        <w:t>Different observation periods and imaging intervals must not be collapsed.</w:t>
      </w:r>
    </w:p>
    <w:p>
      <w:pPr>
        <w:spacing w:after="80"/>
      </w:pPr>
      <w:r>
        <w:rPr>
          <w:b/>
          <w:i w:val="0"/>
        </w:rPr>
        <w:t xml:space="preserve">Owners: </w:t>
      </w:r>
      <w:r>
        <w:rPr>
          <w:b w:val="0"/>
          <w:i w:val="0"/>
        </w:rPr>
        <w:t>Coordinator · NET oncology · allocation leadership</w:t>
      </w:r>
    </w:p>
    <w:p>
      <w:pPr>
        <w:pStyle w:val="Heading3"/>
        <w:keepNext/>
        <w:spacing w:before="120" w:after="80"/>
      </w:pPr>
      <w:r>
        <w:rPr>
          <w:b w:val="0"/>
          <w:i w:val="0"/>
        </w:rPr>
        <w:t>NELM G5 / G6 — group decision</w:t>
      </w:r>
    </w:p>
    <w:p>
      <w:pPr>
        <w:spacing w:after="0"/>
      </w:pPr>
      <w:r>
        <w:rPr>
          <w:b/>
          <w:i w:val="0"/>
        </w:rPr>
        <w:t xml:space="preserve">Accepted position (or alternative chosen): </w:t>
      </w:r>
    </w:p>
    <w:p>
      <w:pPr>
        <w:spacing w:after="200"/>
        <w:pBdr>
          <w:bottom w:val="single" w:sz="6" w:space="1" w:color="9AA8B4"/>
        </w:pBdr>
      </w:pPr>
    </w:p>
    <w:p>
      <w:pPr>
        <w:spacing w:after="0"/>
      </w:pPr>
      <w:r>
        <w:rPr>
          <w:b/>
          <w:i w:val="0"/>
        </w:rPr>
        <w:t xml:space="preserve">Rationale, dissent and exceptions: </w:t>
      </w:r>
    </w:p>
    <w:p>
      <w:pPr>
        <w:spacing w:after="200"/>
        <w:pBdr>
          <w:bottom w:val="single" w:sz="6" w:space="1" w:color="9AA8B4"/>
        </w:pBdr>
      </w:pPr>
    </w:p>
    <w:p>
      <w:pPr>
        <w:spacing w:after="0"/>
      </w:pPr>
      <w:r>
        <w:rPr>
          <w:b/>
          <w:i w:val="0"/>
        </w:rPr>
        <w:t xml:space="preserve">Owner · approval date · implementation date: </w:t>
      </w:r>
    </w:p>
    <w:p>
      <w:pPr>
        <w:spacing w:after="200"/>
        <w:pBdr>
          <w:bottom w:val="single" w:sz="6" w:space="1" w:color="9AA8B4"/>
        </w:pBdr>
      </w:pPr>
    </w:p>
    <w:p>
      <w:pPr>
        <w:pStyle w:val="Heading2"/>
        <w:keepNext/>
        <w:spacing w:before="200" w:after="80"/>
      </w:pPr>
      <w:r>
        <w:rPr>
          <w:b w:val="0"/>
          <w:i w:val="0"/>
        </w:rPr>
        <w:t>NELM G6 — Who is responsible for functional restaging and long-term recurrence surveillance?</w:t>
      </w:r>
    </w:p>
    <w:p>
      <w:pPr>
        <w:spacing w:after="80"/>
      </w:pPr>
      <w:r>
        <w:rPr>
          <w:b w:val="0"/>
          <w:i w:val="0"/>
          <w:color w:val="5A6069"/>
          <w:sz w:val="18"/>
        </w:rPr>
        <w:t>Discussion required — not yet approved · Standard pathway</w:t>
      </w:r>
    </w:p>
    <w:p>
      <w:pPr>
        <w:spacing w:after="80"/>
      </w:pPr>
      <w:r>
        <w:rPr>
          <w:b/>
          <w:i w:val="0"/>
        </w:rPr>
        <w:t xml:space="preserve">Where it is decided: </w:t>
      </w:r>
      <w:hyperlink r:id="rId38">
        <w:r>
          <w:rPr>
            <w:color w:val="0563C1"/>
            <w:u w:val="single"/>
          </w:rPr>
          <w:t xml:space="preserve">Request and renew the MELD exception</w:t>
        </w:r>
      </w:hyperlink>
      <w:r>
        <w:rPr>
          <w:b w:val="0"/>
          <w:i w:val="0"/>
        </w:rPr>
        <w:t xml:space="preserve"> · </w:t>
      </w:r>
      <w:hyperlink r:id="rId43">
        <w:r>
          <w:rPr>
            <w:color w:val="0563C1"/>
            <w:u w:val="single"/>
          </w:rPr>
          <w:t xml:space="preserve">Transplant and follow-up</w:t>
        </w:r>
      </w:hyperlink>
    </w:p>
    <w:p>
      <w:pPr>
        <w:spacing w:after="120"/>
      </w:pPr>
      <w:r>
        <w:rPr>
          <w:b/>
          <w:i w:val="0"/>
          <w:sz w:val="18"/>
        </w:rPr>
        <w:t xml:space="preserve">Web page: </w:t>
      </w:r>
      <w:hyperlink r:id="rId44">
        <w:r>
          <w:rPr>
            <w:color w:val="0563C1"/>
            <w:u w:val="single"/>
            <w:sz w:val="18"/>
          </w:rPr>
          <w:t xml:space="preserve">open this question on the website</w:t>
        </w:r>
      </w:hyperlink>
    </w:p>
    <w:p>
      <w:pPr>
        <w:pStyle w:val="Heading3"/>
        <w:keepNext/>
        <w:spacing w:before="120" w:after="80"/>
      </w:pPr>
      <w:r>
        <w:rPr>
          <w:b w:val="0"/>
          <w:i w:val="0"/>
        </w:rPr>
        <w:t>Positions of guidelines, trials and papers</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200"/>
        <w:gridCol w:w="5480"/>
        <w:gridCol w:w="2400"/>
      </w:tblGrid>
      <w:tr>
        <w:trPr>
          <w:tblHeader/>
        </w:trPr>
        <w:tc>
          <w:tcPr>
            <w:tcW w:type="dxa" w:w="3360"/>
            <w:tcW w:w="2200" w:type="dxa"/>
            <w:shd w:val="clear" w:color="auto" w:fill="17365D"/>
          </w:tcPr>
          <w:p>
            <w:r>
              <w:rPr>
                <w:b/>
                <w:i w:val="0"/>
                <w:color w:val="FFFFFF"/>
                <w:sz w:val="19"/>
              </w:rPr>
              <w:t>Source</w:t>
            </w:r>
          </w:p>
        </w:tc>
        <w:tc>
          <w:tcPr>
            <w:tcW w:type="dxa" w:w="3360"/>
            <w:tcW w:w="5480" w:type="dxa"/>
            <w:shd w:val="clear" w:color="auto" w:fill="17365D"/>
          </w:tcPr>
          <w:p>
            <w:r>
              <w:rPr>
                <w:b/>
                <w:i w:val="0"/>
                <w:color w:val="FFFFFF"/>
                <w:sz w:val="19"/>
              </w:rPr>
              <w:t>Position</w:t>
            </w:r>
          </w:p>
        </w:tc>
        <w:tc>
          <w:tcPr>
            <w:tcW w:type="dxa" w:w="3360"/>
            <w:tcW w:w="2400" w:type="dxa"/>
            <w:shd w:val="clear" w:color="auto" w:fill="17365D"/>
          </w:tcPr>
          <w:p>
            <w:r>
              <w:rPr>
                <w:b/>
                <w:i w:val="0"/>
                <w:color w:val="FFFFFF"/>
                <w:sz w:val="19"/>
              </w:rPr>
              <w:t>Where stated</w:t>
            </w:r>
          </w:p>
        </w:tc>
      </w:tr>
      <w:tr>
        <w:trPr>
          <w:cantSplit/>
        </w:trPr>
        <w:tc>
          <w:tcPr>
            <w:tcW w:type="dxa" w:w="3360"/>
            <w:tcW w:w="2200" w:type="dxa"/>
            <w:shd w:val="clear" w:color="auto" w:fill="F1F5F8"/>
          </w:tcPr>
          <w:p>
            <w:pPr>
              <w:spacing w:after="0"/>
            </w:pPr>
            <w:r>
              <w:rPr>
                <w:b/>
                <w:i w:val="0"/>
                <w:sz w:val="19"/>
              </w:rPr>
              <w:t>NLRB · NET</w:t>
            </w:r>
          </w:p>
        </w:tc>
        <w:tc>
          <w:tcPr>
            <w:tcW w:type="dxa" w:w="3360"/>
            <w:tcW w:w="5480" w:type="dxa"/>
            <w:shd w:val="clear" w:color="auto" w:fill="F1F5F8"/>
          </w:tcPr>
          <w:p>
            <w:pPr>
              <w:spacing w:after="0"/>
            </w:pPr>
            <w:r>
              <w:rPr>
                <w:b w:val="0"/>
                <w:i w:val="0"/>
                <w:sz w:val="19"/>
              </w:rPr>
              <w:t>Requires evidence of no extrahepatic recurrence at initial and extension review.</w:t>
            </w:r>
          </w:p>
        </w:tc>
        <w:tc>
          <w:tcPr>
            <w:tcW w:type="dxa" w:w="3360"/>
            <w:tcW w:w="2400" w:type="dxa"/>
            <w:shd w:val="clear" w:color="auto" w:fill="F1F5F8"/>
          </w:tcPr>
          <w:p>
            <w:pPr>
              <w:spacing w:after="0"/>
            </w:pPr>
            <w:r>
              <w:rPr>
                <w:b w:val="0"/>
                <w:i w:val="0"/>
                <w:color w:val="5A6069"/>
                <w:sz w:val="18"/>
              </w:rPr>
              <w:t>December 2025 · pp.8–9</w:t>
            </w:r>
          </w:p>
        </w:tc>
      </w:tr>
      <w:tr>
        <w:trPr>
          <w:cantSplit/>
        </w:trPr>
        <w:tc>
          <w:tcPr>
            <w:tcW w:type="dxa" w:w="3360"/>
            <w:tcW w:w="2200" w:type="dxa"/>
            <w:shd w:val="clear" w:color="auto" w:fill="FFFFFF"/>
          </w:tcPr>
          <w:p>
            <w:pPr>
              <w:spacing w:after="0"/>
            </w:pPr>
            <w:r>
              <w:rPr>
                <w:b/>
                <w:i w:val="0"/>
                <w:sz w:val="19"/>
              </w:rPr>
              <w:t>Milan-NET · cohort</w:t>
            </w:r>
          </w:p>
        </w:tc>
        <w:tc>
          <w:tcPr>
            <w:tcW w:type="dxa" w:w="3360"/>
            <w:tcW w:w="5480" w:type="dxa"/>
            <w:shd w:val="clear" w:color="auto" w:fill="FFFFFF"/>
          </w:tcPr>
          <w:p>
            <w:pPr>
              <w:spacing w:after="0"/>
            </w:pPr>
            <w:r>
              <w:rPr>
                <w:b w:val="0"/>
                <w:i w:val="0"/>
                <w:sz w:val="19"/>
              </w:rPr>
              <w:t>Long-term benefit/recurrence data support continuing surveillance but do not mandate one schedule.</w:t>
            </w:r>
          </w:p>
        </w:tc>
        <w:tc>
          <w:tcPr>
            <w:tcW w:type="dxa" w:w="3360"/>
            <w:tcW w:w="2400" w:type="dxa"/>
            <w:shd w:val="clear" w:color="auto" w:fill="FFFFFF"/>
          </w:tcPr>
          <w:p>
            <w:pPr>
              <w:spacing w:after="0"/>
            </w:pPr>
            <w:r>
              <w:rPr>
                <w:b w:val="0"/>
                <w:i w:val="0"/>
                <w:color w:val="5A6069"/>
                <w:sz w:val="18"/>
              </w:rPr>
              <w:t>Mazzaferro et al. · AJT · 2016 · Table 1, PDF p.2</w:t>
            </w:r>
          </w:p>
        </w:tc>
      </w:tr>
    </w:tbl>
    <w:p>
      <w:pPr>
        <w:spacing w:after="40"/>
      </w:pPr>
    </w:p>
    <w:p>
      <w:pPr>
        <w:pStyle w:val="Heading3"/>
        <w:keepNext/>
        <w:spacing w:before="120" w:after="80"/>
      </w:pPr>
      <w:r>
        <w:rPr>
          <w:b w:val="0"/>
          <w:i w:val="0"/>
        </w:rPr>
        <w:t>Our proposed selection (OPEN)</w:t>
      </w:r>
    </w:p>
    <w:p>
      <w:pPr>
        <w:spacing w:after="80"/>
      </w:pPr>
      <w:r>
        <w:rPr>
          <w:b w:val="0"/>
          <w:i w:val="0"/>
        </w:rPr>
        <w:t>Assign nuclear-medicine/radiology review, renewal and post-transplant follow-up owners in the local program.</w:t>
      </w:r>
    </w:p>
    <w:p>
      <w:pPr>
        <w:spacing w:after="80"/>
      </w:pPr>
      <w:r>
        <w:rPr>
          <w:b/>
          <w:i w:val="0"/>
        </w:rPr>
        <w:t xml:space="preserve">Why: </w:t>
      </w:r>
      <w:r>
        <w:rPr>
          <w:b w:val="0"/>
          <w:i w:val="0"/>
        </w:rPr>
        <w:t>Avoid gaps between transplant and NET oncology care.</w:t>
      </w:r>
    </w:p>
    <w:p>
      <w:pPr>
        <w:spacing w:after="80"/>
      </w:pPr>
      <w:r>
        <w:rPr>
          <w:b/>
          <w:i w:val="0"/>
        </w:rPr>
        <w:t xml:space="preserve">Owners: </w:t>
      </w:r>
      <w:r>
        <w:rPr>
          <w:b w:val="0"/>
          <w:i w:val="0"/>
        </w:rPr>
        <w:t>Transplant team · NET oncology · coordinator</w:t>
      </w:r>
    </w:p>
    <w:p>
      <w:pPr>
        <w:pStyle w:val="Heading3"/>
        <w:keepNext/>
        <w:spacing w:before="120" w:after="80"/>
      </w:pPr>
      <w:r>
        <w:rPr>
          <w:b w:val="0"/>
          <w:i w:val="0"/>
        </w:rPr>
        <w:t>NELM G6 — group decision</w:t>
      </w:r>
    </w:p>
    <w:p>
      <w:pPr>
        <w:spacing w:after="0"/>
      </w:pPr>
      <w:r>
        <w:rPr>
          <w:b/>
          <w:i w:val="0"/>
        </w:rPr>
        <w:t xml:space="preserve">Accepted position (or alternative chosen): </w:t>
      </w:r>
    </w:p>
    <w:p>
      <w:pPr>
        <w:spacing w:after="200"/>
        <w:pBdr>
          <w:bottom w:val="single" w:sz="6" w:space="1" w:color="9AA8B4"/>
        </w:pBdr>
      </w:pPr>
    </w:p>
    <w:p>
      <w:pPr>
        <w:spacing w:after="0"/>
      </w:pPr>
      <w:r>
        <w:rPr>
          <w:b/>
          <w:i w:val="0"/>
        </w:rPr>
        <w:t xml:space="preserve">Rationale, dissent and exceptions: </w:t>
      </w:r>
    </w:p>
    <w:p>
      <w:pPr>
        <w:spacing w:after="200"/>
        <w:pBdr>
          <w:bottom w:val="single" w:sz="6" w:space="1" w:color="9AA8B4"/>
        </w:pBdr>
      </w:pPr>
    </w:p>
    <w:p>
      <w:pPr>
        <w:spacing w:after="0"/>
      </w:pPr>
      <w:r>
        <w:rPr>
          <w:b/>
          <w:i w:val="0"/>
        </w:rPr>
        <w:t xml:space="preserve">Owner · approval date · implementation date: </w:t>
      </w:r>
    </w:p>
    <w:p>
      <w:pPr>
        <w:spacing w:after="200"/>
        <w:pBdr>
          <w:bottom w:val="single" w:sz="6" w:space="1" w:color="9AA8B4"/>
        </w:pBdr>
      </w:pPr>
    </w:p>
    <w:p>
      <w:pPr>
        <w:pStyle w:val="Heading1"/>
        <w:keepNext/>
        <w:spacing w:before="280" w:after="80"/>
      </w:pPr>
      <w:r>
        <w:rPr>
          <w:b w:val="0"/>
          <w:i w:val="0"/>
        </w:rPr>
        <w:t>Part 3. High-risk transplant protocol</w:t>
      </w:r>
    </w:p>
    <w:p>
      <w:pPr>
        <w:spacing w:after="80"/>
      </w:pPr>
      <w:r>
        <w:rPr>
          <w:b w:val="0"/>
          <w:i w:val="0"/>
          <w:color w:val="5A6069"/>
          <w:sz w:val="18"/>
        </w:rPr>
        <w:t>Web page: https://drliuhao.github.io/mh-liver-pathways/transplant/nelm/#high-risk</w:t>
      </w:r>
    </w:p>
    <w:p>
      <w:pPr>
        <w:pStyle w:val="Heading2"/>
        <w:keepNext/>
        <w:spacing w:before="200" w:after="80"/>
      </w:pPr>
      <w:r>
        <w:rPr>
          <w:b w:val="0"/>
          <w:i w:val="0"/>
        </w:rPr>
        <w:t>NET-B1 — Does transplantation offer enough additional benefit?</w:t>
      </w:r>
    </w:p>
    <w:p>
      <w:pPr>
        <w:spacing w:after="80"/>
      </w:pPr>
      <w:r>
        <w:rPr>
          <w:b w:val="0"/>
          <w:i w:val="0"/>
          <w:color w:val="5A6069"/>
          <w:sz w:val="18"/>
        </w:rPr>
        <w:t>Review expected benefit · not activated · High-risk review</w:t>
      </w:r>
    </w:p>
    <w:p>
      <w:pPr>
        <w:spacing w:after="80"/>
      </w:pPr>
      <w:r>
        <w:rPr>
          <w:b/>
          <w:i w:val="0"/>
        </w:rPr>
        <w:t xml:space="preserve">Question: </w:t>
      </w:r>
      <w:r>
        <w:rPr>
          <w:b w:val="0"/>
          <w:i w:val="0"/>
        </w:rPr>
        <w:t>Which patients gain enough over modern non-LT treatment?</w:t>
      </w:r>
    </w:p>
    <w:p>
      <w:pPr>
        <w:spacing w:after="80"/>
      </w:pPr>
      <w:r>
        <w:rPr>
          <w:b/>
          <w:i w:val="0"/>
        </w:rPr>
        <w:t xml:space="preserve">When it applies: </w:t>
      </w:r>
      <w:r>
        <w:rPr>
          <w:b w:val="0"/>
          <w:i w:val="0"/>
        </w:rPr>
        <w:t>Establish what additional benefit transplantation offers over available treatment or surveillance.</w:t>
      </w:r>
    </w:p>
    <w:p>
      <w:pPr>
        <w:spacing w:after="80"/>
      </w:pPr>
      <w:r>
        <w:rPr>
          <w:b/>
          <w:i w:val="0"/>
        </w:rPr>
        <w:t xml:space="preserve">Where it is decided: </w:t>
      </w:r>
      <w:hyperlink r:id="rId37">
        <w:r>
          <w:rPr>
            <w:color w:val="0563C1"/>
            <w:u w:val="single"/>
          </w:rPr>
          <w:t xml:space="preserve">Compare treatment options</w:t>
        </w:r>
      </w:hyperlink>
    </w:p>
    <w:p>
      <w:pPr>
        <w:spacing w:after="120"/>
      </w:pPr>
      <w:r>
        <w:rPr>
          <w:b/>
          <w:i w:val="0"/>
          <w:sz w:val="18"/>
        </w:rPr>
        <w:t xml:space="preserve">Web page: </w:t>
      </w:r>
      <w:hyperlink r:id="rId45">
        <w:r>
          <w:rPr>
            <w:color w:val="0563C1"/>
            <w:u w:val="single"/>
            <w:sz w:val="18"/>
          </w:rPr>
          <w:t xml:space="preserve">open this question on the website</w:t>
        </w:r>
      </w:hyperlink>
    </w:p>
    <w:p>
      <w:pPr>
        <w:pStyle w:val="Heading3"/>
        <w:keepNext/>
        <w:spacing w:before="120" w:after="80"/>
      </w:pPr>
      <w:r>
        <w:rPr>
          <w:b w:val="0"/>
          <w:i w:val="0"/>
        </w:rPr>
        <w:t>Positions of guidelines, trials and papers</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200"/>
        <w:gridCol w:w="5480"/>
        <w:gridCol w:w="2400"/>
      </w:tblGrid>
      <w:tr>
        <w:trPr>
          <w:tblHeader/>
        </w:trPr>
        <w:tc>
          <w:tcPr>
            <w:tcW w:type="dxa" w:w="3360"/>
            <w:tcW w:w="2200" w:type="dxa"/>
            <w:shd w:val="clear" w:color="auto" w:fill="17365D"/>
          </w:tcPr>
          <w:p>
            <w:r>
              <w:rPr>
                <w:b/>
                <w:i w:val="0"/>
                <w:color w:val="FFFFFF"/>
                <w:sz w:val="19"/>
              </w:rPr>
              <w:t>Source</w:t>
            </w:r>
          </w:p>
        </w:tc>
        <w:tc>
          <w:tcPr>
            <w:tcW w:type="dxa" w:w="3360"/>
            <w:tcW w:w="5480" w:type="dxa"/>
            <w:shd w:val="clear" w:color="auto" w:fill="17365D"/>
          </w:tcPr>
          <w:p>
            <w:r>
              <w:rPr>
                <w:b/>
                <w:i w:val="0"/>
                <w:color w:val="FFFFFF"/>
                <w:sz w:val="19"/>
              </w:rPr>
              <w:t>Position</w:t>
            </w:r>
          </w:p>
        </w:tc>
        <w:tc>
          <w:tcPr>
            <w:tcW w:type="dxa" w:w="3360"/>
            <w:tcW w:w="2400" w:type="dxa"/>
            <w:shd w:val="clear" w:color="auto" w:fill="17365D"/>
          </w:tcPr>
          <w:p>
            <w:r>
              <w:rPr>
                <w:b/>
                <w:i w:val="0"/>
                <w:color w:val="FFFFFF"/>
                <w:sz w:val="19"/>
              </w:rPr>
              <w:t>Where stated</w:t>
            </w:r>
          </w:p>
        </w:tc>
      </w:tr>
      <w:tr>
        <w:trPr>
          <w:cantSplit/>
        </w:trPr>
        <w:tc>
          <w:tcPr>
            <w:tcW w:type="dxa" w:w="3360"/>
            <w:tcW w:w="2200" w:type="dxa"/>
            <w:shd w:val="clear" w:color="auto" w:fill="F1F5F8"/>
          </w:tcPr>
          <w:p>
            <w:pPr>
              <w:spacing w:after="0"/>
            </w:pPr>
            <w:r>
              <w:rPr>
                <w:b/>
                <w:i w:val="0"/>
                <w:sz w:val="19"/>
              </w:rPr>
              <w:t>ENETS 2026</w:t>
            </w:r>
          </w:p>
        </w:tc>
        <w:tc>
          <w:tcPr>
            <w:tcW w:type="dxa" w:w="3360"/>
            <w:tcW w:w="5480" w:type="dxa"/>
            <w:shd w:val="clear" w:color="auto" w:fill="F1F5F8"/>
          </w:tcPr>
          <w:p>
            <w:pPr>
              <w:spacing w:after="0"/>
            </w:pPr>
            <w:r>
              <w:rPr>
                <w:b w:val="0"/>
                <w:i w:val="0"/>
                <w:sz w:val="19"/>
              </w:rPr>
              <w:t>“expert-driven and hypothesis-generating framework (not outcome-validated)” Illustrative survival figures are discussion aids, not calibrated individual eligibility thresholds.</w:t>
            </w:r>
          </w:p>
        </w:tc>
        <w:tc>
          <w:tcPr>
            <w:tcW w:type="dxa" w:w="3360"/>
            <w:tcW w:w="2400" w:type="dxa"/>
            <w:shd w:val="clear" w:color="auto" w:fill="F1F5F8"/>
          </w:tcPr>
          <w:p>
            <w:pPr>
              <w:spacing w:after="0"/>
            </w:pPr>
            <w:r>
              <w:rPr>
                <w:b w:val="0"/>
                <w:i w:val="0"/>
                <w:color w:val="5A6069"/>
                <w:sz w:val="18"/>
              </w:rPr>
              <w:t>2026 full-text PDF p3, transplant-benefit discussion</w:t>
            </w:r>
          </w:p>
        </w:tc>
      </w:tr>
    </w:tbl>
    <w:p>
      <w:pPr>
        <w:spacing w:after="40"/>
      </w:pPr>
    </w:p>
    <w:p>
      <w:pPr>
        <w:pStyle w:val="Heading3"/>
        <w:keepNext/>
        <w:spacing w:before="120" w:after="80"/>
      </w:pPr>
      <w:r>
        <w:rPr>
          <w:b w:val="0"/>
          <w:i w:val="0"/>
        </w:rPr>
        <w:t>Evidence</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000"/>
        <w:gridCol w:w="3900"/>
        <w:gridCol w:w="4180"/>
      </w:tblGrid>
      <w:tr>
        <w:trPr>
          <w:tblHeader/>
        </w:trPr>
        <w:tc>
          <w:tcPr>
            <w:tcW w:type="dxa" w:w="3360"/>
            <w:tcW w:w="2000" w:type="dxa"/>
            <w:shd w:val="clear" w:color="auto" w:fill="17365D"/>
          </w:tcPr>
          <w:p>
            <w:r>
              <w:rPr>
                <w:b/>
                <w:i w:val="0"/>
                <w:color w:val="FFFFFF"/>
                <w:sz w:val="19"/>
              </w:rPr>
              <w:t>Source</w:t>
            </w:r>
          </w:p>
        </w:tc>
        <w:tc>
          <w:tcPr>
            <w:tcW w:type="dxa" w:w="3360"/>
            <w:tcW w:w="3900" w:type="dxa"/>
            <w:shd w:val="clear" w:color="auto" w:fill="17365D"/>
          </w:tcPr>
          <w:p>
            <w:r>
              <w:rPr>
                <w:b/>
                <w:i w:val="0"/>
                <w:color w:val="FFFFFF"/>
                <w:sz w:val="19"/>
              </w:rPr>
              <w:t>Population and selection</w:t>
            </w:r>
          </w:p>
        </w:tc>
        <w:tc>
          <w:tcPr>
            <w:tcW w:type="dxa" w:w="3360"/>
            <w:tcW w:w="4180" w:type="dxa"/>
            <w:shd w:val="clear" w:color="auto" w:fill="17365D"/>
          </w:tcPr>
          <w:p>
            <w:r>
              <w:rPr>
                <w:b/>
                <w:i w:val="0"/>
                <w:color w:val="FFFFFF"/>
                <w:sz w:val="19"/>
              </w:rPr>
              <w:t>Results, limits and location</w:t>
            </w:r>
          </w:p>
        </w:tc>
      </w:tr>
      <w:tr>
        <w:trPr>
          <w:cantSplit/>
        </w:trPr>
        <w:tc>
          <w:tcPr>
            <w:tcW w:type="dxa" w:w="3360"/>
            <w:tcW w:w="2000" w:type="dxa"/>
            <w:shd w:val="clear" w:color="auto" w:fill="F1F5F8"/>
          </w:tcPr>
          <w:p>
            <w:pPr>
              <w:spacing w:after="0"/>
            </w:pPr>
            <w:r>
              <w:rPr>
                <w:b/>
                <w:i w:val="0"/>
                <w:sz w:val="19"/>
              </w:rPr>
              <w:t>Mazzaferro 2016 · Milan-NET</w:t>
            </w:r>
          </w:p>
        </w:tc>
        <w:tc>
          <w:tcPr>
            <w:tcW w:type="dxa" w:w="3360"/>
            <w:tcW w:w="3900" w:type="dxa"/>
            <w:shd w:val="clear" w:color="auto" w:fill="F1F5F8"/>
          </w:tcPr>
          <w:p>
            <w:pPr>
              <w:spacing w:after="0"/>
            </w:pPr>
            <w:r>
              <w:rPr>
                <w:b w:val="0"/>
                <w:i w:val="0"/>
                <w:sz w:val="19"/>
              </w:rPr>
              <w:t>Single-centre comparative Milan-NET study, 88 eligible patients: 42 LT and 46 non-LT, 1995–2010 era, nonrandomized. Well-differentiated portal-drained GEP primary, primary/extrahepatic disease removed, limited hepatic burden, at least six months stability; age &lt;60 was relative. LT recipients were substantially younger (median 40.5 versus 55.5), and post hoc grading differed, including four G3 in non-LT versus none in LT. Primary regional nodes had been positive in 34/42 LT recipients; this is not evidence supporting active uncleared extrahepatic disease at LT.</w:t>
            </w:r>
          </w:p>
        </w:tc>
        <w:tc>
          <w:tcPr>
            <w:tcW w:type="dxa" w:w="3360"/>
            <w:tcW w:w="4180" w:type="dxa"/>
            <w:shd w:val="clear" w:color="auto" w:fill="F1F5F8"/>
          </w:tcPr>
          <w:p>
            <w:pPr>
              <w:spacing w:after="0"/>
            </w:pPr>
            <w:r>
              <w:rPr>
                <w:b w:val="0"/>
                <w:i w:val="0"/>
                <w:sz w:val="19"/>
              </w:rPr>
              <w:t>Median follow-up 122 months. Five-/ten-year OS 97.2%/88.8% LT versus 50.9%/22.4% non-LT. Time origin was primary-tumour resection; authors used left-truncated Cox models to account for delayed LT entry. Propensity-adjusted restricted mean survival gain was 6.82 months at five years and 38.43 months at ten years. These are cohort estimates, not individual calculators.</w:t>
            </w:r>
          </w:p>
          <w:p>
            <w:pPr>
              <w:spacing w:after="0"/>
            </w:pPr>
            <w:r>
              <w:rPr>
                <w:b w:val="0"/>
                <w:i/>
                <w:sz w:val="19"/>
              </w:rPr>
              <w:t>Limits: Major selection/age/treatment-era differences, small numbers and residual confounding remain despite statistical handling of delayed treatment. Only 4/46 non-LT patients received PRRT, so this is not a modern sequential-care comparator. Patients overlap subsequent Milan series and some multicentre LT studies; do not sum them as independent evidence.</w:t>
            </w:r>
          </w:p>
          <w:p>
            <w:pPr>
              <w:spacing w:after="0"/>
            </w:pPr>
            <w:r>
              <w:rPr>
                <w:b w:val="0"/>
                <w:i w:val="0"/>
                <w:color w:val="5A6069"/>
                <w:sz w:val="18"/>
              </w:rPr>
              <w:t>Am J Transplant 2016;16:2892–2902; full PDF Methods statistical time origin/left truncation, Tables 1–2 eligibility/characteristics, survival and restricted-mean analyses.</w:t>
            </w:r>
          </w:p>
        </w:tc>
      </w:tr>
      <w:tr>
        <w:trPr>
          <w:cantSplit/>
        </w:trPr>
        <w:tc>
          <w:tcPr>
            <w:tcW w:type="dxa" w:w="3360"/>
            <w:tcW w:w="2000" w:type="dxa"/>
            <w:shd w:val="clear" w:color="auto" w:fill="FFFFFF"/>
          </w:tcPr>
          <w:p>
            <w:pPr>
              <w:spacing w:after="0"/>
            </w:pPr>
            <w:r>
              <w:rPr>
                <w:b/>
                <w:i w:val="0"/>
                <w:sz w:val="19"/>
              </w:rPr>
              <w:t>Eshmuminov 2023 · LT versus resection</w:t>
            </w:r>
          </w:p>
        </w:tc>
        <w:tc>
          <w:tcPr>
            <w:tcW w:type="dxa" w:w="3360"/>
            <w:tcW w:w="3900" w:type="dxa"/>
            <w:shd w:val="clear" w:color="auto" w:fill="FFFFFF"/>
          </w:tcPr>
          <w:p>
            <w:pPr>
              <w:spacing w:after="0"/>
            </w:pPr>
            <w:r>
              <w:rPr>
                <w:b w:val="0"/>
                <w:i w:val="0"/>
                <w:sz w:val="19"/>
              </w:rPr>
              <w:t>International retrospective comparison from 15 centres, 1988–2021: 455 patients (225 LT, 230 liver resection); median follow-up 97 months. Propensity matching produced 96 patients per group. Surgically selected patients, matched on age, grade and primary location. Twenty-seven percent of LT cases had unknown grade; burden, era and treatment history remain imperfectly controlled. Resection and LT do not necessarily address anatomically interchangeable patients.</w:t>
            </w:r>
          </w:p>
        </w:tc>
        <w:tc>
          <w:tcPr>
            <w:tcW w:type="dxa" w:w="3360"/>
            <w:tcW w:w="4180" w:type="dxa"/>
            <w:shd w:val="clear" w:color="auto" w:fill="FFFFFF"/>
          </w:tcPr>
          <w:p>
            <w:pPr>
              <w:spacing w:after="0"/>
            </w:pPr>
            <w:r>
              <w:rPr>
                <w:b w:val="0"/>
                <w:i w:val="0"/>
                <w:sz w:val="19"/>
              </w:rPr>
              <w:t>Use main Results p.e1067/Table 4: matched five-year OS 75% LT versus 68.3% LR, HR 0.56 (95% CI 0.35–0.90); five-year PFS 64.2% versus 14.2%, HR 0.25 (0.16–0.39), measured from operation. Ninety-day deaths 13/225 LT (5.8%) versus 3/230 LR (1.3%). LT G1 versus G2 five-year OS 92.9% versus 70%; adjusted G2 HR 2.52 (1.15–5.52). Outside-Milan matched OS HR 0.64 (0.31–1.33), not statistically conclusive.</w:t>
            </w:r>
          </w:p>
          <w:p>
            <w:pPr>
              <w:spacing w:after="0"/>
            </w:pPr>
            <w:r>
              <w:rPr>
                <w:b w:val="0"/>
                <w:i/>
                <w:sz w:val="19"/>
              </w:rPr>
              <w:t>Limits: Material abstract/body discrepancy: abstract reports matched five-year OS 73% versus 52.8%, whereas main Results/Table 4 report 75% versus 68.3%. The latter is used with explicit discrepancy flag; clarification would be desirable. Matching does not remove unmeasured confounding, missing pathology, era or selection bias. The nonsignificant outside-Milan estimate does not prove no benefit, and ten G3 cases do not validate G3 LT. Overlaps centre cohorts including Milan.</w:t>
            </w:r>
          </w:p>
          <w:p>
            <w:pPr>
              <w:spacing w:after="0"/>
            </w:pPr>
            <w:r>
              <w:rPr>
                <w:b w:val="0"/>
                <w:i w:val="0"/>
                <w:color w:val="5A6069"/>
                <w:sz w:val="18"/>
              </w:rPr>
              <w:t>Ann Surg 2023 DOI10.1097/SLA.0000000000005663; PDF main Results printed p.e1067/Table 4 for matched outcomes; earlier Tables 1–3 for grade and mortality; abstract on first page differs.</w:t>
            </w:r>
          </w:p>
        </w:tc>
      </w:tr>
      <w:tr>
        <w:trPr>
          <w:cantSplit/>
        </w:trPr>
        <w:tc>
          <w:tcPr>
            <w:tcW w:type="dxa" w:w="3360"/>
            <w:tcW w:w="2000" w:type="dxa"/>
            <w:shd w:val="clear" w:color="auto" w:fill="F1F5F8"/>
          </w:tcPr>
          <w:p>
            <w:pPr>
              <w:spacing w:after="0"/>
            </w:pPr>
            <w:r>
              <w:rPr>
                <w:b/>
                <w:i w:val="0"/>
                <w:sz w:val="19"/>
              </w:rPr>
              <w:t>Maspero 2022 · Milan long-term</w:t>
            </w:r>
          </w:p>
        </w:tc>
        <w:tc>
          <w:tcPr>
            <w:tcW w:type="dxa" w:w="3360"/>
            <w:tcW w:w="3900" w:type="dxa"/>
            <w:shd w:val="clear" w:color="auto" w:fill="F1F5F8"/>
          </w:tcPr>
          <w:p>
            <w:pPr>
              <w:spacing w:after="0"/>
            </w:pPr>
            <w:r>
              <w:rPr>
                <w:b w:val="0"/>
                <w:i w:val="0"/>
                <w:sz w:val="19"/>
              </w:rPr>
              <w:t>Retrospective Milan single-centre series, 1984–2019: 149 liver operations (53 LT, 96 LR), with 104 Milan-eligible cases analysed (48 LT, 56 LR). Portal-drained G1/G2 primary previously resected, no extrahepatic disease, &lt;50% hepatic involvement, at least six months stable disease, age &lt;60 relative. LT and resection had different resectability/age indications. Minimum six-month follow-up inclusion needs care when interpreting early risk; this is not an all-referral cohort.</w:t>
            </w:r>
          </w:p>
        </w:tc>
        <w:tc>
          <w:tcPr>
            <w:tcW w:type="dxa" w:w="3360"/>
            <w:tcW w:w="4180" w:type="dxa"/>
            <w:shd w:val="clear" w:color="auto" w:fill="F1F5F8"/>
          </w:tcPr>
          <w:p>
            <w:pPr>
              <w:spacing w:after="0"/>
            </w:pPr>
            <w:r>
              <w:rPr>
                <w:b w:val="0"/>
                <w:i w:val="0"/>
                <w:sz w:val="19"/>
              </w:rPr>
              <w:t>Time zero liver operation; median follow-up 158 months LT and 126 LR. Five-year OS 95.5% versus 90%; ten-year OS 93% versus 75%. Ten-year DFS 52% versus 18%; recurrence 25/48 versus 42/56 and median recurrence time 78 versus 24 months. LT recurrence was more often multisite; LR recurrence predominantly liver. Nine LT deaths included three cancer and six non-cancer deaths, including new malignancy, sepsis/lymphoproliferative and cardiovascular causes.</w:t>
            </w:r>
          </w:p>
          <w:p>
            <w:pPr>
              <w:spacing w:after="0"/>
            </w:pPr>
            <w:r>
              <w:rPr>
                <w:b w:val="0"/>
                <w:i/>
                <w:sz w:val="19"/>
              </w:rPr>
              <w:t>Limits: Not randomized or anatomically exchangeable; prolonged selected follow-up and differing age can favor LT. Strong overlap with 2016 Milan-NET makes it long-term/alternative-comparator information, not independent confirmation. Late recurrence and immunosuppression-related competing causes matter even with excellent survival.</w:t>
            </w:r>
          </w:p>
          <w:p>
            <w:pPr>
              <w:spacing w:after="0"/>
            </w:pPr>
            <w:r>
              <w:rPr>
                <w:b w:val="0"/>
                <w:i w:val="0"/>
                <w:color w:val="5A6069"/>
                <w:sz w:val="18"/>
              </w:rPr>
              <w:t>Am J Transplant 2022 DOI10.1111/ajt.17156; complete PDF pp.2–4 methods/time origin/cohort; later survival figures, recurrence table and Discussion.</w:t>
            </w:r>
          </w:p>
        </w:tc>
      </w:tr>
      <w:tr>
        <w:trPr>
          <w:cantSplit/>
        </w:trPr>
        <w:tc>
          <w:tcPr>
            <w:tcW w:type="dxa" w:w="3360"/>
            <w:tcW w:w="2000" w:type="dxa"/>
            <w:shd w:val="clear" w:color="auto" w:fill="FFFFFF"/>
          </w:tcPr>
          <w:p>
            <w:pPr>
              <w:spacing w:after="0"/>
            </w:pPr>
            <w:r>
              <w:rPr>
                <w:b/>
                <w:i w:val="0"/>
                <w:sz w:val="19"/>
              </w:rPr>
              <w:t>Kjaer 2023 · eligible non-LT panNET</w:t>
            </w:r>
          </w:p>
        </w:tc>
        <w:tc>
          <w:tcPr>
            <w:tcW w:type="dxa" w:w="3360"/>
            <w:tcW w:w="3900" w:type="dxa"/>
            <w:shd w:val="clear" w:color="auto" w:fill="FFFFFF"/>
          </w:tcPr>
          <w:p>
            <w:pPr>
              <w:spacing w:after="0"/>
            </w:pPr>
            <w:r>
              <w:rPr>
                <w:b w:val="0"/>
                <w:i w:val="0"/>
                <w:sz w:val="19"/>
              </w:rPr>
              <w:t>Single-centre retrospective non-LT panNET cohort, 2000–2021: 519 screened, 41 G1/G2 metastatic patients included; 16 met at least one historical LT framework (Milan 11, ENETS 8, UNOS 13, overlapping). Resected primary, liver metastases, no extra-abdominal disease, age ≤75 and no G3. Definitions modified historical criteria, including Milan age &lt;65 and two 'UNOS' patients with stable regional nodes, so not all meet today's NLRB requirements. Multimodal care included five liver resections, 15 ablations, six embolizations and later-line PRRT, not purely medical therapy.</w:t>
            </w:r>
          </w:p>
        </w:tc>
        <w:tc>
          <w:tcPr>
            <w:tcW w:type="dxa" w:w="3360"/>
            <w:tcW w:w="4180" w:type="dxa"/>
            <w:shd w:val="clear" w:color="auto" w:fill="FFFFFF"/>
          </w:tcPr>
          <w:p>
            <w:pPr>
              <w:spacing w:after="0"/>
            </w:pPr>
            <w:r>
              <w:rPr>
                <w:b w:val="0"/>
                <w:i w:val="0"/>
                <w:sz w:val="19"/>
              </w:rPr>
              <w:t>Time zero was date LT criteria fulfilled (for remaining patients, initial institutional visit after primary resection with liver metastases). Mean follow-up 5.4 years. Overall 41-patient median OS 9.3 years; five-year OS 64.7% (95% CI 48.2–81.2). Milan subset five-year OS 64.9% (32.2–97.6), ENETS 85.7% (59.8–100), historical UNOS 55.4% (26.0–84.8).</w:t>
            </w:r>
          </w:p>
          <w:p>
            <w:pPr>
              <w:spacing w:after="0"/>
            </w:pPr>
            <w:r>
              <w:rPr>
                <w:b w:val="0"/>
                <w:i/>
                <w:sz w:val="19"/>
              </w:rPr>
              <w:t>Limits: Small retrospective selected subgroups with very wide intervals; no internal LT comparator and treatment-era limitations. It challenges the assumption that eligible stage IV NET has uniformly poor non-LT survival; it cannot prove that non-LT is superior to LT. Avoid comparing its eligibility-based survival directly with post-LT curves as if randomized.</w:t>
            </w:r>
          </w:p>
          <w:p>
            <w:pPr>
              <w:spacing w:after="0"/>
            </w:pPr>
            <w:r>
              <w:rPr>
                <w:b w:val="0"/>
                <w:i w:val="0"/>
                <w:color w:val="5A6069"/>
                <w:sz w:val="18"/>
              </w:rPr>
              <w:t>World J Surg 2023 DOI10.1007/s00268-022-06736-1; complete PDF pp.2–5 methods, time origin, eligibility modifications, treatments and survival tables.</w:t>
            </w:r>
          </w:p>
        </w:tc>
      </w:tr>
      <w:tr>
        <w:trPr>
          <w:cantSplit/>
        </w:trPr>
        <w:tc>
          <w:tcPr>
            <w:tcW w:type="dxa" w:w="3360"/>
            <w:tcW w:w="2000" w:type="dxa"/>
            <w:shd w:val="clear" w:color="auto" w:fill="F1F5F8"/>
          </w:tcPr>
          <w:p>
            <w:pPr>
              <w:spacing w:after="0"/>
            </w:pPr>
            <w:r>
              <w:rPr>
                <w:b/>
                <w:i w:val="0"/>
                <w:sz w:val="19"/>
              </w:rPr>
              <w:t>Chan 2025 · CABINET</w:t>
            </w:r>
          </w:p>
        </w:tc>
        <w:tc>
          <w:tcPr>
            <w:tcW w:type="dxa" w:w="3360"/>
            <w:tcW w:w="3900" w:type="dxa"/>
            <w:shd w:val="clear" w:color="auto" w:fill="F1F5F8"/>
          </w:tcPr>
          <w:p>
            <w:pPr>
              <w:spacing w:after="0"/>
            </w:pPr>
            <w:r>
              <w:rPr>
                <w:b w:val="0"/>
                <w:i w:val="0"/>
                <w:sz w:val="19"/>
              </w:rPr>
              <w:t>CABINET double-blind phase III randomized trial, 298 previously treated progressive well-differentiated NET patients: independent extrapancreatic cohort n=203 and pancreatic cohort n=95, 2:1 cabozantinib versus placebo. Prior PRRT and/or targeted therapy; advanced progressive disease, not specifically liver-only Milan-eligible transplant candidates. Different disease strata and prior-treatment burden preclude direct comparison with LT series.</w:t>
            </w:r>
          </w:p>
        </w:tc>
        <w:tc>
          <w:tcPr>
            <w:tcW w:type="dxa" w:w="3360"/>
            <w:tcW w:w="4180" w:type="dxa"/>
            <w:shd w:val="clear" w:color="auto" w:fill="F1F5F8"/>
          </w:tcPr>
          <w:p>
            <w:pPr>
              <w:spacing w:after="0"/>
            </w:pPr>
            <w:r>
              <w:rPr>
                <w:b w:val="0"/>
                <w:i w:val="0"/>
                <w:sz w:val="19"/>
              </w:rPr>
              <w:t>Time zero randomization. Median PFS 8.4 versus 3.9 months in extrapancreatic NET (HR 0.38, 95% CI 0.25–0.59), 13.8 versus 4.4 months in panNET (HR 0.23, 0.12–0.42). Objective response 5% and 19% in respective cabozantinib cohorts versus 0% placebo. Grade ≥3 adverse events approximately 62–65% versus 23–27%. The primary report does not establish an LT-comparable OS benefit.</w:t>
            </w:r>
          </w:p>
          <w:p>
            <w:pPr>
              <w:spacing w:after="0"/>
            </w:pPr>
            <w:r>
              <w:rPr>
                <w:b w:val="0"/>
                <w:i/>
                <w:sz w:val="19"/>
              </w:rPr>
              <w:t>Limits: High-quality evidence for this systemic-treatment setting, indirect for transplant benefit. A treatment's availability does not mean every candidate must receive it before LT, and its toxicities/tempo must enter individualized comparison. PFS is not OS and placebo control does not represent an entire modern lifetime sequence.</w:t>
            </w:r>
          </w:p>
          <w:p>
            <w:pPr>
              <w:spacing w:after="0"/>
            </w:pPr>
            <w:r>
              <w:rPr>
                <w:b w:val="0"/>
                <w:i w:val="0"/>
                <w:color w:val="5A6069"/>
                <w:sz w:val="18"/>
              </w:rPr>
              <w:t>N Engl J Med 2025;392:653–665, online 2024; local complete PDF Methods, primary Results, response and safety tables.</w:t>
            </w:r>
          </w:p>
        </w:tc>
      </w:tr>
      <w:tr>
        <w:trPr>
          <w:cantSplit/>
        </w:trPr>
        <w:tc>
          <w:tcPr>
            <w:tcW w:type="dxa" w:w="3360"/>
            <w:tcW w:w="2000" w:type="dxa"/>
            <w:shd w:val="clear" w:color="auto" w:fill="FFFFFF"/>
          </w:tcPr>
          <w:p>
            <w:pPr>
              <w:spacing w:after="0"/>
            </w:pPr>
            <w:r>
              <w:rPr>
                <w:b/>
                <w:i w:val="0"/>
                <w:sz w:val="19"/>
              </w:rPr>
              <w:t>Caplin 2014 · CLARINET</w:t>
            </w:r>
          </w:p>
        </w:tc>
        <w:tc>
          <w:tcPr>
            <w:tcW w:type="dxa" w:w="3360"/>
            <w:tcW w:w="3900" w:type="dxa"/>
            <w:shd w:val="clear" w:color="auto" w:fill="FFFFFF"/>
          </w:tcPr>
          <w:p>
            <w:pPr>
              <w:spacing w:after="0"/>
            </w:pPr>
            <w:r>
              <w:rPr>
                <w:b w:val="0"/>
                <w:i w:val="0"/>
                <w:sz w:val="19"/>
              </w:rPr>
              <w:t>CLARINET randomized double-blind trial, 204 nonfunctioning advanced enteropancreatic NET patients (101 lanreotide, 103 placebo). SSTR-positive G1/G2 with Ki-67 &lt;10%; 96% had stable disease over the prior 3–6 months; one-third had hepatic burden &gt;25%. It represents indolent disease biology, not all progressive transplant candidates.</w:t>
            </w:r>
          </w:p>
        </w:tc>
        <w:tc>
          <w:tcPr>
            <w:tcW w:type="dxa" w:w="3360"/>
            <w:tcW w:w="4180" w:type="dxa"/>
            <w:shd w:val="clear" w:color="auto" w:fill="FFFFFF"/>
          </w:tcPr>
          <w:p>
            <w:pPr>
              <w:spacing w:after="0"/>
            </w:pPr>
            <w:r>
              <w:rPr>
                <w:b w:val="0"/>
                <w:i w:val="0"/>
                <w:sz w:val="19"/>
              </w:rPr>
              <w:t>From randomization, median PFS not reached with lanreotide versus 18 months placebo; HR 0.47 (95% CI 0.30–0.73). Twenty-four-month PFS 65.1% versus 33.0%. No significant OS or QoL difference in the primary report. Diarrhea 26% versus 9%.</w:t>
            </w:r>
          </w:p>
          <w:p>
            <w:pPr>
              <w:spacing w:after="0"/>
            </w:pPr>
            <w:r>
              <w:rPr>
                <w:b w:val="0"/>
                <w:i/>
                <w:sz w:val="19"/>
              </w:rPr>
              <w:t>Limits: Shows that stability and substantial survival without LT are plausible; does not estimate the added benefit of transplant or support treating all stable low-burden NET. G2 up to 20% and G3 are not represented by this &lt;10% trial threshold.</w:t>
            </w:r>
          </w:p>
          <w:p>
            <w:pPr>
              <w:spacing w:after="0"/>
            </w:pPr>
            <w:r>
              <w:rPr>
                <w:b w:val="0"/>
                <w:i w:val="0"/>
                <w:color w:val="5A6069"/>
                <w:sz w:val="18"/>
              </w:rPr>
              <w:t>N Engl J Med 2014;371:224–233; local complete PDF eligibility, Results and adverse-event table.</w:t>
            </w:r>
          </w:p>
        </w:tc>
      </w:tr>
      <w:tr>
        <w:trPr>
          <w:cantSplit/>
        </w:trPr>
        <w:tc>
          <w:tcPr>
            <w:tcW w:type="dxa" w:w="3360"/>
            <w:tcW w:w="2000" w:type="dxa"/>
            <w:shd w:val="clear" w:color="auto" w:fill="F1F5F8"/>
          </w:tcPr>
          <w:p>
            <w:pPr>
              <w:spacing w:after="0"/>
            </w:pPr>
            <w:r>
              <w:rPr>
                <w:b/>
                <w:i w:val="0"/>
                <w:sz w:val="19"/>
              </w:rPr>
              <w:t>Strosberg 2021 · NETTER-1 final OS</w:t>
            </w:r>
          </w:p>
        </w:tc>
        <w:tc>
          <w:tcPr>
            <w:tcW w:type="dxa" w:w="3360"/>
            <w:tcW w:w="3900" w:type="dxa"/>
            <w:shd w:val="clear" w:color="auto" w:fill="F1F5F8"/>
          </w:tcPr>
          <w:p>
            <w:pPr>
              <w:spacing w:after="0"/>
            </w:pPr>
            <w:r>
              <w:rPr>
                <w:b w:val="0"/>
                <w:i w:val="0"/>
                <w:sz w:val="19"/>
              </w:rPr>
              <w:t>NETTER-1 phase III randomized trial final OS follow-up: 360 assessed, 231 randomized (117 Lu-177-Dotatate, 114 high-dose octreotide), 223 treated in safety population. Progressive, well-differentiated G1/G2 SSTR-positive midgut NET on somatostatin analogue; not a liver-only transplant comparison. Corrected publisher version dated January 2022 reviewed.</w:t>
            </w:r>
          </w:p>
        </w:tc>
        <w:tc>
          <w:tcPr>
            <w:tcW w:type="dxa" w:w="3360"/>
            <w:tcW w:w="4180" w:type="dxa"/>
            <w:shd w:val="clear" w:color="auto" w:fill="F1F5F8"/>
          </w:tcPr>
          <w:p>
            <w:pPr>
              <w:spacing w:after="0"/>
            </w:pPr>
            <w:r>
              <w:rPr>
                <w:b w:val="0"/>
                <w:i w:val="0"/>
                <w:sz w:val="19"/>
              </w:rPr>
              <w:t>Time zero randomization; median follow-up about 76 months. Median OS 48.0 versus 36.3 months, HR 0.84 (95% CI 0.60–1.17), P=0.30; primary final OS endpoint not met. Forty-one of 114 controls (36%) crossed to PRRT. Two of 111 Lu-treated safety patients developed myelodysplastic syndrome, one fatal. Previously established PFS benefit and long-term tolerability remain relevant despite nonsignificant OS.</w:t>
            </w:r>
          </w:p>
          <w:p>
            <w:pPr>
              <w:spacing w:after="0"/>
            </w:pPr>
            <w:r>
              <w:rPr>
                <w:b w:val="0"/>
                <w:i/>
                <w:sz w:val="19"/>
              </w:rPr>
              <w:t>Limits: Crossover, additional therapies, attrition and distinct population prevent using median OS as a transplant counterfactual. Do not equate nonsignificant OS with no clinical activity, or assume PRRT has no long-term marrow risk.</w:t>
            </w:r>
          </w:p>
          <w:p>
            <w:pPr>
              <w:spacing w:after="0"/>
            </w:pPr>
            <w:r>
              <w:rPr>
                <w:b w:val="0"/>
                <w:i w:val="0"/>
                <w:color w:val="5A6069"/>
                <w:sz w:val="18"/>
              </w:rPr>
              <w:t>Lancet Oncol 2021;22:1752–1763; local corrected PDF pp.5–6 participant flow/crossover/OS; safety Results and Discussion.</w:t>
            </w:r>
          </w:p>
        </w:tc>
      </w:tr>
      <w:tr>
        <w:trPr>
          <w:cantSplit/>
        </w:trPr>
        <w:tc>
          <w:tcPr>
            <w:tcW w:type="dxa" w:w="3360"/>
            <w:tcW w:w="2000" w:type="dxa"/>
            <w:shd w:val="clear" w:color="auto" w:fill="FFFFFF"/>
          </w:tcPr>
          <w:p>
            <w:pPr>
              <w:spacing w:after="0"/>
            </w:pPr>
            <w:r>
              <w:rPr>
                <w:b/>
                <w:i w:val="0"/>
                <w:sz w:val="19"/>
              </w:rPr>
              <w:t>ENETS 2026</w:t>
            </w:r>
          </w:p>
        </w:tc>
        <w:tc>
          <w:tcPr>
            <w:tcW w:type="dxa" w:w="3360"/>
            <w:tcW w:w="3900" w:type="dxa"/>
            <w:shd w:val="clear" w:color="auto" w:fill="FFFFFF"/>
          </w:tcPr>
          <w:p>
            <w:pPr>
              <w:spacing w:after="0"/>
            </w:pPr>
            <w:r>
              <w:rPr>
                <w:b w:val="0"/>
                <w:i w:val="0"/>
                <w:sz w:val="19"/>
              </w:rPr>
              <w:t>ENETS 2026 position statement explicitly addressing controversies; expert, hypothesis-generating framework rather than original comparative outcome study. Reorients toward incremental benefit and proposes substantial liver burden, young/fit patients and selected controllable extrahepatic disease; broadens beyond traditional Milan in some respects.</w:t>
            </w:r>
          </w:p>
        </w:tc>
        <w:tc>
          <w:tcPr>
            <w:tcW w:type="dxa" w:w="3360"/>
            <w:tcW w:w="4180" w:type="dxa"/>
            <w:shd w:val="clear" w:color="auto" w:fill="FFFFFF"/>
          </w:tcPr>
          <w:p>
            <w:pPr>
              <w:spacing w:after="0"/>
            </w:pPr>
            <w:r>
              <w:rPr>
                <w:b w:val="0"/>
                <w:i w:val="0"/>
                <w:sz w:val="19"/>
              </w:rPr>
              <w:t>No original outcome denominator. Proposed liver-burden bands around 25–70%, age &lt;60 as relative and six-month stability are pragmatic concepts. Illustrative non-LT five-year survival &lt;30% versus post-LT ≥70% are not a calibrated individual benefit model.</w:t>
            </w:r>
          </w:p>
          <w:p>
            <w:pPr>
              <w:spacing w:after="0"/>
            </w:pPr>
            <w:r>
              <w:rPr>
                <w:b w:val="0"/>
                <w:i/>
                <w:sz w:val="19"/>
              </w:rPr>
              <w:t>Limits: Do not turn an expert future-oriented proposal into validated numerical gates. Suggested controllable extrahepatic disease, including bone, conflicts with current NLRB solid-organ-metastasis exclusion. It identifies research needs rather than approving an expansion.</w:t>
            </w:r>
          </w:p>
          <w:p>
            <w:pPr>
              <w:spacing w:after="0"/>
            </w:pPr>
            <w:r>
              <w:rPr>
                <w:b w:val="0"/>
                <w:i w:val="0"/>
                <w:color w:val="5A6069"/>
                <w:sz w:val="18"/>
              </w:rPr>
              <w:t>J Neuroendocrinol 2026;38:e70250; complete position-statement PDF burden, benefit, age, stability and extrahepatic discussion.</w:t>
            </w:r>
          </w:p>
        </w:tc>
      </w:tr>
    </w:tbl>
    <w:p>
      <w:pPr>
        <w:spacing w:after="40"/>
      </w:pPr>
    </w:p>
    <w:p>
      <w:pPr>
        <w:pStyle w:val="Heading3"/>
        <w:keepNext/>
        <w:spacing w:before="120" w:after="80"/>
      </w:pPr>
      <w:r>
        <w:rPr>
          <w:b w:val="0"/>
          <w:i w:val="0"/>
        </w:rPr>
        <w:t>Our proposed selection (OPEN)</w:t>
      </w:r>
    </w:p>
    <w:p>
      <w:pPr>
        <w:spacing w:after="80"/>
      </w:pPr>
      <w:r>
        <w:rPr>
          <w:b w:val="0"/>
          <w:i w:val="0"/>
        </w:rPr>
        <w:t>Require a demonstrable benefit trigger; excellent predicted post-LT survival alone is not enough.</w:t>
      </w:r>
    </w:p>
    <w:p>
      <w:pPr>
        <w:numPr>
          <w:ilvl w:val="0"/>
          <w:numId w:val="5"/>
        </w:numPr>
        <w:spacing w:after="40"/>
      </w:pPr>
      <w:r>
        <w:rPr>
          <w:b w:val="0"/>
          <w:i w:val="0"/>
        </w:rPr>
        <w:t>Proposed requirements: favorable-biology unresectable liver disease with controlled primary, plus at least one trigger—refractory functioning syndrome, clinically meaningful liver-related functional compromise, or a prospectively documented credible threat to durable hepatic control despite reasonable alternatives. Do not require established irreversible failure before assessing benefit.</w:t>
      </w:r>
    </w:p>
    <w:p>
      <w:pPr>
        <w:numPr>
          <w:ilvl w:val="0"/>
          <w:numId w:val="5"/>
        </w:numPr>
        <w:spacing w:after="40"/>
      </w:pPr>
      <w:r>
        <w:rPr>
          <w:b w:val="0"/>
          <w:i w:val="0"/>
        </w:rPr>
        <w:t>NET oncology and an independent transplant/HPB reviewer must agree that LT offers meaningful additional survival or symptom/function benefit over the patient’s accessible options, with B2 biological stability satisfied.</w:t>
      </w:r>
    </w:p>
    <w:p>
      <w:pPr>
        <w:numPr>
          <w:ilvl w:val="0"/>
          <w:numId w:val="5"/>
        </w:numPr>
        <w:spacing w:after="40"/>
      </w:pPr>
      <w:r>
        <w:rPr>
          <w:b w:val="0"/>
          <w:i w:val="0"/>
        </w:rPr>
        <w:t>Asymptomatic stable low-burden disease with preserved hepatic function and reasonable durable options defaults to continued non-LT care/observation. Evaluate at least one appropriate treatment strategy; do not require two failures or exhaustion of every therapy. Do not use ENETS illustrative &lt;30%/≥70% figures as a validated calculator.</w:t>
      </w:r>
    </w:p>
    <w:p>
      <w:pPr>
        <w:spacing w:after="80"/>
      </w:pPr>
      <w:r>
        <w:rPr>
          <w:b/>
          <w:i w:val="0"/>
        </w:rPr>
        <w:t xml:space="preserve">Why: </w:t>
      </w:r>
      <w:r>
        <w:rPr>
          <w:b w:val="0"/>
          <w:i w:val="0"/>
        </w:rPr>
        <w:t>Selected NET recipients can have excellent long-term survival, and comparative cohorts suggest potential benefit, especially over a decade. However, good post-LT survival is not synonymous with large incremental benefit: non-LT eligible patients can also live many years. The best Milan comparison adjusted delayed LT entry but remains confounded and predates most modern sequencing. The multicentre main-body matched OS difference is smaller than its abstract suggests. A credible benefit assessment must include both long-term hepatic threat and competing treatment/transplant harms.</w:t>
      </w:r>
    </w:p>
    <w:p>
      <w:pPr>
        <w:spacing w:after="80"/>
      </w:pPr>
      <w:r>
        <w:rPr>
          <w:b/>
          <w:i w:val="0"/>
        </w:rPr>
        <w:t xml:space="preserve">Against, or uncertain: </w:t>
      </w:r>
      <w:r>
        <w:rPr>
          <w:b w:val="0"/>
          <w:i w:val="0"/>
        </w:rPr>
        <w:t>Kjaer's eligibility-based non-LT cohort had substantial long-term survival; CLARINET supports prolonged control for indolent Ki-67 &lt;10% disease. CABINET and PRRT offer additional disease-control options, but none is a randomized comparator to LT. Conversely, requiring every systemic option to fail may forfeit the transplant window and is not tested. Maspero documents late multisite recurrence and non-cancer deaths despite excellent LT survival.</w:t>
      </w:r>
    </w:p>
    <w:p>
      <w:pPr>
        <w:spacing w:after="80"/>
      </w:pPr>
      <w:r>
        <w:rPr>
          <w:b/>
          <w:i w:val="0"/>
        </w:rPr>
        <w:t xml:space="preserve">Certainty: </w:t>
      </w:r>
      <w:r>
        <w:rPr>
          <w:b w:val="0"/>
          <w:i w:val="0"/>
        </w:rPr>
        <w:t>Low certainty for a causal LT benefit magnitude and any individual benefit cutoff; moderate certainty that NET biology and modern alternatives vary greatly. High-quality systemic-trial efficacy is indirect for transplant selection. No validated calculator supports the ENETS illustrative 30%/70% survival targets.</w:t>
      </w:r>
    </w:p>
    <w:p>
      <w:pPr>
        <w:spacing w:after="80"/>
      </w:pPr>
      <w:r>
        <w:rPr>
          <w:b/>
          <w:i w:val="0"/>
        </w:rPr>
        <w:t xml:space="preserve">Tests and records: </w:t>
      </w:r>
      <w:r>
        <w:rPr>
          <w:b w:val="0"/>
          <w:i w:val="0"/>
        </w:rPr>
        <w:t>Functional syndrome and treatment response; symptoms/liver reserve; growth trajectory; SSTR status and treatment alternatives; patient goals; independent benefit review.</w:t>
      </w:r>
    </w:p>
    <w:p>
      <w:pPr>
        <w:spacing w:after="80"/>
      </w:pPr>
      <w:r>
        <w:rPr>
          <w:b/>
          <w:i w:val="0"/>
        </w:rPr>
        <w:t xml:space="preserve">Allocation: </w:t>
      </w:r>
      <w:r>
        <w:rPr>
          <w:b w:val="0"/>
          <w:i w:val="0"/>
        </w:rPr>
        <w:t>Favorable clinical prognosis does not establish urgency, exception entitlement or a reason to expose a healthy donor.</w:t>
      </w:r>
    </w:p>
    <w:p>
      <w:pPr>
        <w:spacing w:after="40"/>
      </w:pPr>
      <w:r>
        <w:rPr>
          <w:b/>
          <w:i w:val="0"/>
        </w:rPr>
        <w:t xml:space="preserve">Basis for the proposed thresholds: </w:t>
      </w:r>
    </w:p>
    <w:p>
      <w:pPr>
        <w:numPr>
          <w:ilvl w:val="0"/>
          <w:numId w:val="5"/>
        </w:numPr>
        <w:spacing w:after="40"/>
      </w:pPr>
      <w:r>
        <w:rPr>
          <w:b w:val="0"/>
          <w:i w:val="0"/>
        </w:rPr>
        <w:t>No randomized study validates a minimum survival-gain percentage, two-line failure count, or ENETS &lt;30% versus ≥70% prediction. Six-month observation screens biology but does not prove added benefit. Any local two-reviewer requirement and reassessment cadence are governance, not biological cutoffs.</w:t>
      </w:r>
    </w:p>
    <w:p>
      <w:pPr>
        <w:pStyle w:val="Heading3"/>
        <w:keepNext/>
        <w:spacing w:before="120" w:after="80"/>
      </w:pPr>
      <w:r>
        <w:rPr>
          <w:b w:val="0"/>
          <w:i w:val="0"/>
        </w:rPr>
        <w:t>NET-B1 — group decision</w:t>
      </w:r>
    </w:p>
    <w:p>
      <w:pPr>
        <w:spacing w:after="0"/>
      </w:pPr>
      <w:r>
        <w:rPr>
          <w:b/>
          <w:i w:val="0"/>
        </w:rPr>
        <w:t xml:space="preserve">Accepted position (or alternative chosen): </w:t>
      </w:r>
    </w:p>
    <w:p>
      <w:pPr>
        <w:spacing w:after="200"/>
        <w:pBdr>
          <w:bottom w:val="single" w:sz="6" w:space="1" w:color="9AA8B4"/>
        </w:pBdr>
      </w:pPr>
    </w:p>
    <w:p>
      <w:pPr>
        <w:spacing w:after="0"/>
      </w:pPr>
      <w:r>
        <w:rPr>
          <w:b/>
          <w:i w:val="0"/>
        </w:rPr>
        <w:t xml:space="preserve">Rationale, dissent and exceptions: </w:t>
      </w:r>
    </w:p>
    <w:p>
      <w:pPr>
        <w:spacing w:after="200"/>
        <w:pBdr>
          <w:bottom w:val="single" w:sz="6" w:space="1" w:color="9AA8B4"/>
        </w:pBdr>
      </w:pPr>
    </w:p>
    <w:p>
      <w:pPr>
        <w:spacing w:after="0"/>
      </w:pPr>
      <w:r>
        <w:rPr>
          <w:b/>
          <w:i w:val="0"/>
        </w:rPr>
        <w:t xml:space="preserve">Owner · approval date · implementation date: </w:t>
      </w:r>
    </w:p>
    <w:p>
      <w:pPr>
        <w:spacing w:after="200"/>
        <w:pBdr>
          <w:bottom w:val="single" w:sz="6" w:space="1" w:color="9AA8B4"/>
        </w:pBdr>
      </w:pPr>
    </w:p>
    <w:p>
      <w:pPr>
        <w:pStyle w:val="Heading2"/>
        <w:keepNext/>
        <w:spacing w:before="200" w:after="80"/>
      </w:pPr>
      <w:r>
        <w:rPr>
          <w:b w:val="0"/>
          <w:i w:val="0"/>
        </w:rPr>
        <w:t>NET-B2 — Primary site, grade and disease control</w:t>
      </w:r>
    </w:p>
    <w:p>
      <w:pPr>
        <w:spacing w:after="80"/>
      </w:pPr>
      <w:r>
        <w:rPr>
          <w:b w:val="0"/>
          <w:i w:val="0"/>
          <w:color w:val="5A6069"/>
          <w:sz w:val="18"/>
        </w:rPr>
        <w:t>Review initial selection limits · not activated · High-risk review</w:t>
      </w:r>
    </w:p>
    <w:p>
      <w:pPr>
        <w:spacing w:after="80"/>
      </w:pPr>
      <w:r>
        <w:rPr>
          <w:b/>
          <w:i w:val="0"/>
        </w:rPr>
        <w:t xml:space="preserve">Question: </w:t>
      </w:r>
      <w:r>
        <w:rPr>
          <w:b w:val="0"/>
          <w:i w:val="0"/>
        </w:rPr>
        <w:t>What is guideline-aligned versus an expanded-risk proposal?</w:t>
      </w:r>
    </w:p>
    <w:p>
      <w:pPr>
        <w:spacing w:after="80"/>
      </w:pPr>
      <w:r>
        <w:rPr>
          <w:b/>
          <w:i w:val="0"/>
        </w:rPr>
        <w:t xml:space="preserve">When it applies: </w:t>
      </w:r>
      <w:r>
        <w:rPr>
          <w:b w:val="0"/>
          <w:i w:val="0"/>
        </w:rPr>
        <w:t>Confirm differentiation, primary site and the duration of disease control. Previous extrahepatic disease has its own review (NET-B4).</w:t>
      </w:r>
    </w:p>
    <w:p>
      <w:pPr>
        <w:spacing w:after="80"/>
      </w:pPr>
      <w:r>
        <w:rPr>
          <w:b/>
          <w:i w:val="0"/>
        </w:rPr>
        <w:t xml:space="preserve">Where it is decided: </w:t>
      </w:r>
      <w:hyperlink r:id="rId32">
        <w:r>
          <w:rPr>
            <w:color w:val="0563C1"/>
            <w:u w:val="single"/>
          </w:rPr>
          <w:t xml:space="preserve">Confirm differentiation and grade</w:t>
        </w:r>
      </w:hyperlink>
      <w:r>
        <w:rPr>
          <w:b w:val="0"/>
          <w:i w:val="0"/>
        </w:rPr>
        <w:t xml:space="preserve"> · </w:t>
      </w:r>
      <w:hyperlink r:id="rId34">
        <w:r>
          <w:rPr>
            <w:color w:val="0563C1"/>
            <w:u w:val="single"/>
          </w:rPr>
          <w:t xml:space="preserve">Stage disease and confirm primary treatment</w:t>
        </w:r>
      </w:hyperlink>
      <w:r>
        <w:rPr>
          <w:b w:val="0"/>
          <w:i w:val="0"/>
        </w:rPr>
        <w:t xml:space="preserve"> · </w:t>
      </w:r>
      <w:hyperlink r:id="rId35">
        <w:r>
          <w:rPr>
            <w:color w:val="0563C1"/>
            <w:u w:val="single"/>
          </w:rPr>
          <w:t xml:space="preserve">Verify disease control</w:t>
        </w:r>
      </w:hyperlink>
    </w:p>
    <w:p>
      <w:pPr>
        <w:spacing w:after="120"/>
      </w:pPr>
      <w:r>
        <w:rPr>
          <w:b/>
          <w:i w:val="0"/>
          <w:sz w:val="18"/>
        </w:rPr>
        <w:t xml:space="preserve">Web page: </w:t>
      </w:r>
      <w:hyperlink r:id="rId46">
        <w:r>
          <w:rPr>
            <w:color w:val="0563C1"/>
            <w:u w:val="single"/>
            <w:sz w:val="18"/>
          </w:rPr>
          <w:t xml:space="preserve">open this question on the website</w:t>
        </w:r>
      </w:hyperlink>
    </w:p>
    <w:p>
      <w:pPr>
        <w:pStyle w:val="Heading3"/>
        <w:keepNext/>
        <w:spacing w:before="120" w:after="80"/>
      </w:pPr>
      <w:r>
        <w:rPr>
          <w:b w:val="0"/>
          <w:i w:val="0"/>
        </w:rPr>
        <w:t>Positions of guidelines, trials and papers</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200"/>
        <w:gridCol w:w="5480"/>
        <w:gridCol w:w="2400"/>
      </w:tblGrid>
      <w:tr>
        <w:trPr>
          <w:tblHeader/>
        </w:trPr>
        <w:tc>
          <w:tcPr>
            <w:tcW w:type="dxa" w:w="3360"/>
            <w:tcW w:w="2200" w:type="dxa"/>
            <w:shd w:val="clear" w:color="auto" w:fill="17365D"/>
          </w:tcPr>
          <w:p>
            <w:r>
              <w:rPr>
                <w:b/>
                <w:i w:val="0"/>
                <w:color w:val="FFFFFF"/>
                <w:sz w:val="19"/>
              </w:rPr>
              <w:t>Source</w:t>
            </w:r>
          </w:p>
        </w:tc>
        <w:tc>
          <w:tcPr>
            <w:tcW w:type="dxa" w:w="3360"/>
            <w:tcW w:w="5480" w:type="dxa"/>
            <w:shd w:val="clear" w:color="auto" w:fill="17365D"/>
          </w:tcPr>
          <w:p>
            <w:r>
              <w:rPr>
                <w:b/>
                <w:i w:val="0"/>
                <w:color w:val="FFFFFF"/>
                <w:sz w:val="19"/>
              </w:rPr>
              <w:t>Position</w:t>
            </w:r>
          </w:p>
        </w:tc>
        <w:tc>
          <w:tcPr>
            <w:tcW w:type="dxa" w:w="3360"/>
            <w:tcW w:w="2400" w:type="dxa"/>
            <w:shd w:val="clear" w:color="auto" w:fill="17365D"/>
          </w:tcPr>
          <w:p>
            <w:r>
              <w:rPr>
                <w:b/>
                <w:i w:val="0"/>
                <w:color w:val="FFFFFF"/>
                <w:sz w:val="19"/>
              </w:rPr>
              <w:t>Where stated</w:t>
            </w:r>
          </w:p>
        </w:tc>
      </w:tr>
      <w:tr>
        <w:trPr>
          <w:cantSplit/>
        </w:trPr>
        <w:tc>
          <w:tcPr>
            <w:tcW w:type="dxa" w:w="3360"/>
            <w:tcW w:w="2200" w:type="dxa"/>
            <w:shd w:val="clear" w:color="auto" w:fill="F1F5F8"/>
          </w:tcPr>
          <w:p>
            <w:pPr>
              <w:spacing w:after="0"/>
            </w:pPr>
            <w:r>
              <w:rPr>
                <w:b/>
                <w:i w:val="0"/>
                <w:sz w:val="19"/>
              </w:rPr>
              <w:t>NLRB oncology guidance</w:t>
            </w:r>
          </w:p>
        </w:tc>
        <w:tc>
          <w:tcPr>
            <w:tcW w:type="dxa" w:w="3360"/>
            <w:tcW w:w="5480" w:type="dxa"/>
            <w:shd w:val="clear" w:color="auto" w:fill="F1F5F8"/>
          </w:tcPr>
          <w:p>
            <w:pPr>
              <w:spacing w:after="0"/>
            </w:pPr>
            <w:r>
              <w:rPr>
                <w:b w:val="0"/>
                <w:i w:val="0"/>
                <w:sz w:val="19"/>
              </w:rPr>
              <w:t>“mitotic rate less than 20 per 10 HPF and index less than 20%.” Retain the exact published guidance threshold and clarify pathology sampling/measurement uncertainty.</w:t>
            </w:r>
          </w:p>
        </w:tc>
        <w:tc>
          <w:tcPr>
            <w:tcW w:type="dxa" w:w="3360"/>
            <w:tcW w:w="2400" w:type="dxa"/>
            <w:shd w:val="clear" w:color="auto" w:fill="F1F5F8"/>
          </w:tcPr>
          <w:p>
            <w:pPr>
              <w:spacing w:after="0"/>
            </w:pPr>
            <w:r>
              <w:rPr>
                <w:b w:val="0"/>
                <w:i w:val="0"/>
                <w:color w:val="5A6069"/>
                <w:sz w:val="18"/>
              </w:rPr>
              <w:t>December 2025 oncology guidance p8, NET criterion 3</w:t>
            </w:r>
          </w:p>
        </w:tc>
      </w:tr>
      <w:tr>
        <w:trPr>
          <w:cantSplit/>
        </w:trPr>
        <w:tc>
          <w:tcPr>
            <w:tcW w:type="dxa" w:w="3360"/>
            <w:tcW w:w="2200" w:type="dxa"/>
            <w:shd w:val="clear" w:color="auto" w:fill="FFFFFF"/>
          </w:tcPr>
          <w:p>
            <w:pPr>
              <w:spacing w:after="0"/>
            </w:pPr>
            <w:r>
              <w:rPr>
                <w:b/>
                <w:i w:val="0"/>
                <w:sz w:val="19"/>
              </w:rPr>
              <w:t>Mazzaferro 2016 · Milan-NET</w:t>
            </w:r>
          </w:p>
        </w:tc>
        <w:tc>
          <w:tcPr>
            <w:tcW w:type="dxa" w:w="3360"/>
            <w:tcW w:w="5480" w:type="dxa"/>
            <w:shd w:val="clear" w:color="auto" w:fill="FFFFFF"/>
          </w:tcPr>
          <w:p>
            <w:pPr>
              <w:spacing w:after="0"/>
            </w:pPr>
            <w:r>
              <w:rPr>
                <w:b w:val="0"/>
                <w:i w:val="0"/>
                <w:sz w:val="19"/>
              </w:rPr>
              <w:t>“Stable disease/response to therapies for at least 6 months prior to transplant consideration” A biological selection interval; the proposed three-scan workflow is not itself a validated benefit predictor.</w:t>
            </w:r>
          </w:p>
        </w:tc>
        <w:tc>
          <w:tcPr>
            <w:tcW w:type="dxa" w:w="3360"/>
            <w:tcW w:w="2400" w:type="dxa"/>
            <w:shd w:val="clear" w:color="auto" w:fill="FFFFFF"/>
          </w:tcPr>
          <w:p>
            <w:pPr>
              <w:spacing w:after="0"/>
            </w:pPr>
            <w:r>
              <w:rPr>
                <w:b w:val="0"/>
                <w:i w:val="0"/>
                <w:color w:val="5A6069"/>
                <w:sz w:val="18"/>
              </w:rPr>
              <w:t>Milan-NET, Table 1, PDF p2 / journal p2893</w:t>
            </w:r>
          </w:p>
        </w:tc>
      </w:tr>
      <w:tr>
        <w:trPr>
          <w:cantSplit/>
        </w:trPr>
        <w:tc>
          <w:tcPr>
            <w:tcW w:type="dxa" w:w="3360"/>
            <w:tcW w:w="2200" w:type="dxa"/>
            <w:shd w:val="clear" w:color="auto" w:fill="F1F5F8"/>
          </w:tcPr>
          <w:p>
            <w:pPr>
              <w:spacing w:after="0"/>
            </w:pPr>
            <w:r>
              <w:rPr>
                <w:b/>
                <w:i w:val="0"/>
                <w:sz w:val="19"/>
              </w:rPr>
              <w:t>ENETS 2026</w:t>
            </w:r>
          </w:p>
        </w:tc>
        <w:tc>
          <w:tcPr>
            <w:tcW w:type="dxa" w:w="3360"/>
            <w:tcW w:w="5480" w:type="dxa"/>
            <w:shd w:val="clear" w:color="auto" w:fill="F1F5F8"/>
          </w:tcPr>
          <w:p>
            <w:pPr>
              <w:spacing w:after="0"/>
            </w:pPr>
            <w:r>
              <w:rPr>
                <w:b w:val="0"/>
                <w:i w:val="0"/>
                <w:sz w:val="19"/>
              </w:rPr>
              <w:t>“solitary bone lesions amenable to local treatment” ENETS discusses selected controllable extrahepatic sites, including this example. Current NLRB solid-organ-metastasis exclusion is stricter. I favor no initial expansion despite this emerging clinical-consensus proposal.</w:t>
            </w:r>
          </w:p>
        </w:tc>
        <w:tc>
          <w:tcPr>
            <w:tcW w:type="dxa" w:w="3360"/>
            <w:tcW w:w="2400" w:type="dxa"/>
            <w:shd w:val="clear" w:color="auto" w:fill="F1F5F8"/>
          </w:tcPr>
          <w:p>
            <w:pPr>
              <w:spacing w:after="0"/>
            </w:pPr>
            <w:r>
              <w:rPr>
                <w:b w:val="0"/>
                <w:i w:val="0"/>
                <w:color w:val="5A6069"/>
                <w:sz w:val="18"/>
              </w:rPr>
              <w:t>2026 full-text PDF p3, section 4, proposed candidate profile</w:t>
            </w:r>
          </w:p>
        </w:tc>
      </w:tr>
    </w:tbl>
    <w:p>
      <w:pPr>
        <w:spacing w:after="40"/>
      </w:pPr>
    </w:p>
    <w:p>
      <w:pPr>
        <w:pStyle w:val="Heading3"/>
        <w:keepNext/>
        <w:spacing w:before="120" w:after="80"/>
      </w:pPr>
      <w:r>
        <w:rPr>
          <w:b w:val="0"/>
          <w:i w:val="0"/>
        </w:rPr>
        <w:t>Evidence</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000"/>
        <w:gridCol w:w="3900"/>
        <w:gridCol w:w="4180"/>
      </w:tblGrid>
      <w:tr>
        <w:trPr>
          <w:tblHeader/>
        </w:trPr>
        <w:tc>
          <w:tcPr>
            <w:tcW w:type="dxa" w:w="3360"/>
            <w:tcW w:w="2000" w:type="dxa"/>
            <w:shd w:val="clear" w:color="auto" w:fill="17365D"/>
          </w:tcPr>
          <w:p>
            <w:r>
              <w:rPr>
                <w:b/>
                <w:i w:val="0"/>
                <w:color w:val="FFFFFF"/>
                <w:sz w:val="19"/>
              </w:rPr>
              <w:t>Source</w:t>
            </w:r>
          </w:p>
        </w:tc>
        <w:tc>
          <w:tcPr>
            <w:tcW w:type="dxa" w:w="3360"/>
            <w:tcW w:w="3900" w:type="dxa"/>
            <w:shd w:val="clear" w:color="auto" w:fill="17365D"/>
          </w:tcPr>
          <w:p>
            <w:r>
              <w:rPr>
                <w:b/>
                <w:i w:val="0"/>
                <w:color w:val="FFFFFF"/>
                <w:sz w:val="19"/>
              </w:rPr>
              <w:t>Population and selection</w:t>
            </w:r>
          </w:p>
        </w:tc>
        <w:tc>
          <w:tcPr>
            <w:tcW w:type="dxa" w:w="3360"/>
            <w:tcW w:w="4180" w:type="dxa"/>
            <w:shd w:val="clear" w:color="auto" w:fill="17365D"/>
          </w:tcPr>
          <w:p>
            <w:r>
              <w:rPr>
                <w:b/>
                <w:i w:val="0"/>
                <w:color w:val="FFFFFF"/>
                <w:sz w:val="19"/>
              </w:rPr>
              <w:t>Results, limits and location</w:t>
            </w:r>
          </w:p>
        </w:tc>
      </w:tr>
      <w:tr>
        <w:trPr>
          <w:cantSplit/>
        </w:trPr>
        <w:tc>
          <w:tcPr>
            <w:tcW w:type="dxa" w:w="3360"/>
            <w:tcW w:w="2000" w:type="dxa"/>
            <w:shd w:val="clear" w:color="auto" w:fill="F1F5F8"/>
          </w:tcPr>
          <w:p>
            <w:pPr>
              <w:spacing w:after="0"/>
            </w:pPr>
            <w:r>
              <w:rPr>
                <w:b/>
                <w:i w:val="0"/>
                <w:sz w:val="19"/>
              </w:rPr>
              <w:t>Mazzaferro 2016 · Milan-NET</w:t>
            </w:r>
          </w:p>
        </w:tc>
        <w:tc>
          <w:tcPr>
            <w:tcW w:type="dxa" w:w="3360"/>
            <w:tcW w:w="3900" w:type="dxa"/>
            <w:shd w:val="clear" w:color="auto" w:fill="F1F5F8"/>
          </w:tcPr>
          <w:p>
            <w:pPr>
              <w:spacing w:after="0"/>
            </w:pPr>
            <w:r>
              <w:rPr>
                <w:b w:val="0"/>
                <w:i w:val="0"/>
                <w:sz w:val="19"/>
              </w:rPr>
              <w:t>Single-centre comparative Milan-NET study, 88 eligible patients: 42 LT and 46 non-LT, 1995–2010 era, nonrandomized. Well-differentiated portal-drained GEP primary, primary/extrahepatic disease removed, limited hepatic burden, at least six months stability; age &lt;60 was relative. LT recipients were substantially younger (median 40.5 versus 55.5), and post hoc grading differed, including four G3 in non-LT versus none in LT. Primary regional nodes had been positive in 34/42 LT recipients; this is not evidence supporting active uncleared extrahepatic disease at LT.</w:t>
            </w:r>
          </w:p>
        </w:tc>
        <w:tc>
          <w:tcPr>
            <w:tcW w:type="dxa" w:w="3360"/>
            <w:tcW w:w="4180" w:type="dxa"/>
            <w:shd w:val="clear" w:color="auto" w:fill="F1F5F8"/>
          </w:tcPr>
          <w:p>
            <w:pPr>
              <w:spacing w:after="0"/>
            </w:pPr>
            <w:r>
              <w:rPr>
                <w:b w:val="0"/>
                <w:i w:val="0"/>
                <w:sz w:val="19"/>
              </w:rPr>
              <w:t>Median follow-up 122 months. Five-/ten-year OS 97.2%/88.8% LT versus 50.9%/22.4% non-LT. Time origin was primary-tumour resection; authors used left-truncated Cox models to account for delayed LT entry. Propensity-adjusted restricted mean survival gain was 6.82 months at five years and 38.43 months at ten years. These are cohort estimates, not individual calculators.</w:t>
            </w:r>
          </w:p>
          <w:p>
            <w:pPr>
              <w:spacing w:after="0"/>
            </w:pPr>
            <w:r>
              <w:rPr>
                <w:b w:val="0"/>
                <w:i/>
                <w:sz w:val="19"/>
              </w:rPr>
              <w:t>Limits: Major selection/age/treatment-era differences, small numbers and residual confounding remain despite statistical handling of delayed treatment. Only 4/46 non-LT patients received PRRT, so this is not a modern sequential-care comparator. Patients overlap subsequent Milan series and some multicentre LT studies; do not sum them as independent evidence.</w:t>
            </w:r>
          </w:p>
          <w:p>
            <w:pPr>
              <w:spacing w:after="0"/>
            </w:pPr>
            <w:r>
              <w:rPr>
                <w:b w:val="0"/>
                <w:i w:val="0"/>
                <w:color w:val="5A6069"/>
                <w:sz w:val="18"/>
              </w:rPr>
              <w:t>Am J Transplant 2016;16:2892–2902; full PDF Methods statistical time origin/left truncation, Tables 1–2 eligibility/characteristics, survival and restricted-mean analyses.</w:t>
            </w:r>
          </w:p>
        </w:tc>
      </w:tr>
      <w:tr>
        <w:trPr>
          <w:cantSplit/>
        </w:trPr>
        <w:tc>
          <w:tcPr>
            <w:tcW w:type="dxa" w:w="3360"/>
            <w:tcW w:w="2000" w:type="dxa"/>
            <w:shd w:val="clear" w:color="auto" w:fill="FFFFFF"/>
          </w:tcPr>
          <w:p>
            <w:pPr>
              <w:spacing w:after="0"/>
            </w:pPr>
            <w:r>
              <w:rPr>
                <w:b/>
                <w:i w:val="0"/>
                <w:sz w:val="19"/>
              </w:rPr>
              <w:t>Eshmuminov 2023 · LT versus resection</w:t>
            </w:r>
          </w:p>
        </w:tc>
        <w:tc>
          <w:tcPr>
            <w:tcW w:type="dxa" w:w="3360"/>
            <w:tcW w:w="3900" w:type="dxa"/>
            <w:shd w:val="clear" w:color="auto" w:fill="FFFFFF"/>
          </w:tcPr>
          <w:p>
            <w:pPr>
              <w:spacing w:after="0"/>
            </w:pPr>
            <w:r>
              <w:rPr>
                <w:b w:val="0"/>
                <w:i w:val="0"/>
                <w:sz w:val="19"/>
              </w:rPr>
              <w:t>International retrospective comparison from 15 centres, 1988–2021: 455 patients (225 LT, 230 liver resection); median follow-up 97 months. Propensity matching produced 96 patients per group. Surgically selected patients, matched on age, grade and primary location. Twenty-seven percent of LT cases had unknown grade; burden, era and treatment history remain imperfectly controlled. Resection and LT do not necessarily address anatomically interchangeable patients.</w:t>
            </w:r>
          </w:p>
        </w:tc>
        <w:tc>
          <w:tcPr>
            <w:tcW w:type="dxa" w:w="3360"/>
            <w:tcW w:w="4180" w:type="dxa"/>
            <w:shd w:val="clear" w:color="auto" w:fill="FFFFFF"/>
          </w:tcPr>
          <w:p>
            <w:pPr>
              <w:spacing w:after="0"/>
            </w:pPr>
            <w:r>
              <w:rPr>
                <w:b w:val="0"/>
                <w:i w:val="0"/>
                <w:sz w:val="19"/>
              </w:rPr>
              <w:t>Use main Results p.e1067/Table 4: matched five-year OS 75% LT versus 68.3% LR, HR 0.56 (95% CI 0.35–0.90); five-year PFS 64.2% versus 14.2%, HR 0.25 (0.16–0.39), measured from operation. Ninety-day deaths 13/225 LT (5.8%) versus 3/230 LR (1.3%). LT G1 versus G2 five-year OS 92.9% versus 70%; adjusted G2 HR 2.52 (1.15–5.52). Outside-Milan matched OS HR 0.64 (0.31–1.33), not statistically conclusive.</w:t>
            </w:r>
          </w:p>
          <w:p>
            <w:pPr>
              <w:spacing w:after="0"/>
            </w:pPr>
            <w:r>
              <w:rPr>
                <w:b w:val="0"/>
                <w:i/>
                <w:sz w:val="19"/>
              </w:rPr>
              <w:t>Limits: Material abstract/body discrepancy: abstract reports matched five-year OS 73% versus 52.8%, whereas main Results/Table 4 report 75% versus 68.3%. The latter is used with explicit discrepancy flag; clarification would be desirable. Matching does not remove unmeasured confounding, missing pathology, era or selection bias. The nonsignificant outside-Milan estimate does not prove no benefit, and ten G3 cases do not validate G3 LT. Overlaps centre cohorts including Milan.</w:t>
            </w:r>
          </w:p>
          <w:p>
            <w:pPr>
              <w:spacing w:after="0"/>
            </w:pPr>
            <w:r>
              <w:rPr>
                <w:b w:val="0"/>
                <w:i w:val="0"/>
                <w:color w:val="5A6069"/>
                <w:sz w:val="18"/>
              </w:rPr>
              <w:t>Ann Surg 2023 DOI10.1097/SLA.0000000000005663; PDF main Results printed p.e1067/Table 4 for matched outcomes; earlier Tables 1–3 for grade and mortality; abstract on first page differs.</w:t>
            </w:r>
          </w:p>
        </w:tc>
      </w:tr>
      <w:tr>
        <w:trPr>
          <w:cantSplit/>
        </w:trPr>
        <w:tc>
          <w:tcPr>
            <w:tcW w:type="dxa" w:w="3360"/>
            <w:tcW w:w="2000" w:type="dxa"/>
            <w:shd w:val="clear" w:color="auto" w:fill="F1F5F8"/>
          </w:tcPr>
          <w:p>
            <w:pPr>
              <w:spacing w:after="0"/>
            </w:pPr>
            <w:r>
              <w:rPr>
                <w:b/>
                <w:i w:val="0"/>
                <w:sz w:val="19"/>
              </w:rPr>
              <w:t>Boscà 2026 · Spain</w:t>
            </w:r>
          </w:p>
        </w:tc>
        <w:tc>
          <w:tcPr>
            <w:tcW w:type="dxa" w:w="3360"/>
            <w:tcW w:w="3900" w:type="dxa"/>
            <w:shd w:val="clear" w:color="auto" w:fill="F1F5F8"/>
          </w:tcPr>
          <w:p>
            <w:pPr>
              <w:spacing w:after="0"/>
            </w:pPr>
            <w:r>
              <w:rPr>
                <w:b w:val="0"/>
                <w:i w:val="0"/>
                <w:sz w:val="19"/>
              </w:rPr>
              <w:t>Spanish 13-centre retrospective series of 91 NET LT recipients, 1995–2024; 41 transplanted before 2007; 71 Milan-IN and 20 Milan-OUT. Mixed primary sites/eras and deviations. Pathology data missing in more than 30%; Ki-67 available in 51, with only one documented &gt;20%. Milan-OUT combines different burden, primary, grade and other deviations; it is not a controlled trial of a single burden expansion.</w:t>
            </w:r>
          </w:p>
        </w:tc>
        <w:tc>
          <w:tcPr>
            <w:tcW w:type="dxa" w:w="3360"/>
            <w:tcW w:w="4180" w:type="dxa"/>
            <w:shd w:val="clear" w:color="auto" w:fill="F1F5F8"/>
          </w:tcPr>
          <w:p>
            <w:pPr>
              <w:spacing w:after="0"/>
            </w:pPr>
            <w:r>
              <w:rPr>
                <w:b w:val="0"/>
                <w:i w:val="0"/>
                <w:sz w:val="19"/>
              </w:rPr>
              <w:t>Time zero LT; median follow-up 6.5 years. Table 5: five-year OS 71.0% IN versus 58.7% OUT, ten-year 55.5% versus 32.0%, fifteen-year 52.2% versus 16.0% (OS comparison P=0.03). Five-year DFS 58.8% versus 36.3%, not statistically significant. Recurrence 52/91; ninety-day mortality 9/91 (9.9%). Nine retransplants: two primary nonfunction, six hepatic artery thrombosis, one rejection.</w:t>
            </w:r>
          </w:p>
          <w:p>
            <w:pPr>
              <w:spacing w:after="0"/>
            </w:pPr>
            <w:r>
              <w:rPr>
                <w:b w:val="0"/>
                <w:i/>
                <w:sz w:val="19"/>
              </w:rPr>
              <w:t>Limits: Era, missing pathology, small OUT group and composite deviations preclude validating 50–70% burden, age ≥60, G3 or extrahepatic expansion individually. Nonsignificant DFS is not equivalence. The abstract rounds OUT five-year OS differently; use Table 5 value with locator.</w:t>
            </w:r>
          </w:p>
          <w:p>
            <w:pPr>
              <w:spacing w:after="0"/>
            </w:pPr>
            <w:r>
              <w:rPr>
                <w:b w:val="0"/>
                <w:i w:val="0"/>
                <w:color w:val="5A6069"/>
                <w:sz w:val="18"/>
              </w:rPr>
              <w:t>J Clin Med 2026;15:938; complete PDF Results, Tables 2–5, postoperative mortality/retransplantation and limitations.</w:t>
            </w:r>
          </w:p>
        </w:tc>
      </w:tr>
      <w:tr>
        <w:trPr>
          <w:cantSplit/>
        </w:trPr>
        <w:tc>
          <w:tcPr>
            <w:tcW w:type="dxa" w:w="3360"/>
            <w:tcW w:w="2000" w:type="dxa"/>
            <w:shd w:val="clear" w:color="auto" w:fill="FFFFFF"/>
          </w:tcPr>
          <w:p>
            <w:pPr>
              <w:spacing w:after="0"/>
            </w:pPr>
            <w:r>
              <w:rPr>
                <w:b/>
                <w:i w:val="0"/>
                <w:sz w:val="19"/>
              </w:rPr>
              <w:t>Le Treut 2013 · ELTR</w:t>
            </w:r>
          </w:p>
        </w:tc>
        <w:tc>
          <w:tcPr>
            <w:tcW w:type="dxa" w:w="3360"/>
            <w:tcW w:w="3900" w:type="dxa"/>
            <w:shd w:val="clear" w:color="auto" w:fill="FFFFFF"/>
          </w:tcPr>
          <w:p>
            <w:pPr>
              <w:spacing w:after="0"/>
            </w:pPr>
            <w:r>
              <w:rPr>
                <w:b w:val="0"/>
                <w:i w:val="0"/>
                <w:sz w:val="19"/>
              </w:rPr>
              <w:t>European Liver Transplant Registry retrospective multicentre study, 213 recipients at 35 centres, 1982–2009; 107 before 2000 and 106 thereafter. Published primary abstract reviewed. Heterogeneous historical NET pathology and selection; 55% had hepatomegaly. Major additional resection in 24 and minor in 30. Historical poor differentiation is not interchangeable with modern well-differentiated G3.</w:t>
            </w:r>
          </w:p>
        </w:tc>
        <w:tc>
          <w:tcPr>
            <w:tcW w:type="dxa" w:w="3360"/>
            <w:tcW w:w="4180" w:type="dxa"/>
            <w:shd w:val="clear" w:color="auto" w:fill="FFFFFF"/>
          </w:tcPr>
          <w:p>
            <w:pPr>
              <w:spacing w:after="0"/>
            </w:pPr>
            <w:r>
              <w:rPr>
                <w:b w:val="0"/>
                <w:i w:val="0"/>
                <w:sz w:val="19"/>
              </w:rPr>
              <w:t>Three-month mortality 10%. Five-year OS 52% measured from LT, versus 73% measured from liver-metastasis diagnosis; five-year DFS 30%. Post-2000 five-year OS 59%. Poor differentiation, hepatomegaly and concurrent major resection were adverse; age &gt;45 was adverse in a later-era analysis.</w:t>
            </w:r>
          </w:p>
          <w:p>
            <w:pPr>
              <w:spacing w:after="0"/>
            </w:pPr>
            <w:r>
              <w:rPr>
                <w:b w:val="0"/>
                <w:i/>
                <w:sz w:val="19"/>
              </w:rPr>
              <w:t>Limits: The striking time-origin difference illustrates why survival curves cannot be compared casually. Registry era, incomplete grading and nonrandom selection limit modern applicability. Age 45 association does not establish a biological exclusion threshold. Cohort overlap with later multicentre reports is likely.</w:t>
            </w:r>
          </w:p>
          <w:p>
            <w:pPr>
              <w:spacing w:after="0"/>
            </w:pPr>
            <w:r>
              <w:rPr>
                <w:b w:val="0"/>
                <w:i w:val="0"/>
                <w:color w:val="5A6069"/>
                <w:sz w:val="18"/>
              </w:rPr>
              <w:t>Ann Surg 2013 DOI10.1097/SLA.0b013e31828ee17c; PMID23532105 primary abstract; complete PDF not located.</w:t>
            </w:r>
          </w:p>
        </w:tc>
      </w:tr>
      <w:tr>
        <w:trPr>
          <w:cantSplit/>
        </w:trPr>
        <w:tc>
          <w:tcPr>
            <w:tcW w:type="dxa" w:w="3360"/>
            <w:tcW w:w="2000" w:type="dxa"/>
            <w:shd w:val="clear" w:color="auto" w:fill="F1F5F8"/>
          </w:tcPr>
          <w:p>
            <w:pPr>
              <w:spacing w:after="0"/>
            </w:pPr>
            <w:r>
              <w:rPr>
                <w:b/>
                <w:i w:val="0"/>
                <w:sz w:val="19"/>
              </w:rPr>
              <w:t>NETTER-2</w:t>
            </w:r>
          </w:p>
        </w:tc>
        <w:tc>
          <w:tcPr>
            <w:tcW w:type="dxa" w:w="3360"/>
            <w:tcW w:w="3900" w:type="dxa"/>
            <w:shd w:val="clear" w:color="auto" w:fill="F1F5F8"/>
          </w:tcPr>
          <w:p>
            <w:pPr>
              <w:spacing w:after="0"/>
            </w:pPr>
            <w:r>
              <w:rPr>
                <w:b w:val="0"/>
                <w:i w:val="0"/>
                <w:sz w:val="19"/>
              </w:rPr>
              <w:t>NETTER-2 open-label phase III randomized trial: 261 screened, 226 randomized, 151 Lu-177-Dotatate plus octreotide and 75 high-dose octreotide. Newly diagnosed advanced well-differentiated G2 Ki-67 10–20% and G3 &gt;20–55%, SSTR-positive in all target lesions. G3 NET is biologically distinct from poorly differentiated NEC. This was not a trial of transplant eligibility or transplant bridging.</w:t>
            </w:r>
          </w:p>
        </w:tc>
        <w:tc>
          <w:tcPr>
            <w:tcW w:type="dxa" w:w="3360"/>
            <w:tcW w:w="4180" w:type="dxa"/>
            <w:shd w:val="clear" w:color="auto" w:fill="F1F5F8"/>
          </w:tcPr>
          <w:p>
            <w:pPr>
              <w:spacing w:after="0"/>
            </w:pPr>
            <w:r>
              <w:rPr>
                <w:b w:val="0"/>
                <w:i w:val="0"/>
                <w:sz w:val="19"/>
              </w:rPr>
              <w:t>Time zero randomization. Median PFS 22.8 versus 8.5 months, HR 0.276 (95% CI 0.182–0.418); objective response 43% versus 9.3%. OS was not mature. Safety populations 147 and 73: any grade ≥3 events 35% versus 27%, related grade ≥3 events 16% versus 4%; one myelodysplastic syndrome case and three grade-3 nephrotoxicity events in Lu-treated patients; no drug-related deaths reported.</w:t>
            </w:r>
          </w:p>
          <w:p>
            <w:pPr>
              <w:spacing w:after="0"/>
            </w:pPr>
            <w:r>
              <w:rPr>
                <w:b w:val="0"/>
                <w:i/>
                <w:sz w:val="19"/>
              </w:rPr>
              <w:t>Limits: Compelling systemic disease-control evidence for selected well-differentiated G2/G3, not evidence that responding G3 becomes suitable for LT or that marrow/renal injury is irrelevant to future transplantation. No NEC efficacy extrapolation. Full article reviewed now, upgrading prior abstract-only status.</w:t>
            </w:r>
          </w:p>
          <w:p>
            <w:pPr>
              <w:spacing w:after="0"/>
            </w:pPr>
            <w:r>
              <w:rPr>
                <w:b w:val="0"/>
                <w:i w:val="0"/>
                <w:color w:val="5A6069"/>
                <w:sz w:val="18"/>
              </w:rPr>
              <w:t>Lancet 2024;403:2807–2817; complete PDF eligibility, efficacy, safety and Discussion.</w:t>
            </w:r>
          </w:p>
        </w:tc>
      </w:tr>
      <w:tr>
        <w:trPr>
          <w:cantSplit/>
        </w:trPr>
        <w:tc>
          <w:tcPr>
            <w:tcW w:type="dxa" w:w="3360"/>
            <w:tcW w:w="2000" w:type="dxa"/>
            <w:shd w:val="clear" w:color="auto" w:fill="FFFFFF"/>
          </w:tcPr>
          <w:p>
            <w:pPr>
              <w:spacing w:after="0"/>
            </w:pPr>
            <w:r>
              <w:rPr>
                <w:b/>
                <w:i w:val="0"/>
                <w:sz w:val="19"/>
              </w:rPr>
              <w:t>Chen 2026 · PRRT after LT</w:t>
            </w:r>
          </w:p>
        </w:tc>
        <w:tc>
          <w:tcPr>
            <w:tcW w:type="dxa" w:w="3360"/>
            <w:tcW w:w="3900" w:type="dxa"/>
            <w:shd w:val="clear" w:color="auto" w:fill="FFFFFF"/>
          </w:tcPr>
          <w:p>
            <w:pPr>
              <w:spacing w:after="0"/>
            </w:pPr>
            <w:r>
              <w:rPr>
                <w:b w:val="0"/>
                <w:i w:val="0"/>
                <w:sz w:val="19"/>
              </w:rPr>
              <w:t>Retrospective seven-recipient case series of PRRT for recurrent NET after LT; abstract-only verification. Post-LT recurrence, not pretransplant bridging or a selection study.</w:t>
            </w:r>
          </w:p>
        </w:tc>
        <w:tc>
          <w:tcPr>
            <w:tcW w:type="dxa" w:w="3360"/>
            <w:tcW w:w="4180" w:type="dxa"/>
            <w:shd w:val="clear" w:color="auto" w:fill="FFFFFF"/>
          </w:tcPr>
          <w:p>
            <w:pPr>
              <w:spacing w:after="0"/>
            </w:pPr>
            <w:r>
              <w:rPr>
                <w:b w:val="0"/>
                <w:i w:val="0"/>
                <w:sz w:val="19"/>
              </w:rPr>
              <w:t>One partial response, five stable disease, one progression. Two grade-III myelosuppression events, one treatment cessation; proteinuria in four. No rejection reported over limited follow-up.</w:t>
            </w:r>
          </w:p>
          <w:p>
            <w:pPr>
              <w:spacing w:after="0"/>
            </w:pPr>
            <w:r>
              <w:rPr>
                <w:b w:val="0"/>
                <w:i/>
                <w:sz w:val="19"/>
              </w:rPr>
              <w:t>Limits: No control, tiny denominator and short follow-up; does not demonstrate durable salvage, long-term graft safety, or justify enrolling G3/extrahepatic cases because PRRT is available later.</w:t>
            </w:r>
          </w:p>
          <w:p>
            <w:pPr>
              <w:spacing w:after="0"/>
            </w:pPr>
            <w:r>
              <w:rPr>
                <w:b w:val="0"/>
                <w:i w:val="0"/>
                <w:color w:val="5A6069"/>
                <w:sz w:val="18"/>
              </w:rPr>
              <w:t>Transplant Proc 2026;58:526–531; DOI10.1016/j.transproceed.2026.02.019, PMID41760506 abstract.</w:t>
            </w:r>
          </w:p>
        </w:tc>
      </w:tr>
      <w:tr>
        <w:trPr>
          <w:cantSplit/>
        </w:trPr>
        <w:tc>
          <w:tcPr>
            <w:tcW w:type="dxa" w:w="3360"/>
            <w:tcW w:w="2000" w:type="dxa"/>
            <w:shd w:val="clear" w:color="auto" w:fill="F1F5F8"/>
          </w:tcPr>
          <w:p>
            <w:pPr>
              <w:spacing w:after="0"/>
            </w:pPr>
            <w:r>
              <w:rPr>
                <w:b/>
                <w:i w:val="0"/>
                <w:sz w:val="19"/>
              </w:rPr>
              <w:t>NLRB oncology guidance</w:t>
            </w:r>
          </w:p>
        </w:tc>
        <w:tc>
          <w:tcPr>
            <w:tcW w:type="dxa" w:w="3360"/>
            <w:tcW w:w="3900" w:type="dxa"/>
            <w:shd w:val="clear" w:color="auto" w:fill="F1F5F8"/>
          </w:tcPr>
          <w:p>
            <w:pPr>
              <w:spacing w:after="0"/>
            </w:pPr>
            <w:r>
              <w:rPr>
                <w:b w:val="0"/>
                <w:i w:val="0"/>
                <w:sz w:val="19"/>
              </w:rPr>
              <w:t>Official Adult MELD Exceptions for Transplant Oncology guidance, December 2025 posting checked 24 October 2026. Allocation-review guidance, not national clinical policy or proof of efficacy. CRLM: BRAF wild type, microsatellite stable, R0 primary, at least 12 months from CRLM diagnosis and six months chemotherapy control; pretreatment largest lesion not &gt;10 cm; no post-primary-resection extrahepatic disease, including nodes outside the primary field. Initial CEA exclusion is &gt;80 ng/mL; extensions require &lt;80. NET: known portal-drained GEP primary, well-differentiated G1/G2, Ki-67 &lt;20%, primary and extrahepatic disease resected with at least six months NED; no active extrahepatic disease. Lung/bone/other solid-organ metastasis history is a permanent exception-guidance exclusion.</w:t>
            </w:r>
          </w:p>
        </w:tc>
        <w:tc>
          <w:tcPr>
            <w:tcW w:type="dxa" w:w="3360"/>
            <w:tcW w:w="4180" w:type="dxa"/>
            <w:shd w:val="clear" w:color="auto" w:fill="F1F5F8"/>
          </w:tcPr>
          <w:p>
            <w:pPr>
              <w:spacing w:after="0"/>
            </w:pPr>
            <w:r>
              <w:rPr>
                <w:b w:val="0"/>
                <w:i w:val="0"/>
                <w:sz w:val="19"/>
              </w:rPr>
              <w:t>No efficacy denominator. NET guidance has no explicit numerical age or hepatic-volume cutoff. CRLM wording excludes &gt;10% diameter growth or new lesions and labels this RECIST 1.1, although conventional RECIST 1.1 progression generally uses at least 20% summed-diameter increase plus an absolute change; record both, do not silently equate them.</w:t>
            </w:r>
          </w:p>
          <w:p>
            <w:pPr>
              <w:spacing w:after="0"/>
            </w:pPr>
            <w:r>
              <w:rPr>
                <w:b w:val="0"/>
                <w:i/>
                <w:sz w:val="19"/>
              </w:rPr>
              <w:t>Limits: Clinical judgment, exception endorsement and graft availability are distinct. A reasonable research hypothesis or living donor does not override allocation guidance or demonstrate acceptable benefit. At exactly CEA 80 the initial/extension wording differs; the draft's strict &lt;80 harmonization is a conservative local rule.</w:t>
            </w:r>
          </w:p>
          <w:p>
            <w:pPr>
              <w:spacing w:after="0"/>
            </w:pPr>
            <w:r>
              <w:rPr>
                <w:b w:val="0"/>
                <w:i w:val="0"/>
                <w:color w:val="5A6069"/>
                <w:sz w:val="18"/>
              </w:rPr>
              <w:t>Official PDF NET pp.8–9; CRLM pp.9–10; introduction on purpose/status.</w:t>
            </w:r>
          </w:p>
        </w:tc>
      </w:tr>
      <w:tr>
        <w:trPr>
          <w:cantSplit/>
        </w:trPr>
        <w:tc>
          <w:tcPr>
            <w:tcW w:type="dxa" w:w="3360"/>
            <w:tcW w:w="2000" w:type="dxa"/>
            <w:shd w:val="clear" w:color="auto" w:fill="FFFFFF"/>
          </w:tcPr>
          <w:p>
            <w:pPr>
              <w:spacing w:after="0"/>
            </w:pPr>
            <w:r>
              <w:rPr>
                <w:b/>
                <w:i w:val="0"/>
                <w:sz w:val="19"/>
              </w:rPr>
              <w:t>ENETS 2026</w:t>
            </w:r>
          </w:p>
        </w:tc>
        <w:tc>
          <w:tcPr>
            <w:tcW w:type="dxa" w:w="3360"/>
            <w:tcW w:w="3900" w:type="dxa"/>
            <w:shd w:val="clear" w:color="auto" w:fill="FFFFFF"/>
          </w:tcPr>
          <w:p>
            <w:pPr>
              <w:spacing w:after="0"/>
            </w:pPr>
            <w:r>
              <w:rPr>
                <w:b w:val="0"/>
                <w:i w:val="0"/>
                <w:sz w:val="19"/>
              </w:rPr>
              <w:t>ENETS 2026 position statement explicitly addressing controversies; expert, hypothesis-generating framework rather than original comparative outcome study. Reorients toward incremental benefit and proposes substantial liver burden, young/fit patients and selected controllable extrahepatic disease; broadens beyond traditional Milan in some respects.</w:t>
            </w:r>
          </w:p>
        </w:tc>
        <w:tc>
          <w:tcPr>
            <w:tcW w:type="dxa" w:w="3360"/>
            <w:tcW w:w="4180" w:type="dxa"/>
            <w:shd w:val="clear" w:color="auto" w:fill="FFFFFF"/>
          </w:tcPr>
          <w:p>
            <w:pPr>
              <w:spacing w:after="0"/>
            </w:pPr>
            <w:r>
              <w:rPr>
                <w:b w:val="0"/>
                <w:i w:val="0"/>
                <w:sz w:val="19"/>
              </w:rPr>
              <w:t>No original outcome denominator. Proposed liver-burden bands around 25–70%, age &lt;60 as relative and six-month stability are pragmatic concepts. Illustrative non-LT five-year survival &lt;30% versus post-LT ≥70% are not a calibrated individual benefit model.</w:t>
            </w:r>
          </w:p>
          <w:p>
            <w:pPr>
              <w:spacing w:after="0"/>
            </w:pPr>
            <w:r>
              <w:rPr>
                <w:b w:val="0"/>
                <w:i/>
                <w:sz w:val="19"/>
              </w:rPr>
              <w:t>Limits: Do not turn an expert future-oriented proposal into validated numerical gates. Suggested controllable extrahepatic disease, including bone, conflicts with current NLRB solid-organ-metastasis exclusion. It identifies research needs rather than approving an expansion.</w:t>
            </w:r>
          </w:p>
          <w:p>
            <w:pPr>
              <w:spacing w:after="0"/>
            </w:pPr>
            <w:r>
              <w:rPr>
                <w:b w:val="0"/>
                <w:i w:val="0"/>
                <w:color w:val="5A6069"/>
                <w:sz w:val="18"/>
              </w:rPr>
              <w:t>J Neuroendocrinol 2026;38:e70250; complete position-statement PDF burden, benefit, age, stability and extrahepatic discussion.</w:t>
            </w:r>
          </w:p>
        </w:tc>
      </w:tr>
    </w:tbl>
    <w:p>
      <w:pPr>
        <w:spacing w:after="40"/>
      </w:pPr>
    </w:p>
    <w:p>
      <w:pPr>
        <w:pStyle w:val="Heading3"/>
        <w:keepNext/>
        <w:spacing w:before="120" w:after="80"/>
      </w:pPr>
      <w:r>
        <w:rPr>
          <w:b w:val="0"/>
          <w:i w:val="0"/>
        </w:rPr>
        <w:t>Our proposed selection (OPEN)</w:t>
      </w:r>
    </w:p>
    <w:p>
      <w:pPr>
        <w:spacing w:after="80"/>
      </w:pPr>
      <w:r>
        <w:rPr>
          <w:b w:val="0"/>
          <w:i w:val="0"/>
        </w:rPr>
        <w:t>Activate only well-differentiated G1/G2 disease from a known portal-drained GEP primary; retain a six-month biology test.</w:t>
      </w:r>
    </w:p>
    <w:p>
      <w:pPr>
        <w:numPr>
          <w:ilvl w:val="0"/>
          <w:numId w:val="5"/>
        </w:numPr>
        <w:spacing w:after="40"/>
      </w:pPr>
      <w:r>
        <w:rPr>
          <w:b w:val="0"/>
          <w:i w:val="0"/>
        </w:rPr>
        <w:t>Require expert pathology with Ki-67 &lt;20% and the applicable mitotic criterion; use the highest reliable representative grade. Exactly 20%, rounding uncertainty or discordance is HOLD for adjudication, not rounding down. Do not impose an unsupported Ki-67 &lt;10 rule or blanket G2 ban.</w:t>
      </w:r>
    </w:p>
    <w:p>
      <w:pPr>
        <w:numPr>
          <w:ilvl w:val="0"/>
          <w:numId w:val="5"/>
        </w:numPr>
        <w:spacing w:after="40"/>
      </w:pPr>
      <w:r>
        <w:rPr>
          <w:b w:val="0"/>
          <w:i w:val="0"/>
        </w:rPr>
        <w:t>G3, NEC and unknown/nonportal primary have no active cohort in this edition. Extrahepatic disease, active or previously treated, follows NET-B4: resected nodes may qualify after clearance; previous solid-organ metastases do not.</w:t>
      </w:r>
    </w:p>
    <w:p>
      <w:pPr>
        <w:numPr>
          <w:ilvl w:val="0"/>
          <w:numId w:val="5"/>
        </w:numPr>
        <w:spacing w:after="40"/>
      </w:pPr>
      <w:r>
        <w:rPr>
          <w:b w:val="0"/>
          <w:i w:val="0"/>
        </w:rPr>
        <w:t>Require ≥6 months of stable/responding hepatic disease and ≥6 months without recurrence after primary/extrahepatic clearance. Proposed documentation: at least three comparable assessments spanning baseline, about three months and six months. A suspicious new site is HOLD; confirmed progression restarts observation.</w:t>
      </w:r>
    </w:p>
    <w:p>
      <w:pPr>
        <w:spacing w:after="80"/>
      </w:pPr>
      <w:r>
        <w:rPr>
          <w:b/>
          <w:i w:val="0"/>
        </w:rPr>
        <w:t xml:space="preserve">Why: </w:t>
      </w:r>
      <w:r>
        <w:rPr>
          <w:b w:val="0"/>
          <w:i w:val="0"/>
        </w:rPr>
        <w:t>Evidence supports carefully selected well-differentiated G1/G2 portal-drained GEP primaries with cleared primary/extrahepatic disease and observed control. G2 has worse prognosis than G1 in the multicentre series but still meaningful selected survival, so a universal Ki-67 &lt;10% rule would discard potentially suitable G2 without validation. Well-differentiated G3 and poorly differentiated NEC must be separated diagnostically, yet neither has an established LT-benefit pathway. Prior primary regional nodal positivity is not equivalent to active unresected extrahepatic disease.</w:t>
      </w:r>
    </w:p>
    <w:p>
      <w:pPr>
        <w:spacing w:after="80"/>
      </w:pPr>
      <w:r>
        <w:rPr>
          <w:b/>
          <w:i w:val="0"/>
        </w:rPr>
        <w:t xml:space="preserve">Against, or uncertain: </w:t>
      </w:r>
      <w:r>
        <w:rPr>
          <w:b w:val="0"/>
          <w:i w:val="0"/>
        </w:rPr>
        <w:t>Milan LT cohorts included many patients whose primary nodes had been positive, so 'ever node-positive means never LT' is too broad. However, retrospective final-pathology positive nodes do not negate the current cleared-disease requirement. Spanish OUT cases and the tiny G3 subgroup are too heterogeneous to validate expansion. NETTER-2 proves PRRT activity in selected G3, not LT efficacy after response; seven post-LT PRRT cases cannot guarantee safe salvage. ENETS controllable bone disease conflicts with NLRB's solid-organ exclusion.</w:t>
      </w:r>
    </w:p>
    <w:p>
      <w:pPr>
        <w:spacing w:after="80"/>
      </w:pPr>
      <w:r>
        <w:rPr>
          <w:b/>
          <w:i w:val="0"/>
        </w:rPr>
        <w:t xml:space="preserve">Certainty: </w:t>
      </w:r>
      <w:r>
        <w:rPr>
          <w:b w:val="0"/>
          <w:i w:val="0"/>
        </w:rPr>
        <w:t>Low-to-moderate certainty for G1/G2 prognostic distinction and cautious standard selection; very low certainty for G3, nonportal/unknown primary, active nodes or prior solid-organ metastasis expansions. Official allocation exclusions should be reported separately from biological evidence.</w:t>
      </w:r>
    </w:p>
    <w:p>
      <w:pPr>
        <w:spacing w:after="80"/>
      </w:pPr>
      <w:r>
        <w:rPr>
          <w:b/>
          <w:i w:val="0"/>
        </w:rPr>
        <w:t xml:space="preserve">Tests and records: </w:t>
      </w:r>
      <w:r>
        <w:rPr>
          <w:b w:val="0"/>
          <w:i w:val="0"/>
        </w:rPr>
        <w:t>Expert grade/Ki-67/mitoses and primary origin; SSTR staging and cross-sectional imaging; complete primary/node/EHD clearance history; three-assessment timeline.</w:t>
      </w:r>
    </w:p>
    <w:p>
      <w:pPr>
        <w:spacing w:after="80"/>
      </w:pPr>
      <w:r>
        <w:rPr>
          <w:b/>
          <w:i w:val="0"/>
        </w:rPr>
        <w:t xml:space="preserve">Allocation: </w:t>
      </w:r>
      <w:r>
        <w:rPr>
          <w:b w:val="0"/>
          <w:i w:val="0"/>
        </w:rPr>
        <w:t>Current NET guidance and clinical consensus differ on some boundaries; favorable guidance does not remove the need to prove B1 benefit.</w:t>
      </w:r>
    </w:p>
    <w:p>
      <w:pPr>
        <w:spacing w:after="40"/>
      </w:pPr>
      <w:r>
        <w:rPr>
          <w:b/>
          <w:i w:val="0"/>
        </w:rPr>
        <w:t xml:space="preserve">Basis for the proposed thresholds: </w:t>
      </w:r>
    </w:p>
    <w:p>
      <w:pPr>
        <w:numPr>
          <w:ilvl w:val="0"/>
          <w:numId w:val="5"/>
        </w:numPr>
        <w:spacing w:after="40"/>
      </w:pPr>
      <w:r>
        <w:rPr>
          <w:b w:val="0"/>
          <w:i w:val="0"/>
        </w:rPr>
        <w:t>Ki-67 &lt;20% and six months after primary/extrahepatic clearance reflect current NLRB wording; modern WHO grading and the exact-20 boundary need explicit reconciliation. Six months stability derives from selection traditions, not a randomized timing trial. Three serial scans at roughly 0/3/6 months are a proposed local demonstration schedule, not a national mandated scan count.</w:t>
      </w:r>
    </w:p>
    <w:p>
      <w:pPr>
        <w:pStyle w:val="Heading3"/>
        <w:keepNext/>
        <w:spacing w:before="120" w:after="80"/>
      </w:pPr>
      <w:r>
        <w:rPr>
          <w:b w:val="0"/>
          <w:i w:val="0"/>
        </w:rPr>
        <w:t>NET-B2 — group decision</w:t>
      </w:r>
    </w:p>
    <w:p>
      <w:pPr>
        <w:spacing w:after="0"/>
      </w:pPr>
      <w:r>
        <w:rPr>
          <w:b/>
          <w:i w:val="0"/>
        </w:rPr>
        <w:t xml:space="preserve">Accepted position (or alternative chosen): </w:t>
      </w:r>
    </w:p>
    <w:p>
      <w:pPr>
        <w:spacing w:after="200"/>
        <w:pBdr>
          <w:bottom w:val="single" w:sz="6" w:space="1" w:color="9AA8B4"/>
        </w:pBdr>
      </w:pPr>
    </w:p>
    <w:p>
      <w:pPr>
        <w:spacing w:after="0"/>
      </w:pPr>
      <w:r>
        <w:rPr>
          <w:b/>
          <w:i w:val="0"/>
        </w:rPr>
        <w:t xml:space="preserve">Rationale, dissent and exceptions: </w:t>
      </w:r>
    </w:p>
    <w:p>
      <w:pPr>
        <w:spacing w:after="200"/>
        <w:pBdr>
          <w:bottom w:val="single" w:sz="6" w:space="1" w:color="9AA8B4"/>
        </w:pBdr>
      </w:pPr>
    </w:p>
    <w:p>
      <w:pPr>
        <w:spacing w:after="0"/>
      </w:pPr>
      <w:r>
        <w:rPr>
          <w:b/>
          <w:i w:val="0"/>
        </w:rPr>
        <w:t xml:space="preserve">Owner · approval date · implementation date: </w:t>
      </w:r>
    </w:p>
    <w:p>
      <w:pPr>
        <w:spacing w:after="200"/>
        <w:pBdr>
          <w:bottom w:val="single" w:sz="6" w:space="1" w:color="9AA8B4"/>
        </w:pBdr>
      </w:pPr>
    </w:p>
    <w:p>
      <w:pPr>
        <w:pStyle w:val="Heading2"/>
        <w:keepNext/>
        <w:spacing w:before="200" w:after="80"/>
      </w:pPr>
      <w:r>
        <w:rPr>
          <w:b w:val="0"/>
          <w:i w:val="0"/>
        </w:rPr>
        <w:t>NET-B3 — Age and liver tumor burden</w:t>
      </w:r>
    </w:p>
    <w:p>
      <w:pPr>
        <w:spacing w:after="80"/>
      </w:pPr>
      <w:r>
        <w:rPr>
          <w:b w:val="0"/>
          <w:i w:val="0"/>
          <w:color w:val="5A6069"/>
          <w:sz w:val="18"/>
        </w:rPr>
        <w:t>Individual review · expansion not activated · not activated · High-risk review</w:t>
      </w:r>
    </w:p>
    <w:p>
      <w:pPr>
        <w:spacing w:after="80"/>
      </w:pPr>
      <w:r>
        <w:rPr>
          <w:b/>
          <w:i w:val="0"/>
        </w:rPr>
        <w:t xml:space="preserve">Question: </w:t>
      </w:r>
      <w:r>
        <w:rPr>
          <w:b w:val="0"/>
          <w:i w:val="0"/>
        </w:rPr>
        <w:t>Should age or burden remain local selection factors without being called national rules?</w:t>
      </w:r>
    </w:p>
    <w:p>
      <w:pPr>
        <w:spacing w:after="80"/>
      </w:pPr>
      <w:r>
        <w:rPr>
          <w:b/>
          <w:i w:val="0"/>
        </w:rPr>
        <w:t xml:space="preserve">When it applies: </w:t>
      </w:r>
      <w:r>
        <w:rPr>
          <w:b w:val="0"/>
          <w:i w:val="0"/>
        </w:rPr>
        <w:t>Age and liver replacement require individual benefit assessment; proposed expanded groups remain unactivated.</w:t>
      </w:r>
    </w:p>
    <w:p>
      <w:pPr>
        <w:spacing w:after="80"/>
      </w:pPr>
      <w:r>
        <w:rPr>
          <w:b/>
          <w:i w:val="0"/>
        </w:rPr>
        <w:t xml:space="preserve">Where it is decided: </w:t>
      </w:r>
      <w:hyperlink r:id="rId38">
        <w:r>
          <w:rPr>
            <w:color w:val="0563C1"/>
            <w:u w:val="single"/>
          </w:rPr>
          <w:t xml:space="preserve">Request and renew the MELD exception</w:t>
        </w:r>
      </w:hyperlink>
    </w:p>
    <w:p>
      <w:pPr>
        <w:spacing w:after="120"/>
      </w:pPr>
      <w:r>
        <w:rPr>
          <w:b/>
          <w:i w:val="0"/>
          <w:sz w:val="18"/>
        </w:rPr>
        <w:t xml:space="preserve">Web page: </w:t>
      </w:r>
      <w:hyperlink r:id="rId47">
        <w:r>
          <w:rPr>
            <w:color w:val="0563C1"/>
            <w:u w:val="single"/>
            <w:sz w:val="18"/>
          </w:rPr>
          <w:t xml:space="preserve">open this question on the website</w:t>
        </w:r>
      </w:hyperlink>
    </w:p>
    <w:p>
      <w:pPr>
        <w:pStyle w:val="Heading3"/>
        <w:keepNext/>
        <w:spacing w:before="120" w:after="80"/>
      </w:pPr>
      <w:r>
        <w:rPr>
          <w:b w:val="0"/>
          <w:i w:val="0"/>
        </w:rPr>
        <w:t>Positions of guidelines, trials and papers</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200"/>
        <w:gridCol w:w="5480"/>
        <w:gridCol w:w="2400"/>
      </w:tblGrid>
      <w:tr>
        <w:trPr>
          <w:tblHeader/>
        </w:trPr>
        <w:tc>
          <w:tcPr>
            <w:tcW w:type="dxa" w:w="3360"/>
            <w:tcW w:w="2200" w:type="dxa"/>
            <w:shd w:val="clear" w:color="auto" w:fill="17365D"/>
          </w:tcPr>
          <w:p>
            <w:r>
              <w:rPr>
                <w:b/>
                <w:i w:val="0"/>
                <w:color w:val="FFFFFF"/>
                <w:sz w:val="19"/>
              </w:rPr>
              <w:t>Source</w:t>
            </w:r>
          </w:p>
        </w:tc>
        <w:tc>
          <w:tcPr>
            <w:tcW w:type="dxa" w:w="3360"/>
            <w:tcW w:w="5480" w:type="dxa"/>
            <w:shd w:val="clear" w:color="auto" w:fill="17365D"/>
          </w:tcPr>
          <w:p>
            <w:r>
              <w:rPr>
                <w:b/>
                <w:i w:val="0"/>
                <w:color w:val="FFFFFF"/>
                <w:sz w:val="19"/>
              </w:rPr>
              <w:t>Position</w:t>
            </w:r>
          </w:p>
        </w:tc>
        <w:tc>
          <w:tcPr>
            <w:tcW w:type="dxa" w:w="3360"/>
            <w:tcW w:w="2400" w:type="dxa"/>
            <w:shd w:val="clear" w:color="auto" w:fill="17365D"/>
          </w:tcPr>
          <w:p>
            <w:r>
              <w:rPr>
                <w:b/>
                <w:i w:val="0"/>
                <w:color w:val="FFFFFF"/>
                <w:sz w:val="19"/>
              </w:rPr>
              <w:t>Where stated</w:t>
            </w:r>
          </w:p>
        </w:tc>
      </w:tr>
      <w:tr>
        <w:trPr>
          <w:cantSplit/>
        </w:trPr>
        <w:tc>
          <w:tcPr>
            <w:tcW w:type="dxa" w:w="3360"/>
            <w:tcW w:w="2200" w:type="dxa"/>
            <w:shd w:val="clear" w:color="auto" w:fill="F1F5F8"/>
          </w:tcPr>
          <w:p>
            <w:pPr>
              <w:spacing w:after="0"/>
            </w:pPr>
            <w:r>
              <w:rPr>
                <w:b/>
                <w:i w:val="0"/>
                <w:sz w:val="19"/>
              </w:rPr>
              <w:t>Mazzaferro 2016 · Milan-NET</w:t>
            </w:r>
          </w:p>
        </w:tc>
        <w:tc>
          <w:tcPr>
            <w:tcW w:type="dxa" w:w="3360"/>
            <w:tcW w:w="5480" w:type="dxa"/>
            <w:shd w:val="clear" w:color="auto" w:fill="F1F5F8"/>
          </w:tcPr>
          <w:p>
            <w:pPr>
              <w:spacing w:after="0"/>
            </w:pPr>
            <w:r>
              <w:rPr>
                <w:b w:val="0"/>
                <w:i w:val="0"/>
                <w:sz w:val="19"/>
              </w:rPr>
              <w:t>“Metastatic diffusion to &lt;50% of the total liver volume” A selection criterion in the Milan framework, not a national allocation ceiling.</w:t>
            </w:r>
          </w:p>
        </w:tc>
        <w:tc>
          <w:tcPr>
            <w:tcW w:type="dxa" w:w="3360"/>
            <w:tcW w:w="2400" w:type="dxa"/>
            <w:shd w:val="clear" w:color="auto" w:fill="F1F5F8"/>
          </w:tcPr>
          <w:p>
            <w:pPr>
              <w:spacing w:after="0"/>
            </w:pPr>
            <w:r>
              <w:rPr>
                <w:b w:val="0"/>
                <w:i w:val="0"/>
                <w:color w:val="5A6069"/>
                <w:sz w:val="18"/>
              </w:rPr>
              <w:t>Milan-NET, Table 1, PDF p2 / journal p2893</w:t>
            </w:r>
          </w:p>
        </w:tc>
      </w:tr>
      <w:tr>
        <w:trPr>
          <w:cantSplit/>
        </w:trPr>
        <w:tc>
          <w:tcPr>
            <w:tcW w:type="dxa" w:w="3360"/>
            <w:tcW w:w="2200" w:type="dxa"/>
            <w:shd w:val="clear" w:color="auto" w:fill="FFFFFF"/>
          </w:tcPr>
          <w:p>
            <w:pPr>
              <w:spacing w:after="0"/>
            </w:pPr>
            <w:r>
              <w:rPr>
                <w:b/>
                <w:i w:val="0"/>
                <w:sz w:val="19"/>
              </w:rPr>
              <w:t>ENETS 2026</w:t>
            </w:r>
          </w:p>
        </w:tc>
        <w:tc>
          <w:tcPr>
            <w:tcW w:type="dxa" w:w="3360"/>
            <w:tcW w:w="5480" w:type="dxa"/>
            <w:shd w:val="clear" w:color="auto" w:fill="FFFFFF"/>
          </w:tcPr>
          <w:p>
            <w:pPr>
              <w:spacing w:after="0"/>
            </w:pPr>
            <w:r>
              <w:rPr>
                <w:b w:val="0"/>
                <w:i w:val="0"/>
                <w:sz w:val="19"/>
              </w:rPr>
              <w:t>“Age &lt;60 years may be considered a relative, not absolute, factor.” Supports individualized benefit/fitness assessment rather than an automatic age exclusion.</w:t>
            </w:r>
          </w:p>
        </w:tc>
        <w:tc>
          <w:tcPr>
            <w:tcW w:type="dxa" w:w="3360"/>
            <w:tcW w:w="2400" w:type="dxa"/>
            <w:shd w:val="clear" w:color="auto" w:fill="FFFFFF"/>
          </w:tcPr>
          <w:p>
            <w:pPr>
              <w:spacing w:after="0"/>
            </w:pPr>
            <w:r>
              <w:rPr>
                <w:b w:val="0"/>
                <w:i w:val="0"/>
                <w:color w:val="5A6069"/>
                <w:sz w:val="18"/>
              </w:rPr>
              <w:t>2026 full-text PDF p5, Table 2</w:t>
            </w:r>
          </w:p>
        </w:tc>
      </w:tr>
    </w:tbl>
    <w:p>
      <w:pPr>
        <w:spacing w:after="40"/>
      </w:pPr>
    </w:p>
    <w:p>
      <w:pPr>
        <w:pStyle w:val="Heading3"/>
        <w:keepNext/>
        <w:spacing w:before="120" w:after="80"/>
      </w:pPr>
      <w:r>
        <w:rPr>
          <w:b w:val="0"/>
          <w:i w:val="0"/>
        </w:rPr>
        <w:t>Evidence</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000"/>
        <w:gridCol w:w="3900"/>
        <w:gridCol w:w="4180"/>
      </w:tblGrid>
      <w:tr>
        <w:trPr>
          <w:tblHeader/>
        </w:trPr>
        <w:tc>
          <w:tcPr>
            <w:tcW w:type="dxa" w:w="3360"/>
            <w:tcW w:w="2000" w:type="dxa"/>
            <w:shd w:val="clear" w:color="auto" w:fill="17365D"/>
          </w:tcPr>
          <w:p>
            <w:r>
              <w:rPr>
                <w:b/>
                <w:i w:val="0"/>
                <w:color w:val="FFFFFF"/>
                <w:sz w:val="19"/>
              </w:rPr>
              <w:t>Source</w:t>
            </w:r>
          </w:p>
        </w:tc>
        <w:tc>
          <w:tcPr>
            <w:tcW w:type="dxa" w:w="3360"/>
            <w:tcW w:w="3900" w:type="dxa"/>
            <w:shd w:val="clear" w:color="auto" w:fill="17365D"/>
          </w:tcPr>
          <w:p>
            <w:r>
              <w:rPr>
                <w:b/>
                <w:i w:val="0"/>
                <w:color w:val="FFFFFF"/>
                <w:sz w:val="19"/>
              </w:rPr>
              <w:t>Population and selection</w:t>
            </w:r>
          </w:p>
        </w:tc>
        <w:tc>
          <w:tcPr>
            <w:tcW w:type="dxa" w:w="3360"/>
            <w:tcW w:w="4180" w:type="dxa"/>
            <w:shd w:val="clear" w:color="auto" w:fill="17365D"/>
          </w:tcPr>
          <w:p>
            <w:r>
              <w:rPr>
                <w:b/>
                <w:i w:val="0"/>
                <w:color w:val="FFFFFF"/>
                <w:sz w:val="19"/>
              </w:rPr>
              <w:t>Results, limits and location</w:t>
            </w:r>
          </w:p>
        </w:tc>
      </w:tr>
      <w:tr>
        <w:trPr>
          <w:cantSplit/>
        </w:trPr>
        <w:tc>
          <w:tcPr>
            <w:tcW w:type="dxa" w:w="3360"/>
            <w:tcW w:w="2000" w:type="dxa"/>
            <w:shd w:val="clear" w:color="auto" w:fill="F1F5F8"/>
          </w:tcPr>
          <w:p>
            <w:pPr>
              <w:spacing w:after="0"/>
            </w:pPr>
            <w:r>
              <w:rPr>
                <w:b/>
                <w:i w:val="0"/>
                <w:sz w:val="19"/>
              </w:rPr>
              <w:t>Mazzaferro 2016 · Milan-NET</w:t>
            </w:r>
          </w:p>
        </w:tc>
        <w:tc>
          <w:tcPr>
            <w:tcW w:type="dxa" w:w="3360"/>
            <w:tcW w:w="3900" w:type="dxa"/>
            <w:shd w:val="clear" w:color="auto" w:fill="F1F5F8"/>
          </w:tcPr>
          <w:p>
            <w:pPr>
              <w:spacing w:after="0"/>
            </w:pPr>
            <w:r>
              <w:rPr>
                <w:b w:val="0"/>
                <w:i w:val="0"/>
                <w:sz w:val="19"/>
              </w:rPr>
              <w:t>Single-centre comparative Milan-NET study, 88 eligible patients: 42 LT and 46 non-LT, 1995–2010 era, nonrandomized. Well-differentiated portal-drained GEP primary, primary/extrahepatic disease removed, limited hepatic burden, at least six months stability; age &lt;60 was relative. LT recipients were substantially younger (median 40.5 versus 55.5), and post hoc grading differed, including four G3 in non-LT versus none in LT. Primary regional nodes had been positive in 34/42 LT recipients; this is not evidence supporting active uncleared extrahepatic disease at LT.</w:t>
            </w:r>
          </w:p>
        </w:tc>
        <w:tc>
          <w:tcPr>
            <w:tcW w:type="dxa" w:w="3360"/>
            <w:tcW w:w="4180" w:type="dxa"/>
            <w:shd w:val="clear" w:color="auto" w:fill="F1F5F8"/>
          </w:tcPr>
          <w:p>
            <w:pPr>
              <w:spacing w:after="0"/>
            </w:pPr>
            <w:r>
              <w:rPr>
                <w:b w:val="0"/>
                <w:i w:val="0"/>
                <w:sz w:val="19"/>
              </w:rPr>
              <w:t>Median follow-up 122 months. Five-/ten-year OS 97.2%/88.8% LT versus 50.9%/22.4% non-LT. Time origin was primary-tumour resection; authors used left-truncated Cox models to account for delayed LT entry. Propensity-adjusted restricted mean survival gain was 6.82 months at five years and 38.43 months at ten years. These are cohort estimates, not individual calculators.</w:t>
            </w:r>
          </w:p>
          <w:p>
            <w:pPr>
              <w:spacing w:after="0"/>
            </w:pPr>
            <w:r>
              <w:rPr>
                <w:b w:val="0"/>
                <w:i/>
                <w:sz w:val="19"/>
              </w:rPr>
              <w:t>Limits: Major selection/age/treatment-era differences, small numbers and residual confounding remain despite statistical handling of delayed treatment. Only 4/46 non-LT patients received PRRT, so this is not a modern sequential-care comparator. Patients overlap subsequent Milan series and some multicentre LT studies; do not sum them as independent evidence.</w:t>
            </w:r>
          </w:p>
          <w:p>
            <w:pPr>
              <w:spacing w:after="0"/>
            </w:pPr>
            <w:r>
              <w:rPr>
                <w:b w:val="0"/>
                <w:i w:val="0"/>
                <w:color w:val="5A6069"/>
                <w:sz w:val="18"/>
              </w:rPr>
              <w:t>Am J Transplant 2016;16:2892–2902; full PDF Methods statistical time origin/left truncation, Tables 1–2 eligibility/characteristics, survival and restricted-mean analyses.</w:t>
            </w:r>
          </w:p>
        </w:tc>
      </w:tr>
      <w:tr>
        <w:trPr>
          <w:cantSplit/>
        </w:trPr>
        <w:tc>
          <w:tcPr>
            <w:tcW w:type="dxa" w:w="3360"/>
            <w:tcW w:w="2000" w:type="dxa"/>
            <w:shd w:val="clear" w:color="auto" w:fill="FFFFFF"/>
          </w:tcPr>
          <w:p>
            <w:pPr>
              <w:spacing w:after="0"/>
            </w:pPr>
            <w:r>
              <w:rPr>
                <w:b/>
                <w:i w:val="0"/>
                <w:sz w:val="19"/>
              </w:rPr>
              <w:t>Maspero 2022 · Milan long-term</w:t>
            </w:r>
          </w:p>
        </w:tc>
        <w:tc>
          <w:tcPr>
            <w:tcW w:type="dxa" w:w="3360"/>
            <w:tcW w:w="3900" w:type="dxa"/>
            <w:shd w:val="clear" w:color="auto" w:fill="FFFFFF"/>
          </w:tcPr>
          <w:p>
            <w:pPr>
              <w:spacing w:after="0"/>
            </w:pPr>
            <w:r>
              <w:rPr>
                <w:b w:val="0"/>
                <w:i w:val="0"/>
                <w:sz w:val="19"/>
              </w:rPr>
              <w:t>Retrospective Milan single-centre series, 1984–2019: 149 liver operations (53 LT, 96 LR), with 104 Milan-eligible cases analysed (48 LT, 56 LR). Portal-drained G1/G2 primary previously resected, no extrahepatic disease, &lt;50% hepatic involvement, at least six months stable disease, age &lt;60 relative. LT and resection had different resectability/age indications. Minimum six-month follow-up inclusion needs care when interpreting early risk; this is not an all-referral cohort.</w:t>
            </w:r>
          </w:p>
        </w:tc>
        <w:tc>
          <w:tcPr>
            <w:tcW w:type="dxa" w:w="3360"/>
            <w:tcW w:w="4180" w:type="dxa"/>
            <w:shd w:val="clear" w:color="auto" w:fill="FFFFFF"/>
          </w:tcPr>
          <w:p>
            <w:pPr>
              <w:spacing w:after="0"/>
            </w:pPr>
            <w:r>
              <w:rPr>
                <w:b w:val="0"/>
                <w:i w:val="0"/>
                <w:sz w:val="19"/>
              </w:rPr>
              <w:t>Time zero liver operation; median follow-up 158 months LT and 126 LR. Five-year OS 95.5% versus 90%; ten-year OS 93% versus 75%. Ten-year DFS 52% versus 18%; recurrence 25/48 versus 42/56 and median recurrence time 78 versus 24 months. LT recurrence was more often multisite; LR recurrence predominantly liver. Nine LT deaths included three cancer and six non-cancer deaths, including new malignancy, sepsis/lymphoproliferative and cardiovascular causes.</w:t>
            </w:r>
          </w:p>
          <w:p>
            <w:pPr>
              <w:spacing w:after="0"/>
            </w:pPr>
            <w:r>
              <w:rPr>
                <w:b w:val="0"/>
                <w:i/>
                <w:sz w:val="19"/>
              </w:rPr>
              <w:t>Limits: Not randomized or anatomically exchangeable; prolonged selected follow-up and differing age can favor LT. Strong overlap with 2016 Milan-NET makes it long-term/alternative-comparator information, not independent confirmation. Late recurrence and immunosuppression-related competing causes matter even with excellent survival.</w:t>
            </w:r>
          </w:p>
          <w:p>
            <w:pPr>
              <w:spacing w:after="0"/>
            </w:pPr>
            <w:r>
              <w:rPr>
                <w:b w:val="0"/>
                <w:i w:val="0"/>
                <w:color w:val="5A6069"/>
                <w:sz w:val="18"/>
              </w:rPr>
              <w:t>Am J Transplant 2022 DOI10.1111/ajt.17156; complete PDF pp.2–4 methods/time origin/cohort; later survival figures, recurrence table and Discussion.</w:t>
            </w:r>
          </w:p>
        </w:tc>
      </w:tr>
      <w:tr>
        <w:trPr>
          <w:cantSplit/>
        </w:trPr>
        <w:tc>
          <w:tcPr>
            <w:tcW w:type="dxa" w:w="3360"/>
            <w:tcW w:w="2000" w:type="dxa"/>
            <w:shd w:val="clear" w:color="auto" w:fill="F1F5F8"/>
          </w:tcPr>
          <w:p>
            <w:pPr>
              <w:spacing w:after="0"/>
            </w:pPr>
            <w:r>
              <w:rPr>
                <w:b/>
                <w:i w:val="0"/>
                <w:sz w:val="19"/>
              </w:rPr>
              <w:t>Eshmuminov 2023 · LT versus resection</w:t>
            </w:r>
          </w:p>
        </w:tc>
        <w:tc>
          <w:tcPr>
            <w:tcW w:type="dxa" w:w="3360"/>
            <w:tcW w:w="3900" w:type="dxa"/>
            <w:shd w:val="clear" w:color="auto" w:fill="F1F5F8"/>
          </w:tcPr>
          <w:p>
            <w:pPr>
              <w:spacing w:after="0"/>
            </w:pPr>
            <w:r>
              <w:rPr>
                <w:b w:val="0"/>
                <w:i w:val="0"/>
                <w:sz w:val="19"/>
              </w:rPr>
              <w:t>International retrospective comparison from 15 centres, 1988–2021: 455 patients (225 LT, 230 liver resection); median follow-up 97 months. Propensity matching produced 96 patients per group. Surgically selected patients, matched on age, grade and primary location. Twenty-seven percent of LT cases had unknown grade; burden, era and treatment history remain imperfectly controlled. Resection and LT do not necessarily address anatomically interchangeable patients.</w:t>
            </w:r>
          </w:p>
        </w:tc>
        <w:tc>
          <w:tcPr>
            <w:tcW w:type="dxa" w:w="3360"/>
            <w:tcW w:w="4180" w:type="dxa"/>
            <w:shd w:val="clear" w:color="auto" w:fill="F1F5F8"/>
          </w:tcPr>
          <w:p>
            <w:pPr>
              <w:spacing w:after="0"/>
            </w:pPr>
            <w:r>
              <w:rPr>
                <w:b w:val="0"/>
                <w:i w:val="0"/>
                <w:sz w:val="19"/>
              </w:rPr>
              <w:t>Use main Results p.e1067/Table 4: matched five-year OS 75% LT versus 68.3% LR, HR 0.56 (95% CI 0.35–0.90); five-year PFS 64.2% versus 14.2%, HR 0.25 (0.16–0.39), measured from operation. Ninety-day deaths 13/225 LT (5.8%) versus 3/230 LR (1.3%). LT G1 versus G2 five-year OS 92.9% versus 70%; adjusted G2 HR 2.52 (1.15–5.52). Outside-Milan matched OS HR 0.64 (0.31–1.33), not statistically conclusive.</w:t>
            </w:r>
          </w:p>
          <w:p>
            <w:pPr>
              <w:spacing w:after="0"/>
            </w:pPr>
            <w:r>
              <w:rPr>
                <w:b w:val="0"/>
                <w:i/>
                <w:sz w:val="19"/>
              </w:rPr>
              <w:t>Limits: Material abstract/body discrepancy: abstract reports matched five-year OS 73% versus 52.8%, whereas main Results/Table 4 report 75% versus 68.3%. The latter is used with explicit discrepancy flag; clarification would be desirable. Matching does not remove unmeasured confounding, missing pathology, era or selection bias. The nonsignificant outside-Milan estimate does not prove no benefit, and ten G3 cases do not validate G3 LT. Overlaps centre cohorts including Milan.</w:t>
            </w:r>
          </w:p>
          <w:p>
            <w:pPr>
              <w:spacing w:after="0"/>
            </w:pPr>
            <w:r>
              <w:rPr>
                <w:b w:val="0"/>
                <w:i w:val="0"/>
                <w:color w:val="5A6069"/>
                <w:sz w:val="18"/>
              </w:rPr>
              <w:t>Ann Surg 2023 DOI10.1097/SLA.0000000000005663; PDF main Results printed p.e1067/Table 4 for matched outcomes; earlier Tables 1–3 for grade and mortality; abstract on first page differs.</w:t>
            </w:r>
          </w:p>
        </w:tc>
      </w:tr>
      <w:tr>
        <w:trPr>
          <w:cantSplit/>
        </w:trPr>
        <w:tc>
          <w:tcPr>
            <w:tcW w:type="dxa" w:w="3360"/>
            <w:tcW w:w="2000" w:type="dxa"/>
            <w:shd w:val="clear" w:color="auto" w:fill="FFFFFF"/>
          </w:tcPr>
          <w:p>
            <w:pPr>
              <w:spacing w:after="0"/>
            </w:pPr>
            <w:r>
              <w:rPr>
                <w:b/>
                <w:i w:val="0"/>
                <w:sz w:val="19"/>
              </w:rPr>
              <w:t>Kjaer 2023 · eligible non-LT panNET</w:t>
            </w:r>
          </w:p>
        </w:tc>
        <w:tc>
          <w:tcPr>
            <w:tcW w:type="dxa" w:w="3360"/>
            <w:tcW w:w="3900" w:type="dxa"/>
            <w:shd w:val="clear" w:color="auto" w:fill="FFFFFF"/>
          </w:tcPr>
          <w:p>
            <w:pPr>
              <w:spacing w:after="0"/>
            </w:pPr>
            <w:r>
              <w:rPr>
                <w:b w:val="0"/>
                <w:i w:val="0"/>
                <w:sz w:val="19"/>
              </w:rPr>
              <w:t>Single-centre retrospective non-LT panNET cohort, 2000–2021: 519 screened, 41 G1/G2 metastatic patients included; 16 met at least one historical LT framework (Milan 11, ENETS 8, UNOS 13, overlapping). Resected primary, liver metastases, no extra-abdominal disease, age ≤75 and no G3. Definitions modified historical criteria, including Milan age &lt;65 and two 'UNOS' patients with stable regional nodes, so not all meet today's NLRB requirements. Multimodal care included five liver resections, 15 ablations, six embolizations and later-line PRRT, not purely medical therapy.</w:t>
            </w:r>
          </w:p>
        </w:tc>
        <w:tc>
          <w:tcPr>
            <w:tcW w:type="dxa" w:w="3360"/>
            <w:tcW w:w="4180" w:type="dxa"/>
            <w:shd w:val="clear" w:color="auto" w:fill="FFFFFF"/>
          </w:tcPr>
          <w:p>
            <w:pPr>
              <w:spacing w:after="0"/>
            </w:pPr>
            <w:r>
              <w:rPr>
                <w:b w:val="0"/>
                <w:i w:val="0"/>
                <w:sz w:val="19"/>
              </w:rPr>
              <w:t>Time zero was date LT criteria fulfilled (for remaining patients, initial institutional visit after primary resection with liver metastases). Mean follow-up 5.4 years. Overall 41-patient median OS 9.3 years; five-year OS 64.7% (95% CI 48.2–81.2). Milan subset five-year OS 64.9% (32.2–97.6), ENETS 85.7% (59.8–100), historical UNOS 55.4% (26.0–84.8).</w:t>
            </w:r>
          </w:p>
          <w:p>
            <w:pPr>
              <w:spacing w:after="0"/>
            </w:pPr>
            <w:r>
              <w:rPr>
                <w:b w:val="0"/>
                <w:i/>
                <w:sz w:val="19"/>
              </w:rPr>
              <w:t>Limits: Small retrospective selected subgroups with very wide intervals; no internal LT comparator and treatment-era limitations. It challenges the assumption that eligible stage IV NET has uniformly poor non-LT survival; it cannot prove that non-LT is superior to LT. Avoid comparing its eligibility-based survival directly with post-LT curves as if randomized.</w:t>
            </w:r>
          </w:p>
          <w:p>
            <w:pPr>
              <w:spacing w:after="0"/>
            </w:pPr>
            <w:r>
              <w:rPr>
                <w:b w:val="0"/>
                <w:i w:val="0"/>
                <w:color w:val="5A6069"/>
                <w:sz w:val="18"/>
              </w:rPr>
              <w:t>World J Surg 2023 DOI10.1007/s00268-022-06736-1; complete PDF pp.2–5 methods, time origin, eligibility modifications, treatments and survival tables.</w:t>
            </w:r>
          </w:p>
        </w:tc>
      </w:tr>
      <w:tr>
        <w:trPr>
          <w:cantSplit/>
        </w:trPr>
        <w:tc>
          <w:tcPr>
            <w:tcW w:type="dxa" w:w="3360"/>
            <w:tcW w:w="2000" w:type="dxa"/>
            <w:shd w:val="clear" w:color="auto" w:fill="F1F5F8"/>
          </w:tcPr>
          <w:p>
            <w:pPr>
              <w:spacing w:after="0"/>
            </w:pPr>
            <w:r>
              <w:rPr>
                <w:b/>
                <w:i w:val="0"/>
                <w:sz w:val="19"/>
              </w:rPr>
              <w:t>Boscà 2026 · Spain</w:t>
            </w:r>
          </w:p>
        </w:tc>
        <w:tc>
          <w:tcPr>
            <w:tcW w:type="dxa" w:w="3360"/>
            <w:tcW w:w="3900" w:type="dxa"/>
            <w:shd w:val="clear" w:color="auto" w:fill="F1F5F8"/>
          </w:tcPr>
          <w:p>
            <w:pPr>
              <w:spacing w:after="0"/>
            </w:pPr>
            <w:r>
              <w:rPr>
                <w:b w:val="0"/>
                <w:i w:val="0"/>
                <w:sz w:val="19"/>
              </w:rPr>
              <w:t>Spanish 13-centre retrospective series of 91 NET LT recipients, 1995–2024; 41 transplanted before 2007; 71 Milan-IN and 20 Milan-OUT. Mixed primary sites/eras and deviations. Pathology data missing in more than 30%; Ki-67 available in 51, with only one documented &gt;20%. Milan-OUT combines different burden, primary, grade and other deviations; it is not a controlled trial of a single burden expansion.</w:t>
            </w:r>
          </w:p>
        </w:tc>
        <w:tc>
          <w:tcPr>
            <w:tcW w:type="dxa" w:w="3360"/>
            <w:tcW w:w="4180" w:type="dxa"/>
            <w:shd w:val="clear" w:color="auto" w:fill="F1F5F8"/>
          </w:tcPr>
          <w:p>
            <w:pPr>
              <w:spacing w:after="0"/>
            </w:pPr>
            <w:r>
              <w:rPr>
                <w:b w:val="0"/>
                <w:i w:val="0"/>
                <w:sz w:val="19"/>
              </w:rPr>
              <w:t>Time zero LT; median follow-up 6.5 years. Table 5: five-year OS 71.0% IN versus 58.7% OUT, ten-year 55.5% versus 32.0%, fifteen-year 52.2% versus 16.0% (OS comparison P=0.03). Five-year DFS 58.8% versus 36.3%, not statistically significant. Recurrence 52/91; ninety-day mortality 9/91 (9.9%). Nine retransplants: two primary nonfunction, six hepatic artery thrombosis, one rejection.</w:t>
            </w:r>
          </w:p>
          <w:p>
            <w:pPr>
              <w:spacing w:after="0"/>
            </w:pPr>
            <w:r>
              <w:rPr>
                <w:b w:val="0"/>
                <w:i/>
                <w:sz w:val="19"/>
              </w:rPr>
              <w:t>Limits: Era, missing pathology, small OUT group and composite deviations preclude validating 50–70% burden, age ≥60, G3 or extrahepatic expansion individually. Nonsignificant DFS is not equivalence. The abstract rounds OUT five-year OS differently; use Table 5 value with locator.</w:t>
            </w:r>
          </w:p>
          <w:p>
            <w:pPr>
              <w:spacing w:after="0"/>
            </w:pPr>
            <w:r>
              <w:rPr>
                <w:b w:val="0"/>
                <w:i w:val="0"/>
                <w:color w:val="5A6069"/>
                <w:sz w:val="18"/>
              </w:rPr>
              <w:t>J Clin Med 2026;15:938; complete PDF Results, Tables 2–5, postoperative mortality/retransplantation and limitations.</w:t>
            </w:r>
          </w:p>
        </w:tc>
      </w:tr>
      <w:tr>
        <w:trPr>
          <w:cantSplit/>
        </w:trPr>
        <w:tc>
          <w:tcPr>
            <w:tcW w:type="dxa" w:w="3360"/>
            <w:tcW w:w="2000" w:type="dxa"/>
            <w:shd w:val="clear" w:color="auto" w:fill="FFFFFF"/>
          </w:tcPr>
          <w:p>
            <w:pPr>
              <w:spacing w:after="0"/>
            </w:pPr>
            <w:r>
              <w:rPr>
                <w:b/>
                <w:i w:val="0"/>
                <w:sz w:val="19"/>
              </w:rPr>
              <w:t>Le Treut 2013 · ELTR</w:t>
            </w:r>
          </w:p>
        </w:tc>
        <w:tc>
          <w:tcPr>
            <w:tcW w:type="dxa" w:w="3360"/>
            <w:tcW w:w="3900" w:type="dxa"/>
            <w:shd w:val="clear" w:color="auto" w:fill="FFFFFF"/>
          </w:tcPr>
          <w:p>
            <w:pPr>
              <w:spacing w:after="0"/>
            </w:pPr>
            <w:r>
              <w:rPr>
                <w:b w:val="0"/>
                <w:i w:val="0"/>
                <w:sz w:val="19"/>
              </w:rPr>
              <w:t>European Liver Transplant Registry retrospective multicentre study, 213 recipients at 35 centres, 1982–2009; 107 before 2000 and 106 thereafter. Published primary abstract reviewed. Heterogeneous historical NET pathology and selection; 55% had hepatomegaly. Major additional resection in 24 and minor in 30. Historical poor differentiation is not interchangeable with modern well-differentiated G3.</w:t>
            </w:r>
          </w:p>
        </w:tc>
        <w:tc>
          <w:tcPr>
            <w:tcW w:type="dxa" w:w="3360"/>
            <w:tcW w:w="4180" w:type="dxa"/>
            <w:shd w:val="clear" w:color="auto" w:fill="FFFFFF"/>
          </w:tcPr>
          <w:p>
            <w:pPr>
              <w:spacing w:after="0"/>
            </w:pPr>
            <w:r>
              <w:rPr>
                <w:b w:val="0"/>
                <w:i w:val="0"/>
                <w:sz w:val="19"/>
              </w:rPr>
              <w:t>Three-month mortality 10%. Five-year OS 52% measured from LT, versus 73% measured from liver-metastasis diagnosis; five-year DFS 30%. Post-2000 five-year OS 59%. Poor differentiation, hepatomegaly and concurrent major resection were adverse; age &gt;45 was adverse in a later-era analysis.</w:t>
            </w:r>
          </w:p>
          <w:p>
            <w:pPr>
              <w:spacing w:after="0"/>
            </w:pPr>
            <w:r>
              <w:rPr>
                <w:b w:val="0"/>
                <w:i/>
                <w:sz w:val="19"/>
              </w:rPr>
              <w:t>Limits: The striking time-origin difference illustrates why survival curves cannot be compared casually. Registry era, incomplete grading and nonrandom selection limit modern applicability. Age 45 association does not establish a biological exclusion threshold. Cohort overlap with later multicentre reports is likely.</w:t>
            </w:r>
          </w:p>
          <w:p>
            <w:pPr>
              <w:spacing w:after="0"/>
            </w:pPr>
            <w:r>
              <w:rPr>
                <w:b w:val="0"/>
                <w:i w:val="0"/>
                <w:color w:val="5A6069"/>
                <w:sz w:val="18"/>
              </w:rPr>
              <w:t>Ann Surg 2013 DOI10.1097/SLA.0b013e31828ee17c; PMID23532105 primary abstract; complete PDF not located.</w:t>
            </w:r>
          </w:p>
        </w:tc>
      </w:tr>
      <w:tr>
        <w:trPr>
          <w:cantSplit/>
        </w:trPr>
        <w:tc>
          <w:tcPr>
            <w:tcW w:type="dxa" w:w="3360"/>
            <w:tcW w:w="2000" w:type="dxa"/>
            <w:shd w:val="clear" w:color="auto" w:fill="F1F5F8"/>
          </w:tcPr>
          <w:p>
            <w:pPr>
              <w:spacing w:after="0"/>
            </w:pPr>
            <w:r>
              <w:rPr>
                <w:b/>
                <w:i w:val="0"/>
                <w:sz w:val="19"/>
              </w:rPr>
              <w:t>ENETS 2026</w:t>
            </w:r>
          </w:p>
        </w:tc>
        <w:tc>
          <w:tcPr>
            <w:tcW w:type="dxa" w:w="3360"/>
            <w:tcW w:w="3900" w:type="dxa"/>
            <w:shd w:val="clear" w:color="auto" w:fill="F1F5F8"/>
          </w:tcPr>
          <w:p>
            <w:pPr>
              <w:spacing w:after="0"/>
            </w:pPr>
            <w:r>
              <w:rPr>
                <w:b w:val="0"/>
                <w:i w:val="0"/>
                <w:sz w:val="19"/>
              </w:rPr>
              <w:t>ENETS 2026 position statement explicitly addressing controversies; expert, hypothesis-generating framework rather than original comparative outcome study. Reorients toward incremental benefit and proposes substantial liver burden, young/fit patients and selected controllable extrahepatic disease; broadens beyond traditional Milan in some respects.</w:t>
            </w:r>
          </w:p>
        </w:tc>
        <w:tc>
          <w:tcPr>
            <w:tcW w:type="dxa" w:w="3360"/>
            <w:tcW w:w="4180" w:type="dxa"/>
            <w:shd w:val="clear" w:color="auto" w:fill="F1F5F8"/>
          </w:tcPr>
          <w:p>
            <w:pPr>
              <w:spacing w:after="0"/>
            </w:pPr>
            <w:r>
              <w:rPr>
                <w:b w:val="0"/>
                <w:i w:val="0"/>
                <w:sz w:val="19"/>
              </w:rPr>
              <w:t>No original outcome denominator. Proposed liver-burden bands around 25–70%, age &lt;60 as relative and six-month stability are pragmatic concepts. Illustrative non-LT five-year survival &lt;30% versus post-LT ≥70% are not a calibrated individual benefit model.</w:t>
            </w:r>
          </w:p>
          <w:p>
            <w:pPr>
              <w:spacing w:after="0"/>
            </w:pPr>
            <w:r>
              <w:rPr>
                <w:b w:val="0"/>
                <w:i/>
                <w:sz w:val="19"/>
              </w:rPr>
              <w:t>Limits: Do not turn an expert future-oriented proposal into validated numerical gates. Suggested controllable extrahepatic disease, including bone, conflicts with current NLRB solid-organ-metastasis exclusion. It identifies research needs rather than approving an expansion.</w:t>
            </w:r>
          </w:p>
          <w:p>
            <w:pPr>
              <w:spacing w:after="0"/>
            </w:pPr>
            <w:r>
              <w:rPr>
                <w:b w:val="0"/>
                <w:i w:val="0"/>
                <w:color w:val="5A6069"/>
                <w:sz w:val="18"/>
              </w:rPr>
              <w:t>J Neuroendocrinol 2026;38:e70250; complete position-statement PDF burden, benefit, age, stability and extrahepatic discussion.</w:t>
            </w:r>
          </w:p>
        </w:tc>
      </w:tr>
    </w:tbl>
    <w:p>
      <w:pPr>
        <w:spacing w:after="40"/>
      </w:pPr>
    </w:p>
    <w:p>
      <w:pPr>
        <w:pStyle w:val="Heading3"/>
        <w:keepNext/>
        <w:spacing w:before="120" w:after="80"/>
      </w:pPr>
      <w:r>
        <w:rPr>
          <w:b w:val="0"/>
          <w:i w:val="0"/>
        </w:rPr>
        <w:t>Our proposed selection (OPEN)</w:t>
      </w:r>
    </w:p>
    <w:p>
      <w:pPr>
        <w:spacing w:after="80"/>
      </w:pPr>
      <w:r>
        <w:rPr>
          <w:b w:val="0"/>
          <w:i w:val="0"/>
        </w:rPr>
        <w:t>Use age as a review trigger, not an absolute exclusion; retain a conservative opening burden and a separately declared expansion band.</w:t>
      </w:r>
    </w:p>
    <w:p>
      <w:pPr>
        <w:numPr>
          <w:ilvl w:val="0"/>
          <w:numId w:val="5"/>
        </w:numPr>
        <w:spacing w:after="40"/>
      </w:pPr>
      <w:r>
        <w:rPr>
          <w:b w:val="0"/>
          <w:i w:val="0"/>
        </w:rPr>
        <w:t>Age ≥60 triggers explicit physiological-reserve, competing-mortality and benefit review; no absolute chronological-age ceiling or invented NET-specific frailty score is adopted.</w:t>
      </w:r>
    </w:p>
    <w:p>
      <w:pPr>
        <w:numPr>
          <w:ilvl w:val="0"/>
          <w:numId w:val="5"/>
        </w:numPr>
        <w:spacing w:after="40"/>
      </w:pPr>
      <w:r>
        <w:rPr>
          <w:b w:val="0"/>
          <w:i w:val="0"/>
        </w:rPr>
        <w:t>Reproducibly estimate liver involvement. &lt;50% is the conservative Milan-derived reference; exactly 50% through 70% is a separate prospective expansion stratum, not automatically active. &gt;70% is outside the initial local program for conservative risk control, not because published evidence proves futility. The 50–70/&gt;70 choices are local proposals, not national limits.</w:t>
      </w:r>
    </w:p>
    <w:p>
      <w:pPr>
        <w:numPr>
          <w:ilvl w:val="0"/>
          <w:numId w:val="5"/>
        </w:numPr>
        <w:spacing w:after="40"/>
      </w:pPr>
      <w:r>
        <w:rPr>
          <w:b w:val="0"/>
          <w:i w:val="0"/>
        </w:rPr>
        <w:t>Low burden, particularly &lt;25%, defaults to non-LT care unless a documented NET-B1 benefit trigger overrides that default. Do not give harmful downstaging solely to cross a percentage boundary.</w:t>
      </w:r>
    </w:p>
    <w:p>
      <w:pPr>
        <w:spacing w:after="80"/>
      </w:pPr>
      <w:r>
        <w:rPr>
          <w:b/>
          <w:i w:val="0"/>
        </w:rPr>
        <w:t xml:space="preserve">Why: </w:t>
      </w:r>
      <w:r>
        <w:rPr>
          <w:b w:val="0"/>
          <w:i w:val="0"/>
        </w:rPr>
        <w:t>The &lt;50% burden and relative age &lt;60 framework has the best selected-cohort lineage, not proof of a sharp treatment-benefit boundary. Registry associations with age &gt;45 or hepatomegaly do not establish universal bans. More burden may increase need for organ replacement but also worsen prognosis; low burden may predict good post-LT survival while yielding little extra benefit. NLRB's lack of explicit age/burden limits does not validate any expansion.</w:t>
      </w:r>
    </w:p>
    <w:p>
      <w:pPr>
        <w:spacing w:after="80"/>
      </w:pPr>
      <w:r>
        <w:rPr>
          <w:b/>
          <w:i w:val="0"/>
        </w:rPr>
        <w:t xml:space="preserve">Against, or uncertain: </w:t>
      </w:r>
      <w:r>
        <w:rPr>
          <w:b w:val="0"/>
          <w:i w:val="0"/>
        </w:rPr>
        <w:t>Spanish Milan-OUT survival is lower, but OUT combines many deviations and cannot isolate &gt;50% burden or age ≥60. Matched outside-Milan confidence intervals are wide, not proof of futility. Kjaer's non-LT survival cautions against assuming any eligible patient needs LT. ENETS 25–70% proposal is an expert benefit-oriented hypothesis, not outcome-validated proof that 70% is a biological ceiling.</w:t>
      </w:r>
    </w:p>
    <w:p>
      <w:pPr>
        <w:spacing w:after="80"/>
      </w:pPr>
      <w:r>
        <w:rPr>
          <w:b/>
          <w:i w:val="0"/>
        </w:rPr>
        <w:t xml:space="preserve">Certainty: </w:t>
      </w:r>
      <w:r>
        <w:rPr>
          <w:b w:val="0"/>
          <w:i w:val="0"/>
        </w:rPr>
        <w:t>Low certainty for any causal age/burden threshold; moderate confidence that these variables and liver function must be measured and followed. No prospective trial validates 25%, 50%, 70% or age 60 as a universal increment-benefit boundary.</w:t>
      </w:r>
    </w:p>
    <w:p>
      <w:pPr>
        <w:spacing w:after="80"/>
      </w:pPr>
      <w:r>
        <w:rPr>
          <w:b/>
          <w:i w:val="0"/>
        </w:rPr>
        <w:t xml:space="preserve">Tests and records: </w:t>
      </w:r>
      <w:r>
        <w:rPr>
          <w:b w:val="0"/>
          <w:i w:val="0"/>
        </w:rPr>
        <w:t>Method/date of volumetric burden; functional reserve/frailty; competing illness; symptom/benefit trigger; current treatment alternatives.</w:t>
      </w:r>
    </w:p>
    <w:p>
      <w:pPr>
        <w:spacing w:after="80"/>
      </w:pPr>
      <w:r>
        <w:rPr>
          <w:b/>
          <w:i w:val="0"/>
        </w:rPr>
        <w:t xml:space="preserve">Allocation: </w:t>
      </w:r>
      <w:r>
        <w:rPr>
          <w:b w:val="0"/>
          <w:i w:val="0"/>
        </w:rPr>
        <w:t>NLRB guidance has no explicit age or liver-percentage ceiling; identify these as local clinical/research choices.</w:t>
      </w:r>
    </w:p>
    <w:p>
      <w:pPr>
        <w:spacing w:after="40"/>
      </w:pPr>
      <w:r>
        <w:rPr>
          <w:b/>
          <w:i w:val="0"/>
        </w:rPr>
        <w:t xml:space="preserve">Basis for the proposed thresholds: </w:t>
      </w:r>
    </w:p>
    <w:p>
      <w:pPr>
        <w:numPr>
          <w:ilvl w:val="0"/>
          <w:numId w:val="5"/>
        </w:numPr>
        <w:spacing w:after="40"/>
      </w:pPr>
      <w:r>
        <w:rPr>
          <w:b w:val="0"/>
          <w:i w:val="0"/>
        </w:rPr>
        <w:t>&lt;50% and age &lt;60 relative originate in Milan selection; age &gt;45 is historical prognostic association, not selection validation. ENETS 25–70% and six-month stability are pragmatic proposals. The V6 50–70% unopened stratum and &gt;70% initial closure are local conservative design choices. Serial volumetry and trajectory matter more than a single imprecise percentage.</w:t>
      </w:r>
    </w:p>
    <w:p>
      <w:pPr>
        <w:pStyle w:val="Heading3"/>
        <w:keepNext/>
        <w:spacing w:before="120" w:after="80"/>
      </w:pPr>
      <w:r>
        <w:rPr>
          <w:b w:val="0"/>
          <w:i w:val="0"/>
        </w:rPr>
        <w:t>NET-B3 — group decision</w:t>
      </w:r>
    </w:p>
    <w:p>
      <w:pPr>
        <w:spacing w:after="0"/>
      </w:pPr>
      <w:r>
        <w:rPr>
          <w:b/>
          <w:i w:val="0"/>
        </w:rPr>
        <w:t xml:space="preserve">Accepted position (or alternative chosen): </w:t>
      </w:r>
    </w:p>
    <w:p>
      <w:pPr>
        <w:spacing w:after="200"/>
        <w:pBdr>
          <w:bottom w:val="single" w:sz="6" w:space="1" w:color="9AA8B4"/>
        </w:pBdr>
      </w:pPr>
    </w:p>
    <w:p>
      <w:pPr>
        <w:spacing w:after="0"/>
      </w:pPr>
      <w:r>
        <w:rPr>
          <w:b/>
          <w:i w:val="0"/>
        </w:rPr>
        <w:t xml:space="preserve">Rationale, dissent and exceptions: </w:t>
      </w:r>
    </w:p>
    <w:p>
      <w:pPr>
        <w:spacing w:after="200"/>
        <w:pBdr>
          <w:bottom w:val="single" w:sz="6" w:space="1" w:color="9AA8B4"/>
        </w:pBdr>
      </w:pPr>
    </w:p>
    <w:p>
      <w:pPr>
        <w:spacing w:after="0"/>
      </w:pPr>
      <w:r>
        <w:rPr>
          <w:b/>
          <w:i w:val="0"/>
        </w:rPr>
        <w:t xml:space="preserve">Owner · approval date · implementation date: </w:t>
      </w:r>
    </w:p>
    <w:p>
      <w:pPr>
        <w:spacing w:after="200"/>
        <w:pBdr>
          <w:bottom w:val="single" w:sz="6" w:space="1" w:color="9AA8B4"/>
        </w:pBdr>
      </w:pPr>
    </w:p>
    <w:p>
      <w:pPr>
        <w:pStyle w:val="Heading2"/>
        <w:keepNext/>
        <w:spacing w:before="200" w:after="80"/>
      </w:pPr>
      <w:r>
        <w:rPr>
          <w:b w:val="0"/>
          <w:i w:val="0"/>
        </w:rPr>
        <w:t>NET-B4 — Previously treated extrahepatic disease</w:t>
      </w:r>
    </w:p>
    <w:p>
      <w:pPr>
        <w:spacing w:after="80"/>
      </w:pPr>
      <w:r>
        <w:rPr>
          <w:b w:val="0"/>
          <w:i w:val="0"/>
          <w:color w:val="5A6069"/>
          <w:sz w:val="18"/>
        </w:rPr>
        <w:t>Resected nodes only, after clearance · not activated · High-risk review</w:t>
      </w:r>
    </w:p>
    <w:p>
      <w:pPr>
        <w:spacing w:after="80"/>
      </w:pPr>
      <w:r>
        <w:rPr>
          <w:b/>
          <w:i w:val="0"/>
        </w:rPr>
        <w:t xml:space="preserve">Question: </w:t>
      </w:r>
      <w:r>
        <w:rPr>
          <w:b w:val="0"/>
          <w:i w:val="0"/>
        </w:rPr>
        <w:t>Which previously treated extrahepatic NET sites may enter the transplant route: resected regional nodes only, or also distant nodes and a solitary treated bone lesion as ENETS 2026 suggests?</w:t>
      </w:r>
    </w:p>
    <w:p>
      <w:pPr>
        <w:spacing w:after="80"/>
      </w:pPr>
      <w:r>
        <w:rPr>
          <w:b/>
          <w:i w:val="0"/>
        </w:rPr>
        <w:t xml:space="preserve">When it applies: </w:t>
      </w:r>
      <w:r>
        <w:rPr>
          <w:b w:val="0"/>
          <w:i w:val="0"/>
        </w:rPr>
        <w:t>Use when the neuroendocrine tumor has involved sites outside the liver other than the primary (regional or distant nodes, mesentery, lung, bone or other organs), including disease later resected or treated with PRRT, ablation or radiotherapy.</w:t>
      </w:r>
    </w:p>
    <w:p>
      <w:pPr>
        <w:spacing w:after="80"/>
      </w:pPr>
      <w:r>
        <w:rPr>
          <w:b/>
          <w:i w:val="0"/>
        </w:rPr>
        <w:t xml:space="preserve">Where it is decided: </w:t>
      </w:r>
      <w:hyperlink r:id="rId34">
        <w:r>
          <w:rPr>
            <w:color w:val="0563C1"/>
            <w:u w:val="single"/>
          </w:rPr>
          <w:t xml:space="preserve">Stage disease and confirm primary treatment</w:t>
        </w:r>
      </w:hyperlink>
      <w:r>
        <w:rPr>
          <w:b w:val="0"/>
          <w:i w:val="0"/>
        </w:rPr>
        <w:t xml:space="preserve"> · </w:t>
      </w:r>
      <w:hyperlink r:id="rId35">
        <w:r>
          <w:rPr>
            <w:color w:val="0563C1"/>
            <w:u w:val="single"/>
          </w:rPr>
          <w:t xml:space="preserve">Verify disease control</w:t>
        </w:r>
      </w:hyperlink>
    </w:p>
    <w:p>
      <w:pPr>
        <w:spacing w:after="120"/>
      </w:pPr>
      <w:r>
        <w:rPr>
          <w:b/>
          <w:i w:val="0"/>
          <w:sz w:val="18"/>
        </w:rPr>
        <w:t xml:space="preserve">Web page: </w:t>
      </w:r>
      <w:hyperlink r:id="rId48">
        <w:r>
          <w:rPr>
            <w:color w:val="0563C1"/>
            <w:u w:val="single"/>
            <w:sz w:val="18"/>
          </w:rPr>
          <w:t xml:space="preserve">open this question on the website</w:t>
        </w:r>
      </w:hyperlink>
    </w:p>
    <w:p>
      <w:pPr>
        <w:pStyle w:val="Heading3"/>
        <w:keepNext/>
        <w:spacing w:before="120" w:after="80"/>
      </w:pPr>
      <w:r>
        <w:rPr>
          <w:b w:val="0"/>
          <w:i w:val="0"/>
        </w:rPr>
        <w:t>Positions of guidelines, trials and papers</w:t>
      </w:r>
    </w:p>
    <w:p>
      <w:pPr>
        <w:pStyle w:val="Heading3"/>
        <w:keepNext/>
        <w:spacing w:before="120" w:after="80"/>
      </w:pPr>
      <w:r>
        <w:rPr>
          <w:b w:val="0"/>
          <w:i w:val="0"/>
        </w:rPr>
        <w:t>Evidence</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000"/>
        <w:gridCol w:w="3900"/>
        <w:gridCol w:w="4180"/>
      </w:tblGrid>
      <w:tr>
        <w:trPr>
          <w:tblHeader/>
        </w:trPr>
        <w:tc>
          <w:tcPr>
            <w:tcW w:type="dxa" w:w="3360"/>
            <w:tcW w:w="2000" w:type="dxa"/>
            <w:shd w:val="clear" w:color="auto" w:fill="17365D"/>
          </w:tcPr>
          <w:p>
            <w:r>
              <w:rPr>
                <w:b/>
                <w:i w:val="0"/>
                <w:color w:val="FFFFFF"/>
                <w:sz w:val="19"/>
              </w:rPr>
              <w:t>Source</w:t>
            </w:r>
          </w:p>
        </w:tc>
        <w:tc>
          <w:tcPr>
            <w:tcW w:type="dxa" w:w="3360"/>
            <w:tcW w:w="3900" w:type="dxa"/>
            <w:shd w:val="clear" w:color="auto" w:fill="17365D"/>
          </w:tcPr>
          <w:p>
            <w:r>
              <w:rPr>
                <w:b/>
                <w:i w:val="0"/>
                <w:color w:val="FFFFFF"/>
                <w:sz w:val="19"/>
              </w:rPr>
              <w:t>Population and selection</w:t>
            </w:r>
          </w:p>
        </w:tc>
        <w:tc>
          <w:tcPr>
            <w:tcW w:type="dxa" w:w="3360"/>
            <w:tcW w:w="4180" w:type="dxa"/>
            <w:shd w:val="clear" w:color="auto" w:fill="17365D"/>
          </w:tcPr>
          <w:p>
            <w:r>
              <w:rPr>
                <w:b/>
                <w:i w:val="0"/>
                <w:color w:val="FFFFFF"/>
                <w:sz w:val="19"/>
              </w:rPr>
              <w:t>Results, limits and location</w:t>
            </w:r>
          </w:p>
        </w:tc>
      </w:tr>
      <w:tr>
        <w:trPr>
          <w:cantSplit/>
        </w:trPr>
        <w:tc>
          <w:tcPr>
            <w:tcW w:type="dxa" w:w="3360"/>
            <w:tcW w:w="2000" w:type="dxa"/>
            <w:shd w:val="clear" w:color="auto" w:fill="F1F5F8"/>
          </w:tcPr>
          <w:p>
            <w:pPr>
              <w:spacing w:after="0"/>
            </w:pPr>
            <w:r>
              <w:rPr>
                <w:b/>
                <w:i w:val="0"/>
                <w:sz w:val="19"/>
              </w:rPr>
              <w:t>Maspero 2022 · Milan long-term</w:t>
            </w:r>
          </w:p>
        </w:tc>
        <w:tc>
          <w:tcPr>
            <w:tcW w:type="dxa" w:w="3360"/>
            <w:tcW w:w="3900" w:type="dxa"/>
            <w:shd w:val="clear" w:color="auto" w:fill="F1F5F8"/>
          </w:tcPr>
          <w:p>
            <w:pPr>
              <w:spacing w:after="0"/>
            </w:pPr>
            <w:r>
              <w:rPr>
                <w:b w:val="0"/>
                <w:i w:val="0"/>
                <w:sz w:val="19"/>
              </w:rPr>
              <w:t>Milan retrospective comparison: 48 transplant and 56 resection patients with NET liver metastases. Portal-drained G1/G2 primary previously resected, no extrahepatic disease, &lt;50% liver involvement and at least six months of stable disease for transplantation.</w:t>
            </w:r>
          </w:p>
        </w:tc>
        <w:tc>
          <w:tcPr>
            <w:tcW w:type="dxa" w:w="3360"/>
            <w:tcW w:w="4180" w:type="dxa"/>
            <w:shd w:val="clear" w:color="auto" w:fill="F1F5F8"/>
          </w:tcPr>
          <w:p>
            <w:pPr>
              <w:spacing w:after="0"/>
            </w:pPr>
            <w:r>
              <w:rPr>
                <w:b w:val="0"/>
                <w:i w:val="0"/>
                <w:sz w:val="19"/>
              </w:rPr>
              <w:t>Node-positive primary in 19 of 24 transplanted patients with known nodal status (8 of 44 resected). Among recipients, nodal involvement on final pathology was associated with worse overall survival (HR 5.7, 95% CI 1.3–24). Recurrence after transplantation involved distant nodes in 16 of 25 and bone in 9 of 25.</w:t>
            </w:r>
          </w:p>
          <w:p>
            <w:pPr>
              <w:spacing w:after="0"/>
            </w:pPr>
            <w:r>
              <w:rPr>
                <w:b w:val="0"/>
                <w:i/>
                <w:sz w:val="19"/>
              </w:rPr>
              <w:t>Limits: Retrospective single centre; groups selected for different indications.</w:t>
            </w:r>
          </w:p>
          <w:p>
            <w:pPr>
              <w:spacing w:after="0"/>
            </w:pPr>
            <w:r>
              <w:rPr>
                <w:b w:val="0"/>
                <w:i w:val="0"/>
                <w:color w:val="5A6069"/>
                <w:sz w:val="18"/>
              </w:rPr>
              <w:t>Am J Transplant 2022; Tables 1 and 3, univariate analysis.</w:t>
            </w:r>
          </w:p>
        </w:tc>
      </w:tr>
      <w:tr>
        <w:trPr>
          <w:cantSplit/>
        </w:trPr>
        <w:tc>
          <w:tcPr>
            <w:tcW w:type="dxa" w:w="3360"/>
            <w:tcW w:w="2000" w:type="dxa"/>
            <w:shd w:val="clear" w:color="auto" w:fill="FFFFFF"/>
          </w:tcPr>
          <w:p>
            <w:pPr>
              <w:spacing w:after="0"/>
            </w:pPr>
            <w:r>
              <w:rPr>
                <w:b/>
                <w:i w:val="0"/>
                <w:sz w:val="19"/>
              </w:rPr>
              <w:t>Mazzaferro 2016 · Milan-NET</w:t>
            </w:r>
          </w:p>
        </w:tc>
        <w:tc>
          <w:tcPr>
            <w:tcW w:type="dxa" w:w="3360"/>
            <w:tcW w:w="3900" w:type="dxa"/>
            <w:shd w:val="clear" w:color="auto" w:fill="FFFFFF"/>
          </w:tcPr>
          <w:p>
            <w:pPr>
              <w:spacing w:after="0"/>
            </w:pPr>
            <w:r>
              <w:rPr>
                <w:b w:val="0"/>
                <w:i w:val="0"/>
                <w:sz w:val="19"/>
              </w:rPr>
              <w:t>Milan prospective transplant versus non-transplant comparison (Milan-NET criteria). Primary removed with all extrahepatic deposits in a separate curative resection before transplant consideration; restaging six months after removal; at least six months of stable disease.</w:t>
            </w:r>
          </w:p>
        </w:tc>
        <w:tc>
          <w:tcPr>
            <w:tcW w:type="dxa" w:w="3360"/>
            <w:tcW w:w="4180" w:type="dxa"/>
            <w:shd w:val="clear" w:color="auto" w:fill="FFFFFF"/>
          </w:tcPr>
          <w:p>
            <w:pPr>
              <w:spacing w:after="0"/>
            </w:pPr>
            <w:r>
              <w:rPr>
                <w:b w:val="0"/>
                <w:i w:val="0"/>
                <w:sz w:val="19"/>
              </w:rPr>
              <w:t>Five- and ten-year overall survival 97.2% and 88.8% with transplantation versus 50.9% and 22.4% without; 81% of recipients had node-positive primaries and 57% positive hilar nodes.</w:t>
            </w:r>
          </w:p>
          <w:p>
            <w:pPr>
              <w:spacing w:after="0"/>
            </w:pPr>
            <w:r>
              <w:rPr>
                <w:b w:val="0"/>
                <w:i/>
                <w:sz w:val="19"/>
              </w:rPr>
              <w:t>Limits: Benefit shown only within Milan-NET selection; previous solid-organ metastases were not included.</w:t>
            </w:r>
          </w:p>
          <w:p>
            <w:pPr>
              <w:spacing w:after="0"/>
            </w:pPr>
            <w:r>
              <w:rPr>
                <w:b w:val="0"/>
                <w:i w:val="0"/>
                <w:color w:val="5A6069"/>
                <w:sz w:val="18"/>
              </w:rPr>
              <w:t>Am J Transplant 2016; Tables 1–3 (full text).</w:t>
            </w:r>
          </w:p>
        </w:tc>
      </w:tr>
      <w:tr>
        <w:trPr>
          <w:cantSplit/>
        </w:trPr>
        <w:tc>
          <w:tcPr>
            <w:tcW w:type="dxa" w:w="3360"/>
            <w:tcW w:w="2000" w:type="dxa"/>
            <w:shd w:val="clear" w:color="auto" w:fill="F1F5F8"/>
          </w:tcPr>
          <w:p>
            <w:pPr>
              <w:spacing w:after="0"/>
            </w:pPr>
            <w:r>
              <w:rPr>
                <w:b/>
                <w:i w:val="0"/>
                <w:sz w:val="19"/>
              </w:rPr>
              <w:t>NLRB oncology guidance</w:t>
            </w:r>
          </w:p>
        </w:tc>
        <w:tc>
          <w:tcPr>
            <w:tcW w:type="dxa" w:w="3360"/>
            <w:tcW w:w="3900" w:type="dxa"/>
            <w:shd w:val="clear" w:color="auto" w:fill="F1F5F8"/>
          </w:tcPr>
          <w:p>
            <w:pPr>
              <w:spacing w:after="0"/>
            </w:pPr>
            <w:r>
              <w:rPr>
                <w:b w:val="0"/>
                <w:i w:val="0"/>
                <w:sz w:val="19"/>
              </w:rPr>
              <w:t>Official OPTN/NLRB guidance: Adult MELD Exceptions for Transplant Oncology. Resection of the primary and extrahepatic disease without recurrence for at least six months; negative metastatic workup including functional imaging; de-list on extrahepatic progression such as Ga-68-positive nodes; re-consider after extrahepatic disease is zeroed for at least six months; extrahepatic solid-organ metastases (lungs, bones) are a permanent exclusion.</w:t>
            </w:r>
          </w:p>
        </w:tc>
        <w:tc>
          <w:tcPr>
            <w:tcW w:type="dxa" w:w="3360"/>
            <w:tcW w:w="4180" w:type="dxa"/>
            <w:shd w:val="clear" w:color="auto" w:fill="F1F5F8"/>
          </w:tcPr>
          <w:p>
            <w:pPr>
              <w:spacing w:after="0"/>
            </w:pPr>
            <w:r>
              <w:rPr>
                <w:b w:val="0"/>
                <w:i w:val="0"/>
                <w:sz w:val="19"/>
              </w:rPr>
              <w:t>Allocation guidance; no outcome data.</w:t>
            </w:r>
          </w:p>
          <w:p>
            <w:pPr>
              <w:spacing w:after="0"/>
            </w:pPr>
            <w:r>
              <w:rPr>
                <w:b w:val="0"/>
                <w:i/>
                <w:sz w:val="19"/>
              </w:rPr>
              <w:t>Limits: Exception guidance, not an outcome-derived clinical rule.</w:t>
            </w:r>
          </w:p>
          <w:p>
            <w:pPr>
              <w:spacing w:after="0"/>
            </w:pPr>
            <w:r>
              <w:rPr>
                <w:b w:val="0"/>
                <w:i w:val="0"/>
                <w:color w:val="5A6069"/>
                <w:sz w:val="18"/>
              </w:rPr>
              <w:t>Official PDF, NET section.</w:t>
            </w:r>
          </w:p>
        </w:tc>
      </w:tr>
      <w:tr>
        <w:trPr>
          <w:cantSplit/>
        </w:trPr>
        <w:tc>
          <w:tcPr>
            <w:tcW w:type="dxa" w:w="3360"/>
            <w:tcW w:w="2000" w:type="dxa"/>
            <w:shd w:val="clear" w:color="auto" w:fill="FFFFFF"/>
          </w:tcPr>
          <w:p>
            <w:pPr>
              <w:spacing w:after="0"/>
            </w:pPr>
            <w:r>
              <w:rPr>
                <w:b/>
                <w:i w:val="0"/>
                <w:sz w:val="19"/>
              </w:rPr>
              <w:t>ENETS 2026</w:t>
            </w:r>
          </w:p>
        </w:tc>
        <w:tc>
          <w:tcPr>
            <w:tcW w:type="dxa" w:w="3360"/>
            <w:tcW w:w="3900" w:type="dxa"/>
            <w:shd w:val="clear" w:color="auto" w:fill="FFFFFF"/>
          </w:tcPr>
          <w:p>
            <w:pPr>
              <w:spacing w:after="0"/>
            </w:pPr>
            <w:r>
              <w:rPr>
                <w:b w:val="0"/>
                <w:i w:val="0"/>
                <w:sz w:val="19"/>
              </w:rPr>
              <w:t>2026 ENETS position statement on transplantation for advanced small-intestinal and pancreatic NET. Replace “no EHD” with “no macroscopic, non-targetable EHD”; limited, completely resectable or otherwise controllable extrahepatic disease may not be an absolute contraindication; unresectable mesenteric nodal disease, certain bone metastases and brain metastases remain high-risk.</w:t>
            </w:r>
          </w:p>
        </w:tc>
        <w:tc>
          <w:tcPr>
            <w:tcW w:type="dxa" w:w="3360"/>
            <w:tcW w:w="4180" w:type="dxa"/>
            <w:shd w:val="clear" w:color="auto" w:fill="FFFFFF"/>
          </w:tcPr>
          <w:p>
            <w:pPr>
              <w:spacing w:after="0"/>
            </w:pPr>
            <w:r>
              <w:rPr>
                <w:b w:val="0"/>
                <w:i w:val="0"/>
                <w:sz w:val="19"/>
              </w:rPr>
              <w:t>No original outcome data; imaging should ideally be repeated within three months of transplant consideration.</w:t>
            </w:r>
          </w:p>
          <w:p>
            <w:pPr>
              <w:spacing w:after="0"/>
            </w:pPr>
            <w:r>
              <w:rPr>
                <w:b w:val="0"/>
                <w:i/>
                <w:sz w:val="19"/>
              </w:rPr>
              <w:t>Limits: Expert opinion, explicitly not outcome-validated; conflicts with the NLRB solid-organ exclusion.</w:t>
            </w:r>
          </w:p>
          <w:p>
            <w:pPr>
              <w:spacing w:after="0"/>
            </w:pPr>
            <w:r>
              <w:rPr>
                <w:b w:val="0"/>
                <w:i w:val="0"/>
                <w:color w:val="5A6069"/>
                <w:sz w:val="18"/>
              </w:rPr>
              <w:t>J Neuroendocrinol 2026; updated selection principles.</w:t>
            </w:r>
          </w:p>
        </w:tc>
      </w:tr>
      <w:tr>
        <w:trPr>
          <w:cantSplit/>
        </w:trPr>
        <w:tc>
          <w:tcPr>
            <w:tcW w:type="dxa" w:w="3360"/>
            <w:tcW w:w="2000" w:type="dxa"/>
            <w:shd w:val="clear" w:color="auto" w:fill="F1F5F8"/>
          </w:tcPr>
          <w:p>
            <w:pPr>
              <w:spacing w:after="0"/>
            </w:pPr>
            <w:r>
              <w:rPr>
                <w:b/>
                <w:i w:val="0"/>
                <w:sz w:val="19"/>
              </w:rPr>
              <w:t>Frilling 2010 · 68Ga-DOTATOC PET</w:t>
            </w:r>
          </w:p>
        </w:tc>
        <w:tc>
          <w:tcPr>
            <w:tcW w:type="dxa" w:w="3360"/>
            <w:tcW w:w="3900" w:type="dxa"/>
            <w:shd w:val="clear" w:color="auto" w:fill="F1F5F8"/>
          </w:tcPr>
          <w:p>
            <w:pPr>
              <w:spacing w:after="0"/>
            </w:pPr>
            <w:r>
              <w:rPr>
                <w:b w:val="0"/>
                <w:i w:val="0"/>
                <w:sz w:val="19"/>
              </w:rPr>
              <w:t>Single-centre imaging study: 52 NET patients comparing 68Ga-DOTATOC PET/CT with CT and/or MRI. Fifteen were evaluated for transplantation.</w:t>
            </w:r>
          </w:p>
        </w:tc>
        <w:tc>
          <w:tcPr>
            <w:tcW w:type="dxa" w:w="3360"/>
            <w:tcW w:w="4180" w:type="dxa"/>
            <w:shd w:val="clear" w:color="auto" w:fill="F1F5F8"/>
          </w:tcPr>
          <w:p>
            <w:pPr>
              <w:spacing w:after="0"/>
            </w:pPr>
            <w:r>
              <w:rPr>
                <w:b w:val="0"/>
                <w:i w:val="0"/>
                <w:sz w:val="19"/>
              </w:rPr>
              <w:t>PET/CT found additional hepatic or extrahepatic metastases in 22 of 33 with liver metastases and removed 7 of 15 transplant candidates (46.6%) from further screening.</w:t>
            </w:r>
          </w:p>
          <w:p>
            <w:pPr>
              <w:spacing w:after="0"/>
            </w:pPr>
            <w:r>
              <w:rPr>
                <w:b w:val="0"/>
                <w:i/>
                <w:sz w:val="19"/>
              </w:rPr>
              <w:t>Limits: Small; older tracer and era.</w:t>
            </w:r>
          </w:p>
          <w:p>
            <w:pPr>
              <w:spacing w:after="0"/>
            </w:pPr>
            <w:r>
              <w:rPr>
                <w:b w:val="0"/>
                <w:i w:val="0"/>
                <w:color w:val="5A6069"/>
                <w:sz w:val="18"/>
              </w:rPr>
              <w:t>Ann Surg 2010; abstract.</w:t>
            </w:r>
          </w:p>
        </w:tc>
      </w:tr>
      <w:tr>
        <w:trPr>
          <w:cantSplit/>
        </w:trPr>
        <w:tc>
          <w:tcPr>
            <w:tcW w:type="dxa" w:w="3360"/>
            <w:tcW w:w="2000" w:type="dxa"/>
            <w:shd w:val="clear" w:color="auto" w:fill="FFFFFF"/>
          </w:tcPr>
          <w:p>
            <w:pPr>
              <w:spacing w:after="0"/>
            </w:pPr>
            <w:r>
              <w:rPr>
                <w:b/>
                <w:i w:val="0"/>
                <w:sz w:val="19"/>
              </w:rPr>
              <w:t>Le Treut 2013 · ELTR</w:t>
            </w:r>
          </w:p>
        </w:tc>
        <w:tc>
          <w:tcPr>
            <w:tcW w:type="dxa" w:w="3360"/>
            <w:tcW w:w="3900" w:type="dxa"/>
            <w:shd w:val="clear" w:color="auto" w:fill="FFFFFF"/>
          </w:tcPr>
          <w:p>
            <w:pPr>
              <w:spacing w:after="0"/>
            </w:pPr>
            <w:r>
              <w:rPr>
                <w:b w:val="0"/>
                <w:i w:val="0"/>
                <w:sz w:val="19"/>
              </w:rPr>
              <w:t>European Liver Transplant Registry: 213 transplants for NET. Twenty-four had major and 60 minor additional procedures at transplantation, including extended lymphadenectomy (38), removal of the primary (29), other organ resections (such as Whipple or exenteration) and peritonectomy.</w:t>
            </w:r>
          </w:p>
        </w:tc>
        <w:tc>
          <w:tcPr>
            <w:tcW w:type="dxa" w:w="3360"/>
            <w:tcW w:w="4180" w:type="dxa"/>
            <w:shd w:val="clear" w:color="auto" w:fill="FFFFFF"/>
          </w:tcPr>
          <w:p>
            <w:pPr>
              <w:spacing w:after="0"/>
            </w:pPr>
            <w:r>
              <w:rPr>
                <w:b w:val="0"/>
                <w:i w:val="0"/>
                <w:sz w:val="19"/>
              </w:rPr>
              <w:t>Major concurrent resection HR 3.1 across all eras; after 2000, any concurrent resection HR 1.9 (p=0.058); five-year overall survival 52% from transplantation.</w:t>
            </w:r>
          </w:p>
          <w:p>
            <w:pPr>
              <w:spacing w:after="0"/>
            </w:pPr>
            <w:r>
              <w:rPr>
                <w:b w:val="0"/>
                <w:i/>
                <w:sz w:val="19"/>
              </w:rPr>
              <w:t>Limits: Historical era; heterogeneous pathology.</w:t>
            </w:r>
          </w:p>
          <w:p>
            <w:pPr>
              <w:spacing w:after="0"/>
            </w:pPr>
            <w:r>
              <w:rPr>
                <w:b w:val="0"/>
                <w:i w:val="0"/>
                <w:color w:val="5A6069"/>
                <w:sz w:val="18"/>
              </w:rPr>
              <w:t>Ann Surg 2013; Tables 4–6 (full text).</w:t>
            </w:r>
          </w:p>
        </w:tc>
      </w:tr>
      <w:tr>
        <w:trPr>
          <w:cantSplit/>
        </w:trPr>
        <w:tc>
          <w:tcPr>
            <w:tcW w:type="dxa" w:w="3360"/>
            <w:tcW w:w="2000" w:type="dxa"/>
            <w:shd w:val="clear" w:color="auto" w:fill="F1F5F8"/>
          </w:tcPr>
          <w:p>
            <w:pPr>
              <w:spacing w:after="0"/>
            </w:pPr>
            <w:r>
              <w:rPr>
                <w:b/>
                <w:i w:val="0"/>
                <w:sz w:val="19"/>
              </w:rPr>
              <w:t>Wedin 2025 · bone metastases in SI-NET</w:t>
            </w:r>
          </w:p>
        </w:tc>
        <w:tc>
          <w:tcPr>
            <w:tcW w:type="dxa" w:w="3360"/>
            <w:tcW w:w="3900" w:type="dxa"/>
            <w:shd w:val="clear" w:color="auto" w:fill="F1F5F8"/>
          </w:tcPr>
          <w:p>
            <w:pPr>
              <w:spacing w:after="0"/>
            </w:pPr>
            <w:r>
              <w:rPr>
                <w:b w:val="0"/>
                <w:i w:val="0"/>
                <w:sz w:val="19"/>
              </w:rPr>
              <w:t>Two Swedish centres; 138 small-intestine NET patients with bone metastases. Bone metastases on SSTR-PET; rarely biopsied; never curatively treated.</w:t>
            </w:r>
          </w:p>
        </w:tc>
        <w:tc>
          <w:tcPr>
            <w:tcW w:type="dxa" w:w="3360"/>
            <w:tcW w:w="4180" w:type="dxa"/>
            <w:shd w:val="clear" w:color="auto" w:fill="F1F5F8"/>
          </w:tcPr>
          <w:p>
            <w:pPr>
              <w:spacing w:after="0"/>
            </w:pPr>
            <w:r>
              <w:rPr>
                <w:b w:val="0"/>
                <w:i w:val="0"/>
                <w:sz w:val="19"/>
              </w:rPr>
              <w:t>Any bone metastasis HR 1.94; more than five lesions: median survival 18 vs 75 months; 21% with five or fewer progressed beyond five.</w:t>
            </w:r>
          </w:p>
          <w:p>
            <w:pPr>
              <w:spacing w:after="0"/>
            </w:pPr>
            <w:r>
              <w:rPr>
                <w:b w:val="0"/>
                <w:i/>
                <w:sz w:val="19"/>
              </w:rPr>
              <w:t>Limits: Small-intestine NET only.</w:t>
            </w:r>
          </w:p>
          <w:p>
            <w:pPr>
              <w:spacing w:after="0"/>
            </w:pPr>
            <w:r>
              <w:rPr>
                <w:b w:val="0"/>
                <w:i w:val="0"/>
                <w:color w:val="5A6069"/>
                <w:sz w:val="18"/>
              </w:rPr>
              <w:t>J Neuroendocrinol 2025; Results, Table 5 (full text).</w:t>
            </w:r>
          </w:p>
        </w:tc>
      </w:tr>
      <w:tr>
        <w:trPr>
          <w:cantSplit/>
        </w:trPr>
        <w:tc>
          <w:tcPr>
            <w:tcW w:type="dxa" w:w="3360"/>
            <w:tcW w:w="2000" w:type="dxa"/>
            <w:shd w:val="clear" w:color="auto" w:fill="FFFFFF"/>
          </w:tcPr>
          <w:p>
            <w:pPr>
              <w:spacing w:after="0"/>
            </w:pPr>
            <w:r>
              <w:rPr>
                <w:b/>
                <w:i w:val="0"/>
                <w:sz w:val="19"/>
              </w:rPr>
              <w:t>Sher 2015 · US multicentre NET LT</w:t>
            </w:r>
          </w:p>
        </w:tc>
        <w:tc>
          <w:tcPr>
            <w:tcW w:type="dxa" w:w="3360"/>
            <w:tcW w:w="3900" w:type="dxa"/>
            <w:shd w:val="clear" w:color="auto" w:fill="FFFFFF"/>
          </w:tcPr>
          <w:p>
            <w:pPr>
              <w:spacing w:after="0"/>
            </w:pPr>
            <w:r>
              <w:rPr>
                <w:b w:val="0"/>
                <w:i w:val="0"/>
                <w:sz w:val="19"/>
              </w:rPr>
              <w:t>Multicentre cohort, 28 centres (mostly US, also Canadian and European); 85 transplants for NET. “Extent of resection” meant concurrent primary or multivisceral surgery at transplantation, not clearance of metastases.</w:t>
            </w:r>
          </w:p>
        </w:tc>
        <w:tc>
          <w:tcPr>
            <w:tcW w:type="dxa" w:w="3360"/>
            <w:tcW w:w="4180" w:type="dxa"/>
            <w:shd w:val="clear" w:color="auto" w:fill="FFFFFF"/>
          </w:tcPr>
          <w:p>
            <w:pPr>
              <w:spacing w:after="0"/>
            </w:pPr>
            <w:r>
              <w:rPr>
                <w:b w:val="0"/>
                <w:i w:val="0"/>
                <w:sz w:val="19"/>
              </w:rPr>
              <w:t>Extensive concurrent surgery associated with worse survival (p=0.015).</w:t>
            </w:r>
          </w:p>
          <w:p>
            <w:pPr>
              <w:spacing w:after="0"/>
            </w:pPr>
            <w:r>
              <w:rPr>
                <w:b w:val="0"/>
                <w:i/>
                <w:sz w:val="19"/>
              </w:rPr>
              <w:t>Limits: No extrahepatic-disease variable; historical era.</w:t>
            </w:r>
          </w:p>
          <w:p>
            <w:pPr>
              <w:spacing w:after="0"/>
            </w:pPr>
            <w:r>
              <w:rPr>
                <w:b w:val="0"/>
                <w:i w:val="0"/>
                <w:color w:val="5A6069"/>
                <w:sz w:val="18"/>
              </w:rPr>
              <w:t>J Surg Oncol 2015; Methods and Results (full text).</w:t>
            </w:r>
          </w:p>
        </w:tc>
      </w:tr>
    </w:tbl>
    <w:p>
      <w:pPr>
        <w:spacing w:after="40"/>
      </w:pPr>
    </w:p>
    <w:p>
      <w:pPr>
        <w:pStyle w:val="Heading3"/>
        <w:keepNext/>
        <w:spacing w:before="120" w:after="80"/>
      </w:pPr>
      <w:r>
        <w:rPr>
          <w:b w:val="0"/>
          <w:i w:val="0"/>
        </w:rPr>
        <w:t>Our proposed selection (OPEN)</w:t>
      </w:r>
    </w:p>
    <w:p>
      <w:pPr>
        <w:spacing w:after="80"/>
      </w:pPr>
      <w:r>
        <w:rPr>
          <w:b w:val="0"/>
          <w:i w:val="0"/>
        </w:rPr>
        <w:t>Allow previously resected nodal disease after complete clearance and ≥6 months without recurrence. Keep previous lung, bone or other solid-organ metastases closed. Nodal disease cleared only by non-surgical treatment needs individual review.</w:t>
      </w:r>
    </w:p>
    <w:p>
      <w:pPr>
        <w:numPr>
          <w:ilvl w:val="0"/>
          <w:numId w:val="5"/>
        </w:numPr>
        <w:spacing w:after="40"/>
      </w:pPr>
      <w:r>
        <w:rPr>
          <w:b w:val="0"/>
          <w:i w:val="0"/>
        </w:rPr>
        <w:t>Previously resected regional or mesenteric nodal disease may qualify after complete clearance, as Milan-NET requires: the primary and all extrahepatic deposits removed in a separate curative operation, no recurrence for ≥6 months after that resection, and negative SSTR PET with CT/MRI repeated within 3 months of transplant consideration. Document stations, pathology and dates.</w:t>
      </w:r>
    </w:p>
    <w:p>
      <w:pPr>
        <w:numPr>
          <w:ilvl w:val="0"/>
          <w:numId w:val="5"/>
        </w:numPr>
        <w:spacing w:after="40"/>
      </w:pPr>
      <w:r>
        <w:rPr>
          <w:b w:val="0"/>
          <w:i w:val="0"/>
        </w:rPr>
        <w:t>Nodal disease that resolved only after PRRT, ablation or radiotherapy is not equivalent to resection: individual review only, with SSTR-PET-negative status for ≥6 months. Persistent SSTR-avid or morphologically visible disease is active disease.</w:t>
      </w:r>
    </w:p>
    <w:p>
      <w:pPr>
        <w:numPr>
          <w:ilvl w:val="0"/>
          <w:numId w:val="5"/>
        </w:numPr>
        <w:spacing w:after="40"/>
      </w:pPr>
      <w:r>
        <w:rPr>
          <w:b w:val="0"/>
          <w:i w:val="0"/>
        </w:rPr>
        <w:t>Previous lung, bone (including a solitary treated bone lesion) or other solid-organ metastasis remains closed, including after complete treatment. The ENETS 2026 position (no macroscopic, non-targetable extrahepatic disease) is recorded as a dissent, not adopted.</w:t>
      </w:r>
    </w:p>
    <w:p>
      <w:pPr>
        <w:numPr>
          <w:ilvl w:val="0"/>
          <w:numId w:val="5"/>
        </w:numPr>
        <w:spacing w:after="40"/>
      </w:pPr>
      <w:r>
        <w:rPr>
          <w:b w:val="0"/>
          <w:i w:val="0"/>
        </w:rPr>
        <w:t>Extrahepatic progression during observation or on the waiting list removes the patient from the route; re-entry needs renewed clearance and a new ≥6-month recurrence-free interval. Plan hilar lymphadenectomy at transplantation, and clear extrahepatic disease in a staged operation rather than combining major extrahepatic resection with transplantation.</w:t>
      </w:r>
    </w:p>
    <w:p>
      <w:pPr>
        <w:spacing w:after="80"/>
      </w:pPr>
      <w:r>
        <w:rPr>
          <w:b/>
          <w:i w:val="0"/>
        </w:rPr>
        <w:t xml:space="preserve">Why: </w:t>
      </w:r>
      <w:r>
        <w:rPr>
          <w:b w:val="0"/>
          <w:i w:val="0"/>
        </w:rPr>
        <w:t>Milan-NET requires the primary to be removed with all extrahepatic deposits in a separate curative resection before transplant consideration, with restaging six months later; in the Milan cohort, 81% of recipients had node-positive primaries and 57% had positive hilar nodes, with 10-year survival 88.8%. Previously resected regional nodal disease is therefore part of Milan-NET, not an expansion. NLRB guidance encodes the same approach, de-lists on extrahepatic progression and allows re-consideration only after extrahepatic disease has been zeroed for six months. Functional imaging changes candidacy: 68Ga-DOTATOC PET removed 7 of 15 transplant candidates because of deposits not seen on CT or MRI.</w:t>
      </w:r>
    </w:p>
    <w:p>
      <w:pPr>
        <w:spacing w:after="80"/>
      </w:pPr>
      <w:r>
        <w:rPr>
          <w:b/>
          <w:i w:val="0"/>
        </w:rPr>
        <w:t xml:space="preserve">Against, or uncertain: </w:t>
      </w:r>
      <w:r>
        <w:rPr>
          <w:b w:val="0"/>
          <w:i w:val="0"/>
        </w:rPr>
        <w:t>Nodal involvement on final pathology was associated with worse survival after transplantation in the Milan cohort (HR 5.7, univariate), and first recurrences were mostly in distant nodes and bone, so a cleared nodal history is not risk-free. Concurrent resections at transplantation (mostly of the primary or other organs) were adverse in the European registry, borderline after 2000 (HR 1.9, p=0.058), and extensive concurrent primary or multivisceral surgery was adverse in a US series; both argue for staging the primary well before transplantation. ENETS 2026 proposes replacing “no extrahepatic disease” with “no macroscopic, non-targetable extrahepatic disease” (for example isolated resectable nodes or a solitary bone lesion amenable to local treatment); the authors present this as expert opinion, not outcome-validated. In small-intestine NET, any bone metastasis was independently adverse (HR 1.94) and 21% of patients with five or fewer bone metastases progressed beyond five.</w:t>
      </w:r>
    </w:p>
    <w:p>
      <w:pPr>
        <w:spacing w:after="80"/>
      </w:pPr>
      <w:r>
        <w:rPr>
          <w:b/>
          <w:i w:val="0"/>
        </w:rPr>
        <w:t xml:space="preserve">Certainty: </w:t>
      </w:r>
      <w:r>
        <w:rPr>
          <w:b w:val="0"/>
          <w:i w:val="0"/>
        </w:rPr>
        <w:t>Low for accepting resected nodal disease after a recurrence-free interval; very low for PRRT-only clearance and for previous solid-organ metastases.</w:t>
      </w:r>
    </w:p>
    <w:p>
      <w:pPr>
        <w:spacing w:after="80"/>
      </w:pPr>
      <w:r>
        <w:rPr>
          <w:b/>
          <w:i w:val="0"/>
        </w:rPr>
        <w:t xml:space="preserve">Tests and records: </w:t>
      </w:r>
      <w:r>
        <w:rPr>
          <w:b w:val="0"/>
          <w:i w:val="0"/>
        </w:rPr>
        <w:t>Operative and pathology reports for each extrahepatic resection, with node stations; SSTR PET (68Ga- or 64Cu-labelled) and CT/MRI within 3 months; date of the last extrahepatic treatment; PRRT cycles and response; serial imaging timeline.</w:t>
      </w:r>
    </w:p>
    <w:p>
      <w:pPr>
        <w:spacing w:after="80"/>
      </w:pPr>
      <w:r>
        <w:rPr>
          <w:b/>
          <w:i w:val="0"/>
        </w:rPr>
        <w:t xml:space="preserve">Allocation: </w:t>
      </w:r>
      <w:r>
        <w:rPr>
          <w:b w:val="0"/>
          <w:i w:val="0"/>
        </w:rPr>
        <w:t>NLRB NET guidance requires resection of the primary and extrahepatic disease with no recurrence for at least six months, a negative metastatic workup including functional imaging, de-listing on extrahepatic progression, re-consideration only after extrahepatic disease has been zeroed for at least six months, and permanent exclusion for extrahepatic solid-organ metastases such as lung or bone.</w:t>
      </w:r>
    </w:p>
    <w:p>
      <w:pPr>
        <w:spacing w:after="40"/>
      </w:pPr>
      <w:r>
        <w:rPr>
          <w:b/>
          <w:i w:val="0"/>
        </w:rPr>
        <w:t xml:space="preserve">Basis for the proposed thresholds: </w:t>
      </w:r>
    </w:p>
    <w:p>
      <w:pPr>
        <w:numPr>
          <w:ilvl w:val="0"/>
          <w:numId w:val="5"/>
        </w:numPr>
        <w:spacing w:after="40"/>
      </w:pPr>
      <w:r>
        <w:rPr>
          <w:b w:val="0"/>
          <w:i w:val="0"/>
        </w:rPr>
        <w:t>The six-month recurrence-free interval, functional imaging, de-listing on progression and the solid-organ exclusion are NLRB wording. Repeat SSTR imaging within three months of transplant consideration follows ENETS 2026. Treating PRRT-only clearance as individual review is a conservative local choice.</w:t>
      </w:r>
    </w:p>
    <w:p>
      <w:pPr>
        <w:pStyle w:val="Heading3"/>
        <w:keepNext/>
        <w:spacing w:before="120" w:after="80"/>
      </w:pPr>
      <w:r>
        <w:rPr>
          <w:b w:val="0"/>
          <w:i w:val="0"/>
        </w:rPr>
        <w:t>NET-B4 — group decision</w:t>
      </w:r>
    </w:p>
    <w:p>
      <w:pPr>
        <w:spacing w:after="0"/>
      </w:pPr>
      <w:r>
        <w:rPr>
          <w:b/>
          <w:i w:val="0"/>
        </w:rPr>
        <w:t xml:space="preserve">Accepted position (or alternative chosen): </w:t>
      </w:r>
    </w:p>
    <w:p>
      <w:pPr>
        <w:spacing w:after="200"/>
        <w:pBdr>
          <w:bottom w:val="single" w:sz="6" w:space="1" w:color="9AA8B4"/>
        </w:pBdr>
      </w:pPr>
    </w:p>
    <w:p>
      <w:pPr>
        <w:spacing w:after="0"/>
      </w:pPr>
      <w:r>
        <w:rPr>
          <w:b/>
          <w:i w:val="0"/>
        </w:rPr>
        <w:t xml:space="preserve">Rationale, dissent and exceptions: </w:t>
      </w:r>
    </w:p>
    <w:p>
      <w:pPr>
        <w:spacing w:after="200"/>
        <w:pBdr>
          <w:bottom w:val="single" w:sz="6" w:space="1" w:color="9AA8B4"/>
        </w:pBdr>
      </w:pPr>
    </w:p>
    <w:p>
      <w:pPr>
        <w:spacing w:after="0"/>
      </w:pPr>
      <w:r>
        <w:rPr>
          <w:b/>
          <w:i w:val="0"/>
        </w:rPr>
        <w:t xml:space="preserve">Owner · approval date · implementation date: </w:t>
      </w:r>
    </w:p>
    <w:p>
      <w:pPr>
        <w:spacing w:after="200"/>
        <w:pBdr>
          <w:bottom w:val="single" w:sz="6" w:space="1" w:color="9AA8B4"/>
        </w:pBdr>
      </w:pPr>
    </w:p>
    <w:p>
      <w:pPr>
        <w:pStyle w:val="Heading2"/>
        <w:keepNext/>
        <w:spacing w:before="200" w:after="80"/>
      </w:pPr>
      <w:r>
        <w:rPr>
          <w:b w:val="0"/>
          <w:i w:val="0"/>
        </w:rPr>
        <w:t>Shared approval requirements (all transplant pathways)</w:t>
      </w:r>
    </w:p>
    <w:p>
      <w:pPr>
        <w:pStyle w:val="Heading3"/>
        <w:keepNext/>
        <w:spacing w:before="120" w:after="80"/>
      </w:pPr>
      <w:r>
        <w:rPr>
          <w:b w:val="0"/>
          <w:i w:val="0"/>
        </w:rPr>
        <w:t>ALLOC-B1 — Separate clinical, allocation, donor and study approval</w:t>
      </w:r>
    </w:p>
    <w:p>
      <w:pPr>
        <w:spacing w:after="80"/>
      </w:pPr>
      <w:r>
        <w:rPr>
          <w:b w:val="0"/>
          <w:i w:val="0"/>
          <w:color w:val="5A6069"/>
          <w:sz w:val="18"/>
        </w:rPr>
        <w:t>OPEN proposal · not activated · Shared approval requirement</w:t>
      </w:r>
    </w:p>
    <w:p>
      <w:pPr>
        <w:spacing w:after="80"/>
      </w:pPr>
      <w:r>
        <w:rPr>
          <w:b/>
          <w:i w:val="0"/>
        </w:rPr>
        <w:t xml:space="preserve">Question: </w:t>
      </w:r>
      <w:r>
        <w:rPr>
          <w:b w:val="0"/>
          <w:i w:val="0"/>
        </w:rPr>
        <w:t>What are we approving?</w:t>
      </w:r>
    </w:p>
    <w:p>
      <w:pPr>
        <w:spacing w:after="120"/>
      </w:pPr>
      <w:r>
        <w:rPr>
          <w:b/>
          <w:i w:val="0"/>
          <w:sz w:val="18"/>
        </w:rPr>
        <w:t xml:space="preserve">Web page: </w:t>
      </w:r>
      <w:hyperlink r:id="rId49">
        <w:r>
          <w:rPr>
            <w:color w:val="0563C1"/>
            <w:u w:val="single"/>
            <w:sz w:val="18"/>
          </w:rPr>
          <w:t xml:space="preserve">open this question on the website</w:t>
        </w:r>
      </w:hyperlink>
    </w:p>
    <w:p>
      <w:pPr>
        <w:pStyle w:val="Heading4"/>
        <w:keepNext/>
        <w:spacing w:before="120" w:after="80"/>
      </w:pPr>
      <w:r>
        <w:rPr>
          <w:b w:val="0"/>
          <w:i w:val="0"/>
        </w:rPr>
        <w:t>Positions of guidelines, trials and papers</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200"/>
        <w:gridCol w:w="5480"/>
        <w:gridCol w:w="2400"/>
      </w:tblGrid>
      <w:tr>
        <w:trPr>
          <w:tblHeader/>
        </w:trPr>
        <w:tc>
          <w:tcPr>
            <w:tcW w:type="dxa" w:w="3360"/>
            <w:tcW w:w="2200" w:type="dxa"/>
            <w:shd w:val="clear" w:color="auto" w:fill="17365D"/>
          </w:tcPr>
          <w:p>
            <w:r>
              <w:rPr>
                <w:b/>
                <w:i w:val="0"/>
                <w:color w:val="FFFFFF"/>
                <w:sz w:val="19"/>
              </w:rPr>
              <w:t>Source</w:t>
            </w:r>
          </w:p>
        </w:tc>
        <w:tc>
          <w:tcPr>
            <w:tcW w:type="dxa" w:w="3360"/>
            <w:tcW w:w="5480" w:type="dxa"/>
            <w:shd w:val="clear" w:color="auto" w:fill="17365D"/>
          </w:tcPr>
          <w:p>
            <w:r>
              <w:rPr>
                <w:b/>
                <w:i w:val="0"/>
                <w:color w:val="FFFFFF"/>
                <w:sz w:val="19"/>
              </w:rPr>
              <w:t>Position</w:t>
            </w:r>
          </w:p>
        </w:tc>
        <w:tc>
          <w:tcPr>
            <w:tcW w:type="dxa" w:w="3360"/>
            <w:tcW w:w="2400" w:type="dxa"/>
            <w:shd w:val="clear" w:color="auto" w:fill="17365D"/>
          </w:tcPr>
          <w:p>
            <w:r>
              <w:rPr>
                <w:b/>
                <w:i w:val="0"/>
                <w:color w:val="FFFFFF"/>
                <w:sz w:val="19"/>
              </w:rPr>
              <w:t>Where stated</w:t>
            </w:r>
          </w:p>
        </w:tc>
      </w:tr>
      <w:tr>
        <w:trPr>
          <w:cantSplit/>
        </w:trPr>
        <w:tc>
          <w:tcPr>
            <w:tcW w:type="dxa" w:w="3360"/>
            <w:tcW w:w="2200" w:type="dxa"/>
            <w:shd w:val="clear" w:color="auto" w:fill="F1F5F8"/>
          </w:tcPr>
          <w:p>
            <w:pPr>
              <w:spacing w:after="0"/>
            </w:pPr>
            <w:r>
              <w:rPr>
                <w:b/>
                <w:i w:val="0"/>
                <w:sz w:val="19"/>
              </w:rPr>
              <w:t>NLRB oncology guidance</w:t>
            </w:r>
          </w:p>
        </w:tc>
        <w:tc>
          <w:tcPr>
            <w:tcW w:type="dxa" w:w="3360"/>
            <w:tcW w:w="5480" w:type="dxa"/>
            <w:shd w:val="clear" w:color="auto" w:fill="F1F5F8"/>
          </w:tcPr>
          <w:p>
            <w:pPr>
              <w:spacing w:after="0"/>
            </w:pPr>
            <w:r>
              <w:rPr>
                <w:b w:val="0"/>
                <w:i w:val="0"/>
                <w:sz w:val="19"/>
              </w:rPr>
              <w:t>“This resource is not OPTN Policy” Guidance informs case review and is not itself binding policy or a clinical standard.</w:t>
            </w:r>
          </w:p>
        </w:tc>
        <w:tc>
          <w:tcPr>
            <w:tcW w:type="dxa" w:w="3360"/>
            <w:tcW w:w="2400" w:type="dxa"/>
            <w:shd w:val="clear" w:color="auto" w:fill="F1F5F8"/>
          </w:tcPr>
          <w:p>
            <w:pPr>
              <w:spacing w:after="0"/>
            </w:pPr>
            <w:r>
              <w:rPr>
                <w:b w:val="0"/>
                <w:i w:val="0"/>
                <w:color w:val="5A6069"/>
                <w:sz w:val="18"/>
              </w:rPr>
              <w:t>December 2025 oncology guidance p2, disclaimer</w:t>
            </w:r>
          </w:p>
        </w:tc>
      </w:tr>
      <w:tr>
        <w:trPr>
          <w:cantSplit/>
        </w:trPr>
        <w:tc>
          <w:tcPr>
            <w:tcW w:type="dxa" w:w="3360"/>
            <w:tcW w:w="2200" w:type="dxa"/>
            <w:shd w:val="clear" w:color="auto" w:fill="FFFFFF"/>
          </w:tcPr>
          <w:p>
            <w:pPr>
              <w:spacing w:after="0"/>
            </w:pPr>
            <w:r>
              <w:rPr>
                <w:b/>
                <w:i w:val="0"/>
                <w:sz w:val="19"/>
              </w:rPr>
              <w:t>OPTN policy</w:t>
            </w:r>
          </w:p>
        </w:tc>
        <w:tc>
          <w:tcPr>
            <w:tcW w:type="dxa" w:w="3360"/>
            <w:tcW w:w="5480" w:type="dxa"/>
            <w:shd w:val="clear" w:color="auto" w:fill="FFFFFF"/>
          </w:tcPr>
          <w:p>
            <w:pPr>
              <w:spacing w:after="0"/>
            </w:pPr>
            <w:r>
              <w:rPr>
                <w:b w:val="0"/>
                <w:i w:val="0"/>
                <w:sz w:val="19"/>
              </w:rPr>
              <w:t>“Function independently from the transplant candidate’s team.” Donor advocacy is independent of recipient-team enthusiasm.</w:t>
            </w:r>
          </w:p>
        </w:tc>
        <w:tc>
          <w:tcPr>
            <w:tcW w:type="dxa" w:w="3360"/>
            <w:tcW w:w="2400" w:type="dxa"/>
            <w:shd w:val="clear" w:color="auto" w:fill="FFFFFF"/>
          </w:tcPr>
          <w:p>
            <w:pPr>
              <w:spacing w:after="0"/>
            </w:pPr>
            <w:r>
              <w:rPr>
                <w:b w:val="0"/>
                <w:i w:val="0"/>
                <w:color w:val="5A6069"/>
                <w:sz w:val="18"/>
              </w:rPr>
              <w:t>Policy 14.2.A, PDF p285, living donor advocate requirements</w:t>
            </w:r>
          </w:p>
        </w:tc>
      </w:tr>
    </w:tbl>
    <w:p>
      <w:pPr>
        <w:spacing w:after="40"/>
      </w:pPr>
    </w:p>
    <w:p>
      <w:pPr>
        <w:pStyle w:val="Heading4"/>
        <w:keepNext/>
        <w:spacing w:before="120" w:after="80"/>
      </w:pPr>
      <w:r>
        <w:rPr>
          <w:b w:val="0"/>
          <w:i w:val="0"/>
        </w:rPr>
        <w:t>Evidence</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000"/>
        <w:gridCol w:w="3900"/>
        <w:gridCol w:w="4180"/>
      </w:tblGrid>
      <w:tr>
        <w:trPr>
          <w:tblHeader/>
        </w:trPr>
        <w:tc>
          <w:tcPr>
            <w:tcW w:type="dxa" w:w="3360"/>
            <w:tcW w:w="2000" w:type="dxa"/>
            <w:shd w:val="clear" w:color="auto" w:fill="17365D"/>
          </w:tcPr>
          <w:p>
            <w:r>
              <w:rPr>
                <w:b/>
                <w:i w:val="0"/>
                <w:color w:val="FFFFFF"/>
                <w:sz w:val="19"/>
              </w:rPr>
              <w:t>Source</w:t>
            </w:r>
          </w:p>
        </w:tc>
        <w:tc>
          <w:tcPr>
            <w:tcW w:type="dxa" w:w="3360"/>
            <w:tcW w:w="3900" w:type="dxa"/>
            <w:shd w:val="clear" w:color="auto" w:fill="17365D"/>
          </w:tcPr>
          <w:p>
            <w:r>
              <w:rPr>
                <w:b/>
                <w:i w:val="0"/>
                <w:color w:val="FFFFFF"/>
                <w:sz w:val="19"/>
              </w:rPr>
              <w:t>Population and selection</w:t>
            </w:r>
          </w:p>
        </w:tc>
        <w:tc>
          <w:tcPr>
            <w:tcW w:type="dxa" w:w="3360"/>
            <w:tcW w:w="4180" w:type="dxa"/>
            <w:shd w:val="clear" w:color="auto" w:fill="17365D"/>
          </w:tcPr>
          <w:p>
            <w:r>
              <w:rPr>
                <w:b/>
                <w:i w:val="0"/>
                <w:color w:val="FFFFFF"/>
                <w:sz w:val="19"/>
              </w:rPr>
              <w:t>Results, limits and location</w:t>
            </w:r>
          </w:p>
        </w:tc>
      </w:tr>
      <w:tr>
        <w:trPr>
          <w:cantSplit/>
        </w:trPr>
        <w:tc>
          <w:tcPr>
            <w:tcW w:type="dxa" w:w="3360"/>
            <w:tcW w:w="2000" w:type="dxa"/>
            <w:shd w:val="clear" w:color="auto" w:fill="F1F5F8"/>
          </w:tcPr>
          <w:p>
            <w:pPr>
              <w:spacing w:after="0"/>
            </w:pPr>
            <w:r>
              <w:rPr>
                <w:b/>
                <w:i w:val="0"/>
                <w:sz w:val="19"/>
              </w:rPr>
              <w:t>OPTN policy</w:t>
            </w:r>
          </w:p>
        </w:tc>
        <w:tc>
          <w:tcPr>
            <w:tcW w:type="dxa" w:w="3360"/>
            <w:tcW w:w="3900" w:type="dxa"/>
            <w:shd w:val="clear" w:color="auto" w:fill="F1F5F8"/>
          </w:tcPr>
          <w:p>
            <w:pPr>
              <w:spacing w:after="0"/>
            </w:pPr>
            <w:r>
              <w:rPr>
                <w:b w:val="0"/>
                <w:i w:val="0"/>
                <w:sz w:val="19"/>
              </w:rPr>
              <w:t>Binding OPTN policy posting effective 1 October 2026, checked 24 October 2026. Clinical candidacy, exception scoring, living-donor protection and reporting have different policy sections.</w:t>
            </w:r>
          </w:p>
        </w:tc>
        <w:tc>
          <w:tcPr>
            <w:tcW w:type="dxa" w:w="3360"/>
            <w:tcW w:w="4180" w:type="dxa"/>
            <w:shd w:val="clear" w:color="auto" w:fill="F1F5F8"/>
          </w:tcPr>
          <w:p>
            <w:pPr>
              <w:spacing w:after="0"/>
            </w:pPr>
            <w:r>
              <w:rPr>
                <w:b w:val="0"/>
                <w:i w:val="0"/>
                <w:sz w:val="19"/>
              </w:rPr>
              <w:t>Policy 9 governs liver allocation; Policy 14 requires independent donor advocacy/consent; Policy 18 specifies reporting. None establishes a universal cancer-benefit cutoff.</w:t>
            </w:r>
          </w:p>
          <w:p>
            <w:pPr>
              <w:spacing w:after="0"/>
            </w:pPr>
            <w:r>
              <w:rPr>
                <w:b w:val="0"/>
                <w:i/>
                <w:sz w:val="19"/>
              </w:rPr>
              <w:t>Limits: A center’s additional safeguards are not national policy. Review the active text and applicability before individual decisions.</w:t>
            </w:r>
          </w:p>
          <w:p>
            <w:pPr>
              <w:spacing w:after="0"/>
            </w:pPr>
            <w:r>
              <w:rPr>
                <w:b w:val="0"/>
                <w:i w:val="0"/>
                <w:color w:val="5A6069"/>
                <w:sz w:val="18"/>
              </w:rPr>
              <w:t>Policies 9, 14.2–14.4 and 18; current official PDF.</w:t>
            </w:r>
          </w:p>
        </w:tc>
      </w:tr>
      <w:tr>
        <w:trPr>
          <w:cantSplit/>
        </w:trPr>
        <w:tc>
          <w:tcPr>
            <w:tcW w:type="dxa" w:w="3360"/>
            <w:tcW w:w="2000" w:type="dxa"/>
            <w:shd w:val="clear" w:color="auto" w:fill="FFFFFF"/>
          </w:tcPr>
          <w:p>
            <w:pPr>
              <w:spacing w:after="0"/>
            </w:pPr>
            <w:r>
              <w:rPr>
                <w:b/>
                <w:i w:val="0"/>
                <w:sz w:val="19"/>
              </w:rPr>
              <w:t>NLRB oncology guidance</w:t>
            </w:r>
          </w:p>
        </w:tc>
        <w:tc>
          <w:tcPr>
            <w:tcW w:type="dxa" w:w="3360"/>
            <w:tcW w:w="3900" w:type="dxa"/>
            <w:shd w:val="clear" w:color="auto" w:fill="FFFFFF"/>
          </w:tcPr>
          <w:p>
            <w:pPr>
              <w:spacing w:after="0"/>
            </w:pPr>
            <w:r>
              <w:rPr>
                <w:b w:val="0"/>
                <w:i w:val="0"/>
                <w:sz w:val="19"/>
              </w:rPr>
              <w:t>Current NLRB hepatic-adenoma guidance. Four alternative routes; route four contains conjunctive clinical requirements.</w:t>
            </w:r>
          </w:p>
        </w:tc>
        <w:tc>
          <w:tcPr>
            <w:tcW w:type="dxa" w:w="3360"/>
            <w:tcW w:w="4180" w:type="dxa"/>
            <w:shd w:val="clear" w:color="auto" w:fill="FFFFFF"/>
          </w:tcPr>
          <w:p>
            <w:pPr>
              <w:spacing w:after="0"/>
            </w:pPr>
            <w:r>
              <w:rPr>
                <w:b w:val="0"/>
                <w:i w:val="0"/>
                <w:sz w:val="19"/>
              </w:rPr>
              <w:t>GSD/Abernethy; OR unresectable β-catenin-mutated HCA; OR unresectable adenomatosis &gt;10 lesions; OR unresectable, nonoperative-unresponsive and progressive/complicated HCA.</w:t>
            </w:r>
          </w:p>
          <w:p>
            <w:pPr>
              <w:spacing w:after="0"/>
            </w:pPr>
            <w:r>
              <w:rPr>
                <w:b w:val="0"/>
                <w:i/>
                <w:sz w:val="19"/>
              </w:rPr>
              <w:t>Limits: These are review routes, not proof of benefit or a mandatory transplant recommendation. Current text does not require all four conditions simultaneously or cirrhosis for all routes.</w:t>
            </w:r>
          </w:p>
          <w:p>
            <w:pPr>
              <w:spacing w:after="0"/>
            </w:pPr>
            <w:r>
              <w:rPr>
                <w:b w:val="0"/>
                <w:i w:val="0"/>
                <w:color w:val="5A6069"/>
                <w:sz w:val="18"/>
              </w:rPr>
              <w:t>December 2025 oncology guidance, hepatic adenoma p11.</w:t>
            </w:r>
          </w:p>
        </w:tc>
      </w:tr>
      <w:tr>
        <w:trPr>
          <w:cantSplit/>
        </w:trPr>
        <w:tc>
          <w:tcPr>
            <w:tcW w:type="dxa" w:w="3360"/>
            <w:tcW w:w="2000" w:type="dxa"/>
            <w:shd w:val="clear" w:color="auto" w:fill="F1F5F8"/>
          </w:tcPr>
          <w:p>
            <w:pPr>
              <w:spacing w:after="0"/>
            </w:pPr>
            <w:r>
              <w:rPr>
                <w:b/>
                <w:i w:val="0"/>
                <w:sz w:val="19"/>
              </w:rPr>
              <w:t>HHS human-subject protections</w:t>
            </w:r>
          </w:p>
        </w:tc>
        <w:tc>
          <w:tcPr>
            <w:tcW w:type="dxa" w:w="3360"/>
            <w:tcW w:w="3900" w:type="dxa"/>
            <w:shd w:val="clear" w:color="auto" w:fill="F1F5F8"/>
          </w:tcPr>
          <w:p>
            <w:pPr>
              <w:spacing w:after="0"/>
            </w:pPr>
            <w:r>
              <w:rPr>
                <w:b w:val="0"/>
                <w:i w:val="0"/>
                <w:sz w:val="19"/>
              </w:rPr>
              <w:t>Federal human-subject protection regulation. Applicability determined by institutional research/regulatory review.</w:t>
            </w:r>
          </w:p>
        </w:tc>
        <w:tc>
          <w:tcPr>
            <w:tcW w:type="dxa" w:w="3360"/>
            <w:tcW w:w="4180" w:type="dxa"/>
            <w:shd w:val="clear" w:color="auto" w:fill="F1F5F8"/>
          </w:tcPr>
          <w:p>
            <w:pPr>
              <w:spacing w:after="0"/>
            </w:pPr>
            <w:r>
              <w:rPr>
                <w:b w:val="0"/>
                <w:i w:val="0"/>
                <w:sz w:val="19"/>
              </w:rPr>
              <w:t>46.111 requires risk minimization, reasonable risk–benefit, equitable selection, informed consent and appropriate monitoring. IRB approval is separate from OPTN allocation and clinical acceptance.</w:t>
            </w:r>
          </w:p>
          <w:p>
            <w:pPr>
              <w:spacing w:after="0"/>
            </w:pPr>
            <w:r>
              <w:rPr>
                <w:b w:val="0"/>
                <w:i/>
                <w:sz w:val="19"/>
              </w:rPr>
              <w:t>Limits: No prescribed ten-patient cap, five-patient interim or one-event statistical boundary; those require protocol-specific design and independent approval.</w:t>
            </w:r>
          </w:p>
          <w:p>
            <w:pPr>
              <w:spacing w:after="0"/>
            </w:pPr>
            <w:r>
              <w:rPr>
                <w:b w:val="0"/>
                <w:i w:val="0"/>
                <w:color w:val="5A6069"/>
                <w:sz w:val="18"/>
              </w:rPr>
              <w:t>45 CFR 46.111(a)(1–7), current official eCFR text checked 24 October 2026.</w:t>
            </w:r>
          </w:p>
        </w:tc>
      </w:tr>
      <w:tr>
        <w:trPr>
          <w:cantSplit/>
        </w:trPr>
        <w:tc>
          <w:tcPr>
            <w:tcW w:type="dxa" w:w="3360"/>
            <w:tcW w:w="2000" w:type="dxa"/>
            <w:shd w:val="clear" w:color="auto" w:fill="FFFFFF"/>
          </w:tcPr>
          <w:p>
            <w:pPr>
              <w:spacing w:after="0"/>
            </w:pPr>
            <w:r>
              <w:rPr>
                <w:b/>
                <w:i w:val="0"/>
                <w:sz w:val="19"/>
              </w:rPr>
              <w:t>OPTN ethics principles</w:t>
            </w:r>
          </w:p>
        </w:tc>
        <w:tc>
          <w:tcPr>
            <w:tcW w:type="dxa" w:w="3360"/>
            <w:tcW w:w="3900" w:type="dxa"/>
            <w:shd w:val="clear" w:color="auto" w:fill="FFFFFF"/>
          </w:tcPr>
          <w:p>
            <w:pPr>
              <w:spacing w:after="0"/>
            </w:pPr>
            <w:r>
              <w:rPr>
                <w:b w:val="0"/>
                <w:i w:val="0"/>
                <w:sz w:val="19"/>
              </w:rPr>
              <w:t>OPTN Ethics Committee white paper, not a trial or binding allocation algorithm. Scarce-organ allocation must balance utility, justice and respect for persons.</w:t>
            </w:r>
          </w:p>
        </w:tc>
        <w:tc>
          <w:tcPr>
            <w:tcW w:type="dxa" w:w="3360"/>
            <w:tcW w:w="4180" w:type="dxa"/>
            <w:shd w:val="clear" w:color="auto" w:fill="FFFFFF"/>
          </w:tcPr>
          <w:p>
            <w:pPr>
              <w:spacing w:after="0"/>
            </w:pPr>
            <w:r>
              <w:rPr>
                <w:b w:val="0"/>
                <w:i w:val="0"/>
                <w:sz w:val="19"/>
              </w:rPr>
              <w:t>High predicted recipient survival alone is insufficient: opportunity cost, equity and access also matter. Donor autonomy does not remove clinical obligations.</w:t>
            </w:r>
          </w:p>
          <w:p>
            <w:pPr>
              <w:spacing w:after="0"/>
            </w:pPr>
            <w:r>
              <w:rPr>
                <w:b w:val="0"/>
                <w:i/>
                <w:sz w:val="19"/>
              </w:rPr>
              <w:t>Limits: Provides an ethical framework, not numeric weights, a universal survival threshold or permission to depart from allocation rules.</w:t>
            </w:r>
          </w:p>
          <w:p>
            <w:pPr>
              <w:spacing w:after="0"/>
            </w:pPr>
            <w:r>
              <w:rPr>
                <w:b w:val="0"/>
                <w:i w:val="0"/>
                <w:color w:val="5A6069"/>
                <w:sz w:val="18"/>
              </w:rPr>
              <w:t>Introduction; utility/justice/respect-for-persons sections.</w:t>
            </w:r>
          </w:p>
        </w:tc>
      </w:tr>
    </w:tbl>
    <w:p>
      <w:pPr>
        <w:spacing w:after="40"/>
      </w:pPr>
    </w:p>
    <w:p>
      <w:pPr>
        <w:pStyle w:val="Heading4"/>
        <w:keepNext/>
        <w:spacing w:before="120" w:after="80"/>
      </w:pPr>
      <w:r>
        <w:rPr>
          <w:b w:val="0"/>
          <w:i w:val="0"/>
        </w:rPr>
        <w:t>Our proposed selection (OPEN)</w:t>
      </w:r>
    </w:p>
    <w:p>
      <w:pPr>
        <w:spacing w:after="80"/>
      </w:pPr>
      <w:r>
        <w:rPr>
          <w:b w:val="0"/>
          <w:i w:val="0"/>
        </w:rPr>
        <w:t>Require 100% completion of the applicable clinical, allocation, donor and research determinations before activation.</w:t>
      </w:r>
    </w:p>
    <w:p>
      <w:pPr>
        <w:numPr>
          <w:ilvl w:val="0"/>
          <w:numId w:val="5"/>
        </w:numPr>
        <w:spacing w:after="40"/>
      </w:pPr>
      <w:r>
        <w:rPr>
          <w:b w:val="0"/>
          <w:i w:val="0"/>
        </w:rPr>
        <w:t>Complete six separate dated determinations: clinical suitability; standardized-exception eligibility; nonstandard NLRB review status; calculated-MELD access; LDLT donor clearance; and research authorization. Mark nonapplicable domains explicitly with a reason—do not manufacture six approvals for every patient.</w:t>
      </w:r>
    </w:p>
    <w:p>
      <w:pPr>
        <w:numPr>
          <w:ilvl w:val="0"/>
          <w:numId w:val="5"/>
        </w:numPr>
        <w:spacing w:after="40"/>
      </w:pPr>
      <w:r>
        <w:rPr>
          <w:b w:val="0"/>
          <w:i w:val="0"/>
        </w:rPr>
        <w:t>Any required missing, pending or adverse determination is a HOLD. An exception application is not approval, a donor is not recipient benefit, and clinical approval is not study activation.</w:t>
      </w:r>
    </w:p>
    <w:p>
      <w:pPr>
        <w:numPr>
          <w:ilvl w:val="0"/>
          <w:numId w:val="5"/>
        </w:numPr>
        <w:spacing w:after="40"/>
      </w:pPr>
      <w:r>
        <w:rPr>
          <w:b w:val="0"/>
          <w:i w:val="0"/>
        </w:rPr>
        <w:t>Recheck the current policy/guidance version before each request; record actual decision and priority rather than predicted entitlement.</w:t>
      </w:r>
    </w:p>
    <w:p>
      <w:pPr>
        <w:spacing w:after="80"/>
      </w:pPr>
      <w:r>
        <w:rPr>
          <w:b/>
          <w:i w:val="0"/>
        </w:rPr>
        <w:t xml:space="preserve">Why: </w:t>
      </w:r>
      <w:r>
        <w:rPr>
          <w:b w:val="0"/>
          <w:i w:val="0"/>
        </w:rPr>
        <w:t>The separation is a governance requirement, not an empirical survival cutoff. A clinically appropriate patient can lack exception eligibility, and an approved exception does not prove clinical benefit. LDLT requires an independent donor determination; a registry entry is not permission to perform experimental transplantation.</w:t>
      </w:r>
    </w:p>
    <w:p>
      <w:pPr>
        <w:spacing w:after="80"/>
      </w:pPr>
      <w:r>
        <w:rPr>
          <w:b/>
          <w:i w:val="0"/>
        </w:rPr>
        <w:t xml:space="preserve">Against, or uncertain: </w:t>
      </w:r>
      <w:r>
        <w:rPr>
          <w:b w:val="0"/>
          <w:i w:val="0"/>
        </w:rPr>
        <w:t>Not every case needs six separate affirmative approvals: several routes are alternatives or not applicable. An indiscriminate six-approval rule could obstruct appropriate standard care.</w:t>
      </w:r>
    </w:p>
    <w:p>
      <w:pPr>
        <w:spacing w:after="80"/>
      </w:pPr>
      <w:r>
        <w:rPr>
          <w:b/>
          <w:i w:val="0"/>
        </w:rPr>
        <w:t xml:space="preserve">Certainty: </w:t>
      </w:r>
      <w:r>
        <w:rPr>
          <w:b w:val="0"/>
          <w:i w:val="0"/>
        </w:rPr>
        <w:t>High confidence in the separation of applicable authorities; no trial establishes that six boxes improve survival. Local workflow must map to current institutional obligations.</w:t>
      </w:r>
    </w:p>
    <w:p>
      <w:pPr>
        <w:spacing w:after="80"/>
      </w:pPr>
      <w:r>
        <w:rPr>
          <w:b/>
          <w:i w:val="0"/>
        </w:rPr>
        <w:t xml:space="preserve">Tests and records: </w:t>
      </w:r>
      <w:r>
        <w:rPr>
          <w:b w:val="0"/>
          <w:i w:val="0"/>
        </w:rPr>
        <w:t>Signed suitability record; exact allocation route and policy version; exception outcome; donor-team status; study and institutional activation record.</w:t>
      </w:r>
    </w:p>
    <w:p>
      <w:pPr>
        <w:spacing w:after="80"/>
      </w:pPr>
      <w:r>
        <w:rPr>
          <w:b/>
          <w:i w:val="0"/>
        </w:rPr>
        <w:t xml:space="preserve">Allocation: </w:t>
      </w:r>
      <w:r>
        <w:rPr>
          <w:b w:val="0"/>
          <w:i w:val="0"/>
        </w:rPr>
        <w:t>Policy 9.4 permits discretionary requests where appropriate; absence of favorable diagnosis-specific guidance is not absence of a review mechanism, and a request does not promise approval.</w:t>
      </w:r>
    </w:p>
    <w:p>
      <w:pPr>
        <w:spacing w:after="40"/>
      </w:pPr>
      <w:r>
        <w:rPr>
          <w:b/>
          <w:i w:val="0"/>
        </w:rPr>
        <w:t xml:space="preserve">Basis for the proposed thresholds: </w:t>
      </w:r>
    </w:p>
    <w:p>
      <w:pPr>
        <w:numPr>
          <w:ilvl w:val="0"/>
          <w:numId w:val="5"/>
        </w:numPr>
        <w:spacing w:after="40"/>
      </w:pPr>
      <w:r>
        <w:rPr>
          <w:b w:val="0"/>
          <w:i w:val="0"/>
        </w:rPr>
        <w:t>Six domains: local checklist architecture, not six mandatory national approvals.</w:t>
      </w:r>
    </w:p>
    <w:p>
      <w:pPr>
        <w:numPr>
          <w:ilvl w:val="0"/>
          <w:numId w:val="5"/>
        </w:numPr>
        <w:spacing w:after="40"/>
      </w:pPr>
      <w:r>
        <w:rPr>
          <w:b w:val="0"/>
          <w:i w:val="0"/>
        </w:rPr>
        <w:t>100% applicable completion: governance safeguard, not an outcome-derived percentage.</w:t>
      </w:r>
    </w:p>
    <w:p>
      <w:pPr>
        <w:numPr>
          <w:ilvl w:val="0"/>
          <w:numId w:val="5"/>
        </w:numPr>
        <w:spacing w:after="40"/>
      </w:pPr>
      <w:r>
        <w:rPr>
          <w:b w:val="0"/>
          <w:i w:val="0"/>
        </w:rPr>
        <w:t>Hold pending required authorization: operational implementation of separate clinical, donor and research responsibilities.</w:t>
      </w:r>
    </w:p>
    <w:p>
      <w:pPr>
        <w:pStyle w:val="Heading4"/>
        <w:keepNext/>
        <w:spacing w:before="120" w:after="80"/>
      </w:pPr>
      <w:r>
        <w:rPr>
          <w:b w:val="0"/>
          <w:i w:val="0"/>
        </w:rPr>
        <w:t>ALLOC-B1 — group decision</w:t>
      </w:r>
    </w:p>
    <w:p>
      <w:pPr>
        <w:spacing w:after="0"/>
      </w:pPr>
      <w:r>
        <w:rPr>
          <w:b/>
          <w:i w:val="0"/>
        </w:rPr>
        <w:t xml:space="preserve">Accepted position (or alternative chosen): </w:t>
      </w:r>
    </w:p>
    <w:p>
      <w:pPr>
        <w:spacing w:after="200"/>
        <w:pBdr>
          <w:bottom w:val="single" w:sz="6" w:space="1" w:color="9AA8B4"/>
        </w:pBdr>
      </w:pPr>
    </w:p>
    <w:p>
      <w:pPr>
        <w:spacing w:after="0"/>
      </w:pPr>
      <w:r>
        <w:rPr>
          <w:b/>
          <w:i w:val="0"/>
        </w:rPr>
        <w:t xml:space="preserve">Rationale, dissent and exceptions: </w:t>
      </w:r>
    </w:p>
    <w:p>
      <w:pPr>
        <w:spacing w:after="200"/>
        <w:pBdr>
          <w:bottom w:val="single" w:sz="6" w:space="1" w:color="9AA8B4"/>
        </w:pBdr>
      </w:pPr>
    </w:p>
    <w:p>
      <w:pPr>
        <w:spacing w:after="0"/>
      </w:pPr>
      <w:r>
        <w:rPr>
          <w:b/>
          <w:i w:val="0"/>
        </w:rPr>
        <w:t xml:space="preserve">Owner · approval date · implementation date: </w:t>
      </w:r>
    </w:p>
    <w:p>
      <w:pPr>
        <w:spacing w:after="200"/>
        <w:pBdr>
          <w:bottom w:val="single" w:sz="6" w:space="1" w:color="9AA8B4"/>
        </w:pBdr>
      </w:pPr>
    </w:p>
    <w:p>
      <w:pPr>
        <w:pStyle w:val="Heading3"/>
        <w:keepNext/>
        <w:spacing w:before="120" w:after="80"/>
      </w:pPr>
      <w:r>
        <w:rPr>
          <w:b w:val="0"/>
          <w:i w:val="0"/>
        </w:rPr>
        <w:t>ALLOC-B2 — Assess expected recipient benefit and organ use</w:t>
      </w:r>
    </w:p>
    <w:p>
      <w:pPr>
        <w:spacing w:after="80"/>
      </w:pPr>
      <w:r>
        <w:rPr>
          <w:b w:val="0"/>
          <w:i w:val="0"/>
          <w:color w:val="5A6069"/>
          <w:sz w:val="18"/>
        </w:rPr>
        <w:t>OPEN proposal · not activated · Shared approval requirement</w:t>
      </w:r>
    </w:p>
    <w:p>
      <w:pPr>
        <w:spacing w:after="80"/>
      </w:pPr>
      <w:r>
        <w:rPr>
          <w:b/>
          <w:i w:val="0"/>
        </w:rPr>
        <w:t xml:space="preserve">Question: </w:t>
      </w:r>
      <w:r>
        <w:rPr>
          <w:b w:val="0"/>
          <w:i w:val="0"/>
        </w:rPr>
        <w:t>What is the relevant organ opportunity cost?</w:t>
      </w:r>
    </w:p>
    <w:p>
      <w:pPr>
        <w:spacing w:after="120"/>
      </w:pPr>
      <w:r>
        <w:rPr>
          <w:b/>
          <w:i w:val="0"/>
          <w:sz w:val="18"/>
        </w:rPr>
        <w:t xml:space="preserve">Web page: </w:t>
      </w:r>
      <w:hyperlink r:id="rId50">
        <w:r>
          <w:rPr>
            <w:color w:val="0563C1"/>
            <w:u w:val="single"/>
            <w:sz w:val="18"/>
          </w:rPr>
          <w:t xml:space="preserve">open this question on the website</w:t>
        </w:r>
      </w:hyperlink>
    </w:p>
    <w:p>
      <w:pPr>
        <w:pStyle w:val="Heading4"/>
        <w:keepNext/>
        <w:spacing w:before="120" w:after="80"/>
      </w:pPr>
      <w:r>
        <w:rPr>
          <w:b w:val="0"/>
          <w:i w:val="0"/>
        </w:rPr>
        <w:t>Positions of guidelines, trials and papers</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200"/>
        <w:gridCol w:w="5480"/>
        <w:gridCol w:w="2400"/>
      </w:tblGrid>
      <w:tr>
        <w:trPr>
          <w:tblHeader/>
        </w:trPr>
        <w:tc>
          <w:tcPr>
            <w:tcW w:type="dxa" w:w="3360"/>
            <w:tcW w:w="2200" w:type="dxa"/>
            <w:shd w:val="clear" w:color="auto" w:fill="17365D"/>
          </w:tcPr>
          <w:p>
            <w:r>
              <w:rPr>
                <w:b/>
                <w:i w:val="0"/>
                <w:color w:val="FFFFFF"/>
                <w:sz w:val="19"/>
              </w:rPr>
              <w:t>Source</w:t>
            </w:r>
          </w:p>
        </w:tc>
        <w:tc>
          <w:tcPr>
            <w:tcW w:type="dxa" w:w="3360"/>
            <w:tcW w:w="5480" w:type="dxa"/>
            <w:shd w:val="clear" w:color="auto" w:fill="17365D"/>
          </w:tcPr>
          <w:p>
            <w:r>
              <w:rPr>
                <w:b/>
                <w:i w:val="0"/>
                <w:color w:val="FFFFFF"/>
                <w:sz w:val="19"/>
              </w:rPr>
              <w:t>Position</w:t>
            </w:r>
          </w:p>
        </w:tc>
        <w:tc>
          <w:tcPr>
            <w:tcW w:type="dxa" w:w="3360"/>
            <w:tcW w:w="2400" w:type="dxa"/>
            <w:shd w:val="clear" w:color="auto" w:fill="17365D"/>
          </w:tcPr>
          <w:p>
            <w:r>
              <w:rPr>
                <w:b/>
                <w:i w:val="0"/>
                <w:color w:val="FFFFFF"/>
                <w:sz w:val="19"/>
              </w:rPr>
              <w:t>Where stated</w:t>
            </w:r>
          </w:p>
        </w:tc>
      </w:tr>
      <w:tr>
        <w:trPr>
          <w:cantSplit/>
        </w:trPr>
        <w:tc>
          <w:tcPr>
            <w:tcW w:type="dxa" w:w="3360"/>
            <w:tcW w:w="2200" w:type="dxa"/>
            <w:shd w:val="clear" w:color="auto" w:fill="F1F5F8"/>
          </w:tcPr>
          <w:p>
            <w:pPr>
              <w:spacing w:after="0"/>
            </w:pPr>
            <w:r>
              <w:rPr>
                <w:b/>
                <w:i w:val="0"/>
                <w:sz w:val="19"/>
              </w:rPr>
              <w:t>TransMet 2024</w:t>
            </w:r>
          </w:p>
        </w:tc>
        <w:tc>
          <w:tcPr>
            <w:tcW w:type="dxa" w:w="3360"/>
            <w:tcW w:w="5480" w:type="dxa"/>
            <w:shd w:val="clear" w:color="auto" w:fill="F1F5F8"/>
          </w:tcPr>
          <w:p>
            <w:pPr>
              <w:spacing w:after="0"/>
            </w:pPr>
            <w:r>
              <w:rPr>
                <w:b w:val="0"/>
                <w:i w:val="0"/>
                <w:sz w:val="19"/>
              </w:rPr>
              <w:t>“intention-to-treat population” The randomized pathway-level comparison is more informative than recipient survival alone; its selection and access conditions still matter.</w:t>
            </w:r>
          </w:p>
        </w:tc>
        <w:tc>
          <w:tcPr>
            <w:tcW w:type="dxa" w:w="3360"/>
            <w:tcW w:w="2400" w:type="dxa"/>
            <w:shd w:val="clear" w:color="auto" w:fill="F1F5F8"/>
          </w:tcPr>
          <w:p>
            <w:pPr>
              <w:spacing w:after="0"/>
            </w:pPr>
            <w:r>
              <w:rPr>
                <w:b w:val="0"/>
                <w:i w:val="0"/>
                <w:color w:val="5A6069"/>
                <w:sz w:val="18"/>
              </w:rPr>
              <w:t>Published TransMet report, primary analysis description</w:t>
            </w:r>
          </w:p>
        </w:tc>
      </w:tr>
      <w:tr>
        <w:trPr>
          <w:cantSplit/>
        </w:trPr>
        <w:tc>
          <w:tcPr>
            <w:tcW w:type="dxa" w:w="3360"/>
            <w:tcW w:w="2200" w:type="dxa"/>
            <w:shd w:val="clear" w:color="auto" w:fill="FFFFFF"/>
          </w:tcPr>
          <w:p>
            <w:pPr>
              <w:spacing w:after="0"/>
            </w:pPr>
            <w:r>
              <w:rPr>
                <w:b/>
                <w:i w:val="0"/>
                <w:sz w:val="19"/>
              </w:rPr>
              <w:t>Kelly 2026</w:t>
            </w:r>
          </w:p>
        </w:tc>
        <w:tc>
          <w:tcPr>
            <w:tcW w:type="dxa" w:w="3360"/>
            <w:tcW w:w="5480" w:type="dxa"/>
            <w:shd w:val="clear" w:color="auto" w:fill="FFFFFF"/>
          </w:tcPr>
          <w:p>
            <w:pPr>
              <w:spacing w:after="0"/>
            </w:pPr>
            <w:r>
              <w:rPr>
                <w:b w:val="0"/>
                <w:i w:val="0"/>
                <w:sz w:val="19"/>
              </w:rPr>
              <w:t>“risks to donors remain incompletely characterized” LDLT transfers some risk to a healthy donor; it does not eliminate the need to establish recipient benefit.</w:t>
            </w:r>
          </w:p>
        </w:tc>
        <w:tc>
          <w:tcPr>
            <w:tcW w:type="dxa" w:w="3360"/>
            <w:tcW w:w="2400" w:type="dxa"/>
            <w:shd w:val="clear" w:color="auto" w:fill="FFFFFF"/>
          </w:tcPr>
          <w:p>
            <w:pPr>
              <w:spacing w:after="0"/>
            </w:pPr>
            <w:r>
              <w:rPr>
                <w:b w:val="0"/>
                <w:i w:val="0"/>
                <w:color w:val="5A6069"/>
                <w:sz w:val="18"/>
              </w:rPr>
              <w:t>2026 published report, abstract background</w:t>
            </w:r>
          </w:p>
        </w:tc>
      </w:tr>
    </w:tbl>
    <w:p>
      <w:pPr>
        <w:spacing w:after="40"/>
      </w:pPr>
    </w:p>
    <w:p>
      <w:pPr>
        <w:pStyle w:val="Heading4"/>
        <w:keepNext/>
        <w:spacing w:before="120" w:after="80"/>
      </w:pPr>
      <w:r>
        <w:rPr>
          <w:b w:val="0"/>
          <w:i w:val="0"/>
        </w:rPr>
        <w:t>Evidence</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000"/>
        <w:gridCol w:w="3900"/>
        <w:gridCol w:w="4180"/>
      </w:tblGrid>
      <w:tr>
        <w:trPr>
          <w:tblHeader/>
        </w:trPr>
        <w:tc>
          <w:tcPr>
            <w:tcW w:type="dxa" w:w="3360"/>
            <w:tcW w:w="2000" w:type="dxa"/>
            <w:shd w:val="clear" w:color="auto" w:fill="17365D"/>
          </w:tcPr>
          <w:p>
            <w:r>
              <w:rPr>
                <w:b/>
                <w:i w:val="0"/>
                <w:color w:val="FFFFFF"/>
                <w:sz w:val="19"/>
              </w:rPr>
              <w:t>Source</w:t>
            </w:r>
          </w:p>
        </w:tc>
        <w:tc>
          <w:tcPr>
            <w:tcW w:type="dxa" w:w="3360"/>
            <w:tcW w:w="3900" w:type="dxa"/>
            <w:shd w:val="clear" w:color="auto" w:fill="17365D"/>
          </w:tcPr>
          <w:p>
            <w:r>
              <w:rPr>
                <w:b/>
                <w:i w:val="0"/>
                <w:color w:val="FFFFFF"/>
                <w:sz w:val="19"/>
              </w:rPr>
              <w:t>Population and selection</w:t>
            </w:r>
          </w:p>
        </w:tc>
        <w:tc>
          <w:tcPr>
            <w:tcW w:type="dxa" w:w="3360"/>
            <w:tcW w:w="4180" w:type="dxa"/>
            <w:shd w:val="clear" w:color="auto" w:fill="17365D"/>
          </w:tcPr>
          <w:p>
            <w:r>
              <w:rPr>
                <w:b/>
                <w:i w:val="0"/>
                <w:color w:val="FFFFFF"/>
                <w:sz w:val="19"/>
              </w:rPr>
              <w:t>Results, limits and location</w:t>
            </w:r>
          </w:p>
        </w:tc>
      </w:tr>
      <w:tr>
        <w:trPr>
          <w:cantSplit/>
        </w:trPr>
        <w:tc>
          <w:tcPr>
            <w:tcW w:type="dxa" w:w="3360"/>
            <w:tcW w:w="2000" w:type="dxa"/>
            <w:shd w:val="clear" w:color="auto" w:fill="F1F5F8"/>
          </w:tcPr>
          <w:p>
            <w:pPr>
              <w:spacing w:after="0"/>
            </w:pPr>
            <w:r>
              <w:rPr>
                <w:b/>
                <w:i w:val="0"/>
                <w:sz w:val="19"/>
              </w:rPr>
              <w:t>OPTN ethics principles</w:t>
            </w:r>
          </w:p>
        </w:tc>
        <w:tc>
          <w:tcPr>
            <w:tcW w:type="dxa" w:w="3360"/>
            <w:tcW w:w="3900" w:type="dxa"/>
            <w:shd w:val="clear" w:color="auto" w:fill="F1F5F8"/>
          </w:tcPr>
          <w:p>
            <w:pPr>
              <w:spacing w:after="0"/>
            </w:pPr>
            <w:r>
              <w:rPr>
                <w:b w:val="0"/>
                <w:i w:val="0"/>
                <w:sz w:val="19"/>
              </w:rPr>
              <w:t>OPTN Ethics Committee white paper, not a trial or binding allocation algorithm. Scarce-organ allocation must balance utility, justice and respect for persons.</w:t>
            </w:r>
          </w:p>
        </w:tc>
        <w:tc>
          <w:tcPr>
            <w:tcW w:type="dxa" w:w="3360"/>
            <w:tcW w:w="4180" w:type="dxa"/>
            <w:shd w:val="clear" w:color="auto" w:fill="F1F5F8"/>
          </w:tcPr>
          <w:p>
            <w:pPr>
              <w:spacing w:after="0"/>
            </w:pPr>
            <w:r>
              <w:rPr>
                <w:b w:val="0"/>
                <w:i w:val="0"/>
                <w:sz w:val="19"/>
              </w:rPr>
              <w:t>High predicted recipient survival alone is insufficient: opportunity cost, equity and access also matter. Donor autonomy does not remove clinical obligations.</w:t>
            </w:r>
          </w:p>
          <w:p>
            <w:pPr>
              <w:spacing w:after="0"/>
            </w:pPr>
            <w:r>
              <w:rPr>
                <w:b w:val="0"/>
                <w:i/>
                <w:sz w:val="19"/>
              </w:rPr>
              <w:t>Limits: Provides an ethical framework, not numeric weights, a universal survival threshold or permission to depart from allocation rules.</w:t>
            </w:r>
          </w:p>
          <w:p>
            <w:pPr>
              <w:spacing w:after="0"/>
            </w:pPr>
            <w:r>
              <w:rPr>
                <w:b w:val="0"/>
                <w:i w:val="0"/>
                <w:color w:val="5A6069"/>
                <w:sz w:val="18"/>
              </w:rPr>
              <w:t>Introduction; utility/justice/respect-for-persons sections.</w:t>
            </w:r>
          </w:p>
        </w:tc>
      </w:tr>
      <w:tr>
        <w:trPr>
          <w:cantSplit/>
        </w:trPr>
        <w:tc>
          <w:tcPr>
            <w:tcW w:type="dxa" w:w="3360"/>
            <w:tcW w:w="2000" w:type="dxa"/>
            <w:shd w:val="clear" w:color="auto" w:fill="FFFFFF"/>
          </w:tcPr>
          <w:p>
            <w:pPr>
              <w:spacing w:after="0"/>
            </w:pPr>
            <w:r>
              <w:rPr>
                <w:b/>
                <w:i w:val="0"/>
                <w:sz w:val="19"/>
              </w:rPr>
              <w:t>OPTN policy</w:t>
            </w:r>
          </w:p>
        </w:tc>
        <w:tc>
          <w:tcPr>
            <w:tcW w:type="dxa" w:w="3360"/>
            <w:tcW w:w="3900" w:type="dxa"/>
            <w:shd w:val="clear" w:color="auto" w:fill="FFFFFF"/>
          </w:tcPr>
          <w:p>
            <w:pPr>
              <w:spacing w:after="0"/>
            </w:pPr>
            <w:r>
              <w:rPr>
                <w:b w:val="0"/>
                <w:i w:val="0"/>
                <w:sz w:val="19"/>
              </w:rPr>
              <w:t>Binding OPTN policy posting effective 1 October 2026, checked 24 October 2026. Clinical candidacy, exception scoring, living-donor protection and reporting have different policy sections.</w:t>
            </w:r>
          </w:p>
        </w:tc>
        <w:tc>
          <w:tcPr>
            <w:tcW w:type="dxa" w:w="3360"/>
            <w:tcW w:w="4180" w:type="dxa"/>
            <w:shd w:val="clear" w:color="auto" w:fill="FFFFFF"/>
          </w:tcPr>
          <w:p>
            <w:pPr>
              <w:spacing w:after="0"/>
            </w:pPr>
            <w:r>
              <w:rPr>
                <w:b w:val="0"/>
                <w:i w:val="0"/>
                <w:sz w:val="19"/>
              </w:rPr>
              <w:t>Policy 9 governs liver allocation; Policy 14 requires independent donor advocacy/consent; Policy 18 specifies reporting. None establishes a universal cancer-benefit cutoff.</w:t>
            </w:r>
          </w:p>
          <w:p>
            <w:pPr>
              <w:spacing w:after="0"/>
            </w:pPr>
            <w:r>
              <w:rPr>
                <w:b w:val="0"/>
                <w:i/>
                <w:sz w:val="19"/>
              </w:rPr>
              <w:t>Limits: A center’s additional safeguards are not national policy. Review the active text and applicability before individual decisions.</w:t>
            </w:r>
          </w:p>
          <w:p>
            <w:pPr>
              <w:spacing w:after="0"/>
            </w:pPr>
            <w:r>
              <w:rPr>
                <w:b w:val="0"/>
                <w:i w:val="0"/>
                <w:color w:val="5A6069"/>
                <w:sz w:val="18"/>
              </w:rPr>
              <w:t>Policies 9, 14.2–14.4 and 18; current official PDF.</w:t>
            </w:r>
          </w:p>
        </w:tc>
      </w:tr>
      <w:tr>
        <w:trPr>
          <w:cantSplit/>
        </w:trPr>
        <w:tc>
          <w:tcPr>
            <w:tcW w:type="dxa" w:w="3360"/>
            <w:tcW w:w="2000" w:type="dxa"/>
            <w:shd w:val="clear" w:color="auto" w:fill="F1F5F8"/>
          </w:tcPr>
          <w:p>
            <w:pPr>
              <w:spacing w:after="0"/>
            </w:pPr>
            <w:r>
              <w:rPr>
                <w:b/>
                <w:i w:val="0"/>
                <w:sz w:val="19"/>
              </w:rPr>
              <w:t>EASL–AASLD–ILCA 2026</w:t>
            </w:r>
          </w:p>
        </w:tc>
        <w:tc>
          <w:tcPr>
            <w:tcW w:type="dxa" w:w="3360"/>
            <w:tcW w:w="3900" w:type="dxa"/>
            <w:shd w:val="clear" w:color="auto" w:fill="F1F5F8"/>
          </w:tcPr>
          <w:p>
            <w:pPr>
              <w:spacing w:after="0"/>
            </w:pPr>
            <w:r>
              <w:rPr>
                <w:b w:val="0"/>
                <w:i w:val="0"/>
                <w:sz w:val="19"/>
              </w:rPr>
              <w:t>EASL–AASLD–ILCA 2026 trial-design consensus, LT section. Separates standard/UNOS-DS, expanded intermediate HCC and advanced segmental vascular-invasion research populations.</w:t>
            </w:r>
          </w:p>
        </w:tc>
        <w:tc>
          <w:tcPr>
            <w:tcW w:type="dxa" w:w="3360"/>
            <w:tcW w:w="4180" w:type="dxa"/>
            <w:shd w:val="clear" w:color="auto" w:fill="F1F5F8"/>
          </w:tcPr>
          <w:p>
            <w:pPr>
              <w:spacing w:after="0"/>
            </w:pPr>
            <w:r>
              <w:rPr>
                <w:b w:val="0"/>
                <w:i w:val="0"/>
                <w:sz w:val="19"/>
              </w:rPr>
              <w:t>Calls for entry-level dropout/feasibility, ITT EFS/OS and graft/immune harms; discusses ≥60% five-year ITT OS benchmark in HCC.</w:t>
            </w:r>
          </w:p>
          <w:p>
            <w:pPr>
              <w:spacing w:after="0"/>
            </w:pPr>
            <w:r>
              <w:rPr>
                <w:b w:val="0"/>
                <w:i/>
                <w:sz w:val="19"/>
              </w:rPr>
              <w:t>Limits: Expert benchmark, not a validated cross-tumor allocation cutoff or a ten-patient stopping rule; mature five-year endpoints cannot be established after one year.</w:t>
            </w:r>
          </w:p>
          <w:p>
            <w:pPr>
              <w:spacing w:after="0"/>
            </w:pPr>
            <w:r>
              <w:rPr>
                <w:b w:val="0"/>
                <w:i w:val="0"/>
                <w:color w:val="5A6069"/>
                <w:sz w:val="18"/>
              </w:rPr>
              <w:t>Accepted manuscript pp19–22, LT trial design.</w:t>
            </w:r>
          </w:p>
        </w:tc>
      </w:tr>
      <w:tr>
        <w:trPr>
          <w:cantSplit/>
        </w:trPr>
        <w:tc>
          <w:tcPr>
            <w:tcW w:type="dxa" w:w="3360"/>
            <w:tcW w:w="2000" w:type="dxa"/>
            <w:shd w:val="clear" w:color="auto" w:fill="FFFFFF"/>
          </w:tcPr>
          <w:p>
            <w:pPr>
              <w:spacing w:after="0"/>
            </w:pPr>
            <w:r>
              <w:rPr>
                <w:b/>
                <w:i w:val="0"/>
                <w:sz w:val="19"/>
              </w:rPr>
              <w:t>Kelly 2026</w:t>
            </w:r>
          </w:p>
        </w:tc>
        <w:tc>
          <w:tcPr>
            <w:tcW w:type="dxa" w:w="3360"/>
            <w:tcW w:w="3900" w:type="dxa"/>
            <w:shd w:val="clear" w:color="auto" w:fill="FFFFFF"/>
          </w:tcPr>
          <w:p>
            <w:pPr>
              <w:spacing w:after="0"/>
            </w:pPr>
            <w:r>
              <w:rPr>
                <w:b w:val="0"/>
                <w:i w:val="0"/>
                <w:sz w:val="19"/>
              </w:rPr>
              <w:t>National SRTR donor cohort 1989–2023: 8,619 with mortality ascertainment; 8,314 with any recovery record. Adults 18–65; 362 eligible donors excluded for missing mortality status.</w:t>
            </w:r>
          </w:p>
        </w:tc>
        <w:tc>
          <w:tcPr>
            <w:tcW w:type="dxa" w:w="3360"/>
            <w:tcW w:w="4180" w:type="dxa"/>
            <w:shd w:val="clear" w:color="auto" w:fill="FFFFFF"/>
          </w:tcPr>
          <w:p>
            <w:pPr>
              <w:spacing w:after="0"/>
            </w:pPr>
            <w:r>
              <w:rPr>
                <w:b w:val="0"/>
                <w:i w:val="0"/>
                <w:sz w:val="19"/>
              </w:rPr>
              <w:t>Eight deaths by 90 days and 18 by two years; contemporary-era perioperative mortality approximately 0.04%. Only 37–39% had two-year recovery data.</w:t>
            </w:r>
          </w:p>
          <w:p>
            <w:pPr>
              <w:spacing w:after="0"/>
            </w:pPr>
            <w:r>
              <w:rPr>
                <w:b w:val="0"/>
                <w:i/>
                <w:sz w:val="19"/>
              </w:rPr>
              <w:t>Limits: All-cause deaths, mostly unavailable cause; not oncology-specific. Low mortality cannot substitute for complete morbidity, psychological and financial follow-up.</w:t>
            </w:r>
          </w:p>
          <w:p>
            <w:pPr>
              <w:spacing w:after="0"/>
            </w:pPr>
            <w:r>
              <w:rPr>
                <w:b w:val="0"/>
                <w:i w:val="0"/>
                <w:color w:val="5A6069"/>
                <w:sz w:val="18"/>
              </w:rPr>
              <w:t>Methods; Results 3.1–3.4; limitations pp6–7.</w:t>
            </w:r>
          </w:p>
        </w:tc>
      </w:tr>
      <w:tr>
        <w:trPr>
          <w:cantSplit/>
        </w:trPr>
        <w:tc>
          <w:tcPr>
            <w:tcW w:type="dxa" w:w="3360"/>
            <w:tcW w:w="2000" w:type="dxa"/>
            <w:shd w:val="clear" w:color="auto" w:fill="F1F5F8"/>
          </w:tcPr>
          <w:p>
            <w:pPr>
              <w:spacing w:after="0"/>
            </w:pPr>
            <w:r>
              <w:rPr>
                <w:b/>
                <w:i w:val="0"/>
                <w:sz w:val="19"/>
              </w:rPr>
              <w:t>XXL 2020</w:t>
            </w:r>
          </w:p>
        </w:tc>
        <w:tc>
          <w:tcPr>
            <w:tcW w:type="dxa" w:w="3360"/>
            <w:tcW w:w="3900" w:type="dxa"/>
            <w:shd w:val="clear" w:color="auto" w:fill="F1F5F8"/>
          </w:tcPr>
          <w:p>
            <w:pPr>
              <w:spacing w:after="0"/>
            </w:pPr>
            <w:r>
              <w:rPr>
                <w:b w:val="0"/>
                <w:i w:val="0"/>
                <w:sz w:val="19"/>
              </w:rPr>
              <w:t>Multicenter randomized phase 2b/3 trial: 74 entered downstaging; 29 dropped out before randomization; 45 responders were randomized, 23 to LT and 22 to nontransplant treatment. Child-Pugh A–B7, ECOG 0–1, predicted five-year post-LT survival ≥50%, and ≥3 months sustained response. AFP rules depended on baseline value and response, not an unconditional AFP &lt;400 entry rule.</w:t>
            </w:r>
          </w:p>
        </w:tc>
        <w:tc>
          <w:tcPr>
            <w:tcW w:type="dxa" w:w="3360"/>
            <w:tcW w:w="4180" w:type="dxa"/>
            <w:shd w:val="clear" w:color="auto" w:fill="F1F5F8"/>
          </w:tcPr>
          <w:p>
            <w:pPr>
              <w:spacing w:after="0"/>
            </w:pPr>
            <w:r>
              <w:rPr>
                <w:b w:val="0"/>
                <w:i w:val="0"/>
                <w:sz w:val="19"/>
              </w:rPr>
              <w:t>From randomization, five-year overall survival was 77.5% with LT versus 31.2% without LT; tumor-event-free survival 76.8% versus 18.3%; median follow-up 71 months.</w:t>
            </w:r>
          </w:p>
          <w:p>
            <w:pPr>
              <w:spacing w:after="0"/>
            </w:pPr>
            <w:r>
              <w:rPr>
                <w:b w:val="0"/>
                <w:i/>
                <w:sz w:val="19"/>
              </w:rPr>
              <w:t>Limits: Strongest causal evidence for LT among selected responders, not for all 74 entrants or unlimited initial burden. Small, prematurely stopped trial. Appendix allowed uncertain bland-versus-neoplastic segmental/type-I portal thrombosis under additional response conditions; the actual PVTT denominator/outcomes are not reported. It must not be relabeled a proven-PVTT trial.</w:t>
            </w:r>
          </w:p>
          <w:p>
            <w:pPr>
              <w:spacing w:after="0"/>
            </w:pPr>
            <w:r>
              <w:rPr>
                <w:b w:val="0"/>
                <w:i w:val="0"/>
                <w:color w:val="5A6069"/>
                <w:sz w:val="18"/>
              </w:rPr>
              <w:t>Complete accepted manuscript and protocol appendix; final published abstract for survival estimates. Avoid mixing accepted-manuscript and final-publication hazard ratios.</w:t>
            </w:r>
          </w:p>
        </w:tc>
      </w:tr>
      <w:tr>
        <w:trPr>
          <w:cantSplit/>
        </w:trPr>
        <w:tc>
          <w:tcPr>
            <w:tcW w:type="dxa" w:w="3360"/>
            <w:tcW w:w="2000" w:type="dxa"/>
            <w:shd w:val="clear" w:color="auto" w:fill="FFFFFF"/>
          </w:tcPr>
          <w:p>
            <w:pPr>
              <w:spacing w:after="0"/>
            </w:pPr>
            <w:r>
              <w:rPr>
                <w:b/>
                <w:i w:val="0"/>
                <w:sz w:val="19"/>
              </w:rPr>
              <w:t>TransMet 2024</w:t>
            </w:r>
          </w:p>
        </w:tc>
        <w:tc>
          <w:tcPr>
            <w:tcW w:type="dxa" w:w="3360"/>
            <w:tcW w:w="3900" w:type="dxa"/>
            <w:shd w:val="clear" w:color="auto" w:fill="FFFFFF"/>
          </w:tcPr>
          <w:p>
            <w:pPr>
              <w:spacing w:after="0"/>
            </w:pPr>
            <w:r>
              <w:rPr>
                <w:b w:val="0"/>
                <w:i w:val="0"/>
                <w:sz w:val="19"/>
              </w:rPr>
              <w:t>Multicentre open-label randomized trial, 20 European centres, 157 screened and 94 randomized (47 LT-plus-chemotherapy, 47 chemotherapy); 63 screened excluded, including 13 with equivocal unresectability and 36 with progression. Age 18–65; ECOG 0–1; R0 colorectal primary; BRAF nonmutated; no prior or current extrahepatic disease/local recurrence; chemotherapy response or stable disease for at least 3 months, at most three lines. CEA &lt;80 ng/mL OR at least 50% reduction from peak was permitted. Independent committee of at least two surgeons, two oncologists and one radiologist reviewed original and current lesion maps. These are trial criteria, not identical to current NLRB guidance.</w:t>
            </w:r>
          </w:p>
        </w:tc>
        <w:tc>
          <w:tcPr>
            <w:tcW w:type="dxa" w:w="3360"/>
            <w:tcW w:w="4180" w:type="dxa"/>
            <w:shd w:val="clear" w:color="auto" w:fill="FFFFFF"/>
          </w:tcPr>
          <w:p>
            <w:pPr>
              <w:spacing w:after="0"/>
            </w:pPr>
            <w:r>
              <w:rPr>
                <w:b w:val="0"/>
                <w:i w:val="0"/>
                <w:sz w:val="19"/>
              </w:rPr>
              <w:t>Primary time origin was randomization. Median follow-up 59.3 months. Five-year ITT OS was 56.6% versus 12.6% (HR 0.37, 95% CI 0.21–0.65); per-protocol OS 73.3% versus 9.3%. Of 47 assigned LT, 38 received LT and 36 were per-protocol; nine had progression-related exclusion/dropout. The control arm included seven subsequent resections and two LT crossovers. Safety population comprised 40 grafted patients. Among 36 per-protocol LT recipients, 26 recurred; 19/26 received chemotherapy and 12/26 local curative-intent treatment. Median per-protocol PFS was 17.4 versus 6.4 months, and secondary PFS after salvage was 35.4 months in the LT arm. Three of 36 per-protocol recipients required retransplantation (primary nonfunction, donor gallbladder cancer, caval obstruction/large-for-size); one postoperative death was reported. Serious adverse events occurred in 32/40 safety LT recipients. Median wait to LT was 50.5 days, which limits transfer to longer-wait systems.</w:t>
            </w:r>
          </w:p>
          <w:p>
            <w:pPr>
              <w:spacing w:after="0"/>
            </w:pPr>
            <w:r>
              <w:rPr>
                <w:b w:val="0"/>
                <w:i/>
                <w:sz w:val="19"/>
              </w:rPr>
              <w:t>Limits: Strong evidence for the selected trial population, not for BRAF-mutant, ECOG 2, active extrahepatic, truly NED, resectable or broadly expanded disease. PP survival conditions on reaching treatment and must not replace ITT. The Results recurrence denominator is 26/36; Figure 3 caption says 28 recurrences, consistent with a broader all-grafted report, so do not mix these denominators. QoL collection had only 55/74 per-protocol baseline questionnaires and is descriptive, not proof of a large QoL gain. Priority allocation and rapid access were part of the treatment strategy.</w:t>
            </w:r>
          </w:p>
          <w:p>
            <w:pPr>
              <w:spacing w:after="0"/>
            </w:pPr>
            <w:r>
              <w:rPr>
                <w:b w:val="0"/>
                <w:i w:val="0"/>
                <w:color w:val="5A6069"/>
                <w:sz w:val="18"/>
              </w:rPr>
              <w:t>Lancet 2024;404:1107–1118. PDF pp.2–4 eligibility/committee; pp.5–6 trial flow/Table 1; pp.8–9 recurrence, safety, retransplantation, Figure 3; p.10 QoL/limitations.</w:t>
            </w:r>
          </w:p>
        </w:tc>
      </w:tr>
      <w:tr>
        <w:trPr>
          <w:cantSplit/>
        </w:trPr>
        <w:tc>
          <w:tcPr>
            <w:tcW w:type="dxa" w:w="3360"/>
            <w:tcW w:w="2000" w:type="dxa"/>
            <w:shd w:val="clear" w:color="auto" w:fill="F1F5F8"/>
          </w:tcPr>
          <w:p>
            <w:pPr>
              <w:spacing w:after="0"/>
            </w:pPr>
            <w:r>
              <w:rPr>
                <w:b/>
                <w:i w:val="0"/>
                <w:sz w:val="19"/>
              </w:rPr>
              <w:t>Allen 2024</w:t>
            </w:r>
          </w:p>
        </w:tc>
        <w:tc>
          <w:tcPr>
            <w:tcW w:type="dxa" w:w="3360"/>
            <w:tcW w:w="3900" w:type="dxa"/>
            <w:shd w:val="clear" w:color="auto" w:fill="F1F5F8"/>
          </w:tcPr>
          <w:p>
            <w:pPr>
              <w:spacing w:after="0"/>
            </w:pPr>
            <w:r>
              <w:rPr>
                <w:b w:val="0"/>
                <w:i w:val="0"/>
                <w:sz w:val="19"/>
              </w:rPr>
              <w:t>UK national liver-offering policy evaluation: separate simulation dataset of 1,287 registrations/629 donors plus early real-world NLOS implementation, 2018–2020. Transplant-benefit scoring governed national deceased-donor offers; not a high-risk-HCC validation sample.</w:t>
            </w:r>
          </w:p>
        </w:tc>
        <w:tc>
          <w:tcPr>
            <w:tcW w:type="dxa" w:w="3360"/>
            <w:tcW w:w="4180" w:type="dxa"/>
            <w:shd w:val="clear" w:color="auto" w:fill="F1F5F8"/>
          </w:tcPr>
          <w:p>
            <w:pPr>
              <w:spacing w:after="0"/>
            </w:pPr>
            <w:r>
              <w:rPr>
                <w:b w:val="0"/>
                <w:i w:val="0"/>
                <w:sz w:val="19"/>
              </w:rPr>
              <w:t>Simulation compared observed 2013 deaths/removals 93 (7%) and 4,581 patient-years with modeled TBS outcomes 48 (4%) and 5,262 patient-years. During the first two implementation years, 68% of DBD livers were allocated by TBS; observed waitlist mortality decreased (P&lt;.0001), postlisting survival improved (P=.005), with no adverse post-LT survival signal.</w:t>
            </w:r>
          </w:p>
          <w:p>
            <w:pPr>
              <w:spacing w:after="0"/>
            </w:pPr>
            <w:r>
              <w:rPr>
                <w:b w:val="0"/>
                <w:i/>
                <w:sz w:val="19"/>
              </w:rPr>
              <w:t>Limits: Simulated gains are not observed outcomes. Before/after implementation is nonrandomized and can reflect secular changes. Nonetheless it is meaningful evidence that a governed benefit-based system can be deployed, unlike a claim that all such models are unusable.</w:t>
            </w:r>
          </w:p>
          <w:p>
            <w:pPr>
              <w:spacing w:after="0"/>
            </w:pPr>
            <w:r>
              <w:rPr>
                <w:b w:val="0"/>
                <w:i w:val="0"/>
                <w:color w:val="5A6069"/>
                <w:sz w:val="18"/>
              </w:rPr>
              <w:t>Primary abstract and full publisher Methods/Results, Table 3, DOI 10.1016/j.jhep.2024.03.020; PDF pending.</w:t>
            </w:r>
          </w:p>
        </w:tc>
      </w:tr>
    </w:tbl>
    <w:p>
      <w:pPr>
        <w:spacing w:after="40"/>
      </w:pPr>
    </w:p>
    <w:p>
      <w:pPr>
        <w:pStyle w:val="Heading4"/>
        <w:keepNext/>
        <w:spacing w:before="120" w:after="80"/>
      </w:pPr>
      <w:r>
        <w:rPr>
          <w:b w:val="0"/>
          <w:i w:val="0"/>
        </w:rPr>
        <w:t>Our proposed selection (OPEN)</w:t>
      </w:r>
    </w:p>
    <w:p>
      <w:pPr>
        <w:spacing w:after="80"/>
      </w:pPr>
      <w:r>
        <w:rPr>
          <w:b w:val="0"/>
          <w:i w:val="0"/>
        </w:rPr>
        <w:t>Require two independent recipient-benefit reviews and an explicit organ-use case; do not adopt a universal five-year survival cutoff.</w:t>
      </w:r>
    </w:p>
    <w:p>
      <w:pPr>
        <w:numPr>
          <w:ilvl w:val="0"/>
          <w:numId w:val="5"/>
        </w:numPr>
        <w:spacing w:after="40"/>
      </w:pPr>
      <w:r>
        <w:rPr>
          <w:b w:val="0"/>
          <w:i w:val="0"/>
        </w:rPr>
        <w:t>Proposed requirements: two reviewers not both responsible for recruitment must document expected incremental benefit over the actual contemporary alternative, with unresolved disagreement referred to the full committee.</w:t>
      </w:r>
    </w:p>
    <w:p>
      <w:pPr>
        <w:numPr>
          <w:ilvl w:val="0"/>
          <w:numId w:val="5"/>
        </w:numPr>
        <w:spacing w:after="40"/>
      </w:pPr>
      <w:r>
        <w:rPr>
          <w:b w:val="0"/>
          <w:i w:val="0"/>
        </w:rPr>
        <w:t>For DDLT, show local expected access/dropout and sensitivity scenarios at 6, 12 and 18 months, total graft use including retransplantation, and plausible alternative recipients. These are planning scenarios, not imposed waiting periods.</w:t>
      </w:r>
    </w:p>
    <w:p>
      <w:pPr>
        <w:numPr>
          <w:ilvl w:val="0"/>
          <w:numId w:val="5"/>
        </w:numPr>
        <w:spacing w:after="40"/>
      </w:pPr>
      <w:r>
        <w:rPr>
          <w:b w:val="0"/>
          <w:i w:val="0"/>
        </w:rPr>
        <w:t>For LDLT, separately show healthy-donor risk and potential downstream deceased-donor graft use. Do not call DCD, extended-criteria grafts or machine perfusion “zero opportunity cost.” No priority changes follow from an AI-selected survival threshold.</w:t>
      </w:r>
    </w:p>
    <w:p>
      <w:pPr>
        <w:spacing w:after="80"/>
      </w:pPr>
      <w:r>
        <w:rPr>
          <w:b/>
          <w:i w:val="0"/>
        </w:rPr>
        <w:t xml:space="preserve">Why: </w:t>
      </w:r>
      <w:r>
        <w:rPr>
          <w:b w:val="0"/>
          <w:i w:val="0"/>
        </w:rPr>
        <w:t>Use pathway-level benefit from an agreed entry date, not recipient-only survival. Compare with contemporary tumor-specific care and actual local access. LDLT avoids one direct deceased-donor allocation but creates healthy-donor risk and may generate rescue graft use. Graft quality/perfusion changes do not make opportunity cost zero.</w:t>
      </w:r>
    </w:p>
    <w:p>
      <w:pPr>
        <w:spacing w:after="80"/>
      </w:pPr>
      <w:r>
        <w:rPr>
          <w:b/>
          <w:i w:val="0"/>
        </w:rPr>
        <w:t xml:space="preserve">Against, or uncertain: </w:t>
      </w:r>
      <w:r>
        <w:rPr>
          <w:b w:val="0"/>
          <w:i w:val="0"/>
        </w:rPr>
        <w:t>An ambitious prognosis threshold can exclude patients with substantial incremental benefit, while an indolent tumor can have excellent post-LT survival and little incremental benefit. Local wait times and unequal access can reverse a study’s apparent advantage.</w:t>
      </w:r>
    </w:p>
    <w:p>
      <w:pPr>
        <w:spacing w:after="80"/>
      </w:pPr>
      <w:r>
        <w:rPr>
          <w:b/>
          <w:i w:val="0"/>
        </w:rPr>
        <w:t xml:space="preserve">Certainty: </w:t>
      </w:r>
      <w:r>
        <w:rPr>
          <w:b w:val="0"/>
          <w:i w:val="0"/>
        </w:rPr>
        <w:t>Benefit evidence differs by disease: randomized selected CRLM/HCC pathways cannot be generalized to all expanded indications. Ethical principles are authoritative frameworks, not empirically optimized allocation weights.</w:t>
      </w:r>
    </w:p>
    <w:p>
      <w:pPr>
        <w:spacing w:after="80"/>
      </w:pPr>
      <w:r>
        <w:rPr>
          <w:b/>
          <w:i w:val="0"/>
        </w:rPr>
        <w:t xml:space="preserve">Tests and records: </w:t>
      </w:r>
      <w:r>
        <w:rPr>
          <w:b w:val="0"/>
          <w:i w:val="0"/>
        </w:rPr>
        <w:t>Same-eligibility/time-zero comparator; expected access; dropout; donor/graft type; uncertainty intervals; graft loss/retransplant estimate; written independent reviews.</w:t>
      </w:r>
    </w:p>
    <w:p>
      <w:pPr>
        <w:spacing w:after="80"/>
      </w:pPr>
      <w:r>
        <w:rPr>
          <w:b/>
          <w:i w:val="0"/>
        </w:rPr>
        <w:t xml:space="preserve">Allocation: </w:t>
      </w:r>
      <w:r>
        <w:rPr>
          <w:b w:val="0"/>
          <w:i w:val="0"/>
        </w:rPr>
        <w:t>Only the applicable allocation process determines priority. Favorable post-LT prognosis, evidence grade and urgency are not interchangeable measures.</w:t>
      </w:r>
    </w:p>
    <w:p>
      <w:pPr>
        <w:spacing w:after="40"/>
      </w:pPr>
      <w:r>
        <w:rPr>
          <w:b/>
          <w:i w:val="0"/>
        </w:rPr>
        <w:t xml:space="preserve">Basis for the proposed thresholds: </w:t>
      </w:r>
    </w:p>
    <w:p>
      <w:pPr>
        <w:numPr>
          <w:ilvl w:val="0"/>
          <w:numId w:val="5"/>
        </w:numPr>
        <w:spacing w:after="40"/>
      </w:pPr>
      <w:r>
        <w:rPr>
          <w:b w:val="0"/>
          <w:i w:val="0"/>
        </w:rPr>
        <w:t>Two reviewers: local independence safeguard, not validated optimum.</w:t>
      </w:r>
    </w:p>
    <w:p>
      <w:pPr>
        <w:numPr>
          <w:ilvl w:val="0"/>
          <w:numId w:val="5"/>
        </w:numPr>
        <w:spacing w:after="40"/>
      </w:pPr>
      <w:r>
        <w:rPr>
          <w:b w:val="0"/>
          <w:i w:val="0"/>
        </w:rPr>
        <w:t>6/12/18 months: sensitivity scenarios for access/dropout, not mandatory waits.</w:t>
      </w:r>
    </w:p>
    <w:p>
      <w:pPr>
        <w:numPr>
          <w:ilvl w:val="0"/>
          <w:numId w:val="5"/>
        </w:numPr>
        <w:spacing w:after="40"/>
      </w:pPr>
      <w:r>
        <w:rPr>
          <w:b w:val="0"/>
          <w:i w:val="0"/>
        </w:rPr>
        <w:t>HCC ≥60% five-year ITT OS: one expert trial-design benchmark; not a cross-cancer allocation policy.</w:t>
      </w:r>
    </w:p>
    <w:p>
      <w:pPr>
        <w:numPr>
          <w:ilvl w:val="0"/>
          <w:numId w:val="5"/>
        </w:numPr>
        <w:spacing w:after="40"/>
      </w:pPr>
      <w:r>
        <w:rPr>
          <w:b w:val="0"/>
          <w:i w:val="0"/>
        </w:rPr>
        <w:t>All grafts: count initial and rescue/retransplant grafts; donor morbidity remains a separate outcome.</w:t>
      </w:r>
    </w:p>
    <w:p>
      <w:pPr>
        <w:pStyle w:val="Heading4"/>
        <w:keepNext/>
        <w:spacing w:before="120" w:after="80"/>
      </w:pPr>
      <w:r>
        <w:rPr>
          <w:b w:val="0"/>
          <w:i w:val="0"/>
        </w:rPr>
        <w:t>ALLOC-B2 — group decision</w:t>
      </w:r>
    </w:p>
    <w:p>
      <w:pPr>
        <w:spacing w:after="0"/>
      </w:pPr>
      <w:r>
        <w:rPr>
          <w:b/>
          <w:i w:val="0"/>
        </w:rPr>
        <w:t xml:space="preserve">Accepted position (or alternative chosen): </w:t>
      </w:r>
    </w:p>
    <w:p>
      <w:pPr>
        <w:spacing w:after="200"/>
        <w:pBdr>
          <w:bottom w:val="single" w:sz="6" w:space="1" w:color="9AA8B4"/>
        </w:pBdr>
      </w:pPr>
    </w:p>
    <w:p>
      <w:pPr>
        <w:spacing w:after="0"/>
      </w:pPr>
      <w:r>
        <w:rPr>
          <w:b/>
          <w:i w:val="0"/>
        </w:rPr>
        <w:t xml:space="preserve">Rationale, dissent and exceptions: </w:t>
      </w:r>
    </w:p>
    <w:p>
      <w:pPr>
        <w:spacing w:after="200"/>
        <w:pBdr>
          <w:bottom w:val="single" w:sz="6" w:space="1" w:color="9AA8B4"/>
        </w:pBdr>
      </w:pPr>
    </w:p>
    <w:p>
      <w:pPr>
        <w:spacing w:after="0"/>
      </w:pPr>
      <w:r>
        <w:rPr>
          <w:b/>
          <w:i w:val="0"/>
        </w:rPr>
        <w:t xml:space="preserve">Owner · approval date · implementation date: </w:t>
      </w:r>
    </w:p>
    <w:p>
      <w:pPr>
        <w:spacing w:after="200"/>
        <w:pBdr>
          <w:bottom w:val="single" w:sz="6" w:space="1" w:color="9AA8B4"/>
        </w:pBdr>
      </w:pPr>
    </w:p>
    <w:p>
      <w:pPr>
        <w:pStyle w:val="Heading3"/>
        <w:keepNext/>
        <w:spacing w:before="120" w:after="80"/>
      </w:pPr>
      <w:r>
        <w:rPr>
          <w:b w:val="0"/>
          <w:i w:val="0"/>
        </w:rPr>
        <w:t>ALLOC-B3 — Protect the living donor</w:t>
      </w:r>
    </w:p>
    <w:p>
      <w:pPr>
        <w:spacing w:after="80"/>
      </w:pPr>
      <w:r>
        <w:rPr>
          <w:b w:val="0"/>
          <w:i w:val="0"/>
          <w:color w:val="5A6069"/>
          <w:sz w:val="18"/>
        </w:rPr>
        <w:t>OPEN proposal · not activated · Shared approval requirement</w:t>
      </w:r>
    </w:p>
    <w:p>
      <w:pPr>
        <w:spacing w:after="80"/>
      </w:pPr>
      <w:r>
        <w:rPr>
          <w:b/>
          <w:i w:val="0"/>
        </w:rPr>
        <w:t xml:space="preserve">Question: </w:t>
      </w:r>
      <w:r>
        <w:rPr>
          <w:b w:val="0"/>
          <w:i w:val="0"/>
        </w:rPr>
        <w:t>What must donor consent and follow-up include?</w:t>
      </w:r>
    </w:p>
    <w:p>
      <w:pPr>
        <w:spacing w:after="120"/>
      </w:pPr>
      <w:r>
        <w:rPr>
          <w:b/>
          <w:i w:val="0"/>
          <w:sz w:val="18"/>
        </w:rPr>
        <w:t xml:space="preserve">Web page: </w:t>
      </w:r>
      <w:hyperlink r:id="rId51">
        <w:r>
          <w:rPr>
            <w:color w:val="0563C1"/>
            <w:u w:val="single"/>
            <w:sz w:val="18"/>
          </w:rPr>
          <w:t xml:space="preserve">open this question on the website</w:t>
        </w:r>
      </w:hyperlink>
    </w:p>
    <w:p>
      <w:pPr>
        <w:pStyle w:val="Heading4"/>
        <w:keepNext/>
        <w:spacing w:before="120" w:after="80"/>
      </w:pPr>
      <w:r>
        <w:rPr>
          <w:b w:val="0"/>
          <w:i w:val="0"/>
        </w:rPr>
        <w:t>Positions of guidelines, trials and papers</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200"/>
        <w:gridCol w:w="5480"/>
        <w:gridCol w:w="2400"/>
      </w:tblGrid>
      <w:tr>
        <w:trPr>
          <w:tblHeader/>
        </w:trPr>
        <w:tc>
          <w:tcPr>
            <w:tcW w:type="dxa" w:w="3360"/>
            <w:tcW w:w="2200" w:type="dxa"/>
            <w:shd w:val="clear" w:color="auto" w:fill="17365D"/>
          </w:tcPr>
          <w:p>
            <w:r>
              <w:rPr>
                <w:b/>
                <w:i w:val="0"/>
                <w:color w:val="FFFFFF"/>
                <w:sz w:val="19"/>
              </w:rPr>
              <w:t>Source</w:t>
            </w:r>
          </w:p>
        </w:tc>
        <w:tc>
          <w:tcPr>
            <w:tcW w:type="dxa" w:w="3360"/>
            <w:tcW w:w="5480" w:type="dxa"/>
            <w:shd w:val="clear" w:color="auto" w:fill="17365D"/>
          </w:tcPr>
          <w:p>
            <w:r>
              <w:rPr>
                <w:b/>
                <w:i w:val="0"/>
                <w:color w:val="FFFFFF"/>
                <w:sz w:val="19"/>
              </w:rPr>
              <w:t>Position</w:t>
            </w:r>
          </w:p>
        </w:tc>
        <w:tc>
          <w:tcPr>
            <w:tcW w:type="dxa" w:w="3360"/>
            <w:tcW w:w="2400" w:type="dxa"/>
            <w:shd w:val="clear" w:color="auto" w:fill="17365D"/>
          </w:tcPr>
          <w:p>
            <w:r>
              <w:rPr>
                <w:b/>
                <w:i w:val="0"/>
                <w:color w:val="FFFFFF"/>
                <w:sz w:val="19"/>
              </w:rPr>
              <w:t>Where stated</w:t>
            </w:r>
          </w:p>
        </w:tc>
      </w:tr>
      <w:tr>
        <w:trPr>
          <w:cantSplit/>
        </w:trPr>
        <w:tc>
          <w:tcPr>
            <w:tcW w:type="dxa" w:w="3360"/>
            <w:tcW w:w="2200" w:type="dxa"/>
            <w:shd w:val="clear" w:color="auto" w:fill="F1F5F8"/>
          </w:tcPr>
          <w:p>
            <w:pPr>
              <w:spacing w:after="0"/>
            </w:pPr>
            <w:r>
              <w:rPr>
                <w:b/>
                <w:i w:val="0"/>
                <w:sz w:val="19"/>
              </w:rPr>
              <w:t>OPTN policy</w:t>
            </w:r>
          </w:p>
        </w:tc>
        <w:tc>
          <w:tcPr>
            <w:tcW w:type="dxa" w:w="3360"/>
            <w:tcW w:w="5480" w:type="dxa"/>
            <w:shd w:val="clear" w:color="auto" w:fill="F1F5F8"/>
          </w:tcPr>
          <w:p>
            <w:pPr>
              <w:spacing w:after="0"/>
            </w:pPr>
            <w:r>
              <w:rPr>
                <w:b w:val="0"/>
                <w:i w:val="0"/>
                <w:sz w:val="19"/>
              </w:rPr>
              <w:t>“Has been informed that he or she may decline to donate at any time” Withdrawal must remain meaningful and independent of recipient pressure.</w:t>
            </w:r>
          </w:p>
        </w:tc>
        <w:tc>
          <w:tcPr>
            <w:tcW w:type="dxa" w:w="3360"/>
            <w:tcW w:w="2400" w:type="dxa"/>
            <w:shd w:val="clear" w:color="auto" w:fill="F1F5F8"/>
          </w:tcPr>
          <w:p>
            <w:pPr>
              <w:spacing w:after="0"/>
            </w:pPr>
            <w:r>
              <w:rPr>
                <w:b w:val="0"/>
                <w:i w:val="0"/>
                <w:color w:val="5A6069"/>
                <w:sz w:val="18"/>
              </w:rPr>
              <w:t>Policy 14.3, PDF p286, living donor informed consent</w:t>
            </w:r>
          </w:p>
        </w:tc>
      </w:tr>
      <w:tr>
        <w:trPr>
          <w:cantSplit/>
        </w:trPr>
        <w:tc>
          <w:tcPr>
            <w:tcW w:type="dxa" w:w="3360"/>
            <w:tcW w:w="2200" w:type="dxa"/>
            <w:shd w:val="clear" w:color="auto" w:fill="FFFFFF"/>
          </w:tcPr>
          <w:p>
            <w:pPr>
              <w:spacing w:after="0"/>
            </w:pPr>
            <w:r>
              <w:rPr>
                <w:b/>
                <w:i w:val="0"/>
                <w:sz w:val="19"/>
              </w:rPr>
              <w:t>Kelly 2026</w:t>
            </w:r>
          </w:p>
        </w:tc>
        <w:tc>
          <w:tcPr>
            <w:tcW w:type="dxa" w:w="3360"/>
            <w:tcW w:w="5480" w:type="dxa"/>
            <w:shd w:val="clear" w:color="auto" w:fill="FFFFFF"/>
          </w:tcPr>
          <w:p>
            <w:pPr>
              <w:spacing w:after="0"/>
            </w:pPr>
            <w:r>
              <w:rPr>
                <w:b w:val="0"/>
                <w:i w:val="0"/>
                <w:sz w:val="19"/>
              </w:rPr>
              <w:t>“Availability of secondary-outcome data declined over follow-up” Incomplete recovery follow-up limits reassurance from low mortality alone.</w:t>
            </w:r>
          </w:p>
        </w:tc>
        <w:tc>
          <w:tcPr>
            <w:tcW w:type="dxa" w:w="3360"/>
            <w:tcW w:w="2400" w:type="dxa"/>
            <w:shd w:val="clear" w:color="auto" w:fill="FFFFFF"/>
          </w:tcPr>
          <w:p>
            <w:pPr>
              <w:spacing w:after="0"/>
            </w:pPr>
            <w:r>
              <w:rPr>
                <w:b w:val="0"/>
                <w:i w:val="0"/>
                <w:color w:val="5A6069"/>
                <w:sz w:val="18"/>
              </w:rPr>
              <w:t>2026 full report, section 3.1</w:t>
            </w:r>
          </w:p>
        </w:tc>
      </w:tr>
    </w:tbl>
    <w:p>
      <w:pPr>
        <w:spacing w:after="40"/>
      </w:pPr>
    </w:p>
    <w:p>
      <w:pPr>
        <w:pStyle w:val="Heading4"/>
        <w:keepNext/>
        <w:spacing w:before="120" w:after="80"/>
      </w:pPr>
      <w:r>
        <w:rPr>
          <w:b w:val="0"/>
          <w:i w:val="0"/>
        </w:rPr>
        <w:t>Evidence</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000"/>
        <w:gridCol w:w="3900"/>
        <w:gridCol w:w="4180"/>
      </w:tblGrid>
      <w:tr>
        <w:trPr>
          <w:tblHeader/>
        </w:trPr>
        <w:tc>
          <w:tcPr>
            <w:tcW w:type="dxa" w:w="3360"/>
            <w:tcW w:w="2000" w:type="dxa"/>
            <w:shd w:val="clear" w:color="auto" w:fill="17365D"/>
          </w:tcPr>
          <w:p>
            <w:r>
              <w:rPr>
                <w:b/>
                <w:i w:val="0"/>
                <w:color w:val="FFFFFF"/>
                <w:sz w:val="19"/>
              </w:rPr>
              <w:t>Source</w:t>
            </w:r>
          </w:p>
        </w:tc>
        <w:tc>
          <w:tcPr>
            <w:tcW w:type="dxa" w:w="3360"/>
            <w:tcW w:w="3900" w:type="dxa"/>
            <w:shd w:val="clear" w:color="auto" w:fill="17365D"/>
          </w:tcPr>
          <w:p>
            <w:r>
              <w:rPr>
                <w:b/>
                <w:i w:val="0"/>
                <w:color w:val="FFFFFF"/>
                <w:sz w:val="19"/>
              </w:rPr>
              <w:t>Population and selection</w:t>
            </w:r>
          </w:p>
        </w:tc>
        <w:tc>
          <w:tcPr>
            <w:tcW w:type="dxa" w:w="3360"/>
            <w:tcW w:w="4180" w:type="dxa"/>
            <w:shd w:val="clear" w:color="auto" w:fill="17365D"/>
          </w:tcPr>
          <w:p>
            <w:r>
              <w:rPr>
                <w:b/>
                <w:i w:val="0"/>
                <w:color w:val="FFFFFF"/>
                <w:sz w:val="19"/>
              </w:rPr>
              <w:t>Results, limits and location</w:t>
            </w:r>
          </w:p>
        </w:tc>
      </w:tr>
      <w:tr>
        <w:trPr>
          <w:cantSplit/>
        </w:trPr>
        <w:tc>
          <w:tcPr>
            <w:tcW w:type="dxa" w:w="3360"/>
            <w:tcW w:w="2000" w:type="dxa"/>
            <w:shd w:val="clear" w:color="auto" w:fill="F1F5F8"/>
          </w:tcPr>
          <w:p>
            <w:pPr>
              <w:spacing w:after="0"/>
            </w:pPr>
            <w:r>
              <w:rPr>
                <w:b/>
                <w:i w:val="0"/>
                <w:sz w:val="19"/>
              </w:rPr>
              <w:t>Kelly 2026</w:t>
            </w:r>
          </w:p>
        </w:tc>
        <w:tc>
          <w:tcPr>
            <w:tcW w:type="dxa" w:w="3360"/>
            <w:tcW w:w="3900" w:type="dxa"/>
            <w:shd w:val="clear" w:color="auto" w:fill="F1F5F8"/>
          </w:tcPr>
          <w:p>
            <w:pPr>
              <w:spacing w:after="0"/>
            </w:pPr>
            <w:r>
              <w:rPr>
                <w:b w:val="0"/>
                <w:i w:val="0"/>
                <w:sz w:val="19"/>
              </w:rPr>
              <w:t>National SRTR donor cohort 1989–2023: 8,619 with mortality ascertainment; 8,314 with any recovery record. Adults 18–65; 362 eligible donors excluded for missing mortality status.</w:t>
            </w:r>
          </w:p>
        </w:tc>
        <w:tc>
          <w:tcPr>
            <w:tcW w:type="dxa" w:w="3360"/>
            <w:tcW w:w="4180" w:type="dxa"/>
            <w:shd w:val="clear" w:color="auto" w:fill="F1F5F8"/>
          </w:tcPr>
          <w:p>
            <w:pPr>
              <w:spacing w:after="0"/>
            </w:pPr>
            <w:r>
              <w:rPr>
                <w:b w:val="0"/>
                <w:i w:val="0"/>
                <w:sz w:val="19"/>
              </w:rPr>
              <w:t>Eight deaths by 90 days and 18 by two years; contemporary-era perioperative mortality approximately 0.04%. Only 37–39% had two-year recovery data.</w:t>
            </w:r>
          </w:p>
          <w:p>
            <w:pPr>
              <w:spacing w:after="0"/>
            </w:pPr>
            <w:r>
              <w:rPr>
                <w:b w:val="0"/>
                <w:i/>
                <w:sz w:val="19"/>
              </w:rPr>
              <w:t>Limits: All-cause deaths, mostly unavailable cause; not oncology-specific. Low mortality cannot substitute for complete morbidity, psychological and financial follow-up.</w:t>
            </w:r>
          </w:p>
          <w:p>
            <w:pPr>
              <w:spacing w:after="0"/>
            </w:pPr>
            <w:r>
              <w:rPr>
                <w:b w:val="0"/>
                <w:i w:val="0"/>
                <w:color w:val="5A6069"/>
                <w:sz w:val="18"/>
              </w:rPr>
              <w:t>Methods; Results 3.1–3.4; limitations pp6–7.</w:t>
            </w:r>
          </w:p>
        </w:tc>
      </w:tr>
      <w:tr>
        <w:trPr>
          <w:cantSplit/>
        </w:trPr>
        <w:tc>
          <w:tcPr>
            <w:tcW w:type="dxa" w:w="3360"/>
            <w:tcW w:w="2000" w:type="dxa"/>
            <w:shd w:val="clear" w:color="auto" w:fill="FFFFFF"/>
          </w:tcPr>
          <w:p>
            <w:pPr>
              <w:spacing w:after="0"/>
            </w:pPr>
            <w:r>
              <w:rPr>
                <w:b/>
                <w:i w:val="0"/>
                <w:sz w:val="19"/>
              </w:rPr>
              <w:t>Abecassis 2012</w:t>
            </w:r>
          </w:p>
        </w:tc>
        <w:tc>
          <w:tcPr>
            <w:tcW w:type="dxa" w:w="3360"/>
            <w:tcW w:w="3900" w:type="dxa"/>
            <w:shd w:val="clear" w:color="auto" w:fill="FFFFFF"/>
          </w:tcPr>
          <w:p>
            <w:pPr>
              <w:spacing w:after="0"/>
            </w:pPr>
            <w:r>
              <w:rPr>
                <w:b w:val="0"/>
                <w:i w:val="0"/>
                <w:sz w:val="19"/>
              </w:rPr>
              <w:t>A2ALL cohort: 760 donor operations begun; 740 completed, mostly right lobes. Multicenter selected donors, older era; standardized complication ascertainment.</w:t>
            </w:r>
          </w:p>
        </w:tc>
        <w:tc>
          <w:tcPr>
            <w:tcW w:type="dxa" w:w="3360"/>
            <w:tcW w:w="4180" w:type="dxa"/>
            <w:shd w:val="clear" w:color="auto" w:fill="FFFFFF"/>
          </w:tcPr>
          <w:p>
            <w:pPr>
              <w:spacing w:after="0"/>
            </w:pPr>
            <w:r>
              <w:rPr>
                <w:b w:val="0"/>
                <w:i w:val="0"/>
                <w:sz w:val="19"/>
              </w:rPr>
              <w:t>296/740 (40%) had ≥1 complication; 20/760 operations aborted. Five grade-3 residual-disability events and three grade-4 deaths were reported; two deaths were late, not perioperative.</w:t>
            </w:r>
          </w:p>
          <w:p>
            <w:pPr>
              <w:spacing w:after="0"/>
            </w:pPr>
            <w:r>
              <w:rPr>
                <w:b w:val="0"/>
                <w:i/>
                <w:sz w:val="19"/>
              </w:rPr>
              <w:t>Limits: Different grading/eras from modern cohorts; A2ALL partly overlaps US registry data. Late hernia/psychological events support follow-up beyond surgical recovery.</w:t>
            </w:r>
          </w:p>
          <w:p>
            <w:pPr>
              <w:spacing w:after="0"/>
            </w:pPr>
            <w:r>
              <w:rPr>
                <w:b w:val="0"/>
                <w:i w:val="0"/>
                <w:color w:val="5A6069"/>
                <w:sz w:val="18"/>
              </w:rPr>
              <w:t>Methods and Results; complications tables, Am J Transplant 12:1208–1217.</w:t>
            </w:r>
          </w:p>
        </w:tc>
      </w:tr>
      <w:tr>
        <w:trPr>
          <w:cantSplit/>
        </w:trPr>
        <w:tc>
          <w:tcPr>
            <w:tcW w:type="dxa" w:w="3360"/>
            <w:tcW w:w="2000" w:type="dxa"/>
            <w:shd w:val="clear" w:color="auto" w:fill="F1F5F8"/>
          </w:tcPr>
          <w:p>
            <w:pPr>
              <w:spacing w:after="0"/>
            </w:pPr>
            <w:r>
              <w:rPr>
                <w:b/>
                <w:i w:val="0"/>
                <w:sz w:val="19"/>
              </w:rPr>
              <w:t>DiMartini 2017</w:t>
            </w:r>
          </w:p>
        </w:tc>
        <w:tc>
          <w:tcPr>
            <w:tcW w:type="dxa" w:w="3360"/>
            <w:tcW w:w="3900" w:type="dxa"/>
            <w:shd w:val="clear" w:color="auto" w:fill="F1F5F8"/>
          </w:tcPr>
          <w:p>
            <w:pPr>
              <w:spacing w:after="0"/>
            </w:pPr>
            <w:r>
              <w:rPr>
                <w:b w:val="0"/>
                <w:i w:val="0"/>
                <w:sz w:val="19"/>
              </w:rPr>
              <w:t>Prospective A2ALL-2 interviews: 271/297 eligible donors, before and through 24 months after donation. Costs and social recovery reported by participants, not randomized financial support.</w:t>
            </w:r>
          </w:p>
        </w:tc>
        <w:tc>
          <w:tcPr>
            <w:tcW w:type="dxa" w:w="3360"/>
            <w:tcW w:w="4180" w:type="dxa"/>
            <w:shd w:val="clear" w:color="auto" w:fill="F1F5F8"/>
          </w:tcPr>
          <w:p>
            <w:pPr>
              <w:spacing w:after="0"/>
            </w:pPr>
            <w:r>
              <w:rPr>
                <w:b w:val="0"/>
                <w:i w:val="0"/>
                <w:sz w:val="19"/>
              </w:rPr>
              <w:t>Across follow-up, 75% reported nonmedical out-of-pocket expenses and 45% lost wages. Clinical recovery alone therefore misses an important burden of donation.</w:t>
            </w:r>
          </w:p>
          <w:p>
            <w:pPr>
              <w:spacing w:after="0"/>
            </w:pPr>
            <w:r>
              <w:rPr>
                <w:b w:val="0"/>
                <w:i/>
                <w:sz w:val="19"/>
              </w:rPr>
              <w:t>Limits: Response/recall and selected-center limitations. Does not validate a particular five-year schedule or predict an individual donor’s financial outcome.</w:t>
            </w:r>
          </w:p>
          <w:p>
            <w:pPr>
              <w:spacing w:after="0"/>
            </w:pPr>
            <w:r>
              <w:rPr>
                <w:b w:val="0"/>
                <w:i w:val="0"/>
                <w:color w:val="5A6069"/>
                <w:sz w:val="18"/>
              </w:rPr>
              <w:t>Financial Outcomes section and expense tables; Am J Transplant 17:1081–1096.</w:t>
            </w:r>
          </w:p>
        </w:tc>
      </w:tr>
      <w:tr>
        <w:trPr>
          <w:cantSplit/>
        </w:trPr>
        <w:tc>
          <w:tcPr>
            <w:tcW w:type="dxa" w:w="3360"/>
            <w:tcW w:w="2000" w:type="dxa"/>
            <w:shd w:val="clear" w:color="auto" w:fill="FFFFFF"/>
          </w:tcPr>
          <w:p>
            <w:pPr>
              <w:spacing w:after="0"/>
            </w:pPr>
            <w:r>
              <w:rPr>
                <w:b/>
                <w:i w:val="0"/>
                <w:sz w:val="19"/>
              </w:rPr>
              <w:t>Xiao 2024</w:t>
            </w:r>
          </w:p>
        </w:tc>
        <w:tc>
          <w:tcPr>
            <w:tcW w:type="dxa" w:w="3360"/>
            <w:tcW w:w="3900" w:type="dxa"/>
            <w:shd w:val="clear" w:color="auto" w:fill="FFFFFF"/>
          </w:tcPr>
          <w:p>
            <w:pPr>
              <w:spacing w:after="0"/>
            </w:pPr>
            <w:r>
              <w:rPr>
                <w:b w:val="0"/>
                <w:i w:val="0"/>
                <w:sz w:val="19"/>
              </w:rPr>
              <w:t>Published meta-analysis of 60,829 donors; primary abstract reports 87 articles. Heterogeneous centers, eras and complication definitions; full overlap audit pending.</w:t>
            </w:r>
          </w:p>
        </w:tc>
        <w:tc>
          <w:tcPr>
            <w:tcW w:type="dxa" w:w="3360"/>
            <w:tcW w:w="4180" w:type="dxa"/>
            <w:shd w:val="clear" w:color="auto" w:fill="FFFFFF"/>
          </w:tcPr>
          <w:p>
            <w:pPr>
              <w:spacing w:after="0"/>
            </w:pPr>
            <w:r>
              <w:rPr>
                <w:b w:val="0"/>
                <w:i w:val="0"/>
                <w:sz w:val="19"/>
              </w:rPr>
              <w:t>Pooled any complication 24.7% (95% CI 21.6–28.1), major 5.5% (4.5–6.7); mortality 0.06% among 49,027 with mortality data.</w:t>
            </w:r>
          </w:p>
          <w:p>
            <w:pPr>
              <w:spacing w:after="0"/>
            </w:pPr>
            <w:r>
              <w:rPr>
                <w:b w:val="0"/>
                <w:i/>
                <w:sz w:val="19"/>
              </w:rPr>
              <w:t>Limits: Primary-abstract extraction; not an independent extra 60,829 patients beyond registries. Do not combine with Kelly/A2ALL or promise these rates locally.</w:t>
            </w:r>
          </w:p>
          <w:p>
            <w:pPr>
              <w:spacing w:after="0"/>
            </w:pPr>
            <w:r>
              <w:rPr>
                <w:b w:val="0"/>
                <w:i w:val="0"/>
                <w:color w:val="5A6069"/>
                <w:sz w:val="18"/>
              </w:rPr>
              <w:t>Published journal abstract; complete PDF requested.</w:t>
            </w:r>
          </w:p>
        </w:tc>
      </w:tr>
      <w:tr>
        <w:trPr>
          <w:cantSplit/>
        </w:trPr>
        <w:tc>
          <w:tcPr>
            <w:tcW w:type="dxa" w:w="3360"/>
            <w:tcW w:w="2000" w:type="dxa"/>
            <w:shd w:val="clear" w:color="auto" w:fill="F1F5F8"/>
          </w:tcPr>
          <w:p>
            <w:pPr>
              <w:spacing w:after="0"/>
            </w:pPr>
            <w:r>
              <w:rPr>
                <w:b/>
                <w:i w:val="0"/>
                <w:sz w:val="19"/>
              </w:rPr>
              <w:t>OPTN policy</w:t>
            </w:r>
          </w:p>
        </w:tc>
        <w:tc>
          <w:tcPr>
            <w:tcW w:type="dxa" w:w="3360"/>
            <w:tcW w:w="3900" w:type="dxa"/>
            <w:shd w:val="clear" w:color="auto" w:fill="F1F5F8"/>
          </w:tcPr>
          <w:p>
            <w:pPr>
              <w:spacing w:after="0"/>
            </w:pPr>
            <w:r>
              <w:rPr>
                <w:b w:val="0"/>
                <w:i w:val="0"/>
                <w:sz w:val="19"/>
              </w:rPr>
              <w:t>Binding OPTN policy posting effective 1 October 2026, checked 24 October 2026. Clinical candidacy, exception scoring, living-donor protection and reporting have different policy sections.</w:t>
            </w:r>
          </w:p>
        </w:tc>
        <w:tc>
          <w:tcPr>
            <w:tcW w:type="dxa" w:w="3360"/>
            <w:tcW w:w="4180" w:type="dxa"/>
            <w:shd w:val="clear" w:color="auto" w:fill="F1F5F8"/>
          </w:tcPr>
          <w:p>
            <w:pPr>
              <w:spacing w:after="0"/>
            </w:pPr>
            <w:r>
              <w:rPr>
                <w:b w:val="0"/>
                <w:i w:val="0"/>
                <w:sz w:val="19"/>
              </w:rPr>
              <w:t>Policy 9 governs liver allocation; Policy 14 requires independent donor advocacy/consent; Policy 18 specifies reporting. None establishes a universal cancer-benefit cutoff.</w:t>
            </w:r>
          </w:p>
          <w:p>
            <w:pPr>
              <w:spacing w:after="0"/>
            </w:pPr>
            <w:r>
              <w:rPr>
                <w:b w:val="0"/>
                <w:i/>
                <w:sz w:val="19"/>
              </w:rPr>
              <w:t>Limits: A center’s additional safeguards are not national policy. Review the active text and applicability before individual decisions.</w:t>
            </w:r>
          </w:p>
          <w:p>
            <w:pPr>
              <w:spacing w:after="0"/>
            </w:pPr>
            <w:r>
              <w:rPr>
                <w:b w:val="0"/>
                <w:i w:val="0"/>
                <w:color w:val="5A6069"/>
                <w:sz w:val="18"/>
              </w:rPr>
              <w:t>Policies 9, 14.2–14.4 and 18; current official PDF.</w:t>
            </w:r>
          </w:p>
        </w:tc>
      </w:tr>
    </w:tbl>
    <w:p>
      <w:pPr>
        <w:spacing w:after="40"/>
      </w:pPr>
    </w:p>
    <w:p>
      <w:pPr>
        <w:pStyle w:val="Heading4"/>
        <w:keepNext/>
        <w:spacing w:before="120" w:after="80"/>
      </w:pPr>
      <w:r>
        <w:rPr>
          <w:b w:val="0"/>
          <w:i w:val="0"/>
        </w:rPr>
        <w:t>Our proposed selection (OPEN)</w:t>
      </w:r>
    </w:p>
    <w:p>
      <w:pPr>
        <w:spacing w:after="80"/>
      </w:pPr>
      <w:r>
        <w:rPr>
          <w:b w:val="0"/>
          <w:i w:val="0"/>
        </w:rPr>
        <w:t>Do not relax donor criteria; fund independent follow-up and pause after a serious sentinel donor event.</w:t>
      </w:r>
    </w:p>
    <w:p>
      <w:pPr>
        <w:numPr>
          <w:ilvl w:val="0"/>
          <w:numId w:val="5"/>
        </w:numPr>
        <w:spacing w:after="40"/>
      </w:pPr>
      <w:r>
        <w:rPr>
          <w:b w:val="0"/>
          <w:i w:val="0"/>
        </w:rPr>
        <w:t>Proposed readiness requirements: independent donor evaluation/advocacy, documented freedom to withdraw, recipient-benefit uncertainty consent, and funded medical, psychological, recovery and financial follow-up before investigational LDLT.</w:t>
      </w:r>
    </w:p>
    <w:p>
      <w:pPr>
        <w:numPr>
          <w:ilvl w:val="0"/>
          <w:numId w:val="5"/>
        </w:numPr>
        <w:spacing w:after="40"/>
      </w:pPr>
      <w:r>
        <w:rPr>
          <w:b w:val="0"/>
          <w:i w:val="0"/>
        </w:rPr>
        <w:t>Proposed local follow-up: baseline, six weeks, six months, one year, two years, then annually through five years. Meet current OPTN reporting duties separately; this five-year support plan is not claimed to be a national reporting requirement.</w:t>
      </w:r>
    </w:p>
    <w:p>
      <w:pPr>
        <w:numPr>
          <w:ilvl w:val="0"/>
          <w:numId w:val="5"/>
        </w:numPr>
        <w:spacing w:after="40"/>
      </w:pPr>
      <w:r>
        <w:rPr>
          <w:b w:val="0"/>
          <w:i w:val="0"/>
        </w:rPr>
        <w:t>One donor death, life-threatening complication, permanent major disability or liver failure requiring transplantation triggers an immediate pause of the relevant investigational LDLT activity and independent review. Other serious donor harm also warrants review; reopening needs independent authorization.</w:t>
      </w:r>
    </w:p>
    <w:p>
      <w:pPr>
        <w:spacing w:after="80"/>
      </w:pPr>
      <w:r>
        <w:rPr>
          <w:b/>
          <w:i w:val="0"/>
        </w:rPr>
        <w:t xml:space="preserve">Why: </w:t>
      </w:r>
      <w:r>
        <w:rPr>
          <w:b w:val="0"/>
          <w:i w:val="0"/>
        </w:rPr>
        <w:t>Donor mortality is low but not zero; complication, recovery and financial burdens are more frequent. Registry missingness and selected healthy donors limit reassurance. Consent must include uncertain recipient benefit, recurrence and possible early graft loss, without pressure to proceed or relax donor criteria.</w:t>
      </w:r>
    </w:p>
    <w:p>
      <w:pPr>
        <w:spacing w:after="80"/>
      </w:pPr>
      <w:r>
        <w:rPr>
          <w:b/>
          <w:i w:val="0"/>
        </w:rPr>
        <w:t xml:space="preserve">Against, or uncertain: </w:t>
      </w:r>
      <w:r>
        <w:rPr>
          <w:b w:val="0"/>
          <w:i w:val="0"/>
        </w:rPr>
        <w:t>Older A2ALL complication rates and modern SRTR mortality are different outcomes from overlapping eras/cohorts; do not pool them. Five-year support is a reasonable local response to late morbidity, not a proven optimal schedule. Social vulnerability should trigger assistance, not categorical exclusion.</w:t>
      </w:r>
    </w:p>
    <w:p>
      <w:pPr>
        <w:spacing w:after="80"/>
      </w:pPr>
      <w:r>
        <w:rPr>
          <w:b/>
          <w:i w:val="0"/>
        </w:rPr>
        <w:t xml:space="preserve">Certainty: </w:t>
      </w:r>
      <w:r>
        <w:rPr>
          <w:b w:val="0"/>
          <w:i w:val="0"/>
        </w:rPr>
        <w:t>Moderate certainty for the existence of material donor burden; lower certainty for individual risk and long-term recovery because of incomplete follow-up. No oncology-specific randomized donor-safety comparison.</w:t>
      </w:r>
    </w:p>
    <w:p>
      <w:pPr>
        <w:spacing w:after="80"/>
      </w:pPr>
      <w:r>
        <w:rPr>
          <w:b/>
          <w:i w:val="0"/>
        </w:rPr>
        <w:t xml:space="preserve">Tests and records: </w:t>
      </w:r>
      <w:r>
        <w:rPr>
          <w:b w:val="0"/>
          <w:i w:val="0"/>
        </w:rPr>
        <w:t>Graft/resection-specific and center-specific risk; donor recovery/employment baseline; independent consent and advocate records; funded follow-up/support; sentinel-event response owner.</w:t>
      </w:r>
    </w:p>
    <w:p>
      <w:pPr>
        <w:spacing w:after="80"/>
      </w:pPr>
      <w:r>
        <w:rPr>
          <w:b/>
          <w:i w:val="0"/>
        </w:rPr>
        <w:t xml:space="preserve">Allocation: </w:t>
      </w:r>
      <w:r>
        <w:rPr>
          <w:b w:val="0"/>
          <w:i w:val="0"/>
        </w:rPr>
        <w:t>LDLT clearance is separate from recipient selection; the potential need for retransplantation must be included in organ-use discussions.</w:t>
      </w:r>
    </w:p>
    <w:p>
      <w:pPr>
        <w:spacing w:after="40"/>
      </w:pPr>
      <w:r>
        <w:rPr>
          <w:b/>
          <w:i w:val="0"/>
        </w:rPr>
        <w:t xml:space="preserve">Basis for the proposed thresholds: </w:t>
      </w:r>
    </w:p>
    <w:p>
      <w:pPr>
        <w:numPr>
          <w:ilvl w:val="0"/>
          <w:numId w:val="5"/>
        </w:numPr>
        <w:spacing w:after="40"/>
      </w:pPr>
      <w:r>
        <w:rPr>
          <w:b w:val="0"/>
          <w:i w:val="0"/>
        </w:rPr>
        <w:t>Baseline/6 weeks/6 months/1/2 years then annually to five: proposed support schedule; current mandatory reporting remains separately checked.</w:t>
      </w:r>
    </w:p>
    <w:p>
      <w:pPr>
        <w:numPr>
          <w:ilvl w:val="0"/>
          <w:numId w:val="5"/>
        </w:numPr>
        <w:spacing w:after="40"/>
      </w:pPr>
      <w:r>
        <w:rPr>
          <w:b w:val="0"/>
          <w:i w:val="0"/>
        </w:rPr>
        <w:t>One sentinel event: conservative review/pause trigger, not a statistically estimated harm boundary.</w:t>
      </w:r>
    </w:p>
    <w:p>
      <w:pPr>
        <w:numPr>
          <w:ilvl w:val="0"/>
          <w:numId w:val="5"/>
        </w:numPr>
        <w:spacing w:after="40"/>
      </w:pPr>
      <w:r>
        <w:rPr>
          <w:b w:val="0"/>
          <w:i w:val="0"/>
        </w:rPr>
        <w:t>No relaxed donor criteria: protection against shifting uncertain recipient benefit onto a healthy person.</w:t>
      </w:r>
    </w:p>
    <w:p>
      <w:pPr>
        <w:pStyle w:val="Heading4"/>
        <w:keepNext/>
        <w:spacing w:before="120" w:after="80"/>
      </w:pPr>
      <w:r>
        <w:rPr>
          <w:b w:val="0"/>
          <w:i w:val="0"/>
        </w:rPr>
        <w:t>ALLOC-B3 — group decision</w:t>
      </w:r>
    </w:p>
    <w:p>
      <w:pPr>
        <w:spacing w:after="0"/>
      </w:pPr>
      <w:r>
        <w:rPr>
          <w:b/>
          <w:i w:val="0"/>
        </w:rPr>
        <w:t xml:space="preserve">Accepted position (or alternative chosen): </w:t>
      </w:r>
    </w:p>
    <w:p>
      <w:pPr>
        <w:spacing w:after="200"/>
        <w:pBdr>
          <w:bottom w:val="single" w:sz="6" w:space="1" w:color="9AA8B4"/>
        </w:pBdr>
      </w:pPr>
    </w:p>
    <w:p>
      <w:pPr>
        <w:spacing w:after="0"/>
      </w:pPr>
      <w:r>
        <w:rPr>
          <w:b/>
          <w:i w:val="0"/>
        </w:rPr>
        <w:t xml:space="preserve">Rationale, dissent and exceptions: </w:t>
      </w:r>
    </w:p>
    <w:p>
      <w:pPr>
        <w:spacing w:after="200"/>
        <w:pBdr>
          <w:bottom w:val="single" w:sz="6" w:space="1" w:color="9AA8B4"/>
        </w:pBdr>
      </w:pPr>
    </w:p>
    <w:p>
      <w:pPr>
        <w:spacing w:after="0"/>
      </w:pPr>
      <w:r>
        <w:rPr>
          <w:b/>
          <w:i w:val="0"/>
        </w:rPr>
        <w:t xml:space="preserve">Owner · approval date · implementation date: </w:t>
      </w:r>
    </w:p>
    <w:p>
      <w:pPr>
        <w:spacing w:after="200"/>
        <w:pBdr>
          <w:bottom w:val="single" w:sz="6" w:space="1" w:color="9AA8B4"/>
        </w:pBdr>
      </w:pPr>
    </w:p>
    <w:p>
      <w:pPr>
        <w:pStyle w:val="Heading3"/>
        <w:keepNext/>
        <w:spacing w:before="120" w:after="80"/>
      </w:pPr>
      <w:r>
        <w:rPr>
          <w:b w:val="0"/>
          <w:i w:val="0"/>
        </w:rPr>
        <w:t>ALLOC-B4 — Monitor all patients considered for the study</w:t>
      </w:r>
    </w:p>
    <w:p>
      <w:pPr>
        <w:spacing w:after="80"/>
      </w:pPr>
      <w:r>
        <w:rPr>
          <w:b w:val="0"/>
          <w:i w:val="0"/>
          <w:color w:val="5A6069"/>
          <w:sz w:val="18"/>
        </w:rPr>
        <w:t>OPEN proposal · not activated · Shared approval requirement</w:t>
      </w:r>
    </w:p>
    <w:p>
      <w:pPr>
        <w:spacing w:after="80"/>
      </w:pPr>
      <w:r>
        <w:rPr>
          <w:b/>
          <w:i w:val="0"/>
        </w:rPr>
        <w:t xml:space="preserve">Question: </w:t>
      </w:r>
      <w:r>
        <w:rPr>
          <w:b w:val="0"/>
          <w:i w:val="0"/>
        </w:rPr>
        <w:t>What data are required before expansion?</w:t>
      </w:r>
    </w:p>
    <w:p>
      <w:pPr>
        <w:spacing w:after="120"/>
      </w:pPr>
      <w:r>
        <w:rPr>
          <w:b/>
          <w:i w:val="0"/>
          <w:sz w:val="18"/>
        </w:rPr>
        <w:t xml:space="preserve">Web page: </w:t>
      </w:r>
      <w:hyperlink r:id="rId52">
        <w:r>
          <w:rPr>
            <w:color w:val="0563C1"/>
            <w:u w:val="single"/>
            <w:sz w:val="18"/>
          </w:rPr>
          <w:t xml:space="preserve">open this question on the website</w:t>
        </w:r>
      </w:hyperlink>
    </w:p>
    <w:p>
      <w:pPr>
        <w:pStyle w:val="Heading4"/>
        <w:keepNext/>
        <w:spacing w:before="120" w:after="80"/>
      </w:pPr>
      <w:r>
        <w:rPr>
          <w:b w:val="0"/>
          <w:i w:val="0"/>
        </w:rPr>
        <w:t>Positions of guidelines, trials and papers</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200"/>
        <w:gridCol w:w="5480"/>
        <w:gridCol w:w="2400"/>
      </w:tblGrid>
      <w:tr>
        <w:trPr>
          <w:tblHeader/>
        </w:trPr>
        <w:tc>
          <w:tcPr>
            <w:tcW w:type="dxa" w:w="3360"/>
            <w:tcW w:w="2200" w:type="dxa"/>
            <w:shd w:val="clear" w:color="auto" w:fill="17365D"/>
          </w:tcPr>
          <w:p>
            <w:r>
              <w:rPr>
                <w:b/>
                <w:i w:val="0"/>
                <w:color w:val="FFFFFF"/>
                <w:sz w:val="19"/>
              </w:rPr>
              <w:t>Source</w:t>
            </w:r>
          </w:p>
        </w:tc>
        <w:tc>
          <w:tcPr>
            <w:tcW w:type="dxa" w:w="3360"/>
            <w:tcW w:w="5480" w:type="dxa"/>
            <w:shd w:val="clear" w:color="auto" w:fill="17365D"/>
          </w:tcPr>
          <w:p>
            <w:r>
              <w:rPr>
                <w:b/>
                <w:i w:val="0"/>
                <w:color w:val="FFFFFF"/>
                <w:sz w:val="19"/>
              </w:rPr>
              <w:t>Position</w:t>
            </w:r>
          </w:p>
        </w:tc>
        <w:tc>
          <w:tcPr>
            <w:tcW w:type="dxa" w:w="3360"/>
            <w:tcW w:w="2400" w:type="dxa"/>
            <w:shd w:val="clear" w:color="auto" w:fill="17365D"/>
          </w:tcPr>
          <w:p>
            <w:r>
              <w:rPr>
                <w:b/>
                <w:i w:val="0"/>
                <w:color w:val="FFFFFF"/>
                <w:sz w:val="19"/>
              </w:rPr>
              <w:t>Where stated</w:t>
            </w:r>
          </w:p>
        </w:tc>
      </w:tr>
      <w:tr>
        <w:trPr>
          <w:cantSplit/>
        </w:trPr>
        <w:tc>
          <w:tcPr>
            <w:tcW w:type="dxa" w:w="3360"/>
            <w:tcW w:w="2200" w:type="dxa"/>
            <w:shd w:val="clear" w:color="auto" w:fill="F1F5F8"/>
          </w:tcPr>
          <w:p>
            <w:pPr>
              <w:spacing w:after="0"/>
            </w:pPr>
            <w:r>
              <w:rPr>
                <w:b/>
                <w:i w:val="0"/>
                <w:sz w:val="19"/>
              </w:rPr>
              <w:t>EASL–AASLD–ILCA 2026</w:t>
            </w:r>
          </w:p>
        </w:tc>
        <w:tc>
          <w:tcPr>
            <w:tcW w:type="dxa" w:w="3360"/>
            <w:tcW w:w="5480" w:type="dxa"/>
            <w:shd w:val="clear" w:color="auto" w:fill="F1F5F8"/>
          </w:tcPr>
          <w:p>
            <w:pPr>
              <w:spacing w:after="0"/>
            </w:pPr>
            <w:r>
              <w:rPr>
                <w:b w:val="0"/>
                <w:i w:val="0"/>
                <w:sz w:val="19"/>
              </w:rPr>
              <w:t>“5-year OS of at least 60%” The HCC trial-design source discusses a ≥60% five-year intention-to-treat benchmark. It is not a validated universal cross-cancer allocation rule and does not establish the proposed 5/10-patient monitoring counts.</w:t>
            </w:r>
          </w:p>
        </w:tc>
        <w:tc>
          <w:tcPr>
            <w:tcW w:type="dxa" w:w="3360"/>
            <w:tcW w:w="2400" w:type="dxa"/>
            <w:shd w:val="clear" w:color="auto" w:fill="F1F5F8"/>
          </w:tcPr>
          <w:p>
            <w:pPr>
              <w:spacing w:after="0"/>
            </w:pPr>
            <w:r>
              <w:rPr>
                <w:b w:val="0"/>
                <w:i w:val="0"/>
                <w:color w:val="5A6069"/>
                <w:sz w:val="18"/>
              </w:rPr>
              <w:t>EASL–AASLD–ILCA 2026 manuscript p20; ITT discussion pp21–22</w:t>
            </w:r>
          </w:p>
        </w:tc>
      </w:tr>
    </w:tbl>
    <w:p>
      <w:pPr>
        <w:spacing w:after="40"/>
      </w:pPr>
    </w:p>
    <w:p>
      <w:pPr>
        <w:pStyle w:val="Heading4"/>
        <w:keepNext/>
        <w:spacing w:before="120" w:after="80"/>
      </w:pPr>
      <w:r>
        <w:rPr>
          <w:b w:val="0"/>
          <w:i w:val="0"/>
        </w:rPr>
        <w:t>Evidence</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000"/>
        <w:gridCol w:w="3900"/>
        <w:gridCol w:w="4180"/>
      </w:tblGrid>
      <w:tr>
        <w:trPr>
          <w:tblHeader/>
        </w:trPr>
        <w:tc>
          <w:tcPr>
            <w:tcW w:type="dxa" w:w="3360"/>
            <w:tcW w:w="2000" w:type="dxa"/>
            <w:shd w:val="clear" w:color="auto" w:fill="17365D"/>
          </w:tcPr>
          <w:p>
            <w:r>
              <w:rPr>
                <w:b/>
                <w:i w:val="0"/>
                <w:color w:val="FFFFFF"/>
                <w:sz w:val="19"/>
              </w:rPr>
              <w:t>Source</w:t>
            </w:r>
          </w:p>
        </w:tc>
        <w:tc>
          <w:tcPr>
            <w:tcW w:type="dxa" w:w="3360"/>
            <w:tcW w:w="3900" w:type="dxa"/>
            <w:shd w:val="clear" w:color="auto" w:fill="17365D"/>
          </w:tcPr>
          <w:p>
            <w:r>
              <w:rPr>
                <w:b/>
                <w:i w:val="0"/>
                <w:color w:val="FFFFFF"/>
                <w:sz w:val="19"/>
              </w:rPr>
              <w:t>Population and selection</w:t>
            </w:r>
          </w:p>
        </w:tc>
        <w:tc>
          <w:tcPr>
            <w:tcW w:type="dxa" w:w="3360"/>
            <w:tcW w:w="4180" w:type="dxa"/>
            <w:shd w:val="clear" w:color="auto" w:fill="17365D"/>
          </w:tcPr>
          <w:p>
            <w:r>
              <w:rPr>
                <w:b/>
                <w:i w:val="0"/>
                <w:color w:val="FFFFFF"/>
                <w:sz w:val="19"/>
              </w:rPr>
              <w:t>Results, limits and location</w:t>
            </w:r>
          </w:p>
        </w:tc>
      </w:tr>
      <w:tr>
        <w:trPr>
          <w:cantSplit/>
        </w:trPr>
        <w:tc>
          <w:tcPr>
            <w:tcW w:type="dxa" w:w="3360"/>
            <w:tcW w:w="2000" w:type="dxa"/>
            <w:shd w:val="clear" w:color="auto" w:fill="F1F5F8"/>
          </w:tcPr>
          <w:p>
            <w:pPr>
              <w:spacing w:after="0"/>
            </w:pPr>
            <w:r>
              <w:rPr>
                <w:b/>
                <w:i w:val="0"/>
                <w:sz w:val="19"/>
              </w:rPr>
              <w:t>EASL–AASLD–ILCA 2026</w:t>
            </w:r>
          </w:p>
        </w:tc>
        <w:tc>
          <w:tcPr>
            <w:tcW w:type="dxa" w:w="3360"/>
            <w:tcW w:w="3900" w:type="dxa"/>
            <w:shd w:val="clear" w:color="auto" w:fill="F1F5F8"/>
          </w:tcPr>
          <w:p>
            <w:pPr>
              <w:spacing w:after="0"/>
            </w:pPr>
            <w:r>
              <w:rPr>
                <w:b w:val="0"/>
                <w:i w:val="0"/>
                <w:sz w:val="19"/>
              </w:rPr>
              <w:t>EASL–AASLD–ILCA 2026 trial-design consensus, LT section. Separates standard/UNOS-DS, expanded intermediate HCC and advanced segmental vascular-invasion research populations.</w:t>
            </w:r>
          </w:p>
        </w:tc>
        <w:tc>
          <w:tcPr>
            <w:tcW w:type="dxa" w:w="3360"/>
            <w:tcW w:w="4180" w:type="dxa"/>
            <w:shd w:val="clear" w:color="auto" w:fill="F1F5F8"/>
          </w:tcPr>
          <w:p>
            <w:pPr>
              <w:spacing w:after="0"/>
            </w:pPr>
            <w:r>
              <w:rPr>
                <w:b w:val="0"/>
                <w:i w:val="0"/>
                <w:sz w:val="19"/>
              </w:rPr>
              <w:t>Calls for entry-level dropout/feasibility, ITT EFS/OS and graft/immune harms; discusses ≥60% five-year ITT OS benchmark in HCC.</w:t>
            </w:r>
          </w:p>
          <w:p>
            <w:pPr>
              <w:spacing w:after="0"/>
            </w:pPr>
            <w:r>
              <w:rPr>
                <w:b w:val="0"/>
                <w:i/>
                <w:sz w:val="19"/>
              </w:rPr>
              <w:t>Limits: Expert benchmark, not a validated cross-tumor allocation cutoff or a ten-patient stopping rule; mature five-year endpoints cannot be established after one year.</w:t>
            </w:r>
          </w:p>
          <w:p>
            <w:pPr>
              <w:spacing w:after="0"/>
            </w:pPr>
            <w:r>
              <w:rPr>
                <w:b w:val="0"/>
                <w:i w:val="0"/>
                <w:color w:val="5A6069"/>
                <w:sz w:val="18"/>
              </w:rPr>
              <w:t>Accepted manuscript pp19–22, LT trial design.</w:t>
            </w:r>
          </w:p>
        </w:tc>
      </w:tr>
      <w:tr>
        <w:trPr>
          <w:cantSplit/>
        </w:trPr>
        <w:tc>
          <w:tcPr>
            <w:tcW w:type="dxa" w:w="3360"/>
            <w:tcW w:w="2000" w:type="dxa"/>
            <w:shd w:val="clear" w:color="auto" w:fill="FFFFFF"/>
          </w:tcPr>
          <w:p>
            <w:pPr>
              <w:spacing w:after="0"/>
            </w:pPr>
            <w:r>
              <w:rPr>
                <w:b/>
                <w:i w:val="0"/>
                <w:sz w:val="19"/>
              </w:rPr>
              <w:t>Eldridge 2016</w:t>
            </w:r>
          </w:p>
        </w:tc>
        <w:tc>
          <w:tcPr>
            <w:tcW w:type="dxa" w:w="3360"/>
            <w:tcW w:w="3900" w:type="dxa"/>
            <w:shd w:val="clear" w:color="auto" w:fill="FFFFFF"/>
          </w:tcPr>
          <w:p>
            <w:pPr>
              <w:spacing w:after="0"/>
            </w:pPr>
            <w:r>
              <w:rPr>
                <w:b w:val="0"/>
                <w:i w:val="0"/>
                <w:sz w:val="19"/>
              </w:rPr>
              <w:t>CONSORT extension for randomized pilot/feasibility studies. Explores whether/how a definitive study can proceed, distinct from proving efficacy.</w:t>
            </w:r>
          </w:p>
        </w:tc>
        <w:tc>
          <w:tcPr>
            <w:tcW w:type="dxa" w:w="3360"/>
            <w:tcW w:w="4180" w:type="dxa"/>
            <w:shd w:val="clear" w:color="auto" w:fill="FFFFFF"/>
          </w:tcPr>
          <w:p>
            <w:pPr>
              <w:spacing w:after="0"/>
            </w:pPr>
            <w:r>
              <w:rPr>
                <w:b w:val="0"/>
                <w:i w:val="0"/>
                <w:sz w:val="19"/>
              </w:rPr>
              <w:t>Predefine feasibility objectives and progression criteria; justify sample size and report harms. These principles inform a staged pilot but do not validate our numbers.</w:t>
            </w:r>
          </w:p>
          <w:p>
            <w:pPr>
              <w:spacing w:after="0"/>
            </w:pPr>
            <w:r>
              <w:rPr>
                <w:b w:val="0"/>
                <w:i/>
                <w:sz w:val="19"/>
              </w:rPr>
              <w:t>Limits: Scope is randomized pilots; applying principles to single-arm transplant feasibility studies is explicitly an extrapolation.</w:t>
            </w:r>
          </w:p>
          <w:p>
            <w:pPr>
              <w:spacing w:after="0"/>
            </w:pPr>
            <w:r>
              <w:rPr>
                <w:b w:val="0"/>
                <w:i w:val="0"/>
                <w:color w:val="5A6069"/>
                <w:sz w:val="18"/>
              </w:rPr>
              <w:t>Scope statement and checklist items on objectives, sample size and progression criteria.</w:t>
            </w:r>
          </w:p>
        </w:tc>
      </w:tr>
      <w:tr>
        <w:trPr>
          <w:cantSplit/>
        </w:trPr>
        <w:tc>
          <w:tcPr>
            <w:tcW w:type="dxa" w:w="3360"/>
            <w:tcW w:w="2000" w:type="dxa"/>
            <w:shd w:val="clear" w:color="auto" w:fill="F1F5F8"/>
          </w:tcPr>
          <w:p>
            <w:pPr>
              <w:spacing w:after="0"/>
            </w:pPr>
            <w:r>
              <w:rPr>
                <w:b/>
                <w:i w:val="0"/>
                <w:sz w:val="19"/>
              </w:rPr>
              <w:t>HHS human-subject protections</w:t>
            </w:r>
          </w:p>
        </w:tc>
        <w:tc>
          <w:tcPr>
            <w:tcW w:type="dxa" w:w="3360"/>
            <w:tcW w:w="3900" w:type="dxa"/>
            <w:shd w:val="clear" w:color="auto" w:fill="F1F5F8"/>
          </w:tcPr>
          <w:p>
            <w:pPr>
              <w:spacing w:after="0"/>
            </w:pPr>
            <w:r>
              <w:rPr>
                <w:b w:val="0"/>
                <w:i w:val="0"/>
                <w:sz w:val="19"/>
              </w:rPr>
              <w:t>Federal human-subject protection regulation. Applicability determined by institutional research/regulatory review.</w:t>
            </w:r>
          </w:p>
        </w:tc>
        <w:tc>
          <w:tcPr>
            <w:tcW w:type="dxa" w:w="3360"/>
            <w:tcW w:w="4180" w:type="dxa"/>
            <w:shd w:val="clear" w:color="auto" w:fill="F1F5F8"/>
          </w:tcPr>
          <w:p>
            <w:pPr>
              <w:spacing w:after="0"/>
            </w:pPr>
            <w:r>
              <w:rPr>
                <w:b w:val="0"/>
                <w:i w:val="0"/>
                <w:sz w:val="19"/>
              </w:rPr>
              <w:t>46.111 requires risk minimization, reasonable risk–benefit, equitable selection, informed consent and appropriate monitoring. IRB approval is separate from OPTN allocation and clinical acceptance.</w:t>
            </w:r>
          </w:p>
          <w:p>
            <w:pPr>
              <w:spacing w:after="0"/>
            </w:pPr>
            <w:r>
              <w:rPr>
                <w:b w:val="0"/>
                <w:i/>
                <w:sz w:val="19"/>
              </w:rPr>
              <w:t>Limits: No prescribed ten-patient cap, five-patient interim or one-event statistical boundary; those require protocol-specific design and independent approval.</w:t>
            </w:r>
          </w:p>
          <w:p>
            <w:pPr>
              <w:spacing w:after="0"/>
            </w:pPr>
            <w:r>
              <w:rPr>
                <w:b w:val="0"/>
                <w:i w:val="0"/>
                <w:color w:val="5A6069"/>
                <w:sz w:val="18"/>
              </w:rPr>
              <w:t>45 CFR 46.111(a)(1–7), current official eCFR text checked 24 October 2026.</w:t>
            </w:r>
          </w:p>
        </w:tc>
      </w:tr>
      <w:tr>
        <w:trPr>
          <w:cantSplit/>
        </w:trPr>
        <w:tc>
          <w:tcPr>
            <w:tcW w:type="dxa" w:w="3360"/>
            <w:tcW w:w="2000" w:type="dxa"/>
            <w:shd w:val="clear" w:color="auto" w:fill="FFFFFF"/>
          </w:tcPr>
          <w:p>
            <w:pPr>
              <w:spacing w:after="0"/>
            </w:pPr>
            <w:r>
              <w:rPr>
                <w:b/>
                <w:i w:val="0"/>
                <w:sz w:val="19"/>
              </w:rPr>
              <w:t>Kelly 2026</w:t>
            </w:r>
          </w:p>
        </w:tc>
        <w:tc>
          <w:tcPr>
            <w:tcW w:type="dxa" w:w="3360"/>
            <w:tcW w:w="3900" w:type="dxa"/>
            <w:shd w:val="clear" w:color="auto" w:fill="FFFFFF"/>
          </w:tcPr>
          <w:p>
            <w:pPr>
              <w:spacing w:after="0"/>
            </w:pPr>
            <w:r>
              <w:rPr>
                <w:b w:val="0"/>
                <w:i w:val="0"/>
                <w:sz w:val="19"/>
              </w:rPr>
              <w:t>National SRTR donor cohort 1989–2023: 8,619 with mortality ascertainment; 8,314 with any recovery record. Adults 18–65; 362 eligible donors excluded for missing mortality status.</w:t>
            </w:r>
          </w:p>
        </w:tc>
        <w:tc>
          <w:tcPr>
            <w:tcW w:type="dxa" w:w="3360"/>
            <w:tcW w:w="4180" w:type="dxa"/>
            <w:shd w:val="clear" w:color="auto" w:fill="FFFFFF"/>
          </w:tcPr>
          <w:p>
            <w:pPr>
              <w:spacing w:after="0"/>
            </w:pPr>
            <w:r>
              <w:rPr>
                <w:b w:val="0"/>
                <w:i w:val="0"/>
                <w:sz w:val="19"/>
              </w:rPr>
              <w:t>Eight deaths by 90 days and 18 by two years; contemporary-era perioperative mortality approximately 0.04%. Only 37–39% had two-year recovery data.</w:t>
            </w:r>
          </w:p>
          <w:p>
            <w:pPr>
              <w:spacing w:after="0"/>
            </w:pPr>
            <w:r>
              <w:rPr>
                <w:b w:val="0"/>
                <w:i/>
                <w:sz w:val="19"/>
              </w:rPr>
              <w:t>Limits: All-cause deaths, mostly unavailable cause; not oncology-specific. Low mortality cannot substitute for complete morbidity, psychological and financial follow-up.</w:t>
            </w:r>
          </w:p>
          <w:p>
            <w:pPr>
              <w:spacing w:after="0"/>
            </w:pPr>
            <w:r>
              <w:rPr>
                <w:b w:val="0"/>
                <w:i w:val="0"/>
                <w:color w:val="5A6069"/>
                <w:sz w:val="18"/>
              </w:rPr>
              <w:t>Methods; Results 3.1–3.4; limitations pp6–7.</w:t>
            </w:r>
          </w:p>
        </w:tc>
      </w:tr>
      <w:tr>
        <w:trPr>
          <w:cantSplit/>
        </w:trPr>
        <w:tc>
          <w:tcPr>
            <w:tcW w:type="dxa" w:w="3360"/>
            <w:tcW w:w="2000" w:type="dxa"/>
            <w:shd w:val="clear" w:color="auto" w:fill="F1F5F8"/>
          </w:tcPr>
          <w:p>
            <w:pPr>
              <w:spacing w:after="0"/>
            </w:pPr>
            <w:r>
              <w:rPr>
                <w:b/>
                <w:i w:val="0"/>
                <w:sz w:val="19"/>
              </w:rPr>
              <w:t>SYS-TARE 2024</w:t>
            </w:r>
          </w:p>
        </w:tc>
        <w:tc>
          <w:tcPr>
            <w:tcW w:type="dxa" w:w="3360"/>
            <w:tcW w:w="3900" w:type="dxa"/>
            <w:shd w:val="clear" w:color="auto" w:fill="F1F5F8"/>
          </w:tcPr>
          <w:p>
            <w:pPr>
              <w:spacing w:after="0"/>
            </w:pPr>
            <w:r>
              <w:rPr>
                <w:b w:val="0"/>
                <w:i w:val="0"/>
                <w:sz w:val="19"/>
              </w:rPr>
              <w:t>Prospective institutional SYS-TARE pathway; 13 entered, 4 LT, 9 dropout. Single bulky measurable iCCA±peritumoral satellites; diffuse/multisegment multifocal disease excluded; intrahepatic vessel encasement permitted without tumor thrombus.</w:t>
            </w:r>
          </w:p>
        </w:tc>
        <w:tc>
          <w:tcPr>
            <w:tcW w:type="dxa" w:w="3360"/>
            <w:tcW w:w="4180" w:type="dxa"/>
            <w:shd w:val="clear" w:color="auto" w:fill="F1F5F8"/>
          </w:tcPr>
          <w:p>
            <w:pPr>
              <w:spacing w:after="0"/>
            </w:pPr>
            <w:r>
              <w:rPr>
                <w:b w:val="0"/>
                <w:i w:val="0"/>
                <w:sz w:val="19"/>
              </w:rPr>
              <w:t>Four recipients alive without recurrence at 73, 40, 12, 8 months; dropouts: three unrecovered intrahepatic progression, four with extrahepatic disease, two occult nodes.</w:t>
            </w:r>
          </w:p>
          <w:p>
            <w:pPr>
              <w:spacing w:after="0"/>
            </w:pPr>
            <w:r>
              <w:rPr>
                <w:b w:val="0"/>
                <w:i/>
                <w:sz w:val="19"/>
              </w:rPr>
              <w:t>Limits: Only 4 recipients; no validated maximum diameter or comparative proof of satellites being equivalent to a solitary tumor.</w:t>
            </w:r>
          </w:p>
          <w:p>
            <w:pPr>
              <w:spacing w:after="0"/>
            </w:pPr>
            <w:r>
              <w:rPr>
                <w:b w:val="0"/>
                <w:i w:val="0"/>
                <w:color w:val="5A6069"/>
                <w:sz w:val="18"/>
              </w:rPr>
              <w:t>Transpl Int 2024; 37: 13641; Eligibility, Figure 1 and Results; full PDF.</w:t>
            </w:r>
          </w:p>
        </w:tc>
      </w:tr>
      <w:tr>
        <w:trPr>
          <w:cantSplit/>
        </w:trPr>
        <w:tc>
          <w:tcPr>
            <w:tcW w:type="dxa" w:w="3360"/>
            <w:tcW w:w="2000" w:type="dxa"/>
            <w:shd w:val="clear" w:color="auto" w:fill="FFFFFF"/>
          </w:tcPr>
          <w:p>
            <w:pPr>
              <w:spacing w:after="0"/>
            </w:pPr>
            <w:r>
              <w:rPr>
                <w:b/>
                <w:i w:val="0"/>
                <w:sz w:val="19"/>
              </w:rPr>
              <w:t>Yaqub 2025</w:t>
            </w:r>
          </w:p>
        </w:tc>
        <w:tc>
          <w:tcPr>
            <w:tcW w:type="dxa" w:w="3360"/>
            <w:tcW w:w="3900" w:type="dxa"/>
            <w:shd w:val="clear" w:color="auto" w:fill="FFFFFF"/>
          </w:tcPr>
          <w:p>
            <w:pPr>
              <w:spacing w:after="0"/>
            </w:pPr>
            <w:r>
              <w:rPr>
                <w:b w:val="0"/>
                <w:i w:val="0"/>
                <w:sz w:val="19"/>
              </w:rPr>
              <w:t>Norwegian prospective early report; 7 referred, 6 enrolled, 5 LT. Response-selected liver-confined iCCA; median imaging lesion count 7, median diameter 11.5 cm; no size/number cap.</w:t>
            </w:r>
          </w:p>
        </w:tc>
        <w:tc>
          <w:tcPr>
            <w:tcW w:type="dxa" w:w="3360"/>
            <w:tcW w:w="4180" w:type="dxa"/>
            <w:shd w:val="clear" w:color="auto" w:fill="FFFFFF"/>
          </w:tcPr>
          <w:p>
            <w:pPr>
              <w:spacing w:after="0"/>
            </w:pPr>
            <w:r>
              <w:rPr>
                <w:b w:val="0"/>
                <w:i w:val="0"/>
                <w:sz w:val="19"/>
              </w:rPr>
              <w:t>All five alive at 10–55 months; 2 recurrences at 12/13 months, both patients with &gt;20 lesions. One HAT required re-LT; one occult 2-mm positive node.</w:t>
            </w:r>
          </w:p>
          <w:p>
            <w:pPr>
              <w:spacing w:after="0"/>
            </w:pPr>
            <w:r>
              <w:rPr>
                <w:b w:val="0"/>
                <w:i/>
                <w:sz w:val="19"/>
              </w:rPr>
              <w:t>Limits: Research letter, very small denominator; recurrence pattern argues caution with diffuse multifocal disease, not a validated lesion-count cutoff.</w:t>
            </w:r>
          </w:p>
          <w:p>
            <w:pPr>
              <w:spacing w:after="0"/>
            </w:pPr>
            <w:r>
              <w:rPr>
                <w:b w:val="0"/>
                <w:i w:val="0"/>
                <w:color w:val="5A6069"/>
                <w:sz w:val="18"/>
              </w:rPr>
              <w:t>BJS 2025; 112: znaf054; main text, Table 1 and Figure 1; complete indexed letter.</w:t>
            </w:r>
          </w:p>
        </w:tc>
      </w:tr>
    </w:tbl>
    <w:p>
      <w:pPr>
        <w:spacing w:after="40"/>
      </w:pPr>
    </w:p>
    <w:p>
      <w:pPr>
        <w:pStyle w:val="Heading4"/>
        <w:keepNext/>
        <w:spacing w:before="120" w:after="80"/>
      </w:pPr>
      <w:r>
        <w:rPr>
          <w:b w:val="0"/>
          <w:i w:val="0"/>
        </w:rPr>
        <w:t>Our proposed selection (OPEN)</w:t>
      </w:r>
    </w:p>
    <w:p>
      <w:pPr>
        <w:spacing w:after="80"/>
      </w:pPr>
      <w:r>
        <w:rPr>
          <w:b w:val="0"/>
          <w:i w:val="0"/>
        </w:rPr>
        <w:t>Use a small staged pilot with all-screened accounting and explicit safety pauses; no automatic expansion on favorable recipient survival.</w:t>
      </w:r>
    </w:p>
    <w:p>
      <w:pPr>
        <w:numPr>
          <w:ilvl w:val="0"/>
          <w:numId w:val="5"/>
        </w:numPr>
        <w:spacing w:after="40"/>
      </w:pPr>
      <w:r>
        <w:rPr>
          <w:b w:val="0"/>
          <w:i w:val="0"/>
        </w:rPr>
        <w:t>Proposed initial cap: ten transplants per separately approved biological stratum. Review after the first five have 90-day follow-up; no expansion decision until all first ten have at least 12-month follow-up. Reconcile vital status, graft events and known serious harms for every participant; require ≥90% completeness for other prespecified key outcomes.</w:t>
      </w:r>
    </w:p>
    <w:p>
      <w:pPr>
        <w:numPr>
          <w:ilvl w:val="0"/>
          <w:numId w:val="5"/>
        </w:numPr>
        <w:spacing w:after="40"/>
      </w:pPr>
      <w:r>
        <w:rPr>
          <w:b w:val="0"/>
          <w:i w:val="0"/>
        </w:rPr>
        <w:t>In an initial experimental cohort, one all-cause recipient death, graft loss or retransplantation within 90 days triggers a pause of further experimental enrollment/transplantation pending independent review. A later possibly treatment-related death/graft loss or a donor sentinel event also triggers review/pause. Rescue care is never withheld; reopening requires independent authorization.</w:t>
      </w:r>
    </w:p>
    <w:p>
      <w:pPr>
        <w:numPr>
          <w:ilvl w:val="0"/>
          <w:numId w:val="5"/>
        </w:numPr>
        <w:spacing w:after="40"/>
      </w:pPr>
      <w:r>
        <w:rPr>
          <w:b w:val="0"/>
          <w:i w:val="0"/>
        </w:rPr>
        <w:t>These are proposed conservative review triggers, not statistically validated efficacy/futility boundaries. Before opening, biostatistics and the independent board must ratify or replace them with indication-specific rules, denominators, pause authority and reopening criteria.</w:t>
      </w:r>
    </w:p>
    <w:p>
      <w:pPr>
        <w:numPr>
          <w:ilvl w:val="0"/>
          <w:numId w:val="5"/>
        </w:numPr>
        <w:spacing w:after="40"/>
      </w:pPr>
      <w:r>
        <w:rPr>
          <w:b w:val="0"/>
          <w:i w:val="0"/>
        </w:rPr>
        <w:t>Capture every screened candidate, including nonrecipients, conversion to resection, dropout, deaths and access barriers; report survival from entry and from LT, recurrence, graft use, donor recovery and quality of life. Ten survivors alone do not establish benefit or authorize expansion.</w:t>
      </w:r>
    </w:p>
    <w:p>
      <w:pPr>
        <w:spacing w:after="80"/>
      </w:pPr>
      <w:r>
        <w:rPr>
          <w:b/>
          <w:i w:val="0"/>
        </w:rPr>
        <w:t xml:space="preserve">Why: </w:t>
      </w:r>
      <w:r>
        <w:rPr>
          <w:b w:val="0"/>
          <w:i w:val="0"/>
        </w:rPr>
        <w:t>A small pilot can test feasibility, staging fidelity, data capture and acute safety, not prove durable survival benefit. Define time zero, all-screened enrollment, waitlist failures, post-LT survival/recurrence, competing death, all grafts, donor harms and patient-reported outcomes before opening. An independent board needs actual pause/reopening authority.</w:t>
      </w:r>
    </w:p>
    <w:p>
      <w:pPr>
        <w:spacing w:after="80"/>
      </w:pPr>
      <w:r>
        <w:rPr>
          <w:b/>
          <w:i w:val="0"/>
        </w:rPr>
        <w:t xml:space="preserve">Against, or uncertain: </w:t>
      </w:r>
      <w:r>
        <w:rPr>
          <w:b w:val="0"/>
          <w:i w:val="0"/>
        </w:rPr>
        <w:t>Zero observed events among ten fully followed independent patients still has a one-sided exact 95% binomial upper bound of 25.9% (1−0.05^(1/10)). Thus ten survivors cannot establish a &lt;5% event risk. Ninety percent data completeness permits one missing patient; safety events and vital status require active ascertainment, not tolerance of unaccounted loss.</w:t>
      </w:r>
    </w:p>
    <w:p>
      <w:pPr>
        <w:spacing w:after="80"/>
      </w:pPr>
      <w:r>
        <w:rPr>
          <w:b/>
          <w:i w:val="0"/>
        </w:rPr>
        <w:t xml:space="preserve">Certainty: </w:t>
      </w:r>
      <w:r>
        <w:rPr>
          <w:b w:val="0"/>
          <w:i w:val="0"/>
        </w:rPr>
        <w:t>Strong methodological rationale for predefinition and ITT accounting; no empirical validation of our exact cap/interim/completeness thresholds. Late recurrence demands multi-year follow-up.</w:t>
      </w:r>
    </w:p>
    <w:p>
      <w:pPr>
        <w:spacing w:after="80"/>
      </w:pPr>
      <w:r>
        <w:rPr>
          <w:b/>
          <w:i w:val="0"/>
        </w:rPr>
        <w:t xml:space="preserve">Tests and records: </w:t>
      </w:r>
      <w:r>
        <w:rPr>
          <w:b w:val="0"/>
          <w:i w:val="0"/>
        </w:rPr>
        <w:t>Locked eligibility strata; prospective entry/time-zero dataset; modern comparator; adverse-event definitions; follow-up-completeness report; independently signed statistical and safety plan.</w:t>
      </w:r>
    </w:p>
    <w:p>
      <w:pPr>
        <w:spacing w:after="80"/>
      </w:pPr>
      <w:r>
        <w:rPr>
          <w:b/>
          <w:i w:val="0"/>
        </w:rPr>
        <w:t xml:space="preserve">Allocation: </w:t>
      </w:r>
      <w:r>
        <w:rPr>
          <w:b w:val="0"/>
          <w:i w:val="0"/>
        </w:rPr>
        <w:t>Study monitoring never changes exception criteria or guarantees future access. Audit access by referral, geography, resources and donor availability without turning protected characteristics into exclusion rules.</w:t>
      </w:r>
    </w:p>
    <w:p>
      <w:pPr>
        <w:spacing w:after="40"/>
      </w:pPr>
      <w:r>
        <w:rPr>
          <w:b/>
          <w:i w:val="0"/>
        </w:rPr>
        <w:t xml:space="preserve">Basis for the proposed thresholds: </w:t>
      </w:r>
    </w:p>
    <w:p>
      <w:pPr>
        <w:numPr>
          <w:ilvl w:val="0"/>
          <w:numId w:val="5"/>
        </w:numPr>
        <w:spacing w:after="40"/>
      </w:pPr>
      <w:r>
        <w:rPr>
          <w:b w:val="0"/>
          <w:i w:val="0"/>
        </w:rPr>
        <w:t>Ten per stratum and interim after five at 90 days: local feasibility cap and safety review cadence.</w:t>
      </w:r>
    </w:p>
    <w:p>
      <w:pPr>
        <w:numPr>
          <w:ilvl w:val="0"/>
          <w:numId w:val="5"/>
        </w:numPr>
        <w:spacing w:after="40"/>
      </w:pPr>
      <w:r>
        <w:rPr>
          <w:b w:val="0"/>
          <w:i w:val="0"/>
        </w:rPr>
        <w:t>Twelve-month minimum: earliest expansion discussion, not proof of long-term cancer benefit.</w:t>
      </w:r>
    </w:p>
    <w:p>
      <w:pPr>
        <w:numPr>
          <w:ilvl w:val="0"/>
          <w:numId w:val="5"/>
        </w:numPr>
        <w:spacing w:after="40"/>
      </w:pPr>
      <w:r>
        <w:rPr>
          <w:b w:val="0"/>
          <w:i w:val="0"/>
        </w:rPr>
        <w:t>≥90%: proposed non-vital key-measure completeness threshold; not permission to ignore deaths/graft events or unknown status.</w:t>
      </w:r>
    </w:p>
    <w:p>
      <w:pPr>
        <w:numPr>
          <w:ilvl w:val="0"/>
          <w:numId w:val="5"/>
        </w:numPr>
        <w:spacing w:after="40"/>
      </w:pPr>
      <w:r>
        <w:rPr>
          <w:b w:val="0"/>
          <w:i w:val="0"/>
        </w:rPr>
        <w:t>One early death/graft loss/re-LT: review/pause trigger, not automatic futility or withholding rescue.</w:t>
      </w:r>
    </w:p>
    <w:p>
      <w:pPr>
        <w:pStyle w:val="Heading4"/>
        <w:keepNext/>
        <w:spacing w:before="120" w:after="80"/>
      </w:pPr>
      <w:r>
        <w:rPr>
          <w:b w:val="0"/>
          <w:i w:val="0"/>
        </w:rPr>
        <w:t>ALLOC-B4 — group decision</w:t>
      </w:r>
    </w:p>
    <w:p>
      <w:pPr>
        <w:spacing w:after="0"/>
      </w:pPr>
      <w:r>
        <w:rPr>
          <w:b/>
          <w:i w:val="0"/>
        </w:rPr>
        <w:t xml:space="preserve">Accepted position (or alternative chosen): </w:t>
      </w:r>
    </w:p>
    <w:p>
      <w:pPr>
        <w:spacing w:after="200"/>
        <w:pBdr>
          <w:bottom w:val="single" w:sz="6" w:space="1" w:color="9AA8B4"/>
        </w:pBdr>
      </w:pPr>
    </w:p>
    <w:p>
      <w:pPr>
        <w:spacing w:after="0"/>
      </w:pPr>
      <w:r>
        <w:rPr>
          <w:b/>
          <w:i w:val="0"/>
        </w:rPr>
        <w:t xml:space="preserve">Rationale, dissent and exceptions: </w:t>
      </w:r>
    </w:p>
    <w:p>
      <w:pPr>
        <w:spacing w:after="200"/>
        <w:pBdr>
          <w:bottom w:val="single" w:sz="6" w:space="1" w:color="9AA8B4"/>
        </w:pBdr>
      </w:pPr>
    </w:p>
    <w:p>
      <w:pPr>
        <w:spacing w:after="0"/>
      </w:pPr>
      <w:r>
        <w:rPr>
          <w:b/>
          <w:i w:val="0"/>
        </w:rPr>
        <w:t xml:space="preserve">Owner · approval date · implementation date: </w:t>
      </w:r>
    </w:p>
    <w:p>
      <w:pPr>
        <w:spacing w:after="200"/>
        <w:pBdr>
          <w:bottom w:val="single" w:sz="6" w:space="1" w:color="9AA8B4"/>
        </w:pBdr>
      </w:pPr>
    </w:p>
    <w:p>
      <w:pPr>
        <w:pStyle w:val="Heading1"/>
        <w:keepNext/>
        <w:spacing w:before="280" w:after="80"/>
      </w:pPr>
      <w:r>
        <w:rPr>
          <w:b w:val="0"/>
          <w:i w:val="0"/>
        </w:rPr>
        <w:t>Sources</w:t>
      </w:r>
    </w:p>
    <w:p>
      <w:pPr>
        <w:spacing w:after="60"/>
      </w:pPr>
      <w:r>
        <w:rPr>
          <w:b/>
          <w:i w:val="0"/>
          <w:sz w:val="19"/>
        </w:rPr>
        <w:t>Abecassis 2012</w:t>
      </w:r>
      <w:r>
        <w:rPr>
          <w:b w:val="0"/>
          <w:i w:val="0"/>
          <w:sz w:val="19"/>
        </w:rPr>
        <w:t xml:space="preserve"> — Complications of Living Donor Hepatic Lobectomy—A Comprehensive Report</w:t>
      </w:r>
      <w:r>
        <w:rPr>
          <w:b w:val="0"/>
          <w:i w:val="0"/>
          <w:sz w:val="19"/>
        </w:rPr>
        <w:t xml:space="preserve">  </w:t>
      </w:r>
      <w:hyperlink r:id="rId53">
        <w:r>
          <w:rPr>
            <w:color w:val="0563C1"/>
            <w:u w:val="single"/>
            <w:sz w:val="19"/>
          </w:rPr>
          <w:t xml:space="preserve">PubMed</w:t>
        </w:r>
      </w:hyperlink>
      <w:r>
        <w:rPr>
          <w:b w:val="0"/>
          <w:i w:val="0"/>
          <w:sz w:val="19"/>
        </w:rPr>
        <w:t xml:space="preserve"> · </w:t>
      </w:r>
      <w:hyperlink r:id="rId54">
        <w:r>
          <w:rPr>
            <w:color w:val="0563C1"/>
            <w:u w:val="single"/>
            <w:sz w:val="19"/>
          </w:rPr>
          <w:t xml:space="preserve">Journal</w:t>
        </w:r>
      </w:hyperlink>
      <w:r>
        <w:rPr>
          <w:b w:val="0"/>
          <w:i w:val="0"/>
          <w:sz w:val="19"/>
        </w:rPr>
        <w:t xml:space="preserve"> · </w:t>
      </w:r>
      <w:hyperlink r:id="rId55">
        <w:r>
          <w:rPr>
            <w:color w:val="0563C1"/>
            <w:u w:val="single"/>
            <w:sz w:val="19"/>
          </w:rPr>
          <w:t xml:space="preserve">Free full text</w:t>
        </w:r>
      </w:hyperlink>
      <w:r>
        <w:rPr>
          <w:b w:val="0"/>
          <w:i w:val="0"/>
          <w:sz w:val="19"/>
        </w:rPr>
        <w:t xml:space="preserve"> · </w:t>
      </w:r>
      <w:hyperlink r:id="rId56">
        <w:r>
          <w:rPr>
            <w:color w:val="0563C1"/>
            <w:u w:val="single"/>
            <w:sz w:val="19"/>
          </w:rPr>
          <w:t xml:space="preserve">Source</w:t>
        </w:r>
      </w:hyperlink>
      <w:r>
        <w:rPr>
          <w:b w:val="0"/>
          <w:i w:val="0"/>
          <w:sz w:val="19"/>
        </w:rPr>
        <w:t xml:space="preserve"> · </w:t>
      </w:r>
      <w:hyperlink r:id="rId57">
        <w:r>
          <w:rPr>
            <w:color w:val="0563C1"/>
            <w:u w:val="single"/>
            <w:sz w:val="19"/>
          </w:rPr>
          <w:t xml:space="preserve">TMC library</w:t>
        </w:r>
      </w:hyperlink>
    </w:p>
    <w:p>
      <w:pPr>
        <w:spacing w:after="60"/>
      </w:pPr>
      <w:r>
        <w:rPr>
          <w:b/>
          <w:i w:val="0"/>
          <w:sz w:val="19"/>
        </w:rPr>
        <w:t>Allen 2024</w:t>
      </w:r>
      <w:r>
        <w:rPr>
          <w:b w:val="0"/>
          <w:i w:val="0"/>
          <w:sz w:val="19"/>
        </w:rPr>
        <w:t xml:space="preserve"> — Transplant benefit-based offering of deceased donor livers in the United Kingdom</w:t>
      </w:r>
      <w:r>
        <w:rPr>
          <w:b w:val="0"/>
          <w:i w:val="0"/>
          <w:sz w:val="19"/>
        </w:rPr>
        <w:t xml:space="preserve">  </w:t>
      </w:r>
      <w:hyperlink r:id="rId58">
        <w:r>
          <w:rPr>
            <w:color w:val="0563C1"/>
            <w:u w:val="single"/>
            <w:sz w:val="19"/>
          </w:rPr>
          <w:t xml:space="preserve">PubMed</w:t>
        </w:r>
      </w:hyperlink>
      <w:r>
        <w:rPr>
          <w:b w:val="0"/>
          <w:i w:val="0"/>
          <w:sz w:val="19"/>
        </w:rPr>
        <w:t xml:space="preserve"> · </w:t>
      </w:r>
      <w:hyperlink r:id="rId59">
        <w:r>
          <w:rPr>
            <w:color w:val="0563C1"/>
            <w:u w:val="single"/>
            <w:sz w:val="19"/>
          </w:rPr>
          <w:t xml:space="preserve">Journal</w:t>
        </w:r>
      </w:hyperlink>
      <w:r>
        <w:rPr>
          <w:b w:val="0"/>
          <w:i w:val="0"/>
          <w:sz w:val="19"/>
        </w:rPr>
        <w:t xml:space="preserve"> · </w:t>
      </w:r>
      <w:hyperlink r:id="rId60">
        <w:r>
          <w:rPr>
            <w:color w:val="0563C1"/>
            <w:u w:val="single"/>
            <w:sz w:val="19"/>
          </w:rPr>
          <w:t xml:space="preserve">TMC library</w:t>
        </w:r>
      </w:hyperlink>
    </w:p>
    <w:p>
      <w:pPr>
        <w:spacing w:after="60"/>
      </w:pPr>
      <w:r>
        <w:rPr>
          <w:b/>
          <w:i w:val="0"/>
          <w:sz w:val="19"/>
        </w:rPr>
        <w:t>ASCO 2023 systemic</w:t>
      </w:r>
      <w:r>
        <w:rPr>
          <w:b w:val="0"/>
          <w:i w:val="0"/>
          <w:sz w:val="19"/>
        </w:rPr>
        <w:t xml:space="preserve"> — Del Rivero J, Perez K, Kennedy EB, et al. Systemic therapy for tumor control in metastatic well-differentiated gastroenteropancreatic neuroendocrine tumors: ASCO guideline. J Clin Oncol. 2023;41(32):5049-5067.</w:t>
      </w:r>
      <w:r>
        <w:rPr>
          <w:b w:val="0"/>
          <w:i w:val="0"/>
          <w:sz w:val="19"/>
        </w:rPr>
        <w:t xml:space="preserve">  </w:t>
      </w:r>
      <w:hyperlink r:id="rId61">
        <w:r>
          <w:rPr>
            <w:color w:val="0563C1"/>
            <w:u w:val="single"/>
            <w:sz w:val="19"/>
          </w:rPr>
          <w:t xml:space="preserve">PubMed</w:t>
        </w:r>
      </w:hyperlink>
    </w:p>
    <w:p>
      <w:pPr>
        <w:spacing w:after="60"/>
      </w:pPr>
      <w:r>
        <w:rPr>
          <w:b/>
          <w:i w:val="0"/>
          <w:sz w:val="19"/>
        </w:rPr>
        <w:t>Boscà 2026 · Spain</w:t>
      </w:r>
      <w:r>
        <w:rPr>
          <w:b w:val="0"/>
          <w:i w:val="0"/>
          <w:sz w:val="19"/>
        </w:rPr>
        <w:t xml:space="preserve"> — Should We Continue Liver Transplantation in Spain for Hepatic Metastases from Neuroendocrine Tumors?</w:t>
      </w:r>
      <w:r>
        <w:rPr>
          <w:b w:val="0"/>
          <w:i w:val="0"/>
          <w:sz w:val="19"/>
        </w:rPr>
        <w:t xml:space="preserve">  </w:t>
      </w:r>
      <w:hyperlink r:id="rId62">
        <w:r>
          <w:rPr>
            <w:color w:val="0563C1"/>
            <w:u w:val="single"/>
            <w:sz w:val="19"/>
          </w:rPr>
          <w:t xml:space="preserve">PubMed</w:t>
        </w:r>
      </w:hyperlink>
      <w:r>
        <w:rPr>
          <w:b w:val="0"/>
          <w:i w:val="0"/>
          <w:sz w:val="19"/>
        </w:rPr>
        <w:t xml:space="preserve"> · </w:t>
      </w:r>
      <w:hyperlink r:id="rId63">
        <w:r>
          <w:rPr>
            <w:color w:val="0563C1"/>
            <w:u w:val="single"/>
            <w:sz w:val="19"/>
          </w:rPr>
          <w:t xml:space="preserve">Journal</w:t>
        </w:r>
      </w:hyperlink>
      <w:r>
        <w:rPr>
          <w:b w:val="0"/>
          <w:i w:val="0"/>
          <w:sz w:val="19"/>
        </w:rPr>
        <w:t xml:space="preserve"> · </w:t>
      </w:r>
      <w:hyperlink r:id="rId64">
        <w:r>
          <w:rPr>
            <w:color w:val="0563C1"/>
            <w:u w:val="single"/>
            <w:sz w:val="19"/>
          </w:rPr>
          <w:t xml:space="preserve">Source</w:t>
        </w:r>
      </w:hyperlink>
      <w:r>
        <w:rPr>
          <w:b w:val="0"/>
          <w:i w:val="0"/>
          <w:sz w:val="19"/>
        </w:rPr>
        <w:t xml:space="preserve"> · </w:t>
      </w:r>
      <w:hyperlink r:id="rId65">
        <w:r>
          <w:rPr>
            <w:color w:val="0563C1"/>
            <w:u w:val="single"/>
            <w:sz w:val="19"/>
          </w:rPr>
          <w:t xml:space="preserve">TMC library</w:t>
        </w:r>
      </w:hyperlink>
    </w:p>
    <w:p>
      <w:pPr>
        <w:spacing w:after="60"/>
      </w:pPr>
      <w:r>
        <w:rPr>
          <w:b/>
          <w:i w:val="0"/>
          <w:sz w:val="19"/>
        </w:rPr>
        <w:t>Caplin 2014 · CLARINET</w:t>
      </w:r>
      <w:r>
        <w:rPr>
          <w:b w:val="0"/>
          <w:i w:val="0"/>
          <w:sz w:val="19"/>
        </w:rPr>
        <w:t xml:space="preserve"> — Lanreotide in Metastatic Enteropancreatic Neuroendocrine Tumors</w:t>
      </w:r>
      <w:r>
        <w:rPr>
          <w:b w:val="0"/>
          <w:i w:val="0"/>
          <w:sz w:val="19"/>
        </w:rPr>
        <w:t xml:space="preserve">  </w:t>
      </w:r>
      <w:hyperlink r:id="rId66">
        <w:r>
          <w:rPr>
            <w:color w:val="0563C1"/>
            <w:u w:val="single"/>
            <w:sz w:val="19"/>
          </w:rPr>
          <w:t xml:space="preserve">PubMed</w:t>
        </w:r>
      </w:hyperlink>
      <w:r>
        <w:rPr>
          <w:b w:val="0"/>
          <w:i w:val="0"/>
          <w:sz w:val="19"/>
        </w:rPr>
        <w:t xml:space="preserve"> · </w:t>
      </w:r>
      <w:hyperlink r:id="rId67">
        <w:r>
          <w:rPr>
            <w:color w:val="0563C1"/>
            <w:u w:val="single"/>
            <w:sz w:val="19"/>
          </w:rPr>
          <w:t xml:space="preserve">Journal</w:t>
        </w:r>
      </w:hyperlink>
      <w:r>
        <w:rPr>
          <w:b w:val="0"/>
          <w:i w:val="0"/>
          <w:sz w:val="19"/>
        </w:rPr>
        <w:t xml:space="preserve"> · </w:t>
      </w:r>
      <w:hyperlink r:id="rId68">
        <w:r>
          <w:rPr>
            <w:color w:val="0563C1"/>
            <w:u w:val="single"/>
            <w:sz w:val="19"/>
          </w:rPr>
          <w:t xml:space="preserve">Source</w:t>
        </w:r>
      </w:hyperlink>
      <w:r>
        <w:rPr>
          <w:b w:val="0"/>
          <w:i w:val="0"/>
          <w:sz w:val="19"/>
        </w:rPr>
        <w:t xml:space="preserve"> · </w:t>
      </w:r>
      <w:hyperlink r:id="rId69">
        <w:r>
          <w:rPr>
            <w:color w:val="0563C1"/>
            <w:u w:val="single"/>
            <w:sz w:val="19"/>
          </w:rPr>
          <w:t xml:space="preserve">TMC library</w:t>
        </w:r>
      </w:hyperlink>
    </w:p>
    <w:p>
      <w:pPr>
        <w:spacing w:after="60"/>
      </w:pPr>
      <w:r>
        <w:rPr>
          <w:b/>
          <w:i w:val="0"/>
          <w:sz w:val="19"/>
        </w:rPr>
        <w:t>Carcinoid crisis in PRRT</w:t>
      </w:r>
      <w:r>
        <w:rPr>
          <w:b w:val="0"/>
          <w:i w:val="0"/>
          <w:sz w:val="19"/>
        </w:rPr>
        <w:t xml:space="preserve"> — Sozio SJ, Raynor W, Becker MC, et al. Carcinoid crisis in Lutetium-177-Dotatate therapy of neuroendocrine tumors: an overview of pathophysiology, risk factors, recognition, and treatment. EJNMMI Rep. 2024;8(1):29.</w:t>
      </w:r>
      <w:r>
        <w:rPr>
          <w:b w:val="0"/>
          <w:i w:val="0"/>
          <w:sz w:val="19"/>
        </w:rPr>
        <w:t xml:space="preserve">  </w:t>
      </w:r>
      <w:hyperlink r:id="rId70">
        <w:r>
          <w:rPr>
            <w:color w:val="0563C1"/>
            <w:u w:val="single"/>
            <w:sz w:val="19"/>
          </w:rPr>
          <w:t xml:space="preserve">PubMed</w:t>
        </w:r>
      </w:hyperlink>
    </w:p>
    <w:p>
      <w:pPr>
        <w:spacing w:after="60"/>
      </w:pPr>
      <w:r>
        <w:rPr>
          <w:b/>
          <w:i w:val="0"/>
          <w:sz w:val="19"/>
        </w:rPr>
        <w:t>Chan 2018 · cytoreduction with EHD</w:t>
      </w:r>
      <w:r>
        <w:rPr>
          <w:b w:val="0"/>
          <w:i w:val="0"/>
          <w:sz w:val="19"/>
        </w:rPr>
        <w:t xml:space="preserve">  </w:t>
      </w:r>
      <w:hyperlink r:id="rId71">
        <w:r>
          <w:rPr>
            <w:color w:val="0563C1"/>
            <w:u w:val="single"/>
            <w:sz w:val="19"/>
          </w:rPr>
          <w:t xml:space="preserve">PubMed</w:t>
        </w:r>
      </w:hyperlink>
      <w:r>
        <w:rPr>
          <w:b w:val="0"/>
          <w:i w:val="0"/>
          <w:sz w:val="19"/>
        </w:rPr>
        <w:t xml:space="preserve"> · </w:t>
      </w:r>
      <w:hyperlink r:id="rId72">
        <w:r>
          <w:rPr>
            <w:color w:val="0563C1"/>
            <w:u w:val="single"/>
            <w:sz w:val="19"/>
          </w:rPr>
          <w:t xml:space="preserve">Journal</w:t>
        </w:r>
      </w:hyperlink>
      <w:r>
        <w:rPr>
          <w:b w:val="0"/>
          <w:i w:val="0"/>
          <w:sz w:val="19"/>
        </w:rPr>
        <w:t xml:space="preserve"> · </w:t>
      </w:r>
      <w:hyperlink r:id="rId73">
        <w:r>
          <w:rPr>
            <w:color w:val="0563C1"/>
            <w:u w:val="single"/>
            <w:sz w:val="19"/>
          </w:rPr>
          <w:t xml:space="preserve">TMC library</w:t>
        </w:r>
      </w:hyperlink>
    </w:p>
    <w:p>
      <w:pPr>
        <w:spacing w:after="60"/>
      </w:pPr>
      <w:r>
        <w:rPr>
          <w:b/>
          <w:i w:val="0"/>
          <w:sz w:val="19"/>
        </w:rPr>
        <w:t>Chan 2025 · CABINET</w:t>
      </w:r>
      <w:r>
        <w:rPr>
          <w:b w:val="0"/>
          <w:i w:val="0"/>
          <w:sz w:val="19"/>
        </w:rPr>
        <w:t xml:space="preserve"> — Phase 3 Trial of Cabozantinib to Treat Advanced Neuroendocrine Tumors</w:t>
      </w:r>
      <w:r>
        <w:rPr>
          <w:b w:val="0"/>
          <w:i w:val="0"/>
          <w:sz w:val="19"/>
        </w:rPr>
        <w:t xml:space="preserve">  </w:t>
      </w:r>
      <w:hyperlink r:id="rId74">
        <w:r>
          <w:rPr>
            <w:color w:val="0563C1"/>
            <w:u w:val="single"/>
            <w:sz w:val="19"/>
          </w:rPr>
          <w:t xml:space="preserve">PubMed</w:t>
        </w:r>
      </w:hyperlink>
      <w:r>
        <w:rPr>
          <w:b w:val="0"/>
          <w:i w:val="0"/>
          <w:sz w:val="19"/>
        </w:rPr>
        <w:t xml:space="preserve"> · </w:t>
      </w:r>
      <w:hyperlink r:id="rId75">
        <w:r>
          <w:rPr>
            <w:color w:val="0563C1"/>
            <w:u w:val="single"/>
            <w:sz w:val="19"/>
          </w:rPr>
          <w:t xml:space="preserve">Journal</w:t>
        </w:r>
      </w:hyperlink>
      <w:r>
        <w:rPr>
          <w:b w:val="0"/>
          <w:i w:val="0"/>
          <w:sz w:val="19"/>
        </w:rPr>
        <w:t xml:space="preserve"> · </w:t>
      </w:r>
      <w:hyperlink r:id="rId76">
        <w:r>
          <w:rPr>
            <w:color w:val="0563C1"/>
            <w:u w:val="single"/>
            <w:sz w:val="19"/>
          </w:rPr>
          <w:t xml:space="preserve">Source</w:t>
        </w:r>
      </w:hyperlink>
      <w:r>
        <w:rPr>
          <w:b w:val="0"/>
          <w:i w:val="0"/>
          <w:sz w:val="19"/>
        </w:rPr>
        <w:t xml:space="preserve"> · </w:t>
      </w:r>
      <w:hyperlink r:id="rId77">
        <w:r>
          <w:rPr>
            <w:color w:val="0563C1"/>
            <w:u w:val="single"/>
            <w:sz w:val="19"/>
          </w:rPr>
          <w:t xml:space="preserve">TMC library</w:t>
        </w:r>
      </w:hyperlink>
    </w:p>
    <w:p>
      <w:pPr>
        <w:spacing w:after="60"/>
      </w:pPr>
      <w:r>
        <w:rPr>
          <w:b/>
          <w:i w:val="0"/>
          <w:sz w:val="19"/>
        </w:rPr>
        <w:t>Chen 2026 · PRRT after LT</w:t>
      </w:r>
      <w:r>
        <w:rPr>
          <w:b w:val="0"/>
          <w:i w:val="0"/>
          <w:sz w:val="19"/>
        </w:rPr>
        <w:t xml:space="preserve"> — Peptide Receptor Radionuclide Therapy for Recurrent Neuroendocrine Tumor Liver Metastases After Liver transplantation: A Case Series</w:t>
      </w:r>
      <w:r>
        <w:rPr>
          <w:b w:val="0"/>
          <w:i w:val="0"/>
          <w:sz w:val="19"/>
        </w:rPr>
        <w:t xml:space="preserve">  </w:t>
      </w:r>
      <w:hyperlink r:id="rId78">
        <w:r>
          <w:rPr>
            <w:color w:val="0563C1"/>
            <w:u w:val="single"/>
            <w:sz w:val="19"/>
          </w:rPr>
          <w:t xml:space="preserve">PubMed</w:t>
        </w:r>
      </w:hyperlink>
      <w:r>
        <w:rPr>
          <w:b w:val="0"/>
          <w:i w:val="0"/>
          <w:sz w:val="19"/>
        </w:rPr>
        <w:t xml:space="preserve"> · </w:t>
      </w:r>
      <w:hyperlink r:id="rId79">
        <w:r>
          <w:rPr>
            <w:color w:val="0563C1"/>
            <w:u w:val="single"/>
            <w:sz w:val="19"/>
          </w:rPr>
          <w:t xml:space="preserve">Journal</w:t>
        </w:r>
      </w:hyperlink>
      <w:r>
        <w:rPr>
          <w:b w:val="0"/>
          <w:i w:val="0"/>
          <w:sz w:val="19"/>
        </w:rPr>
        <w:t xml:space="preserve"> · </w:t>
      </w:r>
      <w:hyperlink r:id="rId80">
        <w:r>
          <w:rPr>
            <w:color w:val="0563C1"/>
            <w:u w:val="single"/>
            <w:sz w:val="19"/>
          </w:rPr>
          <w:t xml:space="preserve">TMC library</w:t>
        </w:r>
      </w:hyperlink>
    </w:p>
    <w:p>
      <w:pPr>
        <w:spacing w:after="60"/>
      </w:pPr>
      <w:r>
        <w:rPr>
          <w:b/>
          <w:i w:val="0"/>
          <w:sz w:val="19"/>
        </w:rPr>
        <w:t>DEB-TACE phase 2</w:t>
      </w:r>
      <w:r>
        <w:rPr>
          <w:b w:val="0"/>
          <w:i w:val="0"/>
          <w:sz w:val="19"/>
        </w:rPr>
        <w:t xml:space="preserve"> — Bhagat N, Reyes DK, Lin M, et al. Phase II study of chemoembolization with drug-eluting beads in patients with hepatic neuroendocrine metastases: high incidence of biliary injury. Cardiovasc Intervent Radiol. 2013;36(2):449-59.</w:t>
      </w:r>
      <w:r>
        <w:rPr>
          <w:b w:val="0"/>
          <w:i w:val="0"/>
          <w:sz w:val="19"/>
        </w:rPr>
        <w:t xml:space="preserve">  </w:t>
      </w:r>
      <w:hyperlink r:id="rId81">
        <w:r>
          <w:rPr>
            <w:color w:val="0563C1"/>
            <w:u w:val="single"/>
            <w:sz w:val="19"/>
          </w:rPr>
          <w:t xml:space="preserve">PubMed</w:t>
        </w:r>
      </w:hyperlink>
    </w:p>
    <w:p>
      <w:pPr>
        <w:spacing w:after="60"/>
      </w:pPr>
      <w:r>
        <w:rPr>
          <w:b/>
          <w:i w:val="0"/>
          <w:sz w:val="19"/>
        </w:rPr>
        <w:t>DiMartini 2017</w:t>
      </w:r>
      <w:r>
        <w:rPr>
          <w:b w:val="0"/>
          <w:i w:val="0"/>
          <w:sz w:val="19"/>
        </w:rPr>
        <w:t xml:space="preserve"> — Social and Financial Outcomes of Living Liver Donation: A Prospective Investigation Within the Adult-to-Adult Living Donor Liver Transplantation Cohort Study 2 (A2ALL-2)</w:t>
      </w:r>
      <w:r>
        <w:rPr>
          <w:b w:val="0"/>
          <w:i w:val="0"/>
          <w:sz w:val="19"/>
        </w:rPr>
        <w:t xml:space="preserve">  </w:t>
      </w:r>
      <w:hyperlink r:id="rId82">
        <w:r>
          <w:rPr>
            <w:color w:val="0563C1"/>
            <w:u w:val="single"/>
            <w:sz w:val="19"/>
          </w:rPr>
          <w:t xml:space="preserve">PubMed</w:t>
        </w:r>
      </w:hyperlink>
      <w:r>
        <w:rPr>
          <w:b w:val="0"/>
          <w:i w:val="0"/>
          <w:sz w:val="19"/>
        </w:rPr>
        <w:t xml:space="preserve"> · </w:t>
      </w:r>
      <w:hyperlink r:id="rId83">
        <w:r>
          <w:rPr>
            <w:color w:val="0563C1"/>
            <w:u w:val="single"/>
            <w:sz w:val="19"/>
          </w:rPr>
          <w:t xml:space="preserve">Journal</w:t>
        </w:r>
      </w:hyperlink>
      <w:r>
        <w:rPr>
          <w:b w:val="0"/>
          <w:i w:val="0"/>
          <w:sz w:val="19"/>
        </w:rPr>
        <w:t xml:space="preserve"> · </w:t>
      </w:r>
      <w:hyperlink r:id="rId84">
        <w:r>
          <w:rPr>
            <w:color w:val="0563C1"/>
            <w:u w:val="single"/>
            <w:sz w:val="19"/>
          </w:rPr>
          <w:t xml:space="preserve">Free full text</w:t>
        </w:r>
      </w:hyperlink>
      <w:r>
        <w:rPr>
          <w:b w:val="0"/>
          <w:i w:val="0"/>
          <w:sz w:val="19"/>
        </w:rPr>
        <w:t xml:space="preserve"> · </w:t>
      </w:r>
      <w:hyperlink r:id="rId85">
        <w:r>
          <w:rPr>
            <w:color w:val="0563C1"/>
            <w:u w:val="single"/>
            <w:sz w:val="19"/>
          </w:rPr>
          <w:t xml:space="preserve">Source</w:t>
        </w:r>
      </w:hyperlink>
      <w:r>
        <w:rPr>
          <w:b w:val="0"/>
          <w:i w:val="0"/>
          <w:sz w:val="19"/>
        </w:rPr>
        <w:t xml:space="preserve"> · </w:t>
      </w:r>
      <w:hyperlink r:id="rId86">
        <w:r>
          <w:rPr>
            <w:color w:val="0563C1"/>
            <w:u w:val="single"/>
            <w:sz w:val="19"/>
          </w:rPr>
          <w:t xml:space="preserve">TMC library</w:t>
        </w:r>
      </w:hyperlink>
    </w:p>
    <w:p>
      <w:pPr>
        <w:spacing w:after="60"/>
      </w:pPr>
      <w:r>
        <w:rPr>
          <w:b/>
          <w:i w:val="0"/>
          <w:sz w:val="19"/>
        </w:rPr>
        <w:t>EANM Focus 3</w:t>
      </w:r>
      <w:r>
        <w:rPr>
          <w:b w:val="0"/>
          <w:i w:val="0"/>
          <w:sz w:val="19"/>
        </w:rPr>
        <w:t xml:space="preserve"> — Ambrosini V, Kunikowska J, Baudin E, et al. Consensus on molecular imaging and theranostics in neuroendocrine neoplasms. Eur J Cancer. 2021;146:56-73.</w:t>
      </w:r>
      <w:r>
        <w:rPr>
          <w:b w:val="0"/>
          <w:i w:val="0"/>
          <w:sz w:val="19"/>
        </w:rPr>
        <w:t xml:space="preserve">  </w:t>
      </w:r>
      <w:hyperlink r:id="rId87">
        <w:r>
          <w:rPr>
            <w:color w:val="0563C1"/>
            <w:u w:val="single"/>
            <w:sz w:val="19"/>
          </w:rPr>
          <w:t xml:space="preserve">PubMed</w:t>
        </w:r>
      </w:hyperlink>
    </w:p>
    <w:p>
      <w:pPr>
        <w:spacing w:after="60"/>
      </w:pPr>
      <w:r>
        <w:rPr>
          <w:b/>
          <w:i w:val="0"/>
          <w:sz w:val="19"/>
        </w:rPr>
        <w:t>EASL–AASLD–ILCA 2026</w:t>
      </w:r>
      <w:r>
        <w:rPr>
          <w:b w:val="0"/>
          <w:i w:val="0"/>
          <w:sz w:val="19"/>
        </w:rPr>
        <w:t xml:space="preserve"> — Trial design and end points in hepatocellular carcinoma: an EASL-AASLD-ILCA consensus statement</w:t>
      </w:r>
      <w:r>
        <w:rPr>
          <w:b w:val="0"/>
          <w:i w:val="0"/>
          <w:sz w:val="19"/>
        </w:rPr>
        <w:t xml:space="preserve">  </w:t>
      </w:r>
      <w:hyperlink r:id="rId88">
        <w:r>
          <w:rPr>
            <w:color w:val="0563C1"/>
            <w:u w:val="single"/>
            <w:sz w:val="19"/>
          </w:rPr>
          <w:t xml:space="preserve">PubMed</w:t>
        </w:r>
      </w:hyperlink>
      <w:r>
        <w:rPr>
          <w:b w:val="0"/>
          <w:i w:val="0"/>
          <w:sz w:val="19"/>
        </w:rPr>
        <w:t xml:space="preserve"> · </w:t>
      </w:r>
      <w:hyperlink r:id="rId89">
        <w:r>
          <w:rPr>
            <w:color w:val="0563C1"/>
            <w:u w:val="single"/>
            <w:sz w:val="19"/>
          </w:rPr>
          <w:t xml:space="preserve">Journal</w:t>
        </w:r>
      </w:hyperlink>
      <w:r>
        <w:rPr>
          <w:b w:val="0"/>
          <w:i w:val="0"/>
          <w:sz w:val="19"/>
        </w:rPr>
        <w:t xml:space="preserve"> · </w:t>
      </w:r>
      <w:hyperlink r:id="rId90">
        <w:r>
          <w:rPr>
            <w:color w:val="0563C1"/>
            <w:u w:val="single"/>
            <w:sz w:val="19"/>
          </w:rPr>
          <w:t xml:space="preserve">Free full text</w:t>
        </w:r>
      </w:hyperlink>
      <w:r>
        <w:rPr>
          <w:b w:val="0"/>
          <w:i w:val="0"/>
          <w:sz w:val="19"/>
        </w:rPr>
        <w:t xml:space="preserve"> · </w:t>
      </w:r>
      <w:hyperlink r:id="rId91">
        <w:r>
          <w:rPr>
            <w:color w:val="0563C1"/>
            <w:u w:val="single"/>
            <w:sz w:val="19"/>
          </w:rPr>
          <w:t xml:space="preserve">Source</w:t>
        </w:r>
      </w:hyperlink>
      <w:r>
        <w:rPr>
          <w:b w:val="0"/>
          <w:i w:val="0"/>
          <w:sz w:val="19"/>
        </w:rPr>
        <w:t xml:space="preserve"> · </w:t>
      </w:r>
      <w:hyperlink r:id="rId92">
        <w:r>
          <w:rPr>
            <w:color w:val="0563C1"/>
            <w:u w:val="single"/>
            <w:sz w:val="19"/>
          </w:rPr>
          <w:t xml:space="preserve">TMC library</w:t>
        </w:r>
      </w:hyperlink>
    </w:p>
    <w:p>
      <w:pPr>
        <w:spacing w:after="60"/>
      </w:pPr>
      <w:r>
        <w:rPr>
          <w:b/>
          <w:i w:val="0"/>
          <w:sz w:val="19"/>
        </w:rPr>
        <w:t>Eldridge 2016</w:t>
      </w:r>
      <w:r>
        <w:rPr>
          <w:b w:val="0"/>
          <w:i w:val="0"/>
          <w:sz w:val="19"/>
        </w:rPr>
        <w:t xml:space="preserve"> — CONSORT 2010 statement: extension to randomised pilot and feasibility trials</w:t>
      </w:r>
      <w:r>
        <w:rPr>
          <w:b w:val="0"/>
          <w:i w:val="0"/>
          <w:sz w:val="19"/>
        </w:rPr>
        <w:t xml:space="preserve">  </w:t>
      </w:r>
      <w:hyperlink r:id="rId93">
        <w:r>
          <w:rPr>
            <w:color w:val="0563C1"/>
            <w:u w:val="single"/>
            <w:sz w:val="19"/>
          </w:rPr>
          <w:t xml:space="preserve">PubMed</w:t>
        </w:r>
      </w:hyperlink>
      <w:r>
        <w:rPr>
          <w:b w:val="0"/>
          <w:i w:val="0"/>
          <w:sz w:val="19"/>
        </w:rPr>
        <w:t xml:space="preserve"> · </w:t>
      </w:r>
      <w:hyperlink r:id="rId94">
        <w:r>
          <w:rPr>
            <w:color w:val="0563C1"/>
            <w:u w:val="single"/>
            <w:sz w:val="19"/>
          </w:rPr>
          <w:t xml:space="preserve">Journal</w:t>
        </w:r>
      </w:hyperlink>
      <w:r>
        <w:rPr>
          <w:b w:val="0"/>
          <w:i w:val="0"/>
          <w:sz w:val="19"/>
        </w:rPr>
        <w:t xml:space="preserve"> · </w:t>
      </w:r>
      <w:hyperlink r:id="rId95">
        <w:r>
          <w:rPr>
            <w:color w:val="0563C1"/>
            <w:u w:val="single"/>
            <w:sz w:val="19"/>
          </w:rPr>
          <w:t xml:space="preserve">Source</w:t>
        </w:r>
      </w:hyperlink>
      <w:r>
        <w:rPr>
          <w:b w:val="0"/>
          <w:i w:val="0"/>
          <w:sz w:val="19"/>
        </w:rPr>
        <w:t xml:space="preserve"> · </w:t>
      </w:r>
      <w:hyperlink r:id="rId96">
        <w:r>
          <w:rPr>
            <w:color w:val="0563C1"/>
            <w:u w:val="single"/>
            <w:sz w:val="19"/>
          </w:rPr>
          <w:t xml:space="preserve">TMC library</w:t>
        </w:r>
      </w:hyperlink>
    </w:p>
    <w:p>
      <w:pPr>
        <w:spacing w:after="60"/>
      </w:pPr>
      <w:r>
        <w:rPr>
          <w:b/>
          <w:i w:val="0"/>
          <w:sz w:val="19"/>
        </w:rPr>
        <w:t>ENETS 2023 functioning panNET</w:t>
      </w:r>
      <w:r>
        <w:rPr>
          <w:b w:val="0"/>
          <w:i w:val="0"/>
          <w:sz w:val="19"/>
        </w:rPr>
        <w:t xml:space="preserve"> — Hofland J, Falconi M, Christ E, et al. European Neuroendocrine Tumor Society 2023 guidance paper for functioning pancreatic neuroendocrine tumour syndromes. J Neuroendocrinol. 2023;35(8):e13318.</w:t>
      </w:r>
      <w:r>
        <w:rPr>
          <w:b w:val="0"/>
          <w:i w:val="0"/>
          <w:sz w:val="19"/>
        </w:rPr>
        <w:t xml:space="preserve">  </w:t>
      </w:r>
      <w:hyperlink r:id="rId97">
        <w:r>
          <w:rPr>
            <w:color w:val="0563C1"/>
            <w:u w:val="single"/>
            <w:sz w:val="19"/>
          </w:rPr>
          <w:t xml:space="preserve">PubMed</w:t>
        </w:r>
      </w:hyperlink>
    </w:p>
    <w:p>
      <w:pPr>
        <w:spacing w:after="60"/>
      </w:pPr>
      <w:r>
        <w:rPr>
          <w:b/>
          <w:i w:val="0"/>
          <w:sz w:val="19"/>
        </w:rPr>
        <w:t>ENETS 2023 NEC</w:t>
      </w:r>
      <w:r>
        <w:rPr>
          <w:b w:val="0"/>
          <w:i w:val="0"/>
          <w:sz w:val="19"/>
        </w:rPr>
        <w:t xml:space="preserve"> — Sorbye H, Grande E, Pavel M, et al. European Neuroendocrine Tumor Society (ENETS) 2023 guidance paper for digestive neuroendocrine carcinoma. J Neuroendocrinol. 2023;35(3):e13249.</w:t>
      </w:r>
      <w:r>
        <w:rPr>
          <w:b w:val="0"/>
          <w:i w:val="0"/>
          <w:sz w:val="19"/>
        </w:rPr>
        <w:t xml:space="preserve">  </w:t>
      </w:r>
      <w:hyperlink r:id="rId98">
        <w:r>
          <w:rPr>
            <w:color w:val="0563C1"/>
            <w:u w:val="single"/>
            <w:sz w:val="19"/>
          </w:rPr>
          <w:t xml:space="preserve">PubMed</w:t>
        </w:r>
      </w:hyperlink>
    </w:p>
    <w:p>
      <w:pPr>
        <w:spacing w:after="60"/>
      </w:pPr>
      <w:r>
        <w:rPr>
          <w:b/>
          <w:i w:val="0"/>
          <w:sz w:val="19"/>
        </w:rPr>
        <w:t>ENETS 2024 small intestine</w:t>
      </w:r>
      <w:r>
        <w:rPr>
          <w:b w:val="0"/>
          <w:i w:val="0"/>
          <w:sz w:val="19"/>
        </w:rPr>
        <w:t xml:space="preserve"> — Lamarca A, Bartsch DK, Caplin M, et al. European Neuroendocrine Tumor Society (ENETS) 2024 guidance paper for the management of well-differentiated small intestine neuroendocrine tumours. J Neuroendocrinol. 2024;36(9):e13423.</w:t>
      </w:r>
      <w:r>
        <w:rPr>
          <w:b w:val="0"/>
          <w:i w:val="0"/>
          <w:sz w:val="19"/>
        </w:rPr>
        <w:t xml:space="preserve">  </w:t>
      </w:r>
      <w:hyperlink r:id="rId99">
        <w:r>
          <w:rPr>
            <w:color w:val="0563C1"/>
            <w:u w:val="single"/>
            <w:sz w:val="19"/>
          </w:rPr>
          <w:t xml:space="preserve">PubMed</w:t>
        </w:r>
      </w:hyperlink>
    </w:p>
    <w:p>
      <w:pPr>
        <w:spacing w:after="60"/>
      </w:pPr>
      <w:r>
        <w:rPr>
          <w:b/>
          <w:i w:val="0"/>
          <w:sz w:val="19"/>
        </w:rPr>
        <w:t>ENETS 2026</w:t>
      </w:r>
      <w:r>
        <w:rPr>
          <w:b w:val="0"/>
          <w:i w:val="0"/>
          <w:sz w:val="19"/>
        </w:rPr>
        <w:t xml:space="preserve"> — Controversies in NEN: An ENETS position statement on the role of liver transplantation (LT) in patients with advanced small-intestinal and pancreatic NETs</w:t>
      </w:r>
      <w:r>
        <w:rPr>
          <w:b w:val="0"/>
          <w:i w:val="0"/>
          <w:sz w:val="19"/>
        </w:rPr>
        <w:t xml:space="preserve">  </w:t>
      </w:r>
      <w:hyperlink r:id="rId100">
        <w:r>
          <w:rPr>
            <w:color w:val="0563C1"/>
            <w:u w:val="single"/>
            <w:sz w:val="19"/>
          </w:rPr>
          <w:t xml:space="preserve">PubMed</w:t>
        </w:r>
      </w:hyperlink>
      <w:r>
        <w:rPr>
          <w:b w:val="0"/>
          <w:i w:val="0"/>
          <w:sz w:val="19"/>
        </w:rPr>
        <w:t xml:space="preserve"> · </w:t>
      </w:r>
      <w:hyperlink r:id="rId101">
        <w:r>
          <w:rPr>
            <w:color w:val="0563C1"/>
            <w:u w:val="single"/>
            <w:sz w:val="19"/>
          </w:rPr>
          <w:t xml:space="preserve">Journal</w:t>
        </w:r>
      </w:hyperlink>
      <w:r>
        <w:rPr>
          <w:b w:val="0"/>
          <w:i w:val="0"/>
          <w:sz w:val="19"/>
        </w:rPr>
        <w:t xml:space="preserve"> · </w:t>
      </w:r>
      <w:hyperlink r:id="rId102">
        <w:r>
          <w:rPr>
            <w:color w:val="0563C1"/>
            <w:u w:val="single"/>
            <w:sz w:val="19"/>
          </w:rPr>
          <w:t xml:space="preserve">Free full text</w:t>
        </w:r>
      </w:hyperlink>
      <w:r>
        <w:rPr>
          <w:b w:val="0"/>
          <w:i w:val="0"/>
          <w:sz w:val="19"/>
        </w:rPr>
        <w:t xml:space="preserve"> · </w:t>
      </w:r>
      <w:hyperlink r:id="rId103">
        <w:r>
          <w:rPr>
            <w:color w:val="0563C1"/>
            <w:u w:val="single"/>
            <w:sz w:val="19"/>
          </w:rPr>
          <w:t xml:space="preserve">Source</w:t>
        </w:r>
      </w:hyperlink>
      <w:r>
        <w:rPr>
          <w:b w:val="0"/>
          <w:i w:val="0"/>
          <w:sz w:val="19"/>
        </w:rPr>
        <w:t xml:space="preserve"> · </w:t>
      </w:r>
      <w:hyperlink r:id="rId104">
        <w:r>
          <w:rPr>
            <w:color w:val="0563C1"/>
            <w:u w:val="single"/>
            <w:sz w:val="19"/>
          </w:rPr>
          <w:t xml:space="preserve">TMC library</w:t>
        </w:r>
      </w:hyperlink>
    </w:p>
    <w:p>
      <w:pPr>
        <w:spacing w:after="60"/>
      </w:pPr>
      <w:r>
        <w:rPr>
          <w:b/>
          <w:i w:val="0"/>
          <w:sz w:val="19"/>
        </w:rPr>
        <w:t>Eshmuminov 2023 · LT versus resection</w:t>
      </w:r>
      <w:r>
        <w:rPr>
          <w:b w:val="0"/>
          <w:i w:val="0"/>
          <w:sz w:val="19"/>
        </w:rPr>
        <w:t xml:space="preserve"> — Controversy Over Liver Transplantation or Resection for Neuroendocrine Liver Metastasis: Tumor Biology Cuts the Deal</w:t>
      </w:r>
      <w:r>
        <w:rPr>
          <w:b w:val="0"/>
          <w:i w:val="0"/>
          <w:sz w:val="19"/>
        </w:rPr>
        <w:t xml:space="preserve">  </w:t>
      </w:r>
      <w:hyperlink r:id="rId105">
        <w:r>
          <w:rPr>
            <w:color w:val="0563C1"/>
            <w:u w:val="single"/>
            <w:sz w:val="19"/>
          </w:rPr>
          <w:t xml:space="preserve">PubMed</w:t>
        </w:r>
      </w:hyperlink>
      <w:r>
        <w:rPr>
          <w:b w:val="0"/>
          <w:i w:val="0"/>
          <w:sz w:val="19"/>
        </w:rPr>
        <w:t xml:space="preserve"> · </w:t>
      </w:r>
      <w:hyperlink r:id="rId106">
        <w:r>
          <w:rPr>
            <w:color w:val="0563C1"/>
            <w:u w:val="single"/>
            <w:sz w:val="19"/>
          </w:rPr>
          <w:t xml:space="preserve">Journal</w:t>
        </w:r>
      </w:hyperlink>
      <w:r>
        <w:rPr>
          <w:b w:val="0"/>
          <w:i w:val="0"/>
          <w:sz w:val="19"/>
        </w:rPr>
        <w:t xml:space="preserve"> · </w:t>
      </w:r>
      <w:hyperlink r:id="rId107">
        <w:r>
          <w:rPr>
            <w:color w:val="0563C1"/>
            <w:u w:val="single"/>
            <w:sz w:val="19"/>
          </w:rPr>
          <w:t xml:space="preserve">Source</w:t>
        </w:r>
      </w:hyperlink>
      <w:r>
        <w:rPr>
          <w:b w:val="0"/>
          <w:i w:val="0"/>
          <w:sz w:val="19"/>
        </w:rPr>
        <w:t xml:space="preserve"> · </w:t>
      </w:r>
      <w:hyperlink r:id="rId108">
        <w:r>
          <w:rPr>
            <w:color w:val="0563C1"/>
            <w:u w:val="single"/>
            <w:sz w:val="19"/>
          </w:rPr>
          <w:t xml:space="preserve">TMC library</w:t>
        </w:r>
      </w:hyperlink>
    </w:p>
    <w:p>
      <w:pPr>
        <w:spacing w:after="60"/>
      </w:pPr>
      <w:r>
        <w:rPr>
          <w:b/>
          <w:i w:val="0"/>
          <w:sz w:val="19"/>
        </w:rPr>
        <w:t>ESMO 2020 GEP-NEN</w:t>
      </w:r>
      <w:r>
        <w:rPr>
          <w:b w:val="0"/>
          <w:i w:val="0"/>
          <w:sz w:val="19"/>
        </w:rPr>
        <w:t xml:space="preserve"> — Pavel M, Öberg K, Falconi M, et al. Gastroenteropancreatic neuroendocrine neoplasms: ESMO clinical practice guidelines for diagnosis, treatment and follow-up. Ann Oncol. 2020;31(7):844-860.</w:t>
      </w:r>
      <w:r>
        <w:rPr>
          <w:b w:val="0"/>
          <w:i w:val="0"/>
          <w:sz w:val="19"/>
        </w:rPr>
        <w:t xml:space="preserve">  </w:t>
      </w:r>
      <w:hyperlink r:id="rId109">
        <w:r>
          <w:rPr>
            <w:color w:val="0563C1"/>
            <w:u w:val="single"/>
            <w:sz w:val="19"/>
          </w:rPr>
          <w:t xml:space="preserve">PubMed</w:t>
        </w:r>
      </w:hyperlink>
    </w:p>
    <w:p>
      <w:pPr>
        <w:spacing w:after="60"/>
      </w:pPr>
      <w:r>
        <w:rPr>
          <w:b/>
          <w:i w:val="0"/>
          <w:sz w:val="19"/>
        </w:rPr>
        <w:t>Frilling 2010 · 68Ga-DOTATOC PET</w:t>
      </w:r>
      <w:r>
        <w:rPr>
          <w:b w:val="0"/>
          <w:i w:val="0"/>
          <w:sz w:val="19"/>
        </w:rPr>
        <w:t xml:space="preserve"> — The impact of 68Ga-DOTATOC positron emission tomography/computed tomography on the multimodal management of patients with neuroendocrine tumors</w:t>
      </w:r>
      <w:r>
        <w:rPr>
          <w:b w:val="0"/>
          <w:i w:val="0"/>
          <w:sz w:val="19"/>
        </w:rPr>
        <w:t xml:space="preserve">  </w:t>
      </w:r>
      <w:hyperlink r:id="rId110">
        <w:r>
          <w:rPr>
            <w:color w:val="0563C1"/>
            <w:u w:val="single"/>
            <w:sz w:val="19"/>
          </w:rPr>
          <w:t xml:space="preserve">PubMed</w:t>
        </w:r>
      </w:hyperlink>
      <w:r>
        <w:rPr>
          <w:b w:val="0"/>
          <w:i w:val="0"/>
          <w:sz w:val="19"/>
        </w:rPr>
        <w:t xml:space="preserve"> · </w:t>
      </w:r>
      <w:hyperlink r:id="rId111">
        <w:r>
          <w:rPr>
            <w:color w:val="0563C1"/>
            <w:u w:val="single"/>
            <w:sz w:val="19"/>
          </w:rPr>
          <w:t xml:space="preserve">Journal</w:t>
        </w:r>
      </w:hyperlink>
      <w:r>
        <w:rPr>
          <w:b w:val="0"/>
          <w:i w:val="0"/>
          <w:sz w:val="19"/>
        </w:rPr>
        <w:t xml:space="preserve"> · </w:t>
      </w:r>
      <w:hyperlink r:id="rId112">
        <w:r>
          <w:rPr>
            <w:color w:val="0563C1"/>
            <w:u w:val="single"/>
            <w:sz w:val="19"/>
          </w:rPr>
          <w:t xml:space="preserve">TMC library</w:t>
        </w:r>
      </w:hyperlink>
    </w:p>
    <w:p>
      <w:pPr>
        <w:spacing w:after="60"/>
      </w:pPr>
      <w:r>
        <w:rPr>
          <w:b/>
          <w:i w:val="0"/>
          <w:sz w:val="19"/>
        </w:rPr>
        <w:t>Graff-Baker debulking</w:t>
      </w:r>
      <w:r>
        <w:rPr>
          <w:b w:val="0"/>
          <w:i w:val="0"/>
          <w:sz w:val="19"/>
        </w:rPr>
        <w:t xml:space="preserve"> — Graff-Baker AN, Sauer DA, Pommier SJ, et al. Expanded criteria for carcinoid liver debulking: maintaining survival and increasing the number of eligible patients. Surgery. 2014;156(6):1369-76.</w:t>
      </w:r>
      <w:r>
        <w:rPr>
          <w:b w:val="0"/>
          <w:i w:val="0"/>
          <w:sz w:val="19"/>
        </w:rPr>
        <w:t xml:space="preserve">  </w:t>
      </w:r>
      <w:hyperlink r:id="rId113">
        <w:r>
          <w:rPr>
            <w:color w:val="0563C1"/>
            <w:u w:val="single"/>
            <w:sz w:val="19"/>
          </w:rPr>
          <w:t xml:space="preserve">PubMed</w:t>
        </w:r>
      </w:hyperlink>
    </w:p>
    <w:p>
      <w:pPr>
        <w:spacing w:after="60"/>
      </w:pPr>
      <w:r>
        <w:rPr>
          <w:b/>
          <w:i w:val="0"/>
          <w:sz w:val="19"/>
        </w:rPr>
        <w:t>Gudmundsdottir 2023 · cytoreductive hepatectomy</w:t>
      </w:r>
      <w:r>
        <w:rPr>
          <w:b w:val="0"/>
          <w:i w:val="0"/>
          <w:sz w:val="19"/>
        </w:rPr>
        <w:t xml:space="preserve">  </w:t>
      </w:r>
      <w:hyperlink r:id="rId114">
        <w:r>
          <w:rPr>
            <w:color w:val="0563C1"/>
            <w:u w:val="single"/>
            <w:sz w:val="19"/>
          </w:rPr>
          <w:t xml:space="preserve">PubMed</w:t>
        </w:r>
      </w:hyperlink>
      <w:r>
        <w:rPr>
          <w:b w:val="0"/>
          <w:i w:val="0"/>
          <w:sz w:val="19"/>
        </w:rPr>
        <w:t xml:space="preserve"> · </w:t>
      </w:r>
      <w:hyperlink r:id="rId115">
        <w:r>
          <w:rPr>
            <w:color w:val="0563C1"/>
            <w:u w:val="single"/>
            <w:sz w:val="19"/>
          </w:rPr>
          <w:t xml:space="preserve">Journal</w:t>
        </w:r>
      </w:hyperlink>
      <w:r>
        <w:rPr>
          <w:b w:val="0"/>
          <w:i w:val="0"/>
          <w:sz w:val="19"/>
        </w:rPr>
        <w:t xml:space="preserve"> · </w:t>
      </w:r>
      <w:hyperlink r:id="rId116">
        <w:r>
          <w:rPr>
            <w:color w:val="0563C1"/>
            <w:u w:val="single"/>
            <w:sz w:val="19"/>
          </w:rPr>
          <w:t xml:space="preserve">Free full text</w:t>
        </w:r>
      </w:hyperlink>
      <w:r>
        <w:rPr>
          <w:b w:val="0"/>
          <w:i w:val="0"/>
          <w:sz w:val="19"/>
        </w:rPr>
        <w:t xml:space="preserve"> · </w:t>
      </w:r>
      <w:hyperlink r:id="rId117">
        <w:r>
          <w:rPr>
            <w:color w:val="0563C1"/>
            <w:u w:val="single"/>
            <w:sz w:val="19"/>
          </w:rPr>
          <w:t xml:space="preserve">TMC library</w:t>
        </w:r>
      </w:hyperlink>
    </w:p>
    <w:p>
      <w:pPr>
        <w:spacing w:after="60"/>
      </w:pPr>
      <w:r>
        <w:rPr>
          <w:b/>
          <w:i w:val="0"/>
          <w:sz w:val="19"/>
        </w:rPr>
        <w:t>Gupta embolisation</w:t>
      </w:r>
      <w:r>
        <w:rPr>
          <w:b w:val="0"/>
          <w:i w:val="0"/>
          <w:sz w:val="19"/>
        </w:rPr>
        <w:t xml:space="preserve"> — Gupta S, Johnson MM, Murthy R, et al. Hepatic arterial embolization and chemoembolization for the treatment of patients with metastatic neuroendocrine tumors: variables affecting response rates and survival. Cancer. 2005;104(8):1590-602.</w:t>
      </w:r>
      <w:r>
        <w:rPr>
          <w:b w:val="0"/>
          <w:i w:val="0"/>
          <w:sz w:val="19"/>
        </w:rPr>
        <w:t xml:space="preserve">  </w:t>
      </w:r>
      <w:hyperlink r:id="rId118">
        <w:r>
          <w:rPr>
            <w:color w:val="0563C1"/>
            <w:u w:val="single"/>
            <w:sz w:val="19"/>
          </w:rPr>
          <w:t xml:space="preserve">PubMed</w:t>
        </w:r>
      </w:hyperlink>
    </w:p>
    <w:p>
      <w:pPr>
        <w:spacing w:after="60"/>
      </w:pPr>
      <w:r>
        <w:rPr>
          <w:b/>
          <w:i w:val="0"/>
          <w:sz w:val="19"/>
        </w:rPr>
        <w:t>HEPAR PLuS</w:t>
      </w:r>
      <w:r>
        <w:rPr>
          <w:b w:val="0"/>
          <w:i w:val="0"/>
          <w:sz w:val="19"/>
        </w:rPr>
        <w:t xml:space="preserve"> — Veldhuis WB, Walter T, de Vries-Huizing DMV, et al. PRRT plus holmium-166-SIRT (HEPAR PLuS) versus PRRT-only in patients with metastatic neuroendocrine tumors: a propensity-score matched analysis. J Neuroendocrinol. 2025;37(8):e70034.</w:t>
      </w:r>
      <w:r>
        <w:rPr>
          <w:b w:val="0"/>
          <w:i w:val="0"/>
          <w:sz w:val="19"/>
        </w:rPr>
        <w:t xml:space="preserve">  </w:t>
      </w:r>
      <w:hyperlink r:id="rId119">
        <w:r>
          <w:rPr>
            <w:color w:val="0563C1"/>
            <w:u w:val="single"/>
            <w:sz w:val="19"/>
          </w:rPr>
          <w:t xml:space="preserve">PubMed</w:t>
        </w:r>
      </w:hyperlink>
    </w:p>
    <w:p>
      <w:pPr>
        <w:spacing w:after="60"/>
      </w:pPr>
      <w:r>
        <w:rPr>
          <w:b/>
          <w:i w:val="0"/>
          <w:sz w:val="19"/>
        </w:rPr>
        <w:t>HHS human-subject protections</w:t>
      </w:r>
      <w:r>
        <w:rPr>
          <w:b w:val="0"/>
          <w:i w:val="0"/>
          <w:sz w:val="19"/>
        </w:rPr>
        <w:t xml:space="preserve"> — 45 CFR 46.111: Criteria for IRB approval of research</w:t>
      </w:r>
      <w:r>
        <w:rPr>
          <w:b w:val="0"/>
          <w:i w:val="0"/>
          <w:sz w:val="19"/>
        </w:rPr>
        <w:t xml:space="preserve">  </w:t>
      </w:r>
      <w:hyperlink r:id="rId120">
        <w:r>
          <w:rPr>
            <w:color w:val="0563C1"/>
            <w:u w:val="single"/>
            <w:sz w:val="19"/>
          </w:rPr>
          <w:t xml:space="preserve">Source</w:t>
        </w:r>
      </w:hyperlink>
    </w:p>
    <w:p>
      <w:pPr>
        <w:spacing w:after="60"/>
      </w:pPr>
      <w:r>
        <w:rPr>
          <w:b/>
          <w:i w:val="0"/>
          <w:sz w:val="19"/>
        </w:rPr>
        <w:t>Itanet 2024 RLT</w:t>
      </w:r>
      <w:r>
        <w:rPr>
          <w:b w:val="0"/>
          <w:i w:val="0"/>
          <w:sz w:val="19"/>
        </w:rPr>
        <w:t xml:space="preserve"> — Panzuto F, Albertelli M, Davì MV, et al. Radioligand therapy in the therapeutic strategy for patients with gastro-entero-pancreatic neuroendocrine tumors: a consensus statement from Itanet, AIMN, SIE and AIOM. J Endocrinol Invest. 2025;48(1):23-36.</w:t>
      </w:r>
      <w:r>
        <w:rPr>
          <w:b w:val="0"/>
          <w:i w:val="0"/>
          <w:sz w:val="19"/>
        </w:rPr>
        <w:t xml:space="preserve">  </w:t>
      </w:r>
      <w:hyperlink r:id="rId121">
        <w:r>
          <w:rPr>
            <w:color w:val="0563C1"/>
            <w:u w:val="single"/>
            <w:sz w:val="19"/>
          </w:rPr>
          <w:t xml:space="preserve">PubMed</w:t>
        </w:r>
      </w:hyperlink>
    </w:p>
    <w:p>
      <w:pPr>
        <w:spacing w:after="60"/>
      </w:pPr>
      <w:r>
        <w:rPr>
          <w:b/>
          <w:i w:val="0"/>
          <w:sz w:val="19"/>
        </w:rPr>
        <w:t>Kelly 2026</w:t>
      </w:r>
      <w:r>
        <w:rPr>
          <w:b w:val="0"/>
          <w:i w:val="0"/>
          <w:sz w:val="19"/>
        </w:rPr>
        <w:t xml:space="preserve"> — Three Decades of Living Liver Donor Outcomes: A National Cohort Analysis of Patterns in Mortality and Recovery</w:t>
      </w:r>
      <w:r>
        <w:rPr>
          <w:b w:val="0"/>
          <w:i w:val="0"/>
          <w:sz w:val="19"/>
        </w:rPr>
        <w:t xml:space="preserve">  </w:t>
      </w:r>
      <w:hyperlink r:id="rId122">
        <w:r>
          <w:rPr>
            <w:color w:val="0563C1"/>
            <w:u w:val="single"/>
            <w:sz w:val="19"/>
          </w:rPr>
          <w:t xml:space="preserve">PubMed</w:t>
        </w:r>
      </w:hyperlink>
      <w:r>
        <w:rPr>
          <w:b w:val="0"/>
          <w:i w:val="0"/>
          <w:sz w:val="19"/>
        </w:rPr>
        <w:t xml:space="preserve"> · </w:t>
      </w:r>
      <w:hyperlink r:id="rId123">
        <w:r>
          <w:rPr>
            <w:color w:val="0563C1"/>
            <w:u w:val="single"/>
            <w:sz w:val="19"/>
          </w:rPr>
          <w:t xml:space="preserve">Journal</w:t>
        </w:r>
      </w:hyperlink>
      <w:r>
        <w:rPr>
          <w:b w:val="0"/>
          <w:i w:val="0"/>
          <w:sz w:val="19"/>
        </w:rPr>
        <w:t xml:space="preserve"> · </w:t>
      </w:r>
      <w:hyperlink r:id="rId124">
        <w:r>
          <w:rPr>
            <w:color w:val="0563C1"/>
            <w:u w:val="single"/>
            <w:sz w:val="19"/>
          </w:rPr>
          <w:t xml:space="preserve">TMC library</w:t>
        </w:r>
      </w:hyperlink>
    </w:p>
    <w:p>
      <w:pPr>
        <w:spacing w:after="60"/>
      </w:pPr>
      <w:r>
        <w:rPr>
          <w:b/>
          <w:i w:val="0"/>
          <w:sz w:val="19"/>
        </w:rPr>
        <w:t>Kennedy Y-90</w:t>
      </w:r>
      <w:r>
        <w:rPr>
          <w:b w:val="0"/>
          <w:i w:val="0"/>
          <w:sz w:val="19"/>
        </w:rPr>
        <w:t xml:space="preserve"> — Kennedy AS, Dezarn WA, McNeillie P, et al. Radioembolization for unresectable neuroendocrine hepatic metastases using resin 90Y-microspheres: early results in 148 patients. Am J Clin Oncol. 2008;31(3):271-9.</w:t>
      </w:r>
      <w:r>
        <w:rPr>
          <w:b w:val="0"/>
          <w:i w:val="0"/>
          <w:sz w:val="19"/>
        </w:rPr>
        <w:t xml:space="preserve">  </w:t>
      </w:r>
      <w:hyperlink r:id="rId125">
        <w:r>
          <w:rPr>
            <w:color w:val="0563C1"/>
            <w:u w:val="single"/>
            <w:sz w:val="19"/>
          </w:rPr>
          <w:t xml:space="preserve">PubMed</w:t>
        </w:r>
      </w:hyperlink>
    </w:p>
    <w:p>
      <w:pPr>
        <w:spacing w:after="60"/>
      </w:pPr>
      <w:r>
        <w:rPr>
          <w:b/>
          <w:i w:val="0"/>
          <w:sz w:val="19"/>
        </w:rPr>
        <w:t>Kjaer 2023 · eligible non-LT panNET</w:t>
      </w:r>
      <w:r>
        <w:rPr>
          <w:b w:val="0"/>
          <w:i w:val="0"/>
          <w:sz w:val="19"/>
        </w:rPr>
        <w:t xml:space="preserve"> — Overall Survival in Patients with Stage IV Pan-NET Eligible for Liver Transplantation</w:t>
      </w:r>
      <w:r>
        <w:rPr>
          <w:b w:val="0"/>
          <w:i w:val="0"/>
          <w:sz w:val="19"/>
        </w:rPr>
        <w:t xml:space="preserve">  </w:t>
      </w:r>
      <w:hyperlink r:id="rId126">
        <w:r>
          <w:rPr>
            <w:color w:val="0563C1"/>
            <w:u w:val="single"/>
            <w:sz w:val="19"/>
          </w:rPr>
          <w:t xml:space="preserve">PubMed</w:t>
        </w:r>
      </w:hyperlink>
      <w:r>
        <w:rPr>
          <w:b w:val="0"/>
          <w:i w:val="0"/>
          <w:sz w:val="19"/>
        </w:rPr>
        <w:t xml:space="preserve"> · </w:t>
      </w:r>
      <w:hyperlink r:id="rId127">
        <w:r>
          <w:rPr>
            <w:color w:val="0563C1"/>
            <w:u w:val="single"/>
            <w:sz w:val="19"/>
          </w:rPr>
          <w:t xml:space="preserve">Journal</w:t>
        </w:r>
      </w:hyperlink>
      <w:r>
        <w:rPr>
          <w:b w:val="0"/>
          <w:i w:val="0"/>
          <w:sz w:val="19"/>
        </w:rPr>
        <w:t xml:space="preserve"> · </w:t>
      </w:r>
      <w:hyperlink r:id="rId128">
        <w:r>
          <w:rPr>
            <w:color w:val="0563C1"/>
            <w:u w:val="single"/>
            <w:sz w:val="19"/>
          </w:rPr>
          <w:t xml:space="preserve">Source</w:t>
        </w:r>
      </w:hyperlink>
      <w:r>
        <w:rPr>
          <w:b w:val="0"/>
          <w:i w:val="0"/>
          <w:sz w:val="19"/>
        </w:rPr>
        <w:t xml:space="preserve"> · </w:t>
      </w:r>
      <w:hyperlink r:id="rId129">
        <w:r>
          <w:rPr>
            <w:color w:val="0563C1"/>
            <w:u w:val="single"/>
            <w:sz w:val="19"/>
          </w:rPr>
          <w:t xml:space="preserve">TMC library</w:t>
        </w:r>
      </w:hyperlink>
    </w:p>
    <w:p>
      <w:pPr>
        <w:spacing w:after="60"/>
      </w:pPr>
      <w:r>
        <w:rPr>
          <w:b/>
          <w:i w:val="0"/>
          <w:sz w:val="19"/>
        </w:rPr>
        <w:t>Le Treut 2013 · ELTR</w:t>
      </w:r>
      <w:r>
        <w:rPr>
          <w:b w:val="0"/>
          <w:i w:val="0"/>
          <w:sz w:val="19"/>
        </w:rPr>
        <w:t xml:space="preserve"> — Liver Transplantation for Neuroendocrine Tumors in Europe—Results and Trends in Patient Selection</w:t>
      </w:r>
      <w:r>
        <w:rPr>
          <w:b w:val="0"/>
          <w:i w:val="0"/>
          <w:sz w:val="19"/>
        </w:rPr>
        <w:t xml:space="preserve">  </w:t>
      </w:r>
      <w:hyperlink r:id="rId130">
        <w:r>
          <w:rPr>
            <w:color w:val="0563C1"/>
            <w:u w:val="single"/>
            <w:sz w:val="19"/>
          </w:rPr>
          <w:t xml:space="preserve">PubMed</w:t>
        </w:r>
      </w:hyperlink>
      <w:r>
        <w:rPr>
          <w:b w:val="0"/>
          <w:i w:val="0"/>
          <w:sz w:val="19"/>
        </w:rPr>
        <w:t xml:space="preserve"> · </w:t>
      </w:r>
      <w:hyperlink r:id="rId131">
        <w:r>
          <w:rPr>
            <w:color w:val="0563C1"/>
            <w:u w:val="single"/>
            <w:sz w:val="19"/>
          </w:rPr>
          <w:t xml:space="preserve">Journal</w:t>
        </w:r>
      </w:hyperlink>
      <w:r>
        <w:rPr>
          <w:b w:val="0"/>
          <w:i w:val="0"/>
          <w:sz w:val="19"/>
        </w:rPr>
        <w:t xml:space="preserve"> · </w:t>
      </w:r>
      <w:hyperlink r:id="rId132">
        <w:r>
          <w:rPr>
            <w:color w:val="0563C1"/>
            <w:u w:val="single"/>
            <w:sz w:val="19"/>
          </w:rPr>
          <w:t xml:space="preserve">Source</w:t>
        </w:r>
      </w:hyperlink>
      <w:r>
        <w:rPr>
          <w:b w:val="0"/>
          <w:i w:val="0"/>
          <w:sz w:val="19"/>
        </w:rPr>
        <w:t xml:space="preserve"> · </w:t>
      </w:r>
      <w:hyperlink r:id="rId133">
        <w:r>
          <w:rPr>
            <w:color w:val="0563C1"/>
            <w:u w:val="single"/>
            <w:sz w:val="19"/>
          </w:rPr>
          <w:t xml:space="preserve">TMC library</w:t>
        </w:r>
      </w:hyperlink>
    </w:p>
    <w:p>
      <w:pPr>
        <w:spacing w:after="60"/>
      </w:pPr>
      <w:r>
        <w:rPr>
          <w:b/>
          <w:i w:val="0"/>
          <w:sz w:val="19"/>
        </w:rPr>
        <w:t>Mahuron 2024 · NET liver metastases with EHD</w:t>
      </w:r>
      <w:r>
        <w:rPr>
          <w:b w:val="0"/>
          <w:i w:val="0"/>
          <w:sz w:val="19"/>
        </w:rPr>
        <w:t xml:space="preserve">  </w:t>
      </w:r>
      <w:hyperlink r:id="rId134">
        <w:r>
          <w:rPr>
            <w:color w:val="0563C1"/>
            <w:u w:val="single"/>
            <w:sz w:val="19"/>
          </w:rPr>
          <w:t xml:space="preserve">PubMed</w:t>
        </w:r>
      </w:hyperlink>
      <w:r>
        <w:rPr>
          <w:b w:val="0"/>
          <w:i w:val="0"/>
          <w:sz w:val="19"/>
        </w:rPr>
        <w:t xml:space="preserve"> · </w:t>
      </w:r>
      <w:hyperlink r:id="rId135">
        <w:r>
          <w:rPr>
            <w:color w:val="0563C1"/>
            <w:u w:val="single"/>
            <w:sz w:val="19"/>
          </w:rPr>
          <w:t xml:space="preserve">Journal</w:t>
        </w:r>
      </w:hyperlink>
      <w:r>
        <w:rPr>
          <w:b w:val="0"/>
          <w:i w:val="0"/>
          <w:sz w:val="19"/>
        </w:rPr>
        <w:t xml:space="preserve"> · </w:t>
      </w:r>
      <w:hyperlink r:id="rId136">
        <w:r>
          <w:rPr>
            <w:color w:val="0563C1"/>
            <w:u w:val="single"/>
            <w:sz w:val="19"/>
          </w:rPr>
          <w:t xml:space="preserve">Free full text</w:t>
        </w:r>
      </w:hyperlink>
      <w:r>
        <w:rPr>
          <w:b w:val="0"/>
          <w:i w:val="0"/>
          <w:sz w:val="19"/>
        </w:rPr>
        <w:t xml:space="preserve"> · </w:t>
      </w:r>
      <w:hyperlink r:id="rId137">
        <w:r>
          <w:rPr>
            <w:color w:val="0563C1"/>
            <w:u w:val="single"/>
            <w:sz w:val="19"/>
          </w:rPr>
          <w:t xml:space="preserve">TMC library</w:t>
        </w:r>
      </w:hyperlink>
    </w:p>
    <w:p>
      <w:pPr>
        <w:spacing w:after="60"/>
      </w:pPr>
      <w:r>
        <w:rPr>
          <w:b/>
          <w:i w:val="0"/>
          <w:sz w:val="19"/>
        </w:rPr>
        <w:t>Maspero 2022 · Milan long-term</w:t>
      </w:r>
      <w:r>
        <w:rPr>
          <w:b w:val="0"/>
          <w:i w:val="0"/>
          <w:sz w:val="19"/>
        </w:rPr>
        <w:t xml:space="preserve"> — Long-term outcomes of resection versus transplantation for neuroendocrine liver metastases meeting the Milan criteria</w:t>
      </w:r>
      <w:r>
        <w:rPr>
          <w:b w:val="0"/>
          <w:i w:val="0"/>
          <w:sz w:val="19"/>
        </w:rPr>
        <w:t xml:space="preserve">  </w:t>
      </w:r>
      <w:hyperlink r:id="rId138">
        <w:r>
          <w:rPr>
            <w:color w:val="0563C1"/>
            <w:u w:val="single"/>
            <w:sz w:val="19"/>
          </w:rPr>
          <w:t xml:space="preserve">PubMed</w:t>
        </w:r>
      </w:hyperlink>
      <w:r>
        <w:rPr>
          <w:b w:val="0"/>
          <w:i w:val="0"/>
          <w:sz w:val="19"/>
        </w:rPr>
        <w:t xml:space="preserve"> · </w:t>
      </w:r>
      <w:hyperlink r:id="rId139">
        <w:r>
          <w:rPr>
            <w:color w:val="0563C1"/>
            <w:u w:val="single"/>
            <w:sz w:val="19"/>
          </w:rPr>
          <w:t xml:space="preserve">Journal</w:t>
        </w:r>
      </w:hyperlink>
      <w:r>
        <w:rPr>
          <w:b w:val="0"/>
          <w:i w:val="0"/>
          <w:sz w:val="19"/>
        </w:rPr>
        <w:t xml:space="preserve"> · </w:t>
      </w:r>
      <w:hyperlink r:id="rId140">
        <w:r>
          <w:rPr>
            <w:color w:val="0563C1"/>
            <w:u w:val="single"/>
            <w:sz w:val="19"/>
          </w:rPr>
          <w:t xml:space="preserve">Free full text</w:t>
        </w:r>
      </w:hyperlink>
      <w:r>
        <w:rPr>
          <w:b w:val="0"/>
          <w:i w:val="0"/>
          <w:sz w:val="19"/>
        </w:rPr>
        <w:t xml:space="preserve"> · </w:t>
      </w:r>
      <w:hyperlink r:id="rId141">
        <w:r>
          <w:rPr>
            <w:color w:val="0563C1"/>
            <w:u w:val="single"/>
            <w:sz w:val="19"/>
          </w:rPr>
          <w:t xml:space="preserve">Source</w:t>
        </w:r>
      </w:hyperlink>
      <w:r>
        <w:rPr>
          <w:b w:val="0"/>
          <w:i w:val="0"/>
          <w:sz w:val="19"/>
        </w:rPr>
        <w:t xml:space="preserve"> · </w:t>
      </w:r>
      <w:hyperlink r:id="rId142">
        <w:r>
          <w:rPr>
            <w:color w:val="0563C1"/>
            <w:u w:val="single"/>
            <w:sz w:val="19"/>
          </w:rPr>
          <w:t xml:space="preserve">TMC library</w:t>
        </w:r>
      </w:hyperlink>
    </w:p>
    <w:p>
      <w:pPr>
        <w:spacing w:after="60"/>
      </w:pPr>
      <w:r>
        <w:rPr>
          <w:b/>
          <w:i w:val="0"/>
          <w:sz w:val="19"/>
        </w:rPr>
        <w:t>Mazzaferro 2016 · Milan-NET</w:t>
      </w:r>
      <w:r>
        <w:rPr>
          <w:b w:val="0"/>
          <w:i w:val="0"/>
          <w:sz w:val="19"/>
        </w:rPr>
        <w:t xml:space="preserve"> — The Long-Term Benefit of Liver Transplantation for Hepatic Metastases From Neuroendocrine Tumors</w:t>
      </w:r>
      <w:r>
        <w:rPr>
          <w:b w:val="0"/>
          <w:i w:val="0"/>
          <w:sz w:val="19"/>
        </w:rPr>
        <w:t xml:space="preserve">  </w:t>
      </w:r>
      <w:hyperlink r:id="rId143">
        <w:r>
          <w:rPr>
            <w:color w:val="0563C1"/>
            <w:u w:val="single"/>
            <w:sz w:val="19"/>
          </w:rPr>
          <w:t xml:space="preserve">PubMed</w:t>
        </w:r>
      </w:hyperlink>
      <w:r>
        <w:rPr>
          <w:b w:val="0"/>
          <w:i w:val="0"/>
          <w:sz w:val="19"/>
        </w:rPr>
        <w:t xml:space="preserve"> · </w:t>
      </w:r>
      <w:hyperlink r:id="rId144">
        <w:r>
          <w:rPr>
            <w:color w:val="0563C1"/>
            <w:u w:val="single"/>
            <w:sz w:val="19"/>
          </w:rPr>
          <w:t xml:space="preserve">Journal</w:t>
        </w:r>
      </w:hyperlink>
      <w:r>
        <w:rPr>
          <w:b w:val="0"/>
          <w:i w:val="0"/>
          <w:sz w:val="19"/>
        </w:rPr>
        <w:t xml:space="preserve"> · </w:t>
      </w:r>
      <w:hyperlink r:id="rId145">
        <w:r>
          <w:rPr>
            <w:color w:val="0563C1"/>
            <w:u w:val="single"/>
            <w:sz w:val="19"/>
          </w:rPr>
          <w:t xml:space="preserve">TMC library</w:t>
        </w:r>
      </w:hyperlink>
    </w:p>
    <w:p>
      <w:pPr>
        <w:spacing w:after="60"/>
      </w:pPr>
      <w:r>
        <w:rPr>
          <w:b/>
          <w:i w:val="0"/>
          <w:sz w:val="19"/>
        </w:rPr>
        <w:t>Milan-NET transplant</w:t>
      </w:r>
      <w:r>
        <w:rPr>
          <w:b w:val="0"/>
          <w:i w:val="0"/>
          <w:sz w:val="19"/>
        </w:rPr>
        <w:t xml:space="preserve"> — Mazzaferro V, Sposito C, Coppa J, et al. The long-term benefit of liver transplantation for hepatic metastases from neuroendocrine tumors. Am J Transplant. 2016;16(10):2892-2902.</w:t>
      </w:r>
      <w:r>
        <w:rPr>
          <w:b w:val="0"/>
          <w:i w:val="0"/>
          <w:sz w:val="19"/>
        </w:rPr>
        <w:t xml:space="preserve">  </w:t>
      </w:r>
      <w:hyperlink r:id="rId143">
        <w:r>
          <w:rPr>
            <w:color w:val="0563C1"/>
            <w:u w:val="single"/>
            <w:sz w:val="19"/>
          </w:rPr>
          <w:t xml:space="preserve">PubMed</w:t>
        </w:r>
      </w:hyperlink>
    </w:p>
    <w:p>
      <w:pPr>
        <w:spacing w:after="60"/>
      </w:pPr>
      <w:r>
        <w:rPr>
          <w:b/>
          <w:i w:val="0"/>
          <w:sz w:val="19"/>
        </w:rPr>
        <w:t>Milan-NET · cohort</w:t>
      </w:r>
      <w:r>
        <w:rPr>
          <w:b w:val="0"/>
          <w:i w:val="0"/>
          <w:sz w:val="19"/>
        </w:rPr>
        <w:t xml:space="preserve"> — The long-term benefit of liver transplantation for hepatic metastases from NETs</w:t>
      </w:r>
      <w:r>
        <w:rPr>
          <w:b w:val="0"/>
          <w:i w:val="0"/>
          <w:sz w:val="19"/>
        </w:rPr>
        <w:t xml:space="preserve">  </w:t>
      </w:r>
      <w:hyperlink r:id="rId144">
        <w:r>
          <w:rPr>
            <w:color w:val="0563C1"/>
            <w:u w:val="single"/>
            <w:sz w:val="19"/>
          </w:rPr>
          <w:t xml:space="preserve">Source</w:t>
        </w:r>
      </w:hyperlink>
    </w:p>
    <w:p>
      <w:pPr>
        <w:spacing w:after="60"/>
      </w:pPr>
      <w:r>
        <w:rPr>
          <w:b/>
          <w:i w:val="0"/>
          <w:sz w:val="19"/>
        </w:rPr>
        <w:t>NANETS 2017 medical</w:t>
      </w:r>
      <w:r>
        <w:rPr>
          <w:b w:val="0"/>
          <w:i w:val="0"/>
          <w:sz w:val="19"/>
        </w:rPr>
        <w:t xml:space="preserve"> — Strosberg JR, Halfdanarson TR, Bellizzi AM, et al. The North American Neuroendocrine Tumor Society consensus guidelines for surveillance and medical management of midgut neuroendocrine tumors. Pancreas. 2017;46(6):707-714.</w:t>
      </w:r>
      <w:r>
        <w:rPr>
          <w:b w:val="0"/>
          <w:i w:val="0"/>
          <w:sz w:val="19"/>
        </w:rPr>
        <w:t xml:space="preserve">  </w:t>
      </w:r>
      <w:hyperlink r:id="rId146">
        <w:r>
          <w:rPr>
            <w:color w:val="0563C1"/>
            <w:u w:val="single"/>
            <w:sz w:val="19"/>
          </w:rPr>
          <w:t xml:space="preserve">PubMed</w:t>
        </w:r>
      </w:hyperlink>
    </w:p>
    <w:p>
      <w:pPr>
        <w:spacing w:after="60"/>
      </w:pPr>
      <w:r>
        <w:rPr>
          <w:b/>
          <w:i w:val="0"/>
          <w:sz w:val="19"/>
        </w:rPr>
        <w:t>NANETS 2017 surgical</w:t>
      </w:r>
      <w:r>
        <w:rPr>
          <w:b w:val="0"/>
          <w:i w:val="0"/>
          <w:sz w:val="19"/>
        </w:rPr>
        <w:t xml:space="preserve"> — Howe JR, Cardona K, Fraker DL, et al. The surgical management of small bowel neuroendocrine tumors: consensus guidelines of the North American Neuroendocrine Tumor Society. Pancreas. 2017;46(6):715-731.</w:t>
      </w:r>
      <w:r>
        <w:rPr>
          <w:b w:val="0"/>
          <w:i w:val="0"/>
          <w:sz w:val="19"/>
        </w:rPr>
        <w:t xml:space="preserve">  </w:t>
      </w:r>
      <w:hyperlink r:id="rId147">
        <w:r>
          <w:rPr>
            <w:color w:val="0563C1"/>
            <w:u w:val="single"/>
            <w:sz w:val="19"/>
          </w:rPr>
          <w:t xml:space="preserve">PubMed</w:t>
        </w:r>
      </w:hyperlink>
    </w:p>
    <w:p>
      <w:pPr>
        <w:spacing w:after="60"/>
      </w:pPr>
      <w:r>
        <w:rPr>
          <w:b/>
          <w:i w:val="0"/>
          <w:sz w:val="19"/>
        </w:rPr>
        <w:t>NANETS 2017 · small-bowel NET surgery</w:t>
      </w:r>
      <w:r>
        <w:rPr>
          <w:b w:val="0"/>
          <w:i w:val="0"/>
          <w:sz w:val="19"/>
        </w:rPr>
        <w:t xml:space="preserve">  </w:t>
      </w:r>
      <w:hyperlink r:id="rId147">
        <w:r>
          <w:rPr>
            <w:color w:val="0563C1"/>
            <w:u w:val="single"/>
            <w:sz w:val="19"/>
          </w:rPr>
          <w:t xml:space="preserve">PubMed</w:t>
        </w:r>
      </w:hyperlink>
      <w:r>
        <w:rPr>
          <w:b w:val="0"/>
          <w:i w:val="0"/>
          <w:sz w:val="19"/>
        </w:rPr>
        <w:t xml:space="preserve"> · </w:t>
      </w:r>
      <w:hyperlink r:id="rId148">
        <w:r>
          <w:rPr>
            <w:color w:val="0563C1"/>
            <w:u w:val="single"/>
            <w:sz w:val="19"/>
          </w:rPr>
          <w:t xml:space="preserve">Journal</w:t>
        </w:r>
      </w:hyperlink>
      <w:r>
        <w:rPr>
          <w:b w:val="0"/>
          <w:i w:val="0"/>
          <w:sz w:val="19"/>
        </w:rPr>
        <w:t xml:space="preserve"> · </w:t>
      </w:r>
      <w:hyperlink r:id="rId149">
        <w:r>
          <w:rPr>
            <w:color w:val="0563C1"/>
            <w:u w:val="single"/>
            <w:sz w:val="19"/>
          </w:rPr>
          <w:t xml:space="preserve">Free full text</w:t>
        </w:r>
      </w:hyperlink>
      <w:r>
        <w:rPr>
          <w:b w:val="0"/>
          <w:i w:val="0"/>
          <w:sz w:val="19"/>
        </w:rPr>
        <w:t xml:space="preserve"> · </w:t>
      </w:r>
      <w:hyperlink r:id="rId150">
        <w:r>
          <w:rPr>
            <w:color w:val="0563C1"/>
            <w:u w:val="single"/>
            <w:sz w:val="19"/>
          </w:rPr>
          <w:t xml:space="preserve">TMC library</w:t>
        </w:r>
      </w:hyperlink>
    </w:p>
    <w:p>
      <w:pPr>
        <w:spacing w:after="60"/>
      </w:pPr>
      <w:r>
        <w:rPr>
          <w:b/>
          <w:i w:val="0"/>
          <w:sz w:val="19"/>
        </w:rPr>
        <w:t>NANETS 2020 surgical</w:t>
      </w:r>
      <w:r>
        <w:rPr>
          <w:b w:val="0"/>
          <w:i w:val="0"/>
          <w:sz w:val="19"/>
        </w:rPr>
        <w:t xml:space="preserve"> — Howe JR, Merchant NB, Conrad C, et al. The North American Neuroendocrine Tumor Society consensus paper on the surgical management of pancreatic neuroendocrine tumors. Pancreas. 2020;49(1):1-33.</w:t>
      </w:r>
      <w:r>
        <w:rPr>
          <w:b w:val="0"/>
          <w:i w:val="0"/>
          <w:sz w:val="19"/>
        </w:rPr>
        <w:t xml:space="preserve">  </w:t>
      </w:r>
      <w:hyperlink r:id="rId151">
        <w:r>
          <w:rPr>
            <w:color w:val="0563C1"/>
            <w:u w:val="single"/>
            <w:sz w:val="19"/>
          </w:rPr>
          <w:t xml:space="preserve">PubMed</w:t>
        </w:r>
      </w:hyperlink>
    </w:p>
    <w:p>
      <w:pPr>
        <w:spacing w:after="60"/>
      </w:pPr>
      <w:r>
        <w:rPr>
          <w:b/>
          <w:i w:val="0"/>
          <w:sz w:val="19"/>
        </w:rPr>
        <w:t>NANETS/SNMMI PRRT</w:t>
      </w:r>
      <w:r>
        <w:rPr>
          <w:b w:val="0"/>
          <w:i w:val="0"/>
          <w:sz w:val="19"/>
        </w:rPr>
        <w:t xml:space="preserve"> — Hope TA, Bodei L, Chan JA, et al. NANETS/SNMMI consensus statement on patient selection and appropriate use of 177Lu-DOTATATE peptide receptor radionuclide therapy. J Nucl Med. 2020;61(2):222-227.</w:t>
      </w:r>
      <w:r>
        <w:rPr>
          <w:b w:val="0"/>
          <w:i w:val="0"/>
          <w:sz w:val="19"/>
        </w:rPr>
        <w:t xml:space="preserve">  </w:t>
      </w:r>
      <w:hyperlink r:id="rId152">
        <w:r>
          <w:rPr>
            <w:color w:val="0563C1"/>
            <w:u w:val="single"/>
            <w:sz w:val="19"/>
          </w:rPr>
          <w:t xml:space="preserve">PubMed</w:t>
        </w:r>
      </w:hyperlink>
    </w:p>
    <w:p>
      <w:pPr>
        <w:spacing w:after="60"/>
      </w:pPr>
      <w:r>
        <w:rPr>
          <w:b/>
          <w:i w:val="0"/>
          <w:sz w:val="19"/>
        </w:rPr>
        <w:t>NCCN NE v1.2026</w:t>
      </w:r>
      <w:r>
        <w:rPr>
          <w:b w:val="0"/>
          <w:i w:val="0"/>
          <w:sz w:val="19"/>
        </w:rPr>
        <w:t xml:space="preserve"> — National Comprehensive Cancer Network. NCCN Clinical Practice Guidelines in Oncology: Neuroendocrine and Adrenal Tumors. Version 1.2026, 21 April 2026. Original PDF p. 72 (imaging), p. 85 (NE-D, surgery and carcinoid crisis), p. 89 (NE-E, pathology), p. 115 (NE-H, embolisation), p. 119 (NE-J, PRRT), p. 178 (discussion, transplantation).</w:t>
      </w:r>
    </w:p>
    <w:p>
      <w:pPr>
        <w:spacing w:after="60"/>
      </w:pPr>
      <w:r>
        <w:rPr>
          <w:b/>
          <w:i w:val="0"/>
          <w:sz w:val="19"/>
        </w:rPr>
        <w:t>NETTER-2</w:t>
      </w:r>
      <w:r>
        <w:rPr>
          <w:b w:val="0"/>
          <w:i w:val="0"/>
          <w:sz w:val="19"/>
        </w:rPr>
        <w:t xml:space="preserve"> — Singh S, Halperin D, Myrehaug S, et al. [177Lu]Lu-DOTA-TATE plus long-acting octreotide versus high-dose long-acting octreotide for the treatment of newly diagnosed, advanced grade 2-3, well-differentiated, gastroenteropancreatic neuroendocrine tumours (NETTER-2): an open-label, randomised, phase 3 study. Lancet. 2024;403(10446):2807-2817.</w:t>
      </w:r>
      <w:r>
        <w:rPr>
          <w:b w:val="0"/>
          <w:i w:val="0"/>
          <w:sz w:val="19"/>
        </w:rPr>
        <w:t xml:space="preserve">  </w:t>
      </w:r>
      <w:hyperlink r:id="rId153">
        <w:r>
          <w:rPr>
            <w:color w:val="0563C1"/>
            <w:u w:val="single"/>
            <w:sz w:val="19"/>
          </w:rPr>
          <w:t xml:space="preserve">PubMed</w:t>
        </w:r>
      </w:hyperlink>
    </w:p>
    <w:p>
      <w:pPr>
        <w:spacing w:after="60"/>
      </w:pPr>
      <w:r>
        <w:rPr>
          <w:b/>
          <w:i w:val="0"/>
          <w:sz w:val="19"/>
        </w:rPr>
        <w:t>NETTER-2</w:t>
      </w:r>
      <w:r>
        <w:rPr>
          <w:b w:val="0"/>
          <w:i w:val="0"/>
          <w:sz w:val="19"/>
        </w:rPr>
        <w:t xml:space="preserve"> — [177Lu]Lu-DOTA-TATE plus long-acting octreotide versus high‑dose long-acting octreotide for the treatment of newly diagnosed, advanced grade 2–3, well-differentiated, gastroenteropancreatic neuroendocrine tumours (NETTER-2): an open-label, randomised, phase 3 study</w:t>
      </w:r>
      <w:r>
        <w:rPr>
          <w:b w:val="0"/>
          <w:i w:val="0"/>
          <w:sz w:val="19"/>
        </w:rPr>
        <w:t xml:space="preserve">  </w:t>
      </w:r>
      <w:hyperlink r:id="rId153">
        <w:r>
          <w:rPr>
            <w:color w:val="0563C1"/>
            <w:u w:val="single"/>
            <w:sz w:val="19"/>
          </w:rPr>
          <w:t xml:space="preserve">PubMed</w:t>
        </w:r>
      </w:hyperlink>
      <w:r>
        <w:rPr>
          <w:b w:val="0"/>
          <w:i w:val="0"/>
          <w:sz w:val="19"/>
        </w:rPr>
        <w:t xml:space="preserve"> · </w:t>
      </w:r>
      <w:hyperlink r:id="rId154">
        <w:r>
          <w:rPr>
            <w:color w:val="0563C1"/>
            <w:u w:val="single"/>
            <w:sz w:val="19"/>
          </w:rPr>
          <w:t xml:space="preserve">Journal</w:t>
        </w:r>
      </w:hyperlink>
      <w:r>
        <w:rPr>
          <w:b w:val="0"/>
          <w:i w:val="0"/>
          <w:sz w:val="19"/>
        </w:rPr>
        <w:t xml:space="preserve"> · </w:t>
      </w:r>
      <w:hyperlink r:id="rId155">
        <w:r>
          <w:rPr>
            <w:color w:val="0563C1"/>
            <w:u w:val="single"/>
            <w:sz w:val="19"/>
          </w:rPr>
          <w:t xml:space="preserve">TMC library</w:t>
        </w:r>
      </w:hyperlink>
    </w:p>
    <w:p>
      <w:pPr>
        <w:spacing w:after="60"/>
      </w:pPr>
      <w:r>
        <w:rPr>
          <w:b/>
          <w:i w:val="0"/>
          <w:sz w:val="19"/>
        </w:rPr>
        <w:t>NLRB oncology guidance</w:t>
      </w:r>
      <w:r>
        <w:rPr>
          <w:b w:val="0"/>
          <w:i w:val="0"/>
          <w:sz w:val="19"/>
        </w:rPr>
        <w:t xml:space="preserve"> — Adult MELD Exceptions for Transplant Oncology</w:t>
      </w:r>
      <w:r>
        <w:rPr>
          <w:b w:val="0"/>
          <w:i w:val="0"/>
          <w:sz w:val="19"/>
        </w:rPr>
        <w:t xml:space="preserve">  </w:t>
      </w:r>
      <w:hyperlink r:id="rId156">
        <w:r>
          <w:rPr>
            <w:color w:val="0563C1"/>
            <w:u w:val="single"/>
            <w:sz w:val="19"/>
          </w:rPr>
          <w:t xml:space="preserve">Source</w:t>
        </w:r>
      </w:hyperlink>
    </w:p>
    <w:p>
      <w:pPr>
        <w:spacing w:after="60"/>
      </w:pPr>
      <w:r>
        <w:rPr>
          <w:b/>
          <w:i w:val="0"/>
          <w:sz w:val="19"/>
        </w:rPr>
        <w:t>NLRB · NET</w:t>
      </w:r>
      <w:r>
        <w:rPr>
          <w:b w:val="0"/>
          <w:i w:val="0"/>
          <w:sz w:val="19"/>
        </w:rPr>
        <w:t xml:space="preserve"> — Adult MELD exception review guidance — NET</w:t>
      </w:r>
      <w:r>
        <w:rPr>
          <w:b w:val="0"/>
          <w:i w:val="0"/>
          <w:sz w:val="19"/>
        </w:rPr>
        <w:t xml:space="preserve">  </w:t>
      </w:r>
      <w:hyperlink r:id="rId157">
        <w:r>
          <w:rPr>
            <w:color w:val="0563C1"/>
            <w:u w:val="single"/>
            <w:sz w:val="19"/>
          </w:rPr>
          <w:t xml:space="preserve">Source</w:t>
        </w:r>
      </w:hyperlink>
    </w:p>
    <w:p>
      <w:pPr>
        <w:spacing w:after="60"/>
      </w:pPr>
      <w:r>
        <w:rPr>
          <w:b/>
          <w:i w:val="0"/>
          <w:sz w:val="19"/>
        </w:rPr>
        <w:t>OPTN ethics principles</w:t>
      </w:r>
      <w:r>
        <w:rPr>
          <w:b w:val="0"/>
          <w:i w:val="0"/>
          <w:sz w:val="19"/>
        </w:rPr>
        <w:t xml:space="preserve"> — Ethical Principles in the Allocation of Human Organs</w:t>
      </w:r>
      <w:r>
        <w:rPr>
          <w:b w:val="0"/>
          <w:i w:val="0"/>
          <w:sz w:val="19"/>
        </w:rPr>
        <w:t xml:space="preserve">  </w:t>
      </w:r>
      <w:hyperlink r:id="rId158">
        <w:r>
          <w:rPr>
            <w:color w:val="0563C1"/>
            <w:u w:val="single"/>
            <w:sz w:val="19"/>
          </w:rPr>
          <w:t xml:space="preserve">Source</w:t>
        </w:r>
      </w:hyperlink>
    </w:p>
    <w:p>
      <w:pPr>
        <w:spacing w:after="60"/>
      </w:pPr>
      <w:r>
        <w:rPr>
          <w:b/>
          <w:i w:val="0"/>
          <w:sz w:val="19"/>
        </w:rPr>
        <w:t>OPTN NLRB guidance 2025</w:t>
      </w:r>
      <w:r>
        <w:rPr>
          <w:b w:val="0"/>
          <w:i w:val="0"/>
          <w:sz w:val="19"/>
        </w:rPr>
        <w:t xml:space="preserve"> — Organ Procurement and Transplantation Network, Liver and Intestinal Organ Transplantation Committee. Guidance to Liver Transplant Programs and the National Liver Review Board for: Adult MELD Exceptions for Transplant Oncology. December 2025. Review-board guidance, not OPTN policy; pp. 8–9, submission instructions p. 3.</w:t>
      </w:r>
      <w:r>
        <w:rPr>
          <w:b w:val="0"/>
          <w:i w:val="0"/>
          <w:sz w:val="19"/>
        </w:rPr>
        <w:t xml:space="preserve">  </w:t>
      </w:r>
      <w:hyperlink r:id="rId156">
        <w:r>
          <w:rPr>
            <w:color w:val="0563C1"/>
            <w:u w:val="single"/>
            <w:sz w:val="19"/>
          </w:rPr>
          <w:t xml:space="preserve">Source</w:t>
        </w:r>
      </w:hyperlink>
    </w:p>
    <w:p>
      <w:pPr>
        <w:spacing w:after="60"/>
      </w:pPr>
      <w:r>
        <w:rPr>
          <w:b/>
          <w:i w:val="0"/>
          <w:sz w:val="19"/>
        </w:rPr>
        <w:t>OPTN policy</w:t>
      </w:r>
      <w:r>
        <w:rPr>
          <w:b w:val="0"/>
          <w:i w:val="0"/>
          <w:sz w:val="19"/>
        </w:rPr>
        <w:t xml:space="preserve"> — OPTN Policies: liver allocation and living donation</w:t>
      </w:r>
      <w:r>
        <w:rPr>
          <w:b w:val="0"/>
          <w:i w:val="0"/>
          <w:sz w:val="19"/>
        </w:rPr>
        <w:t xml:space="preserve">  </w:t>
      </w:r>
      <w:hyperlink r:id="rId159">
        <w:r>
          <w:rPr>
            <w:color w:val="0563C1"/>
            <w:u w:val="single"/>
            <w:sz w:val="19"/>
          </w:rPr>
          <w:t xml:space="preserve">Source</w:t>
        </w:r>
      </w:hyperlink>
    </w:p>
    <w:p>
      <w:pPr>
        <w:spacing w:after="60"/>
      </w:pPr>
      <w:r>
        <w:rPr>
          <w:b/>
          <w:i w:val="0"/>
          <w:sz w:val="19"/>
        </w:rPr>
        <w:t>Resection vs transplant</w:t>
      </w:r>
      <w:r>
        <w:rPr>
          <w:b w:val="0"/>
          <w:i w:val="0"/>
          <w:sz w:val="19"/>
        </w:rPr>
        <w:t xml:space="preserve"> — Maspero M, Rossi RE, Sposito C, et al. Long-term outcomes of resection versus transplantation for neuroendocrine liver metastases meeting the Milan criteria. Am J Transplant. 2022;22(11):2598-2607.</w:t>
      </w:r>
      <w:r>
        <w:rPr>
          <w:b w:val="0"/>
          <w:i w:val="0"/>
          <w:sz w:val="19"/>
        </w:rPr>
        <w:t xml:space="preserve">  </w:t>
      </w:r>
      <w:hyperlink r:id="rId138">
        <w:r>
          <w:rPr>
            <w:color w:val="0563C1"/>
            <w:u w:val="single"/>
            <w:sz w:val="19"/>
          </w:rPr>
          <w:t xml:space="preserve">PubMed</w:t>
        </w:r>
      </w:hyperlink>
    </w:p>
    <w:p>
      <w:pPr>
        <w:spacing w:after="60"/>
      </w:pPr>
      <w:r>
        <w:rPr>
          <w:b/>
          <w:i w:val="0"/>
          <w:sz w:val="19"/>
        </w:rPr>
        <w:t>RETNET protocol</w:t>
      </w:r>
      <w:r>
        <w:rPr>
          <w:b w:val="0"/>
          <w:i w:val="0"/>
          <w:sz w:val="19"/>
        </w:rPr>
        <w:t xml:space="preserve"> — Chen JX, Wileyto EP, Soulen MC. Randomized Embolization Trial for NeuroEndocrine Tumor Metastases to the Liver (RETNET): study protocol for a randomized controlled trial. Trials. 2018;19(1):390.</w:t>
      </w:r>
      <w:r>
        <w:rPr>
          <w:b w:val="0"/>
          <w:i w:val="0"/>
          <w:sz w:val="19"/>
        </w:rPr>
        <w:t xml:space="preserve">  </w:t>
      </w:r>
      <w:hyperlink r:id="rId160">
        <w:r>
          <w:rPr>
            <w:color w:val="0563C1"/>
            <w:u w:val="single"/>
            <w:sz w:val="19"/>
          </w:rPr>
          <w:t xml:space="preserve">PubMed</w:t>
        </w:r>
      </w:hyperlink>
    </w:p>
    <w:p>
      <w:pPr>
        <w:spacing w:after="60"/>
      </w:pPr>
      <w:r>
        <w:rPr>
          <w:b/>
          <w:i w:val="0"/>
          <w:sz w:val="19"/>
        </w:rPr>
        <w:t>Sher 2015 · US multicentre NET LT</w:t>
      </w:r>
      <w:r>
        <w:rPr>
          <w:b w:val="0"/>
          <w:i w:val="0"/>
          <w:sz w:val="19"/>
        </w:rPr>
        <w:t xml:space="preserve"> — Liver transplantation for metastatic neuroendocrine tumors: Outcomes and prognostic variables</w:t>
      </w:r>
      <w:r>
        <w:rPr>
          <w:b w:val="0"/>
          <w:i w:val="0"/>
          <w:sz w:val="19"/>
        </w:rPr>
        <w:t xml:space="preserve">  </w:t>
      </w:r>
      <w:hyperlink r:id="rId161">
        <w:r>
          <w:rPr>
            <w:color w:val="0563C1"/>
            <w:u w:val="single"/>
            <w:sz w:val="19"/>
          </w:rPr>
          <w:t xml:space="preserve">PubMed</w:t>
        </w:r>
      </w:hyperlink>
      <w:r>
        <w:rPr>
          <w:b w:val="0"/>
          <w:i w:val="0"/>
          <w:sz w:val="19"/>
        </w:rPr>
        <w:t xml:space="preserve"> · </w:t>
      </w:r>
      <w:hyperlink r:id="rId162">
        <w:r>
          <w:rPr>
            <w:color w:val="0563C1"/>
            <w:u w:val="single"/>
            <w:sz w:val="19"/>
          </w:rPr>
          <w:t xml:space="preserve">Journal</w:t>
        </w:r>
      </w:hyperlink>
      <w:r>
        <w:rPr>
          <w:b w:val="0"/>
          <w:i w:val="0"/>
          <w:sz w:val="19"/>
        </w:rPr>
        <w:t xml:space="preserve"> · </w:t>
      </w:r>
      <w:hyperlink r:id="rId163">
        <w:r>
          <w:rPr>
            <w:color w:val="0563C1"/>
            <w:u w:val="single"/>
            <w:sz w:val="19"/>
          </w:rPr>
          <w:t xml:space="preserve">TMC library</w:t>
        </w:r>
      </w:hyperlink>
    </w:p>
    <w:p>
      <w:pPr>
        <w:spacing w:after="60"/>
      </w:pPr>
      <w:r>
        <w:rPr>
          <w:b/>
          <w:i w:val="0"/>
          <w:sz w:val="19"/>
        </w:rPr>
        <w:t>Spolverato 2017 · recurrence after NELM surgery</w:t>
      </w:r>
      <w:r>
        <w:rPr>
          <w:b w:val="0"/>
          <w:i w:val="0"/>
          <w:sz w:val="19"/>
        </w:rPr>
        <w:t xml:space="preserve">  </w:t>
      </w:r>
      <w:hyperlink r:id="rId164">
        <w:r>
          <w:rPr>
            <w:color w:val="0563C1"/>
            <w:u w:val="single"/>
            <w:sz w:val="19"/>
          </w:rPr>
          <w:t xml:space="preserve">PubMed</w:t>
        </w:r>
      </w:hyperlink>
      <w:r>
        <w:rPr>
          <w:b w:val="0"/>
          <w:i w:val="0"/>
          <w:sz w:val="19"/>
        </w:rPr>
        <w:t xml:space="preserve"> · </w:t>
      </w:r>
      <w:hyperlink r:id="rId165">
        <w:r>
          <w:rPr>
            <w:color w:val="0563C1"/>
            <w:u w:val="single"/>
            <w:sz w:val="19"/>
          </w:rPr>
          <w:t xml:space="preserve">Journal</w:t>
        </w:r>
      </w:hyperlink>
      <w:r>
        <w:rPr>
          <w:b w:val="0"/>
          <w:i w:val="0"/>
          <w:sz w:val="19"/>
        </w:rPr>
        <w:t xml:space="preserve"> · </w:t>
      </w:r>
      <w:hyperlink r:id="rId166">
        <w:r>
          <w:rPr>
            <w:color w:val="0563C1"/>
            <w:u w:val="single"/>
            <w:sz w:val="19"/>
          </w:rPr>
          <w:t xml:space="preserve">TMC library</w:t>
        </w:r>
      </w:hyperlink>
    </w:p>
    <w:p>
      <w:pPr>
        <w:spacing w:after="60"/>
      </w:pPr>
      <w:r>
        <w:rPr>
          <w:b/>
          <w:i w:val="0"/>
          <w:sz w:val="19"/>
        </w:rPr>
        <w:t>Strosberg 2021 · NETTER-1 final OS</w:t>
      </w:r>
      <w:r>
        <w:rPr>
          <w:b w:val="0"/>
          <w:i w:val="0"/>
          <w:sz w:val="19"/>
        </w:rPr>
        <w:t xml:space="preserve"> — 177Lu-Dotatate plus long-acting octreotide versus high‑dose long-acting octreotide in patients with midgut neuroendocrine tumours (NETTER-1): final overall survival and long-term safety results from an open-label, randomised, controlled, phase 3 trial</w:t>
      </w:r>
      <w:r>
        <w:rPr>
          <w:b w:val="0"/>
          <w:i w:val="0"/>
          <w:sz w:val="19"/>
        </w:rPr>
        <w:t xml:space="preserve">  </w:t>
      </w:r>
      <w:hyperlink r:id="rId167">
        <w:r>
          <w:rPr>
            <w:color w:val="0563C1"/>
            <w:u w:val="single"/>
            <w:sz w:val="19"/>
          </w:rPr>
          <w:t xml:space="preserve">PubMed</w:t>
        </w:r>
      </w:hyperlink>
      <w:r>
        <w:rPr>
          <w:b w:val="0"/>
          <w:i w:val="0"/>
          <w:sz w:val="19"/>
        </w:rPr>
        <w:t xml:space="preserve"> · </w:t>
      </w:r>
      <w:hyperlink r:id="rId168">
        <w:r>
          <w:rPr>
            <w:color w:val="0563C1"/>
            <w:u w:val="single"/>
            <w:sz w:val="19"/>
          </w:rPr>
          <w:t xml:space="preserve">Journal</w:t>
        </w:r>
      </w:hyperlink>
      <w:r>
        <w:rPr>
          <w:b w:val="0"/>
          <w:i w:val="0"/>
          <w:sz w:val="19"/>
        </w:rPr>
        <w:t xml:space="preserve"> · </w:t>
      </w:r>
      <w:hyperlink r:id="rId169">
        <w:r>
          <w:rPr>
            <w:color w:val="0563C1"/>
            <w:u w:val="single"/>
            <w:sz w:val="19"/>
          </w:rPr>
          <w:t xml:space="preserve">Source</w:t>
        </w:r>
      </w:hyperlink>
      <w:r>
        <w:rPr>
          <w:b w:val="0"/>
          <w:i w:val="0"/>
          <w:sz w:val="19"/>
        </w:rPr>
        <w:t xml:space="preserve"> · </w:t>
      </w:r>
      <w:hyperlink r:id="rId170">
        <w:r>
          <w:rPr>
            <w:color w:val="0563C1"/>
            <w:u w:val="single"/>
            <w:sz w:val="19"/>
          </w:rPr>
          <w:t xml:space="preserve">TMC library</w:t>
        </w:r>
      </w:hyperlink>
    </w:p>
    <w:p>
      <w:pPr>
        <w:spacing w:after="60"/>
      </w:pPr>
      <w:r>
        <w:rPr>
          <w:b/>
          <w:i w:val="0"/>
          <w:sz w:val="19"/>
        </w:rPr>
        <w:t>SYS-TARE 2024</w:t>
      </w:r>
      <w:r>
        <w:rPr>
          <w:b w:val="0"/>
          <w:i w:val="0"/>
          <w:sz w:val="19"/>
        </w:rPr>
        <w:t xml:space="preserve"> — Liver Transplantation for Intrahepatic Cholangiocarcinoma After Chemotherapy and Radioembolization: An Intention-To-Treat Study</w:t>
      </w:r>
      <w:r>
        <w:rPr>
          <w:b w:val="0"/>
          <w:i w:val="0"/>
          <w:sz w:val="19"/>
        </w:rPr>
        <w:t xml:space="preserve">  </w:t>
      </w:r>
      <w:hyperlink r:id="rId171">
        <w:r>
          <w:rPr>
            <w:color w:val="0563C1"/>
            <w:u w:val="single"/>
            <w:sz w:val="19"/>
          </w:rPr>
          <w:t xml:space="preserve">PubMed</w:t>
        </w:r>
      </w:hyperlink>
      <w:r>
        <w:rPr>
          <w:b w:val="0"/>
          <w:i w:val="0"/>
          <w:sz w:val="19"/>
        </w:rPr>
        <w:t xml:space="preserve"> · </w:t>
      </w:r>
      <w:hyperlink r:id="rId172">
        <w:r>
          <w:rPr>
            <w:color w:val="0563C1"/>
            <w:u w:val="single"/>
            <w:sz w:val="19"/>
          </w:rPr>
          <w:t xml:space="preserve">Journal</w:t>
        </w:r>
      </w:hyperlink>
      <w:r>
        <w:rPr>
          <w:b w:val="0"/>
          <w:i w:val="0"/>
          <w:sz w:val="19"/>
        </w:rPr>
        <w:t xml:space="preserve"> · </w:t>
      </w:r>
      <w:hyperlink r:id="rId173">
        <w:r>
          <w:rPr>
            <w:color w:val="0563C1"/>
            <w:u w:val="single"/>
            <w:sz w:val="19"/>
          </w:rPr>
          <w:t xml:space="preserve">Free full text</w:t>
        </w:r>
      </w:hyperlink>
      <w:r>
        <w:rPr>
          <w:b w:val="0"/>
          <w:i w:val="0"/>
          <w:sz w:val="19"/>
        </w:rPr>
        <w:t xml:space="preserve"> · </w:t>
      </w:r>
      <w:hyperlink r:id="rId174">
        <w:r>
          <w:rPr>
            <w:color w:val="0563C1"/>
            <w:u w:val="single"/>
            <w:sz w:val="19"/>
          </w:rPr>
          <w:t xml:space="preserve">Source</w:t>
        </w:r>
      </w:hyperlink>
      <w:r>
        <w:rPr>
          <w:b w:val="0"/>
          <w:i w:val="0"/>
          <w:sz w:val="19"/>
        </w:rPr>
        <w:t xml:space="preserve"> · </w:t>
      </w:r>
      <w:hyperlink r:id="rId175">
        <w:r>
          <w:rPr>
            <w:color w:val="0563C1"/>
            <w:u w:val="single"/>
            <w:sz w:val="19"/>
          </w:rPr>
          <w:t xml:space="preserve">TMC library</w:t>
        </w:r>
      </w:hyperlink>
    </w:p>
    <w:p>
      <w:pPr>
        <w:spacing w:after="60"/>
      </w:pPr>
      <w:r>
        <w:rPr>
          <w:b/>
          <w:i w:val="0"/>
          <w:sz w:val="19"/>
        </w:rPr>
        <w:t>TransMet 2024</w:t>
      </w:r>
      <w:r>
        <w:rPr>
          <w:b w:val="0"/>
          <w:i w:val="0"/>
          <w:sz w:val="19"/>
        </w:rPr>
        <w:t xml:space="preserve"> — Liver transplantation plus chemotherapy versus chemotherapy alone in patients with permanently unresectable colorectal liver metastases (TransMet): results from a multicentre, open-label, prospective, randomised controlled trial</w:t>
      </w:r>
      <w:r>
        <w:rPr>
          <w:b w:val="0"/>
          <w:i w:val="0"/>
          <w:sz w:val="19"/>
        </w:rPr>
        <w:t xml:space="preserve">  </w:t>
      </w:r>
      <w:hyperlink r:id="rId176">
        <w:r>
          <w:rPr>
            <w:color w:val="0563C1"/>
            <w:u w:val="single"/>
            <w:sz w:val="19"/>
          </w:rPr>
          <w:t xml:space="preserve">PubMed</w:t>
        </w:r>
      </w:hyperlink>
      <w:r>
        <w:rPr>
          <w:b w:val="0"/>
          <w:i w:val="0"/>
          <w:sz w:val="19"/>
        </w:rPr>
        <w:t xml:space="preserve"> · </w:t>
      </w:r>
      <w:hyperlink r:id="rId177">
        <w:r>
          <w:rPr>
            <w:color w:val="0563C1"/>
            <w:u w:val="single"/>
            <w:sz w:val="19"/>
          </w:rPr>
          <w:t xml:space="preserve">Journal</w:t>
        </w:r>
      </w:hyperlink>
      <w:r>
        <w:rPr>
          <w:b w:val="0"/>
          <w:i w:val="0"/>
          <w:sz w:val="19"/>
        </w:rPr>
        <w:t xml:space="preserve"> · </w:t>
      </w:r>
      <w:hyperlink r:id="rId178">
        <w:r>
          <w:rPr>
            <w:color w:val="0563C1"/>
            <w:u w:val="single"/>
            <w:sz w:val="19"/>
          </w:rPr>
          <w:t xml:space="preserve">TMC library</w:t>
        </w:r>
      </w:hyperlink>
    </w:p>
    <w:p>
      <w:pPr>
        <w:spacing w:after="60"/>
      </w:pPr>
      <w:r>
        <w:rPr>
          <w:b/>
          <w:i w:val="0"/>
          <w:sz w:val="19"/>
        </w:rPr>
        <w:t>Wedin 2025 · bone metastases in SI-NET</w:t>
      </w:r>
      <w:r>
        <w:rPr>
          <w:b w:val="0"/>
          <w:i w:val="0"/>
          <w:sz w:val="19"/>
        </w:rPr>
        <w:t xml:space="preserve">  </w:t>
      </w:r>
      <w:hyperlink r:id="rId179">
        <w:r>
          <w:rPr>
            <w:color w:val="0563C1"/>
            <w:u w:val="single"/>
            <w:sz w:val="19"/>
          </w:rPr>
          <w:t xml:space="preserve">PubMed</w:t>
        </w:r>
      </w:hyperlink>
      <w:r>
        <w:rPr>
          <w:b w:val="0"/>
          <w:i w:val="0"/>
          <w:sz w:val="19"/>
        </w:rPr>
        <w:t xml:space="preserve"> · </w:t>
      </w:r>
      <w:hyperlink r:id="rId180">
        <w:r>
          <w:rPr>
            <w:color w:val="0563C1"/>
            <w:u w:val="single"/>
            <w:sz w:val="19"/>
          </w:rPr>
          <w:t xml:space="preserve">Journal</w:t>
        </w:r>
      </w:hyperlink>
      <w:r>
        <w:rPr>
          <w:b w:val="0"/>
          <w:i w:val="0"/>
          <w:sz w:val="19"/>
        </w:rPr>
        <w:t xml:space="preserve"> · </w:t>
      </w:r>
      <w:hyperlink r:id="rId181">
        <w:r>
          <w:rPr>
            <w:color w:val="0563C1"/>
            <w:u w:val="single"/>
            <w:sz w:val="19"/>
          </w:rPr>
          <w:t xml:space="preserve">Free full text</w:t>
        </w:r>
      </w:hyperlink>
      <w:r>
        <w:rPr>
          <w:b w:val="0"/>
          <w:i w:val="0"/>
          <w:sz w:val="19"/>
        </w:rPr>
        <w:t xml:space="preserve"> · </w:t>
      </w:r>
      <w:hyperlink r:id="rId182">
        <w:r>
          <w:rPr>
            <w:color w:val="0563C1"/>
            <w:u w:val="single"/>
            <w:sz w:val="19"/>
          </w:rPr>
          <w:t xml:space="preserve">TMC library</w:t>
        </w:r>
      </w:hyperlink>
    </w:p>
    <w:p>
      <w:pPr>
        <w:spacing w:after="60"/>
      </w:pPr>
      <w:r>
        <w:rPr>
          <w:b/>
          <w:i w:val="0"/>
          <w:sz w:val="19"/>
        </w:rPr>
        <w:t>Wedin 2025 · bone metastases in SI-NET</w:t>
      </w:r>
      <w:r>
        <w:rPr>
          <w:b w:val="0"/>
          <w:i w:val="0"/>
          <w:sz w:val="19"/>
        </w:rPr>
        <w:t xml:space="preserve"> — Impact on symptoms and survival of bone metastases in patients with small-intestinal neuroendocrine tumours</w:t>
      </w:r>
      <w:r>
        <w:rPr>
          <w:b w:val="0"/>
          <w:i w:val="0"/>
          <w:sz w:val="19"/>
        </w:rPr>
        <w:t xml:space="preserve">  </w:t>
      </w:r>
      <w:hyperlink r:id="rId179">
        <w:r>
          <w:rPr>
            <w:color w:val="0563C1"/>
            <w:u w:val="single"/>
            <w:sz w:val="19"/>
          </w:rPr>
          <w:t xml:space="preserve">PubMed</w:t>
        </w:r>
      </w:hyperlink>
      <w:r>
        <w:rPr>
          <w:b w:val="0"/>
          <w:i w:val="0"/>
          <w:sz w:val="19"/>
        </w:rPr>
        <w:t xml:space="preserve"> · </w:t>
      </w:r>
      <w:hyperlink r:id="rId180">
        <w:r>
          <w:rPr>
            <w:color w:val="0563C1"/>
            <w:u w:val="single"/>
            <w:sz w:val="19"/>
          </w:rPr>
          <w:t xml:space="preserve">Journal</w:t>
        </w:r>
      </w:hyperlink>
      <w:r>
        <w:rPr>
          <w:b w:val="0"/>
          <w:i w:val="0"/>
          <w:sz w:val="19"/>
        </w:rPr>
        <w:t xml:space="preserve"> · </w:t>
      </w:r>
      <w:hyperlink r:id="rId183">
        <w:r>
          <w:rPr>
            <w:color w:val="0563C1"/>
            <w:u w:val="single"/>
            <w:sz w:val="19"/>
          </w:rPr>
          <w:t xml:space="preserve">TMC library</w:t>
        </w:r>
      </w:hyperlink>
    </w:p>
    <w:p>
      <w:pPr>
        <w:spacing w:after="60"/>
      </w:pPr>
      <w:r>
        <w:rPr>
          <w:b/>
          <w:i w:val="0"/>
          <w:sz w:val="19"/>
        </w:rPr>
        <w:t>Xiang 2018 · NF-NELM resection</w:t>
      </w:r>
      <w:r>
        <w:rPr>
          <w:b w:val="0"/>
          <w:i w:val="0"/>
          <w:sz w:val="19"/>
        </w:rPr>
        <w:t xml:space="preserve">  </w:t>
      </w:r>
      <w:hyperlink r:id="rId184">
        <w:r>
          <w:rPr>
            <w:color w:val="0563C1"/>
            <w:u w:val="single"/>
            <w:sz w:val="19"/>
          </w:rPr>
          <w:t xml:space="preserve">PubMed</w:t>
        </w:r>
      </w:hyperlink>
      <w:r>
        <w:rPr>
          <w:b w:val="0"/>
          <w:i w:val="0"/>
          <w:sz w:val="19"/>
        </w:rPr>
        <w:t xml:space="preserve"> · </w:t>
      </w:r>
      <w:hyperlink r:id="rId185">
        <w:r>
          <w:rPr>
            <w:color w:val="0563C1"/>
            <w:u w:val="single"/>
            <w:sz w:val="19"/>
          </w:rPr>
          <w:t xml:space="preserve">Journal</w:t>
        </w:r>
      </w:hyperlink>
      <w:r>
        <w:rPr>
          <w:b w:val="0"/>
          <w:i w:val="0"/>
          <w:sz w:val="19"/>
        </w:rPr>
        <w:t xml:space="preserve"> · </w:t>
      </w:r>
      <w:hyperlink r:id="rId186">
        <w:r>
          <w:rPr>
            <w:color w:val="0563C1"/>
            <w:u w:val="single"/>
            <w:sz w:val="19"/>
          </w:rPr>
          <w:t xml:space="preserve">TMC library</w:t>
        </w:r>
      </w:hyperlink>
    </w:p>
    <w:p>
      <w:pPr>
        <w:spacing w:after="60"/>
      </w:pPr>
      <w:r>
        <w:rPr>
          <w:b/>
          <w:i w:val="0"/>
          <w:sz w:val="19"/>
        </w:rPr>
        <w:t>Xiao 2024</w:t>
      </w:r>
      <w:r>
        <w:rPr>
          <w:b w:val="0"/>
          <w:i w:val="0"/>
          <w:sz w:val="19"/>
        </w:rPr>
        <w:t xml:space="preserve"> — The incidence of adverse outcome in donors after living donor liver transplantation: A meta-analysis of 60,829 donors</w:t>
      </w:r>
      <w:r>
        <w:rPr>
          <w:b w:val="0"/>
          <w:i w:val="0"/>
          <w:sz w:val="19"/>
        </w:rPr>
        <w:t xml:space="preserve">  </w:t>
      </w:r>
      <w:hyperlink r:id="rId187">
        <w:r>
          <w:rPr>
            <w:color w:val="0563C1"/>
            <w:u w:val="single"/>
            <w:sz w:val="19"/>
          </w:rPr>
          <w:t xml:space="preserve">PubMed</w:t>
        </w:r>
      </w:hyperlink>
      <w:r>
        <w:rPr>
          <w:b w:val="0"/>
          <w:i w:val="0"/>
          <w:sz w:val="19"/>
        </w:rPr>
        <w:t xml:space="preserve"> · </w:t>
      </w:r>
      <w:hyperlink r:id="rId188">
        <w:r>
          <w:rPr>
            <w:color w:val="0563C1"/>
            <w:u w:val="single"/>
            <w:sz w:val="19"/>
          </w:rPr>
          <w:t xml:space="preserve">Journal</w:t>
        </w:r>
      </w:hyperlink>
      <w:r>
        <w:rPr>
          <w:b w:val="0"/>
          <w:i w:val="0"/>
          <w:sz w:val="19"/>
        </w:rPr>
        <w:t xml:space="preserve"> · </w:t>
      </w:r>
      <w:hyperlink r:id="rId189">
        <w:r>
          <w:rPr>
            <w:color w:val="0563C1"/>
            <w:u w:val="single"/>
            <w:sz w:val="19"/>
          </w:rPr>
          <w:t xml:space="preserve">TMC library</w:t>
        </w:r>
      </w:hyperlink>
    </w:p>
    <w:p>
      <w:pPr>
        <w:spacing w:after="60"/>
      </w:pPr>
      <w:r>
        <w:rPr>
          <w:b/>
          <w:i w:val="0"/>
          <w:sz w:val="19"/>
        </w:rPr>
        <w:t>XXL 2020</w:t>
      </w:r>
      <w:r>
        <w:rPr>
          <w:b w:val="0"/>
          <w:i w:val="0"/>
          <w:sz w:val="19"/>
        </w:rPr>
        <w:t xml:space="preserve"> — Liver transplantation in hepatocellular carcinoma after tumour downstaging (XXL): a randomised, controlled, phase 2b/3 trial</w:t>
      </w:r>
      <w:r>
        <w:rPr>
          <w:b w:val="0"/>
          <w:i w:val="0"/>
          <w:sz w:val="19"/>
        </w:rPr>
        <w:t xml:space="preserve">  </w:t>
      </w:r>
      <w:hyperlink r:id="rId190">
        <w:r>
          <w:rPr>
            <w:color w:val="0563C1"/>
            <w:u w:val="single"/>
            <w:sz w:val="19"/>
          </w:rPr>
          <w:t xml:space="preserve">PubMed</w:t>
        </w:r>
      </w:hyperlink>
      <w:r>
        <w:rPr>
          <w:b w:val="0"/>
          <w:i w:val="0"/>
          <w:sz w:val="19"/>
        </w:rPr>
        <w:t xml:space="preserve"> · </w:t>
      </w:r>
      <w:hyperlink r:id="rId191">
        <w:r>
          <w:rPr>
            <w:color w:val="0563C1"/>
            <w:u w:val="single"/>
            <w:sz w:val="19"/>
          </w:rPr>
          <w:t xml:space="preserve">Journal</w:t>
        </w:r>
      </w:hyperlink>
      <w:r>
        <w:rPr>
          <w:b w:val="0"/>
          <w:i w:val="0"/>
          <w:sz w:val="19"/>
        </w:rPr>
        <w:t xml:space="preserve"> · </w:t>
      </w:r>
      <w:hyperlink r:id="rId192">
        <w:r>
          <w:rPr>
            <w:color w:val="0563C1"/>
            <w:u w:val="single"/>
            <w:sz w:val="19"/>
          </w:rPr>
          <w:t xml:space="preserve">TMC library</w:t>
        </w:r>
      </w:hyperlink>
    </w:p>
    <w:p>
      <w:pPr>
        <w:spacing w:after="60"/>
      </w:pPr>
      <w:r>
        <w:rPr>
          <w:b/>
          <w:i w:val="0"/>
          <w:sz w:val="19"/>
        </w:rPr>
        <w:t>Y-90 late toxicity</w:t>
      </w:r>
      <w:r>
        <w:rPr>
          <w:b w:val="0"/>
          <w:i w:val="0"/>
          <w:sz w:val="19"/>
        </w:rPr>
        <w:t xml:space="preserve"> — Tomozawa Y, Jahangiri Y, Pathak P, et al. Long-term toxicity after transarterial radioembolization with yttrium-90 using resin microspheres for neuroendocrine tumor liver metastases. J Vasc Interv Radiol. 2018;29(6):858-865.</w:t>
      </w:r>
      <w:r>
        <w:rPr>
          <w:b w:val="0"/>
          <w:i w:val="0"/>
          <w:sz w:val="19"/>
        </w:rPr>
        <w:t xml:space="preserve">  </w:t>
      </w:r>
      <w:hyperlink r:id="rId193">
        <w:r>
          <w:rPr>
            <w:color w:val="0563C1"/>
            <w:u w:val="single"/>
            <w:sz w:val="19"/>
          </w:rPr>
          <w:t xml:space="preserve">PubMed</w:t>
        </w:r>
      </w:hyperlink>
    </w:p>
    <w:p>
      <w:pPr>
        <w:spacing w:after="60"/>
      </w:pPr>
      <w:r>
        <w:rPr>
          <w:b/>
          <w:i w:val="0"/>
          <w:sz w:val="19"/>
        </w:rPr>
        <w:t>Yaqub 2025</w:t>
      </w:r>
      <w:r>
        <w:rPr>
          <w:b w:val="0"/>
          <w:i w:val="0"/>
          <w:sz w:val="19"/>
        </w:rPr>
        <w:t xml:space="preserve"> — Liver transplantation for locally advanced non-resectable intrahepatic cholangiocarcinoma treated with neoadjuvant therapy: early results from the TESLA trial</w:t>
      </w:r>
      <w:r>
        <w:rPr>
          <w:b w:val="0"/>
          <w:i w:val="0"/>
          <w:sz w:val="19"/>
        </w:rPr>
        <w:t xml:space="preserve">  </w:t>
      </w:r>
      <w:hyperlink r:id="rId194">
        <w:r>
          <w:rPr>
            <w:color w:val="0563C1"/>
            <w:u w:val="single"/>
            <w:sz w:val="19"/>
          </w:rPr>
          <w:t xml:space="preserve">PubMed</w:t>
        </w:r>
      </w:hyperlink>
      <w:r>
        <w:rPr>
          <w:b w:val="0"/>
          <w:i w:val="0"/>
          <w:sz w:val="19"/>
        </w:rPr>
        <w:t xml:space="preserve"> · </w:t>
      </w:r>
      <w:hyperlink r:id="rId195">
        <w:r>
          <w:rPr>
            <w:color w:val="0563C1"/>
            <w:u w:val="single"/>
            <w:sz w:val="19"/>
          </w:rPr>
          <w:t xml:space="preserve">Journal</w:t>
        </w:r>
      </w:hyperlink>
      <w:r>
        <w:rPr>
          <w:b w:val="0"/>
          <w:i w:val="0"/>
          <w:sz w:val="19"/>
        </w:rPr>
        <w:t xml:space="preserve"> · </w:t>
      </w:r>
      <w:hyperlink r:id="rId196">
        <w:r>
          <w:rPr>
            <w:color w:val="0563C1"/>
            <w:u w:val="single"/>
            <w:sz w:val="19"/>
          </w:rPr>
          <w:t xml:space="preserve">Free full text</w:t>
        </w:r>
      </w:hyperlink>
      <w:r>
        <w:rPr>
          <w:b w:val="0"/>
          <w:i w:val="0"/>
          <w:sz w:val="19"/>
        </w:rPr>
        <w:t xml:space="preserve"> · </w:t>
      </w:r>
      <w:hyperlink r:id="rId197">
        <w:r>
          <w:rPr>
            <w:color w:val="0563C1"/>
            <w:u w:val="single"/>
            <w:sz w:val="19"/>
          </w:rPr>
          <w:t xml:space="preserve">Source</w:t>
        </w:r>
      </w:hyperlink>
      <w:r>
        <w:rPr>
          <w:b w:val="0"/>
          <w:i w:val="0"/>
          <w:sz w:val="19"/>
        </w:rPr>
        <w:t xml:space="preserve"> · </w:t>
      </w:r>
      <w:hyperlink r:id="rId198">
        <w:r>
          <w:rPr>
            <w:color w:val="0563C1"/>
            <w:u w:val="single"/>
            <w:sz w:val="19"/>
          </w:rPr>
          <w:t xml:space="preserve">TMC library</w:t>
        </w:r>
      </w:hyperlink>
    </w:p>
    <w:sectPr>
      <w:footerReference w:type="default" r:id="rId7"/>
      <w:pgSz w:w="12240" w:h="15840" w:orient="portrait"/>
      <w:pgMar w:top="1080" w:right="1080" w:bottom="1080" w:left="108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360"/>
      </w:tabs>
    </w:pPr>
    <w:r>
      <w:rPr>
        <w:color w:val="5A6069"/>
        <w:sz w:val="15"/>
        <w:szCs w:val="15"/>
      </w:rPr>
      <w:t xml:space="preserve">HPB oncology working reference  |  </w:t>
    </w:r>
    <w:r>
      <w:rPr>
        <w:sz w:val="15"/>
        <w:szCs w:val="15"/>
      </w:rPr>
      <w:t xml:space="preserve"/>
    </w:r>
    <w:r>
      <w:rPr>
        <w:color w:val="5A6069"/>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lvl w:ilvl="1" w15:tentative="1">
      <w:start w:val="1"/>
      <w:numFmt w:val="bullet"/>
      <w:lvlText w:val="–"/>
      <w:lvlJc w:val="left"/>
      <w:pPr>
        <w:ind w:left="720" w:hanging="200"/>
      </w:pPr>
    </w:lvl>
  </w:abstractNum>
  <w:abstractNum w:abstractNumId="3" w15:restartNumberingAfterBreak="0">
    <w:multiLevelType w:val="hybridMultilevel"/>
    <w:lvl w:ilvl="0" w15:tentative="1">
      <w:start w:val="1"/>
      <w:numFmt w:val="bullet"/>
      <w:lvlText w:val="☐"/>
      <w:lvlJc w:val="left"/>
      <w:pPr>
        <w:ind w:left="360" w:hanging="240"/>
      </w:pPr>
    </w:lvl>
  </w:abstractNum>
  <w:num w:numId="1">
    <w:abstractNumId w:val="1"/>
    <w:lvlOverride w:ilvl="0">
      <w:startOverride w:val="1"/>
    </w:lvlOverride>
  </w:num>
  <w:num w:numId="2">
    <w:abstractNumId w:val="2"/>
    <w:lvlOverride w:ilvl="0">
      <w:startOverride w:val="1"/>
    </w:lvlOverride>
  </w:num>
  <w:abstractNum w:abstractNumId="4">
    <w:multiLevelType w:val="multilevel"/>
    <w:lvl w:ilvl="0">
      <w:start w:val="1"/>
      <w:numFmt w:val="bullet"/>
      <w:lvlText w:val="•"/>
      <w:lvlJc w:val="left"/>
      <w:pPr>
        <w:ind w:left="360" w:hanging="180"/>
      </w:pPr>
    </w:lvl>
    <w:lvl w:ilvl="1">
      <w:start w:val="1"/>
      <w:numFmt w:val="bullet"/>
      <w:lvlText w:val="•"/>
      <w:lvlJc w:val="left"/>
      <w:pPr>
        <w:ind w:left="720" w:hanging="180"/>
      </w:pPr>
    </w:lvl>
    <w:lvl w:ilvl="2">
      <w:start w:val="1"/>
      <w:numFmt w:val="bullet"/>
      <w:lvlText w:val="•"/>
      <w:lvlJc w:val="left"/>
      <w:pPr>
        <w:ind w:left="1080" w:hanging="180"/>
      </w:pPr>
    </w:lvl>
  </w:abstractNum>
  <w:num w:numId="3">
    <w:abstractNumId w:val="4"/>
  </w:num>
  <w:abstractNum w:abstractNumId="5">
    <w:multiLevelType w:val="multilevel"/>
    <w:lvl w:ilvl="0">
      <w:start w:val="1"/>
      <w:numFmt w:val="bullet"/>
      <w:lvlText w:val="•"/>
      <w:lvlJc w:val="left"/>
      <w:pPr>
        <w:ind w:left="360" w:hanging="180"/>
      </w:pPr>
    </w:lvl>
    <w:lvl w:ilvl="1">
      <w:start w:val="1"/>
      <w:numFmt w:val="bullet"/>
      <w:lvlText w:val="•"/>
      <w:lvlJc w:val="left"/>
      <w:pPr>
        <w:ind w:left="720" w:hanging="180"/>
      </w:pPr>
    </w:lvl>
    <w:lvl w:ilvl="2">
      <w:start w:val="1"/>
      <w:numFmt w:val="bullet"/>
      <w:lvlText w:val="•"/>
      <w:lvlJc w:val="left"/>
      <w:pPr>
        <w:ind w:left="1080" w:hanging="180"/>
      </w:pPr>
    </w:lvl>
  </w:abstractNum>
  <w:num w:numId="4">
    <w:abstractNumId w:val="5"/>
  </w:num>
  <w:abstractNum w:abstractNumId="6">
    <w:multiLevelType w:val="multilevel"/>
    <w:lvl w:ilvl="0">
      <w:start w:val="1"/>
      <w:numFmt w:val="bullet"/>
      <w:lvlText w:val="•"/>
      <w:lvlJc w:val="left"/>
      <w:pPr>
        <w:ind w:left="360" w:hanging="180"/>
      </w:pPr>
    </w:lvl>
    <w:lvl w:ilvl="1">
      <w:start w:val="1"/>
      <w:numFmt w:val="bullet"/>
      <w:lvlText w:val="•"/>
      <w:lvlJc w:val="left"/>
      <w:pPr>
        <w:ind w:left="720" w:hanging="180"/>
      </w:pPr>
    </w:lvl>
    <w:lvl w:ilvl="2">
      <w:start w:val="1"/>
      <w:numFmt w:val="bullet"/>
      <w:lvlText w:val="•"/>
      <w:lvlJc w:val="left"/>
      <w:pPr>
        <w:ind w:left="1080" w:hanging="180"/>
      </w:pPr>
    </w:lvl>
  </w:abstractNum>
  <w:num w:numId="5">
    <w:abstractNumId w:val="6"/>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5181F"/>
        <w:sz w:val="20"/>
        <w:szCs w:val="20"/>
      </w:rPr>
    </w:rPrDefault>
    <w:pPrDefault>
      <w:pPr>
        <w:spacing w:line="276"/>
      </w:pPr>
    </w:pPrDefault>
  </w:docDefaults>
  <w:style w:type="paragraph" w:styleId="Title">
    <w:name w:val="Title"/>
    <w:basedOn w:val="Normal"/>
    <w:next w:val="Normal"/>
    <w:qFormat/>
    <w:rPr>
      <w:sz w:val="56"/>
      <w:szCs w:val="56"/>
      <w:color w:val="000000"/>
      <w:u w:val="none"/>
    </w:rPr>
  </w:style>
  <w:style w:type="paragraph" w:styleId="Heading1">
    <w:name w:val="Heading 1"/>
    <w:basedOn w:val="Normal"/>
    <w:next w:val="Normal"/>
    <w:qFormat/>
    <w:rPr>
      <w:rFonts w:ascii="Cambria" w:cs="Cambria" w:eastAsia="Cambria" w:hAnsi="Cambria"/>
      <w:b/>
      <w:bCs/>
      <w:color w:val="17365D"/>
      <w:sz w:val="32"/>
      <w:szCs w:val="32"/>
    </w:rPr>
  </w:style>
  <w:style w:type="paragraph" w:styleId="Heading2">
    <w:name w:val="Heading 2"/>
    <w:basedOn w:val="Normal"/>
    <w:next w:val="Normal"/>
    <w:qFormat/>
    <w:rPr>
      <w:rFonts w:ascii="Cambria" w:cs="Cambria" w:eastAsia="Cambria" w:hAnsi="Cambria"/>
      <w:b/>
      <w:bCs/>
      <w:color w:val="17365D"/>
      <w:sz w:val="26"/>
      <w:szCs w:val="26"/>
    </w:rPr>
  </w:style>
  <w:style w:type="paragraph" w:styleId="Heading3">
    <w:name w:val="Heading 3"/>
    <w:basedOn w:val="Normal"/>
    <w:next w:val="Normal"/>
    <w:qFormat/>
    <w:rPr>
      <w:rFonts w:ascii="Cambria" w:cs="Cambria" w:eastAsia="Cambria" w:hAnsi="Cambria"/>
      <w:b/>
      <w:bCs/>
      <w:color w:val="17365D"/>
      <w:sz w:val="22"/>
      <w:szCs w:val="22"/>
    </w:rPr>
  </w:style>
  <w:style w:type="paragraph" w:styleId="Heading4">
    <w:name w:val="Heading 4"/>
    <w:basedOn w:val="Normal"/>
    <w:next w:val="Normal"/>
    <w:qFormat/>
    <w:rPr>
      <w:rFonts w:ascii="Calibri" w:cs="Calibri" w:eastAsia="Calibri" w:hAnsi="Calibri"/>
      <w:b/>
      <w:bCs/>
      <w:color w:val="176A87"/>
      <w:sz w:val="20"/>
      <w:szCs w:val="20"/>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7" Type="http://schemas.openxmlformats.org/officeDocument/2006/relationships/footer" Target="footer1.xml"/><Relationship Id="rId8" Type="http://schemas.openxmlformats.org/officeDocument/2006/relationships/fontTable" Target="fontTable.xml"/><Relationship Id="rId6" Type="http://schemas.openxmlformats.org/officeDocument/2006/relationships/hyperlink" Target="https://drliuhao.github.io/mh-liver-pathways/nelm/#question-NELM-R1" TargetMode="External"/><Relationship Id="rId9" Type="http://schemas.openxmlformats.org/officeDocument/2006/relationships/hyperlink" Target="https://drliuhao.github.io/mh-liver-pathways/nelm/#decision-7" TargetMode="External"/><Relationship Id="rId10" Type="http://schemas.openxmlformats.org/officeDocument/2006/relationships/hyperlink" Target="https://drliuhao.github.io/mh-liver-pathways/nelm/#decision-3" TargetMode="External"/><Relationship Id="rId11" Type="http://schemas.openxmlformats.org/officeDocument/2006/relationships/hyperlink" Target="https://drliuhao.github.io/mh-liver-pathways/nelm/#question-NELM-D1" TargetMode="External"/><Relationship Id="rId12" Type="http://schemas.openxmlformats.org/officeDocument/2006/relationships/hyperlink" Target="https://drliuhao.github.io/mh-liver-pathways/nelm/#decision-4" TargetMode="External"/><Relationship Id="rId13" Type="http://schemas.openxmlformats.org/officeDocument/2006/relationships/hyperlink" Target="https://drliuhao.github.io/mh-liver-pathways/nelm/#decision-6" TargetMode="External"/><Relationship Id="rId14" Type="http://schemas.openxmlformats.org/officeDocument/2006/relationships/hyperlink" Target="https://drliuhao.github.io/mh-liver-pathways/nelm/#question-NELM-D2" TargetMode="External"/><Relationship Id="rId15" Type="http://schemas.openxmlformats.org/officeDocument/2006/relationships/hyperlink" Target="https://drliuhao.github.io/mh-liver-pathways/nelm/#decision-5" TargetMode="External"/><Relationship Id="rId16" Type="http://schemas.openxmlformats.org/officeDocument/2006/relationships/hyperlink" Target="https://drliuhao.github.io/mh-liver-pathways/nelm/#question-NELM-D3" TargetMode="External"/><Relationship Id="rId17" Type="http://schemas.openxmlformats.org/officeDocument/2006/relationships/hyperlink" Target="https://drliuhao.github.io/mh-liver-pathways/nelm/#decision-2" TargetMode="External"/><Relationship Id="rId18" Type="http://schemas.openxmlformats.org/officeDocument/2006/relationships/hyperlink" Target="https://drliuhao.github.io/mh-liver-pathways/nelm/#question-NELM-D4" TargetMode="External"/><Relationship Id="rId19" Type="http://schemas.openxmlformats.org/officeDocument/2006/relationships/hyperlink" Target="https://drliuhao.github.io/mh-liver-pathways/nelm/#decision-9" TargetMode="External"/><Relationship Id="rId20" Type="http://schemas.openxmlformats.org/officeDocument/2006/relationships/hyperlink" Target="https://drliuhao.github.io/mh-liver-pathways/nelm/#question-NELM-D5" TargetMode="External"/><Relationship Id="rId21" Type="http://schemas.openxmlformats.org/officeDocument/2006/relationships/hyperlink" Target="https://drliuhao.github.io/mh-liver-pathways/nelm/#decision-8" TargetMode="External"/><Relationship Id="rId22" Type="http://schemas.openxmlformats.org/officeDocument/2006/relationships/hyperlink" Target="https://drliuhao.github.io/mh-liver-pathways/nelm/#question-NELM-D6" TargetMode="External"/><Relationship Id="rId23" Type="http://schemas.openxmlformats.org/officeDocument/2006/relationships/hyperlink" Target="https://drliuhao.github.io/mh-liver-pathways/nelm/#decision-1" TargetMode="External"/><Relationship Id="rId24" Type="http://schemas.openxmlformats.org/officeDocument/2006/relationships/hyperlink" Target="https://drliuhao.github.io/mh-liver-pathways/nelm/#question-NELM-D7" TargetMode="External"/><Relationship Id="rId25" Type="http://schemas.openxmlformats.org/officeDocument/2006/relationships/hyperlink" Target="https://drliuhao.github.io/mh-liver-pathways/nelm/#question-NELM-D8" TargetMode="External"/><Relationship Id="rId26" Type="http://schemas.openxmlformats.org/officeDocument/2006/relationships/hyperlink" Target="https://drliuhao.github.io/mh-liver-pathways/nelm/#question-NELM-D9" TargetMode="External"/><Relationship Id="rId27" Type="http://schemas.openxmlformats.org/officeDocument/2006/relationships/hyperlink" Target="https://drliuhao.github.io/mh-liver-pathways/nelm/#question-NELM-D10" TargetMode="External"/><Relationship Id="rId28" Type="http://schemas.openxmlformats.org/officeDocument/2006/relationships/hyperlink" Target="https://drliuhao.github.io/mh-liver-pathways/nelm/#question-NELM-D11" TargetMode="External"/><Relationship Id="rId29" Type="http://schemas.openxmlformats.org/officeDocument/2006/relationships/hyperlink" Target="https://drliuhao.github.io/mh-liver-pathways/nelm/#question-NELM-D12" TargetMode="External"/><Relationship Id="rId30" Type="http://schemas.openxmlformats.org/officeDocument/2006/relationships/hyperlink" Target="https://drliuhao.github.io/mh-liver-pathways/nelm/#question-NELM-D13" TargetMode="External"/><Relationship Id="rId31" Type="http://schemas.openxmlformats.org/officeDocument/2006/relationships/hyperlink" Target="https://drliuhao.github.io/mh-liver-pathways/nelm/#question-NELM-D14" TargetMode="External"/><Relationship Id="rId32" Type="http://schemas.openxmlformats.org/officeDocument/2006/relationships/hyperlink" Target="https://drliuhao.github.io/mh-liver-pathways/transplant/nelm/#biology" TargetMode="External"/><Relationship Id="rId33" Type="http://schemas.openxmlformats.org/officeDocument/2006/relationships/hyperlink" Target="https://drliuhao.github.io/mh-liver-pathways/transplant/nelm/#meeting-biology" TargetMode="External"/><Relationship Id="rId34" Type="http://schemas.openxmlformats.org/officeDocument/2006/relationships/hyperlink" Target="https://drliuhao.github.io/mh-liver-pathways/transplant/nelm/#distribution" TargetMode="External"/><Relationship Id="rId35" Type="http://schemas.openxmlformats.org/officeDocument/2006/relationships/hyperlink" Target="https://drliuhao.github.io/mh-liver-pathways/transplant/nelm/#observation" TargetMode="External"/><Relationship Id="rId36" Type="http://schemas.openxmlformats.org/officeDocument/2006/relationships/hyperlink" Target="https://drliuhao.github.io/mh-liver-pathways/transplant/nelm/#meeting-extrahepatic" TargetMode="External"/><Relationship Id="rId37" Type="http://schemas.openxmlformats.org/officeDocument/2006/relationships/hyperlink" Target="https://drliuhao.github.io/mh-liver-pathways/transplant/nelm/#options" TargetMode="External"/><Relationship Id="rId38" Type="http://schemas.openxmlformats.org/officeDocument/2006/relationships/hyperlink" Target="https://drliuhao.github.io/mh-liver-pathways/transplant/nelm/#review" TargetMode="External"/><Relationship Id="rId39" Type="http://schemas.openxmlformats.org/officeDocument/2006/relationships/hyperlink" Target="https://drliuhao.github.io/mh-liver-pathways/transplant/nelm/#meeting-selection" TargetMode="External"/><Relationship Id="rId40" Type="http://schemas.openxmlformats.org/officeDocument/2006/relationships/hyperlink" Target="https://drliuhao.github.io/mh-liver-pathways/transplant/nelm/#exposure" TargetMode="External"/><Relationship Id="rId41" Type="http://schemas.openxmlformats.org/officeDocument/2006/relationships/hyperlink" Target="https://drliuhao.github.io/mh-liver-pathways/transplant/nelm/#meeting-sequencing" TargetMode="External"/><Relationship Id="rId42" Type="http://schemas.openxmlformats.org/officeDocument/2006/relationships/hyperlink" Target="https://drliuhao.github.io/mh-liver-pathways/transplant/nelm/#meeting-observation" TargetMode="External"/><Relationship Id="rId43" Type="http://schemas.openxmlformats.org/officeDocument/2006/relationships/hyperlink" Target="https://drliuhao.github.io/mh-liver-pathways/transplant/nelm/#follow-up" TargetMode="External"/><Relationship Id="rId44" Type="http://schemas.openxmlformats.org/officeDocument/2006/relationships/hyperlink" Target="https://drliuhao.github.io/mh-liver-pathways/transplant/nelm/#meeting-ownership" TargetMode="External"/><Relationship Id="rId45" Type="http://schemas.openxmlformats.org/officeDocument/2006/relationships/hyperlink" Target="https://drliuhao.github.io/mh-liver-pathways/transplant/nelm/#high-risk-net-b1" TargetMode="External"/><Relationship Id="rId46" Type="http://schemas.openxmlformats.org/officeDocument/2006/relationships/hyperlink" Target="https://drliuhao.github.io/mh-liver-pathways/transplant/nelm/#high-risk-net-b2" TargetMode="External"/><Relationship Id="rId47" Type="http://schemas.openxmlformats.org/officeDocument/2006/relationships/hyperlink" Target="https://drliuhao.github.io/mh-liver-pathways/transplant/nelm/#high-risk-net-b3" TargetMode="External"/><Relationship Id="rId48" Type="http://schemas.openxmlformats.org/officeDocument/2006/relationships/hyperlink" Target="https://drliuhao.github.io/mh-liver-pathways/transplant/nelm/#high-risk-net-b4" TargetMode="External"/><Relationship Id="rId49" Type="http://schemas.openxmlformats.org/officeDocument/2006/relationships/hyperlink" Target="https://drliuhao.github.io/mh-liver-pathways/transplant/nelm/#high-risk-alloc-b1" TargetMode="External"/><Relationship Id="rId50" Type="http://schemas.openxmlformats.org/officeDocument/2006/relationships/hyperlink" Target="https://drliuhao.github.io/mh-liver-pathways/transplant/nelm/#high-risk-alloc-b2" TargetMode="External"/><Relationship Id="rId51" Type="http://schemas.openxmlformats.org/officeDocument/2006/relationships/hyperlink" Target="https://drliuhao.github.io/mh-liver-pathways/transplant/nelm/#high-risk-alloc-b3" TargetMode="External"/><Relationship Id="rId52" Type="http://schemas.openxmlformats.org/officeDocument/2006/relationships/hyperlink" Target="https://drliuhao.github.io/mh-liver-pathways/transplant/nelm/#high-risk-alloc-b4" TargetMode="External"/><Relationship Id="rId53" Type="http://schemas.openxmlformats.org/officeDocument/2006/relationships/hyperlink" Target="https://pubmed.ncbi.nlm.nih.gov/22335782/" TargetMode="External"/><Relationship Id="rId54" Type="http://schemas.openxmlformats.org/officeDocument/2006/relationships/hyperlink" Target="https://doi.org/10.1111/j.1600-6143.2011.03972.x" TargetMode="External"/><Relationship Id="rId55" Type="http://schemas.openxmlformats.org/officeDocument/2006/relationships/hyperlink" Target="https://pmc.ncbi.nlm.nih.gov/articles/PMC3732171/pdf/nihms-491154.pdf" TargetMode="External"/><Relationship Id="rId56" Type="http://schemas.openxmlformats.org/officeDocument/2006/relationships/hyperlink" Target="https://pmc.ncbi.nlm.nih.gov/articles/PMC3732171/" TargetMode="External"/><Relationship Id="rId57" Type="http://schemas.openxmlformats.org/officeDocument/2006/relationships/hyperlink" Target="https://thslc-houston.primo.exlibrisgroup.com/discovery/search?vid=01TEXASHEALTH_HOUSTON%3ATMC_INST&amp;query=any,contains,10.1111%2Fj.1600-6143.2011.03972.x&amp;lang=en" TargetMode="External"/><Relationship Id="rId58" Type="http://schemas.openxmlformats.org/officeDocument/2006/relationships/hyperlink" Target="https://pubmed.ncbi.nlm.nih.gov/38521169/" TargetMode="External"/><Relationship Id="rId59" Type="http://schemas.openxmlformats.org/officeDocument/2006/relationships/hyperlink" Target="https://doi.org/10.1016/j.jhep.2024.03.020" TargetMode="External"/><Relationship Id="rId60" Type="http://schemas.openxmlformats.org/officeDocument/2006/relationships/hyperlink" Target="https://thslc-houston.primo.exlibrisgroup.com/discovery/search?vid=01TEXASHEALTH_HOUSTON%3ATMC_INST&amp;query=any,contains,10.1016%2Fj.jhep.2024.03.020&amp;lang=en" TargetMode="External"/><Relationship Id="rId61" Type="http://schemas.openxmlformats.org/officeDocument/2006/relationships/hyperlink" Target="https://pubmed.ncbi.nlm.nih.gov/37774329/" TargetMode="External"/><Relationship Id="rId62" Type="http://schemas.openxmlformats.org/officeDocument/2006/relationships/hyperlink" Target="https://pubmed.ncbi.nlm.nih.gov/41682619/" TargetMode="External"/><Relationship Id="rId63" Type="http://schemas.openxmlformats.org/officeDocument/2006/relationships/hyperlink" Target="https://doi.org/10.3390/jcm15030938" TargetMode="External"/><Relationship Id="rId64" Type="http://schemas.openxmlformats.org/officeDocument/2006/relationships/hyperlink" Target="https://pmc.ncbi.nlm.nih.gov/articles/PMC12898325/" TargetMode="External"/><Relationship Id="rId65" Type="http://schemas.openxmlformats.org/officeDocument/2006/relationships/hyperlink" Target="https://thslc-houston.primo.exlibrisgroup.com/discovery/search?vid=01TEXASHEALTH_HOUSTON%3ATMC_INST&amp;query=any,contains,10.3390%2Fjcm15030938&amp;lang=en" TargetMode="External"/><Relationship Id="rId66" Type="http://schemas.openxmlformats.org/officeDocument/2006/relationships/hyperlink" Target="https://pubmed.ncbi.nlm.nih.gov/25014687/" TargetMode="External"/><Relationship Id="rId67" Type="http://schemas.openxmlformats.org/officeDocument/2006/relationships/hyperlink" Target="https://doi.org/10.1056/nejmoa1316158" TargetMode="External"/><Relationship Id="rId68" Type="http://schemas.openxmlformats.org/officeDocument/2006/relationships/hyperlink" Target="https://doi.org/10.1056/NEJMoa1316158" TargetMode="External"/><Relationship Id="rId69" Type="http://schemas.openxmlformats.org/officeDocument/2006/relationships/hyperlink" Target="https://thslc-houston.primo.exlibrisgroup.com/discovery/search?vid=01TEXASHEALTH_HOUSTON%3ATMC_INST&amp;query=any,contains,10.1056%2Fnejmoa1316158&amp;lang=en" TargetMode="External"/><Relationship Id="rId70" Type="http://schemas.openxmlformats.org/officeDocument/2006/relationships/hyperlink" Target="https://pubmed.ncbi.nlm.nih.gov/39266864/" TargetMode="External"/><Relationship Id="rId71" Type="http://schemas.openxmlformats.org/officeDocument/2006/relationships/hyperlink" Target="https://pubmed.ncbi.nlm.nih.gov/29560571/" TargetMode="External"/><Relationship Id="rId72" Type="http://schemas.openxmlformats.org/officeDocument/2006/relationships/hyperlink" Target="https://doi.org/10.1245/s10434-018-6433-6" TargetMode="External"/><Relationship Id="rId73" Type="http://schemas.openxmlformats.org/officeDocument/2006/relationships/hyperlink" Target="https://libkey.io/libraries/480/10.1245/s10434-018-6433-6" TargetMode="External"/><Relationship Id="rId74" Type="http://schemas.openxmlformats.org/officeDocument/2006/relationships/hyperlink" Target="https://pubmed.ncbi.nlm.nih.gov/39282913/" TargetMode="External"/><Relationship Id="rId75" Type="http://schemas.openxmlformats.org/officeDocument/2006/relationships/hyperlink" Target="https://doi.org/10.1056/nejmoa2403991" TargetMode="External"/><Relationship Id="rId76" Type="http://schemas.openxmlformats.org/officeDocument/2006/relationships/hyperlink" Target="https://pmc.ncbi.nlm.nih.gov/articles/PMC11821447/" TargetMode="External"/><Relationship Id="rId77" Type="http://schemas.openxmlformats.org/officeDocument/2006/relationships/hyperlink" Target="https://thslc-houston.primo.exlibrisgroup.com/discovery/search?vid=01TEXASHEALTH_HOUSTON%3ATMC_INST&amp;query=any,contains,10.1056%2Fnejmoa2403991&amp;lang=en" TargetMode="External"/><Relationship Id="rId78" Type="http://schemas.openxmlformats.org/officeDocument/2006/relationships/hyperlink" Target="https://pubmed.ncbi.nlm.nih.gov/41760506/" TargetMode="External"/><Relationship Id="rId79" Type="http://schemas.openxmlformats.org/officeDocument/2006/relationships/hyperlink" Target="https://doi.org/10.1016/j.transproceed.2026.02.019" TargetMode="External"/><Relationship Id="rId80" Type="http://schemas.openxmlformats.org/officeDocument/2006/relationships/hyperlink" Target="https://thslc-houston.primo.exlibrisgroup.com/discovery/search?vid=01TEXASHEALTH_HOUSTON%3ATMC_INST&amp;query=any,contains,10.1016%2Fj.transproceed.2026.02.019&amp;lang=en" TargetMode="External"/><Relationship Id="rId81" Type="http://schemas.openxmlformats.org/officeDocument/2006/relationships/hyperlink" Target="https://pubmed.ncbi.nlm.nih.gov/22722717/" TargetMode="External"/><Relationship Id="rId82" Type="http://schemas.openxmlformats.org/officeDocument/2006/relationships/hyperlink" Target="https://pubmed.ncbi.nlm.nih.gov/27647626/" TargetMode="External"/><Relationship Id="rId83" Type="http://schemas.openxmlformats.org/officeDocument/2006/relationships/hyperlink" Target="https://doi.org/10.1111/ajt.14055" TargetMode="External"/><Relationship Id="rId84" Type="http://schemas.openxmlformats.org/officeDocument/2006/relationships/hyperlink" Target="https://pmc.ncbi.nlm.nih.gov/articles/PMC5359081/pdf/nihms818467.pdf" TargetMode="External"/><Relationship Id="rId85" Type="http://schemas.openxmlformats.org/officeDocument/2006/relationships/hyperlink" Target="https://pmc.ncbi.nlm.nih.gov/articles/PMC5359081/" TargetMode="External"/><Relationship Id="rId86" Type="http://schemas.openxmlformats.org/officeDocument/2006/relationships/hyperlink" Target="https://thslc-houston.primo.exlibrisgroup.com/discovery/search?vid=01TEXASHEALTH_HOUSTON%3ATMC_INST&amp;query=any,contains,10.1111%2Fajt.14055&amp;lang=en" TargetMode="External"/><Relationship Id="rId87" Type="http://schemas.openxmlformats.org/officeDocument/2006/relationships/hyperlink" Target="https://pubmed.ncbi.nlm.nih.gov/33588146/" TargetMode="External"/><Relationship Id="rId88" Type="http://schemas.openxmlformats.org/officeDocument/2006/relationships/hyperlink" Target="https://pubmed.ncbi.nlm.nih.gov/42270817/" TargetMode="External"/><Relationship Id="rId89" Type="http://schemas.openxmlformats.org/officeDocument/2006/relationships/hyperlink" Target="https://doi.org/10.1038/s41571-026-01160-z" TargetMode="External"/><Relationship Id="rId90" Type="http://schemas.openxmlformats.org/officeDocument/2006/relationships/hyperlink" Target="https://pmc.ncbi.nlm.nih.gov/articles/PMC13665261/pdf/nihms-2192929.pdf" TargetMode="External"/><Relationship Id="rId91" Type="http://schemas.openxmlformats.org/officeDocument/2006/relationships/hyperlink" Target="https://pmc.ncbi.nlm.nih.gov/articles/PMC13665261/" TargetMode="External"/><Relationship Id="rId92" Type="http://schemas.openxmlformats.org/officeDocument/2006/relationships/hyperlink" Target="https://thslc-houston.primo.exlibrisgroup.com/discovery/search?vid=01TEXASHEALTH_HOUSTON%3ATMC_INST&amp;query=any,contains,10.1038%2Fs41571-026-01160-z&amp;lang=en" TargetMode="External"/><Relationship Id="rId93" Type="http://schemas.openxmlformats.org/officeDocument/2006/relationships/hyperlink" Target="https://pubmed.ncbi.nlm.nih.gov/27777223/" TargetMode="External"/><Relationship Id="rId94" Type="http://schemas.openxmlformats.org/officeDocument/2006/relationships/hyperlink" Target="https://doi.org/10.1136/bmj.i5239" TargetMode="External"/><Relationship Id="rId95" Type="http://schemas.openxmlformats.org/officeDocument/2006/relationships/hyperlink" Target="https://pmc.ncbi.nlm.nih.gov/articles/PMC5076380/" TargetMode="External"/><Relationship Id="rId96" Type="http://schemas.openxmlformats.org/officeDocument/2006/relationships/hyperlink" Target="https://thslc-houston.primo.exlibrisgroup.com/discovery/search?vid=01TEXASHEALTH_HOUSTON%3ATMC_INST&amp;query=any,contains,10.1136%2Fbmj.i5239&amp;lang=en" TargetMode="External"/><Relationship Id="rId97" Type="http://schemas.openxmlformats.org/officeDocument/2006/relationships/hyperlink" Target="https://pubmed.ncbi.nlm.nih.gov/37578384/" TargetMode="External"/><Relationship Id="rId98" Type="http://schemas.openxmlformats.org/officeDocument/2006/relationships/hyperlink" Target="https://pubmed.ncbi.nlm.nih.gov/36924180/" TargetMode="External"/><Relationship Id="rId99" Type="http://schemas.openxmlformats.org/officeDocument/2006/relationships/hyperlink" Target="https://pubmed.ncbi.nlm.nih.gov/38977327/" TargetMode="External"/><Relationship Id="rId100" Type="http://schemas.openxmlformats.org/officeDocument/2006/relationships/hyperlink" Target="https://pubmed.ncbi.nlm.nih.gov/42816382/" TargetMode="External"/><Relationship Id="rId101" Type="http://schemas.openxmlformats.org/officeDocument/2006/relationships/hyperlink" Target="https://doi.org/10.1111/jne.70250" TargetMode="External"/><Relationship Id="rId102" Type="http://schemas.openxmlformats.org/officeDocument/2006/relationships/hyperlink" Target="https://pmc.ncbi.nlm.nih.gov/articles/PMC13626967/pdf/JNE-38-e70250.pdf" TargetMode="External"/><Relationship Id="rId103" Type="http://schemas.openxmlformats.org/officeDocument/2006/relationships/hyperlink" Target="https://pmc.ncbi.nlm.nih.gov/articles/PMC13626967/" TargetMode="External"/><Relationship Id="rId104" Type="http://schemas.openxmlformats.org/officeDocument/2006/relationships/hyperlink" Target="https://thslc-houston.primo.exlibrisgroup.com/discovery/search?vid=01TEXASHEALTH_HOUSTON%3ATMC_INST&amp;query=any,contains,10.1111%2Fjne.70250&amp;lang=en" TargetMode="External"/><Relationship Id="rId105" Type="http://schemas.openxmlformats.org/officeDocument/2006/relationships/hyperlink" Target="https://pubmed.ncbi.nlm.nih.gov/35975918/" TargetMode="External"/><Relationship Id="rId106" Type="http://schemas.openxmlformats.org/officeDocument/2006/relationships/hyperlink" Target="https://doi.org/10.1097/sla.0000000000005663" TargetMode="External"/><Relationship Id="rId107" Type="http://schemas.openxmlformats.org/officeDocument/2006/relationships/hyperlink" Target="https://doi.org/10.1097/SLA.0000000000005663" TargetMode="External"/><Relationship Id="rId108" Type="http://schemas.openxmlformats.org/officeDocument/2006/relationships/hyperlink" Target="https://thslc-houston.primo.exlibrisgroup.com/discovery/search?vid=01TEXASHEALTH_HOUSTON%3ATMC_INST&amp;query=any,contains,10.1097%2Fsla.0000000000005663&amp;lang=en" TargetMode="External"/><Relationship Id="rId109" Type="http://schemas.openxmlformats.org/officeDocument/2006/relationships/hyperlink" Target="https://pubmed.ncbi.nlm.nih.gov/32272208/" TargetMode="External"/><Relationship Id="rId110" Type="http://schemas.openxmlformats.org/officeDocument/2006/relationships/hyperlink" Target="https://pubmed.ncbi.nlm.nih.gov/21037441/" TargetMode="External"/><Relationship Id="rId111" Type="http://schemas.openxmlformats.org/officeDocument/2006/relationships/hyperlink" Target="https://doi.org/10.1097/SLA.0b013e3181fd37e8" TargetMode="External"/><Relationship Id="rId112" Type="http://schemas.openxmlformats.org/officeDocument/2006/relationships/hyperlink" Target="https://thslc-houston.primo.exlibrisgroup.com/discovery/search?vid=01TEXASHEALTH_HOUSTON%3ATMC_INST&amp;query=any,contains,10.1097%2FSLA.0b013e3181fd37e8&amp;lang=en" TargetMode="External"/><Relationship Id="rId113" Type="http://schemas.openxmlformats.org/officeDocument/2006/relationships/hyperlink" Target="https://pubmed.ncbi.nlm.nih.gov/25456912/" TargetMode="External"/><Relationship Id="rId114" Type="http://schemas.openxmlformats.org/officeDocument/2006/relationships/hyperlink" Target="https://pubmed.ncbi.nlm.nih.gov/37208566/" TargetMode="External"/><Relationship Id="rId115" Type="http://schemas.openxmlformats.org/officeDocument/2006/relationships/hyperlink" Target="https://doi.org/10.1245/s10434-023-13372-z" TargetMode="External"/><Relationship Id="rId116" Type="http://schemas.openxmlformats.org/officeDocument/2006/relationships/hyperlink" Target="https://pmc.ncbi.nlm.nih.gov/articles/PMC10319657/" TargetMode="External"/><Relationship Id="rId117" Type="http://schemas.openxmlformats.org/officeDocument/2006/relationships/hyperlink" Target="https://libkey.io/libraries/480/10.1245/s10434-023-13372-z" TargetMode="External"/><Relationship Id="rId118" Type="http://schemas.openxmlformats.org/officeDocument/2006/relationships/hyperlink" Target="https://pubmed.ncbi.nlm.nih.gov/16134179/" TargetMode="External"/><Relationship Id="rId119" Type="http://schemas.openxmlformats.org/officeDocument/2006/relationships/hyperlink" Target="https://pubmed.ncbi.nlm.nih.gov/40302310/" TargetMode="External"/><Relationship Id="rId120" Type="http://schemas.openxmlformats.org/officeDocument/2006/relationships/hyperlink" Target="https://www.ecfr.gov/current/title-45/subtitle-A/subchapter-A/part-46/subpart-A/section-46.111" TargetMode="External"/><Relationship Id="rId121" Type="http://schemas.openxmlformats.org/officeDocument/2006/relationships/hyperlink" Target="https://pubmed.ncbi.nlm.nih.gov/39395114/" TargetMode="External"/><Relationship Id="rId122" Type="http://schemas.openxmlformats.org/officeDocument/2006/relationships/hyperlink" Target="https://pubmed.ncbi.nlm.nih.gov/42835360/" TargetMode="External"/><Relationship Id="rId123" Type="http://schemas.openxmlformats.org/officeDocument/2006/relationships/hyperlink" Target="https://doi.org/10.1155/joot/2545887" TargetMode="External"/><Relationship Id="rId124" Type="http://schemas.openxmlformats.org/officeDocument/2006/relationships/hyperlink" Target="https://thslc-houston.primo.exlibrisgroup.com/discovery/search?vid=01TEXASHEALTH_HOUSTON%3ATMC_INST&amp;query=any,contains,10.1155%2Fjoot%2F2545887&amp;lang=en" TargetMode="External"/><Relationship Id="rId125" Type="http://schemas.openxmlformats.org/officeDocument/2006/relationships/hyperlink" Target="https://pubmed.ncbi.nlm.nih.gov/18525307/" TargetMode="External"/><Relationship Id="rId126" Type="http://schemas.openxmlformats.org/officeDocument/2006/relationships/hyperlink" Target="https://pubmed.ncbi.nlm.nih.gov/36175647/" TargetMode="External"/><Relationship Id="rId127" Type="http://schemas.openxmlformats.org/officeDocument/2006/relationships/hyperlink" Target="https://doi.org/10.1007/s00268-022-06736-1" TargetMode="External"/><Relationship Id="rId128" Type="http://schemas.openxmlformats.org/officeDocument/2006/relationships/hyperlink" Target="https://pmc.ncbi.nlm.nih.gov/articles/PMC9803729/" TargetMode="External"/><Relationship Id="rId129" Type="http://schemas.openxmlformats.org/officeDocument/2006/relationships/hyperlink" Target="https://thslc-houston.primo.exlibrisgroup.com/discovery/search?vid=01TEXASHEALTH_HOUSTON%3ATMC_INST&amp;query=any,contains,10.1007%2Fs00268-022-06736-1&amp;lang=en" TargetMode="External"/><Relationship Id="rId130" Type="http://schemas.openxmlformats.org/officeDocument/2006/relationships/hyperlink" Target="https://pubmed.ncbi.nlm.nih.gov/23532105/" TargetMode="External"/><Relationship Id="rId131" Type="http://schemas.openxmlformats.org/officeDocument/2006/relationships/hyperlink" Target="https://doi.org/10.1097/sla.0b013e31828ee17c" TargetMode="External"/><Relationship Id="rId132" Type="http://schemas.openxmlformats.org/officeDocument/2006/relationships/hyperlink" Target="https://doi.org/10.1097/SLA.0b013e31828ee17c" TargetMode="External"/><Relationship Id="rId133" Type="http://schemas.openxmlformats.org/officeDocument/2006/relationships/hyperlink" Target="https://thslc-houston.primo.exlibrisgroup.com/discovery/search?vid=01TEXASHEALTH_HOUSTON%3ATMC_INST&amp;query=any,contains,10.1097%2Fsla.0b013e31828ee17c&amp;lang=en" TargetMode="External"/><Relationship Id="rId134" Type="http://schemas.openxmlformats.org/officeDocument/2006/relationships/hyperlink" Target="https://pubmed.ncbi.nlm.nih.gov/39274193/" TargetMode="External"/><Relationship Id="rId135" Type="http://schemas.openxmlformats.org/officeDocument/2006/relationships/hyperlink" Target="https://doi.org/10.3390/jcm13174983" TargetMode="External"/><Relationship Id="rId136" Type="http://schemas.openxmlformats.org/officeDocument/2006/relationships/hyperlink" Target="https://pmc.ncbi.nlm.nih.gov/articles/PMC11395682/" TargetMode="External"/><Relationship Id="rId137" Type="http://schemas.openxmlformats.org/officeDocument/2006/relationships/hyperlink" Target="https://libkey.io/libraries/480/10.3390/jcm13174983" TargetMode="External"/><Relationship Id="rId138" Type="http://schemas.openxmlformats.org/officeDocument/2006/relationships/hyperlink" Target="https://pubmed.ncbi.nlm.nih.gov/35869798/" TargetMode="External"/><Relationship Id="rId139" Type="http://schemas.openxmlformats.org/officeDocument/2006/relationships/hyperlink" Target="https://doi.org/10.1111/ajt.17156" TargetMode="External"/><Relationship Id="rId140" Type="http://schemas.openxmlformats.org/officeDocument/2006/relationships/hyperlink" Target="https://pmc.ncbi.nlm.nih.gov/articles/PMC9805141/pdf/AJT-22-2598.pdf" TargetMode="External"/><Relationship Id="rId141" Type="http://schemas.openxmlformats.org/officeDocument/2006/relationships/hyperlink" Target="https://pmc.ncbi.nlm.nih.gov/articles/PMC9805141/" TargetMode="External"/><Relationship Id="rId142" Type="http://schemas.openxmlformats.org/officeDocument/2006/relationships/hyperlink" Target="https://thslc-houston.primo.exlibrisgroup.com/discovery/search?vid=01TEXASHEALTH_HOUSTON%3ATMC_INST&amp;query=any,contains,10.1111%2Fajt.17156&amp;lang=en" TargetMode="External"/><Relationship Id="rId143" Type="http://schemas.openxmlformats.org/officeDocument/2006/relationships/hyperlink" Target="https://pubmed.ncbi.nlm.nih.gov/27134017/" TargetMode="External"/><Relationship Id="rId144" Type="http://schemas.openxmlformats.org/officeDocument/2006/relationships/hyperlink" Target="https://doi.org/10.1111/ajt.13831" TargetMode="External"/><Relationship Id="rId145" Type="http://schemas.openxmlformats.org/officeDocument/2006/relationships/hyperlink" Target="https://thslc-houston.primo.exlibrisgroup.com/discovery/search?vid=01TEXASHEALTH_HOUSTON%3ATMC_INST&amp;query=any,contains,10.1111%2Fajt.13831&amp;lang=en" TargetMode="External"/><Relationship Id="rId146" Type="http://schemas.openxmlformats.org/officeDocument/2006/relationships/hyperlink" Target="https://pubmed.ncbi.nlm.nih.gov/28609356/" TargetMode="External"/><Relationship Id="rId147" Type="http://schemas.openxmlformats.org/officeDocument/2006/relationships/hyperlink" Target="https://pubmed.ncbi.nlm.nih.gov/28609357/" TargetMode="External"/><Relationship Id="rId148" Type="http://schemas.openxmlformats.org/officeDocument/2006/relationships/hyperlink" Target="https://doi.org/10.1097/MPA.0000000000000846" TargetMode="External"/><Relationship Id="rId149" Type="http://schemas.openxmlformats.org/officeDocument/2006/relationships/hyperlink" Target="https://pmc.ncbi.nlm.nih.gov/articles/PMC5502737/" TargetMode="External"/><Relationship Id="rId150" Type="http://schemas.openxmlformats.org/officeDocument/2006/relationships/hyperlink" Target="https://libkey.io/libraries/480/10.1097/MPA.0000000000000846" TargetMode="External"/><Relationship Id="rId151" Type="http://schemas.openxmlformats.org/officeDocument/2006/relationships/hyperlink" Target="https://pubmed.ncbi.nlm.nih.gov/31856076/" TargetMode="External"/><Relationship Id="rId152" Type="http://schemas.openxmlformats.org/officeDocument/2006/relationships/hyperlink" Target="https://pubmed.ncbi.nlm.nih.gov/32015164/" TargetMode="External"/><Relationship Id="rId153" Type="http://schemas.openxmlformats.org/officeDocument/2006/relationships/hyperlink" Target="https://pubmed.ncbi.nlm.nih.gov/38851203/" TargetMode="External"/><Relationship Id="rId154" Type="http://schemas.openxmlformats.org/officeDocument/2006/relationships/hyperlink" Target="https://doi.org/10.1016/S0140-6736(24)00701-3" TargetMode="External"/><Relationship Id="rId155" Type="http://schemas.openxmlformats.org/officeDocument/2006/relationships/hyperlink" Target="https://thslc-houston.primo.exlibrisgroup.com/discovery/search?vid=01TEXASHEALTH_HOUSTON%3ATMC_INST&amp;query=any,contains,10.1016%2FS0140-6736%2824%2900701-3&amp;lang=en" TargetMode="External"/><Relationship Id="rId156" Type="http://schemas.openxmlformats.org/officeDocument/2006/relationships/hyperlink" Target="https://www.hrsa.gov/sites/default/files/hrsa/optn/adult-meld-exception-transplant-oncology-review-guidance.pdf" TargetMode="External"/><Relationship Id="rId157" Type="http://schemas.openxmlformats.org/officeDocument/2006/relationships/hyperlink" Target="https://www.hrsa.gov/sites/default/files/hrsa/optn/adult-meld-exception-transplant-oncology-review-guidance.pdf#page=8" TargetMode="External"/><Relationship Id="rId158" Type="http://schemas.openxmlformats.org/officeDocument/2006/relationships/hyperlink" Target="https://www.hrsa.gov/optn/professionals/resources/ethical-considerations/ethical-principles-in-the-allocation-of-human-organs" TargetMode="External"/><Relationship Id="rId159" Type="http://schemas.openxmlformats.org/officeDocument/2006/relationships/hyperlink" Target="https://www.hrsa.gov/sites/default/files/hrsa/optn/optn_policies.pdf" TargetMode="External"/><Relationship Id="rId160" Type="http://schemas.openxmlformats.org/officeDocument/2006/relationships/hyperlink" Target="https://pubmed.ncbi.nlm.nih.gov/30016989/" TargetMode="External"/><Relationship Id="rId161" Type="http://schemas.openxmlformats.org/officeDocument/2006/relationships/hyperlink" Target="https://pubmed.ncbi.nlm.nih.gov/26171686/" TargetMode="External"/><Relationship Id="rId162" Type="http://schemas.openxmlformats.org/officeDocument/2006/relationships/hyperlink" Target="https://doi.org/10.1002/jso.23973" TargetMode="External"/><Relationship Id="rId163" Type="http://schemas.openxmlformats.org/officeDocument/2006/relationships/hyperlink" Target="https://thslc-houston.primo.exlibrisgroup.com/discovery/search?vid=01TEXASHEALTH_HOUSTON%3ATMC_INST&amp;query=any,contains,10.1002%2Fjso.23973&amp;lang=en" TargetMode="External"/><Relationship Id="rId164" Type="http://schemas.openxmlformats.org/officeDocument/2006/relationships/hyperlink" Target="https://pubmed.ncbi.nlm.nih.gov/28513896/" TargetMode="External"/><Relationship Id="rId165" Type="http://schemas.openxmlformats.org/officeDocument/2006/relationships/hyperlink" Target="https://doi.org/10.1002/jso.24670" TargetMode="External"/><Relationship Id="rId166" Type="http://schemas.openxmlformats.org/officeDocument/2006/relationships/hyperlink" Target="https://libkey.io/libraries/480/10.1002/jso.24670" TargetMode="External"/><Relationship Id="rId167" Type="http://schemas.openxmlformats.org/officeDocument/2006/relationships/hyperlink" Target="https://pubmed.ncbi.nlm.nih.gov/34793718/" TargetMode="External"/><Relationship Id="rId168" Type="http://schemas.openxmlformats.org/officeDocument/2006/relationships/hyperlink" Target="https://doi.org/10.1016/s1470-2045(21)00572-6" TargetMode="External"/><Relationship Id="rId169" Type="http://schemas.openxmlformats.org/officeDocument/2006/relationships/hyperlink" Target="https://doi.org/10.1016/S1470-2045(21)00572-6" TargetMode="External"/><Relationship Id="rId170" Type="http://schemas.openxmlformats.org/officeDocument/2006/relationships/hyperlink" Target="https://thslc-houston.primo.exlibrisgroup.com/discovery/search?vid=01TEXASHEALTH_HOUSTON%3ATMC_INST&amp;query=any,contains,10.1016%2Fs1470-2045%2821%2900572-6&amp;lang=en" TargetMode="External"/><Relationship Id="rId171" Type="http://schemas.openxmlformats.org/officeDocument/2006/relationships/hyperlink" Target="https://pubmed.ncbi.nlm.nih.gov/39544321/" TargetMode="External"/><Relationship Id="rId172" Type="http://schemas.openxmlformats.org/officeDocument/2006/relationships/hyperlink" Target="https://doi.org/10.3389/ti.2024.13641" TargetMode="External"/><Relationship Id="rId173" Type="http://schemas.openxmlformats.org/officeDocument/2006/relationships/hyperlink" Target="https://pmc.ncbi.nlm.nih.gov/articles/PMC11560448/pdf/ti-37-13641.pdf" TargetMode="External"/><Relationship Id="rId174" Type="http://schemas.openxmlformats.org/officeDocument/2006/relationships/hyperlink" Target="https://pmc.ncbi.nlm.nih.gov/articles/PMC11560448/" TargetMode="External"/><Relationship Id="rId175" Type="http://schemas.openxmlformats.org/officeDocument/2006/relationships/hyperlink" Target="https://thslc-houston.primo.exlibrisgroup.com/discovery/search?vid=01TEXASHEALTH_HOUSTON%3ATMC_INST&amp;query=any,contains,10.3389%2Fti.2024.13641&amp;lang=en" TargetMode="External"/><Relationship Id="rId176" Type="http://schemas.openxmlformats.org/officeDocument/2006/relationships/hyperlink" Target="https://pubmed.ncbi.nlm.nih.gov/39306468/" TargetMode="External"/><Relationship Id="rId177" Type="http://schemas.openxmlformats.org/officeDocument/2006/relationships/hyperlink" Target="https://doi.org/10.1016/S0140-6736(24)01595-2" TargetMode="External"/><Relationship Id="rId178" Type="http://schemas.openxmlformats.org/officeDocument/2006/relationships/hyperlink" Target="https://thslc-houston.primo.exlibrisgroup.com/discovery/search?vid=01TEXASHEALTH_HOUSTON%3ATMC_INST&amp;query=any,contains,10.1016%2FS0140-6736%2824%2901595-2&amp;lang=en" TargetMode="External"/><Relationship Id="rId179" Type="http://schemas.openxmlformats.org/officeDocument/2006/relationships/hyperlink" Target="https://pubmed.ncbi.nlm.nih.gov/40778558/" TargetMode="External"/><Relationship Id="rId180" Type="http://schemas.openxmlformats.org/officeDocument/2006/relationships/hyperlink" Target="https://doi.org/10.1111/jne.70073" TargetMode="External"/><Relationship Id="rId181" Type="http://schemas.openxmlformats.org/officeDocument/2006/relationships/hyperlink" Target="https://pmc.ncbi.nlm.nih.gov/articles/PMC12488365/" TargetMode="External"/><Relationship Id="rId182" Type="http://schemas.openxmlformats.org/officeDocument/2006/relationships/hyperlink" Target="https://libkey.io/libraries/480/10.1111/jne.70073" TargetMode="External"/><Relationship Id="rId183" Type="http://schemas.openxmlformats.org/officeDocument/2006/relationships/hyperlink" Target="https://thslc-houston.primo.exlibrisgroup.com/discovery/search?vid=01TEXASHEALTH_HOUSTON%3ATMC_INST&amp;query=any,contains,10.1111%2Fjne.70073&amp;lang=en" TargetMode="External"/><Relationship Id="rId184" Type="http://schemas.openxmlformats.org/officeDocument/2006/relationships/hyperlink" Target="https://pubmed.ncbi.nlm.nih.gov/30218247/" TargetMode="External"/><Relationship Id="rId185" Type="http://schemas.openxmlformats.org/officeDocument/2006/relationships/hyperlink" Target="https://doi.org/10.1245/s10434-018-6751-8" TargetMode="External"/><Relationship Id="rId186" Type="http://schemas.openxmlformats.org/officeDocument/2006/relationships/hyperlink" Target="https://libkey.io/libraries/480/10.1245/s10434-018-6751-8" TargetMode="External"/><Relationship Id="rId187" Type="http://schemas.openxmlformats.org/officeDocument/2006/relationships/hyperlink" Target="https://pubmed.ncbi.nlm.nih.gov/38015449/" TargetMode="External"/><Relationship Id="rId188" Type="http://schemas.openxmlformats.org/officeDocument/2006/relationships/hyperlink" Target="https://doi.org/10.1097/LVT.0000000000000303" TargetMode="External"/><Relationship Id="rId189" Type="http://schemas.openxmlformats.org/officeDocument/2006/relationships/hyperlink" Target="https://thslc-houston.primo.exlibrisgroup.com/discovery/search?vid=01TEXASHEALTH_HOUSTON%3ATMC_INST&amp;query=any,contains,10.1097%2FLVT.0000000000000303&amp;lang=en" TargetMode="External"/><Relationship Id="rId190" Type="http://schemas.openxmlformats.org/officeDocument/2006/relationships/hyperlink" Target="https://pubmed.ncbi.nlm.nih.gov/32615109/" TargetMode="External"/><Relationship Id="rId191" Type="http://schemas.openxmlformats.org/officeDocument/2006/relationships/hyperlink" Target="https://doi.org/10.1016/S1470-2045(20)30224-2" TargetMode="External"/><Relationship Id="rId192" Type="http://schemas.openxmlformats.org/officeDocument/2006/relationships/hyperlink" Target="https://thslc-houston.primo.exlibrisgroup.com/discovery/search?vid=01TEXASHEALTH_HOUSTON%3ATMC_INST&amp;query=any,contains,10.1016%2FS1470-2045%2820%2930224-2&amp;lang=en" TargetMode="External"/><Relationship Id="rId193" Type="http://schemas.openxmlformats.org/officeDocument/2006/relationships/hyperlink" Target="https://pubmed.ncbi.nlm.nih.gov/29724520/" TargetMode="External"/><Relationship Id="rId194" Type="http://schemas.openxmlformats.org/officeDocument/2006/relationships/hyperlink" Target="https://pubmed.ncbi.nlm.nih.gov/40099404/" TargetMode="External"/><Relationship Id="rId195" Type="http://schemas.openxmlformats.org/officeDocument/2006/relationships/hyperlink" Target="https://doi.org/10.1093/bjs/znaf054" TargetMode="External"/><Relationship Id="rId196" Type="http://schemas.openxmlformats.org/officeDocument/2006/relationships/hyperlink" Target="https://pmc.ncbi.nlm.nih.gov/articles/PMC11914714/pdf/znaf054.pdf" TargetMode="External"/><Relationship Id="rId197" Type="http://schemas.openxmlformats.org/officeDocument/2006/relationships/hyperlink" Target="https://pmc.ncbi.nlm.nih.gov/articles/PMC11914714/" TargetMode="External"/><Relationship Id="rId198" Type="http://schemas.openxmlformats.org/officeDocument/2006/relationships/hyperlink" Target="https://thslc-houston.primo.exlibrisgroup.com/discovery/search?vid=01TEXASHEALTH_HOUSTON%3ATMC_INST&amp;query=any,contains,10.1093%2Fbjs%2Fznaf054&amp;lang=en" TargetMode="Externa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Memorial Hermann HCC system roadmap v0.9</dc:title>
  <dc:subject>Hepatocellular carcinoma</dc:subject>
  <dc:creator>Memorial Hermann / UTHealth Houston tumour roadmap programme</dc:creator>
  <dc:description>Draft under development. Not ratified clinical policy.</dc:description>
  <cp:lastModifiedBy>Un-named</cp:lastModifiedBy>
  <cp:revision>1</cp:revision>
  <dcterms:created xsi:type="dcterms:W3CDTF">2026-10-10T04:29:15.270Z</dcterms:created>
  <dcterms:modified xsi:type="dcterms:W3CDTF">2026-10-29T14:21:32Z</dcterms:modified>
</cp:coreProperties>
</file>

<file path=docProps/custom.xml><?xml version="1.0" encoding="utf-8"?>
<Properties xmlns="http://schemas.openxmlformats.org/officeDocument/2006/custom-properties" xmlns:vt="http://schemas.openxmlformats.org/officeDocument/2006/docPropsVTypes"/>
</file>