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 Memorial Hermann — Perihilar cholangiocarcinoma Standard / Guidance-Aligned Transplant Protocol</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spacing w:after="120"/>
      </w:pPr>
      <w:r>
        <w:rPr>
          <w:i/>
          <w:sz w:val="18"/>
        </w:rPr>
        <w:t xml:space="preserve">Standardized document set, 29 October 2026: this is the full-content document for the standard transplant pathway. Questions for consensus: pCCA_4_Standard_Transplant_Questions.docx. Decision discussion for all settings: pCCA_7_Decision_Discussion.docx. Web page: https://drliuhao.github.io/mh-liver-pathways/transplant/pcca/</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kOTdmYTVhMy1kYmUzLTU4ODMtYTU2OC01MmVlZTI3YjM3YmQ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STANDARDIZED EXCEPTION PATHWAY. Hilar/perihilar CCA qualifies only when the transplant program has an OPTN-approved written protocol and the candidate meets every requirement in Policy 9.5.A. For adults, the standardized score is MMaT-3.</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kOTdmYTVhMy1kYmUzLTU4ODMtYTU2OC01MmVlZTI3YjM3YmQ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kOTdmYTVhMy1kYmUzLTU4ODMtYTU2OC01MmVlZTI3YjM3YmQ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Transperitoneal aspiration or biopsy of the primary tumor must be avoided; regional-node sampling and operative staging must follow Policy 9.5.A. All drug selection, dose, washout, immunosuppression, surveillance, donor-source, and stopping-rule decisions require current multidisciplinary review and applicable pharmacy, IRB, DSMB, institutional, and regulatory approval before clinical use.</w:t>
      </w:r>
    </w:p>
    <w:p>
      <w:pPr>
        <w:pStyle w:val="Heading2"/>
        <w:keepNext/>
        <w:widowControl/>
      </w:pPr>
      <w:r>
        <w:t xml:space="preserve">Protocol A: Standard Liver Transplant Protocol for Hilar Cholangiocarcinoma</w:t>
      </w:r>
    </w:p>
    <w:p>
      <w:pPr>
        <w:pStyle w:val="Heading3"/>
        <w:keepNext/>
        <w:widowControl/>
      </w:pPr>
      <w:r>
        <w:t xml:space="preserve">1. Patient Selection Criteria</w:t>
      </w:r>
    </w:p>
    <w:p>
      <w:pPr>
        <w:pStyle w:val="Normal"/>
        <w:widowControl/>
      </w:pPr>
      <w:r>
        <w:t xml:space="preserve">Inclusion Criteria:</w:t>
      </w:r>
    </w:p>
    <w:p>
      <w:pPr>
        <w:pStyle w:val="Normal"/>
        <w:widowControl/>
      </w:pPr>
      <w:r>
        <w:t xml:space="preserve">Size-boundary disagreement — OPEN: NCCN BTC v1.2026 EXTRA-1 footnote h and AASLD use ≤3 cm, whereas standardized OPTN CCA policy requires radial mass diameter &lt;3 cm. At exactly 3.0 cm, confirm measurement and preserve the strict allocation gate; a clinical guideline does not enlarge a standardized exception.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For the standardized pCCA exception pathway, document a malignant-appearing stricture on cholangiography AND at least one policy-specified diagnostic finding: malignant biopsy/cytology; CA19-9 &gt;100 U/mL without cholangitis; aneuploidy; or a qualifying hilar mass. This is the allocation diagnostic framework; multidisciplinary clinical diagnosis and exclusion of mimics remain separate.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Malignant-appearing biliary stricture with CA 19-9 &gt;100 U/mL (in the absence of cholangitis or unstented obstructive jaundice)</w:t>
      </w:r>
    </w:p>
    <w:p>
      <w:pPr>
        <w:pStyle w:val="Normal"/>
        <w:widowControl/>
        <w:numPr>
          <w:ilvl w:val="0"/>
          <w:numId w:val="3"/>
        </w:numPr>
      </w:pPr>
      <w:r>
        <w:t xml:space="preserve">Malignant-appearing stricture with suspicious cytology and/or FISH polysomy</w:t>
      </w:r>
    </w:p>
    <w:p>
      <w:pPr>
        <w:pStyle w:val="Normal"/>
        <w:widowControl/>
        <w:numPr>
          <w:ilvl w:val="0"/>
          <w:numId w:val="3"/>
        </w:numPr>
      </w:pPr>
      <w:r>
        <w:t xml:space="preserve">Perihilar mass with imaging features consistent with CCA</w:t>
      </w:r>
    </w:p>
    <w:p>
      <w:pPr>
        <w:pStyle w:val="Normal"/>
        <w:widowControl/>
        <w:numPr>
          <w:ilvl w:val="0"/>
          <w:numId w:val="3"/>
        </w:numPr>
      </w:pPr>
      <w:r>
        <w:t xml:space="preserve">If a mass is present, it must be single and &lt;3 cm in radial diameter, measured perpendicular to the duct, for this standardized-exception pathway. Do not count longitudinal ductal extent as radial diameter. Exactly 3.0 cm requires expert measurement review and is not rounded down.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Q8L1JlY051bT48RGlzcGxheVRleHQ+W1YxNi00XTwvRGlzcGxheVRleHQ+PHJlY29yZD48cmVjLW51bWJlcj40PC9yZWMtbnVtYmVyPjxmb3JlaWduLWtleXM+PGtleSBhcHA9IkVOIiBkYi1pZD0iZDk3ZmE1YTMtZGJlMy01ODgzLWE1NjgtNTJlZWUyN2IzN2JkIiB0aW1lc3RhbXA9IjE3OTMyODM2ODQiPjQ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Document expert HPB and transplant assessment of R0 feasibility, ductal/vascular reconstruction, drainage/infection status and functional future liver remnant. When inadequate remnant is the only barrier, assess augmentation/PVE and reassess growth/function before declaring persistent unresectability. Reconstructible vascular involvement or need for PVE alone does not establish transplant eligibility.</w:t>
      </w:r>
      <w:r>
        <w:t xml:space="preserve"> </w:t>
      </w:r>
      <w:r>
        <w:t xml:space="preserve"> </w:t>
      </w:r>
      <w:r>
        <w:t xml:space="preserve"> </w:t>
      </w:r>
      <w:r>
        <w:fldChar w:fldCharType="begin"/>
      </w:r>
      <w:r>
        <w:instrText xml:space="preserve"> ADDIN EN.CITE </w:instrText>
      </w:r>
      <w:r>
        <w:fldChar w:fldCharType="begin">
          <w:fldData>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No intrahepatic or extrahepatic metastases</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Perform EUS assessment/sampling of suspicious regional nodes before NAT without traversing the primary tumor, followed by required operative staging after NAT and before LT. A negative needle sample does not exclude all nodal disease. Proven malignant nodes or other metastatic disease stop this standard pathway. Avoid transperitoneal biopsy of the primary pCCA; an unexpected prior exposure requires specialist/policy review. The restriction is not a claim that every biopsy inevitably causes dissemination.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dmVzb248L0F1dGhvcj48WWVhcj4yMDIyPC9ZZWFyPjxSZWNOdW0+ODwvUmVjTnVtPjxEaXNwbGF5VGV4dD5bVjE2LThdPC9EaXNwbGF5VGV4dD48cmVjb3JkPjxyZWMtbnVtYmVyPjg8L3JlYy1udW1iZXI+PGZvcmVpZ24ta2V5cz48a2V5IGFwcD0iRU4iIGRiLWlkPSJkOTdmYTVhMy1kYmUzLTU4ODMtYTU2OC01MmVlZTI3YjM3YmQiIHRpbWVzdGFtcD0iMTc5MzI4MzY4NCI+OD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Q8L1JlY051bT48RGlzcGxheVRleHQ+W1YxNi00XTwvRGlzcGxheVRleHQ+PHJlY29yZD48cmVjLW51bWJlcj40PC9yZWMtbnVtYmVyPjxmb3JlaWduLWtleXM+PGtleSBhcHA9IkVOIiBkYi1pZD0iZDk3ZmE1YTMtZGJlMy01ODgzLWE1NjgtNTJlZWUyN2IzN2JkIiB0aW1lc3RhbXA9IjE3OTMyODM2ODQiPjQ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ECOG performance status 0–1</w:t>
      </w:r>
    </w:p>
    <w:p>
      <w:pPr>
        <w:pStyle w:val="Normal"/>
        <w:widowControl/>
        <w:numPr>
          <w:ilvl w:val="0"/>
          <w:numId w:val="3"/>
        </w:numPr>
      </w:pPr>
      <w:r>
        <w:t xml:space="preserve">Adequate organ function for transplantation candidacy</w:t>
      </w:r>
    </w:p>
    <w:p>
      <w:pPr>
        <w:pStyle w:val="Normal"/>
        <w:widowControl/>
        <w:numPr>
          <w:ilvl w:val="0"/>
          <w:numId w:val="3"/>
        </w:numPr>
      </w:pPr>
      <w:r>
        <w:t xml:space="preserve">Age ≥18 years</w:t>
      </w:r>
    </w:p>
    <w:p>
      <w:pPr>
        <w:pStyle w:val="Normal"/>
        <w:widowControl/>
      </w:pPr>
      <w:r>
        <w:t xml:space="preserve">Exclusion Criteria:</w:t>
      </w:r>
    </w:p>
    <w:p>
      <w:pPr>
        <w:pStyle w:val="Normal"/>
        <w:widowControl/>
        <w:numPr>
          <w:ilvl w:val="0"/>
          <w:numId w:val="3"/>
        </w:numPr>
      </w:pPr>
      <w:r>
        <w:t xml:space="preserve">Prior percutaneous or transperitoneal tumor biopsy (risk of peritoneal seeding)</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Prior EUS-guided FNA of the primary tumor mass</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Prior surgical violation of the tumor plane</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Prior biliary resection or attempted resection</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pPr>
      <w:r>
        <w:t xml:space="preserve">Prior radiation therapy or chemotherapy for this malignancy (outside of this protocol)</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pPr>
      <w:r>
        <w:t xml:space="preserve">Regional lymph node metastases on EUS-FNA</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Uncontrolled infection</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pPr>
      <w:r>
        <w:t xml:space="preserve">Evidence of extrahepatic disease on cross-sectional imaging</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pPr>
      <w:r>
        <w:t xml:space="preserve">Hilar mass 3 cm or greater in radial diameter (see the size note in the inclusion criteria).</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Heading3"/>
        <w:keepNext/>
        <w:widowControl/>
      </w:pPr>
      <w:r>
        <w:t xml:space="preserve">2. Pre-Treatment Workup</w:t>
      </w:r>
    </w:p>
    <w:p>
      <w:pPr>
        <w:pStyle w:val="Normal"/>
        <w:widowControl/>
        <w:numPr>
          <w:ilvl w:val="0"/>
          <w:numId w:val="3"/>
        </w:numPr>
      </w:pPr>
      <w:r>
        <w:t xml:space="preserve">Multidisciplinary tumor board evaluation (transplant surgery, hepatology, medical oncology, radiation oncology, interventional radiology, pathology)</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Multiphasic abdomen/pelvis CT or MRI with IV contrast (assess for vascular invasion)</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Chest CT ± contrast</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MRCP (preferred cholangiography)</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EUS with FNA of regional lymph nodes to exclude nodal metastases</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CA 19-9 (after biliary decompression if stented)</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CEA</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LFTs, CBC, CMP, coagulation studies</w:t>
      </w:r>
    </w:p>
    <w:p>
      <w:pPr>
        <w:pStyle w:val="Normal"/>
        <w:widowControl/>
        <w:numPr>
          <w:ilvl w:val="0"/>
          <w:numId w:val="3"/>
        </w:numPr>
      </w:pPr>
      <w:r>
        <w:t xml:space="preserve">Serum IgG4 to rule out IgG4-related sclerosing cholangitis</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Standard liver transplant evaluation (cardiac, pulmonary, psychosocial, infectious disease screening)</w:t>
      </w:r>
    </w:p>
    <w:p>
      <w:pPr>
        <w:pStyle w:val="Normal"/>
        <w:widowControl/>
        <w:numPr>
          <w:ilvl w:val="0"/>
          <w:numId w:val="3"/>
        </w:numPr>
      </w:pPr>
      <w:r>
        <w:t xml:space="preserve">Biliary drainage if indicated for jaundice</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Obtain comprehensive molecular profiling when it will guide management, using a sampling strategy that preserves transplant options. Restriction of systemic therapy outside the approved transplant NAT plan is an institutional rule requiring formal review, not an NCCN-defined universal permanent exclusion. Do not initiate targeted therapy or immunotherapy within the LT pathway without approved oncology/transplant/pharmacy review.</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Heading3"/>
        <w:keepNext/>
        <w:widowControl/>
      </w:pPr>
      <w:r>
        <w:t xml:space="preserve">3. Neoadjuvant Chemoradiation Protocol (Mayo Clinic Protocol)</w:t>
      </w:r>
    </w:p>
    <w:p>
      <w:pPr>
        <w:pStyle w:val="Normal"/>
        <w:widowControl/>
      </w:pPr>
      <w:r>
        <w:t xml:space="preserve">Phase 1: External Beam Radiation Therapy (EBRT) with Concurrent Chemotherapy</w:t>
      </w:r>
    </w:p>
    <w:p>
      <w:pPr>
        <w:pStyle w:val="Normal"/>
        <w:widowControl/>
        <w:numPr>
          <w:ilvl w:val="0"/>
          <w:numId w:val="3"/>
        </w:numPr>
      </w:pPr>
      <w:r>
        <w:t xml:space="preserve">Before neoadjuvant treatment, radiation oncology and oncology/pharmacy must approve one complete named prescription covering EBRT dose/fractions, radiosensitization, any brachytherapy/boost, maintenance therapy, dose modification and stopping rules. Do not combine isolated doses from different published protocols. Alternatives require explicit protocol approval.</w:t>
      </w:r>
      <w:r>
        <w:t xml:space="preserve"> </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Ni0xMF08L0Rpc3BsYXlUZXh0PjxyZWNvcmQ+PHJlYy1udW1iZXI+MTA8L3JlYy1udW1iZXI+PGZvcmVpZ24ta2V5cz48a2V5IGFwcD0iRU4iIGRiLWlkPSJkOTdmYTVhMy1kYmUzLTU4ODMtYTU2OC01MmVlZTI3YjM3YmQiIHRpbWVzdGFtcD0iMTc5MzI4MzY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dTwvQXV0aG9yPjxZZWFyPjIwMjM8L1llYXI+PFJlY051bT4xMTwvUmVjTnVtPjxEaXNwbGF5VGV4dD5bVjE2LTExXTwvRGlzcGxheVRleHQ+PHJlY29yZD48cmVjLW51bWJlcj4xMTwvcmVjLW51bWJlcj48Zm9yZWlnbi1rZXlzPjxrZXkgYXBwPSJFTiIgZGItaWQ9ImQ5N2ZhNWEzLWRiZTMtNTg4My1hNTY4LTUyZWVlMjdiMzdiZCIgdGltZXN0YW1wPSIxNzkzMjgzNjg0Ij4x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Concurrent IV 5-fluorouracil as a radiosensitizer during EBRT</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pPr>
      <w:r>
        <w:t xml:space="preserve">Phase 2: Brachytherapy</w:t>
      </w:r>
    </w:p>
    <w:p>
      <w:pPr>
        <w:pStyle w:val="Normal"/>
        <w:widowControl/>
        <w:numPr>
          <w:ilvl w:val="0"/>
          <w:numId w:val="3"/>
        </w:numPr>
      </w:pPr>
      <w:r>
        <w:t xml:space="preserve">If the approved Mayo-style prescription uses intraluminal brachytherapy or another boost, confirm the complete radiation plan, catheter access, constraints and dose with radiation oncology. An omitted or substituted component requires a named approved alternative; this summary is not the radiation order.</w:t>
      </w:r>
      <w:r>
        <w:t xml:space="preserve"> </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Ni0xMF08L0Rpc3BsYXlUZXh0PjxyZWNvcmQ+PHJlYy1udW1iZXI+MTA8L3JlYy1udW1iZXI+PGZvcmVpZ24ta2V5cz48a2V5IGFwcD0iRU4iIGRiLWlkPSJkOTdmYTVhMy1kYmUzLTU4ODMtYTU2OC01MmVlZTI3YjM3YmQiIHRpbWVzdGFtcD0iMTc5MzI4MzY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pPr>
      <w:r>
        <w:t xml:space="preserve">Phase 3: Maintenance Chemotherapy</w:t>
      </w:r>
    </w:p>
    <w:p>
      <w:pPr>
        <w:pStyle w:val="Normal"/>
        <w:widowControl/>
        <w:numPr>
          <w:ilvl w:val="0"/>
          <w:numId w:val="3"/>
        </w:numPr>
      </w:pPr>
      <w:r>
        <w:t xml:space="preserve">Oral capecitabine until the time of transplantation</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Heading3"/>
        <w:widowControl/>
        <w:keepNext/>
      </w:pPr>
      <w:r>
        <w:t xml:space="preserve">Systemic treatment evidence and transplant boundaries</w:t>
      </w:r>
    </w:p>
    <w:p>
      <w:pPr>
        <w:pStyle w:val="Normal"/>
        <w:widowControl/>
        <w:spacing w:after="120"/>
      </w:pPr>
      <w:r>
        <w:t xml:space="preserve">These systemic studies inform advanced biliary cancer care, not the established pCCA transplant-neoadjuvant regimen. Preserve biopsy-route precautions and existing staging, neoadjuvant and operative gates. ICI exposure requires prospective transplant safety review.</w:t>
      </w:r>
    </w:p>
    <w:p>
      <w:pPr>
        <w:pStyle w:val="Heading4"/>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t xml:space="preserve"> </w:t>
      </w:r>
      <w:r>
        <w:fldChar w:fldCharType="begin"/>
      </w:r>
      <w:r>
        <w:instrText xml:space="preserve"> ADDIN EN.CITE </w:instrText>
      </w:r>
      <w:r>
        <w:fldChar w:fldCharType="begin">
          <w:fldData>PEVuZE5vdGU+PENpdGU+PEF1dGhvcj5TaHJvZmYgUlQ8L0F1dGhvcj48WWVhcj4yMDI2PC9ZZWFyPjxSZWNOdW0+MTI8L1JlY051bT48RGlzcGxheVRleHQ+W1YxNi0xMl08L0Rpc3BsYXlUZXh0PjxyZWNvcmQ+PHJlYy1udW1iZXI+MTI8L3JlYy1udW1iZXI+PGZvcmVpZ24ta2V5cz48a2V5IGFwcD0iRU4iIGRiLWlkPSJkOTdmYTVhMy1kYmUzLTU4ODMtYTU2OC01MmVlZTI3YjM3YmQiIHRpbWVzdGFtcD0iMTc5MzI4MzY4NCI+MTI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br/>
      </w:r>
      <w:hyperlink r:id="rId128">
        <w:r>
          <w:rPr>
            <w:color w:val="0563C1"/>
            <w:u w:val="single"/>
          </w:rPr>
          <w:t>Source</w:t>
        </w:r>
      </w:hyperlink>
      <w:r>
        <w:t xml:space="preserve"> · </w:t>
      </w:r>
      <w:hyperlink r:id="rId129">
        <w:r>
          <w:rPr>
            <w:color w:val="0563C1"/>
            <w:u w:val="single"/>
          </w:rPr>
          <w:t>PDF</w:t>
        </w:r>
      </w:hyperlink>
    </w:p>
    <w:p>
      <w:pPr>
        <w:pStyle w:val="Heading4"/>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t xml:space="preserve"> </w:t>
      </w:r>
      <w:r>
        <w:fldChar w:fldCharType="begin"/>
      </w:r>
      <w:r>
        <w:instrText xml:space="preserve"> ADDIN EN.CITE </w:instrText>
      </w:r>
      <w:r>
        <w:fldChar w:fldCharType="begin">
          <w:fldData>PEVuZE5vdGU+PENpdGU+PEF1dGhvcj5Wb2dlbCBBPC9BdXRob3I+PFllYXI+MjAyNDwvWWVhcj48UmVjTnVtPjEzPC9SZWNOdW0+PERpc3BsYXlUZXh0PltWMTYtMTNdPC9EaXNwbGF5VGV4dD48cmVjb3JkPjxyZWMtbnVtYmVyPjEzPC9yZWMtbnVtYmVyPjxmb3JlaWduLWtleXM+PGtleSBhcHA9IkVOIiBkYi1pZD0iZDk3ZmE1YTMtZGJlMy01ODgzLWE1NjgtNTJlZWUyN2IzN2JkIiB0aW1lc3RhbXA9IjE3OTMyODM2ODQiPjEz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br/>
      </w:r>
      <w:hyperlink r:id="rId130">
        <w:r>
          <w:rPr>
            <w:color w:val="0563C1"/>
            <w:u w:val="single"/>
          </w:rPr>
          <w:t>Source</w:t>
        </w:r>
      </w:hyperlink>
      <w:r>
        <w:t xml:space="preserve"> · </w:t>
      </w:r>
      <w:hyperlink r:id="rId131">
        <w:r>
          <w:rPr>
            <w:color w:val="0563C1"/>
            <w:u w:val="single"/>
          </w:rPr>
          <w:t>PDF</w:t>
        </w:r>
      </w:hyperlink>
    </w:p>
    <w:p>
      <w:pPr>
        <w:pStyle w:val="Normal"/>
        <w:widowControl/>
        <w:spacing w:after="120"/>
      </w:pPr>
      <w:r>
        <w:t xml:space="preserve">Treatment comparisons and detailed regimen evidence: </w:t>
      </w:r>
      <w:hyperlink r:id="rId127">
        <w:r>
          <w:rPr>
            <w:color w:val="0563C1"/>
            <w:u w:val="single"/>
          </w:rPr>
          <w:t>Cross-tumor systemic matrix</w:t>
        </w:r>
      </w:hyperlink>
    </w:p>
    <w:p>
      <w:pPr>
        <w:pStyle w:val="Heading3"/>
        <w:keepNext/>
        <w:widowControl/>
      </w:pPr>
      <w:r>
        <w:t xml:space="preserve">4. Operative Staging (Pre-Transplant)</w:t>
      </w:r>
    </w:p>
    <w:p>
      <w:pPr>
        <w:pStyle w:val="Normal"/>
        <w:widowControl/>
        <w:numPr>
          <w:ilvl w:val="0"/>
          <w:numId w:val="3"/>
        </w:numPr>
      </w:pPr>
      <w:r>
        <w:t xml:space="preserve">Staging laparoscopy/laparotomy is mandatory following completion of neoadjuvant chemoradiation and prior to liver transplantation</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Evaluate regional/perihepatic lymph nodes and suspicious peritoneal deposits with pathology. Specify frozen versus permanent-section workflow in the local surgical/pathology SOP; negative oncologic staging must be established before proceeding.</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p>
    <w:p>
      <w:pPr>
        <w:pStyle w:val="Normal"/>
        <w:widowControl/>
        <w:numPr>
          <w:ilvl w:val="0"/>
          <w:numId w:val="3"/>
        </w:numPr>
      </w:pPr>
      <w:r>
        <w:t xml:space="preserve">Peritoneal washings for cytology</w:t>
      </w:r>
    </w:p>
    <w:p>
      <w:pPr>
        <w:pStyle w:val="Normal"/>
        <w:widowControl/>
        <w:numPr>
          <w:ilvl w:val="0"/>
          <w:numId w:val="3"/>
        </w:numPr>
      </w:pPr>
      <w:r>
        <w:t xml:space="preserve">Timing: Immediately prior to LDLT, or as deceased donor LT approaches based on MELD score and regional access</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pPr>
      <w:r>
        <w:t xml:space="preserve">Criteria for Exclusion at Staging:</w:t>
      </w:r>
    </w:p>
    <w:p>
      <w:pPr>
        <w:pStyle w:val="Normal"/>
        <w:widowControl/>
        <w:numPr>
          <w:ilvl w:val="0"/>
          <w:numId w:val="3"/>
        </w:numPr>
      </w:pPr>
      <w:r>
        <w:t xml:space="preserve">Positive lymph nodes on frozen section</w:t>
      </w:r>
    </w:p>
    <w:p>
      <w:pPr>
        <w:pStyle w:val="Normal"/>
        <w:widowControl/>
        <w:numPr>
          <w:ilvl w:val="0"/>
          <w:numId w:val="3"/>
        </w:numPr>
      </w:pPr>
      <w:r>
        <w:t xml:space="preserve">Peritoneal disease</w:t>
      </w:r>
    </w:p>
    <w:p>
      <w:pPr>
        <w:pStyle w:val="Normal"/>
        <w:widowControl/>
        <w:numPr>
          <w:ilvl w:val="0"/>
          <w:numId w:val="3"/>
        </w:numPr>
      </w:pPr>
      <w:r>
        <w:t xml:space="preserve">Extrahepatic spread</w:t>
      </w:r>
    </w:p>
    <w:p>
      <w:pPr>
        <w:pStyle w:val="Normal"/>
        <w:widowControl/>
        <w:numPr>
          <w:ilvl w:val="0"/>
          <w:numId w:val="3"/>
        </w:numPr>
      </w:pPr>
      <w:r>
        <w:t xml:space="preserve">Note: Approximately 20% of patients will have positive surgical staging and be excluded</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Heading3"/>
        <w:keepNext/>
        <w:widowControl/>
      </w:pPr>
      <w:r>
        <w:t xml:space="preserve">5. MELD Exception and Waitlist Management</w:t>
      </w:r>
    </w:p>
    <w:p>
      <w:pPr>
        <w:pStyle w:val="Normal"/>
        <w:widowControl/>
        <w:numPr>
          <w:ilvl w:val="0"/>
          <w:numId w:val="3"/>
        </w:numPr>
      </w:pPr>
      <w:r>
        <w:t xml:space="preserve">Initial exception documentation must include chest and abdominal cross-sectional imaging within 90 days. Extension requests require chest and abdominal imaging within 30 days before submission.</w:t>
      </w:r>
    </w:p>
    <w:p>
      <w:pPr>
        <w:pStyle w:val="Normal"/>
        <w:widowControl/>
        <w:numPr>
          <w:ilvl w:val="0"/>
          <w:numId w:val="3"/>
        </w:numPr>
      </w:pPr>
      <w:r>
        <w:t xml:space="preserve">For the initial standardized exception, document required chest and abdominal imaging within 90 days before submission. For each extension, document required imaging within 30 days before submission. Keep the dated policy source and clinical restaging schedule distinct.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Adults who meet every current OPTN Policy 9.5.A requirement may receive the standardized CCA exception score, currently MMaT-3. Confirm the effective policy and score calculation at submission.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kOTdmYTVhMy1kYmUzLTU4ODMtYTU2OC01MmVlZTI3YjM3YmQ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Cross-sectional imaging every 3 months while on the waitlist to confirm disease stability</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pPr>
      <w:r>
        <w:t xml:space="preserve">CA 19-9 monitoring every 3 months</w:t>
      </w:r>
    </w:p>
    <w:p>
      <w:pPr>
        <w:pStyle w:val="Normal"/>
        <w:widowControl/>
        <w:numPr>
          <w:ilvl w:val="0"/>
          <w:numId w:val="3"/>
        </w:numPr>
      </w:pPr>
      <w:r>
        <w:t xml:space="preserve">Delisting criteria: tumor progression, new lesions, extrahepatic disease, lymph node metastases</w:t>
      </w:r>
    </w:p>
    <w:p>
      <w:pPr>
        <w:pStyle w:val="Heading3"/>
        <w:keepNext/>
        <w:widowControl/>
      </w:pPr>
      <w:r>
        <w:t xml:space="preserve">6. Liver Transplantation</w:t>
      </w:r>
    </w:p>
    <w:p>
      <w:pPr>
        <w:pStyle w:val="Normal"/>
        <w:widowControl/>
        <w:numPr>
          <w:ilvl w:val="0"/>
          <w:numId w:val="3"/>
        </w:numPr>
      </w:pPr>
      <w:r>
        <w:t xml:space="preserve">Deceased donor liver transplantation (DDLT) or living donor liver transplantation (LDLT)</w:t>
      </w:r>
      <w:r>
        <w:t xml:space="preserve"> </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Ni0xMF08L0Rpc3BsYXlUZXh0PjxyZWNvcmQ+PHJlYy1udW1iZXI+MTA8L3JlYy1udW1iZXI+PGZvcmVpZ24ta2V5cz48a2V5IGFwcD0iRU4iIGRiLWlkPSJkOTdmYTVhMy1kYmUzLTU4ODMtYTU2OC01MmVlZTI3YjM3YmQiIHRpbWVzdGFtcD0iMTc5MzI4MzY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pPr>
      <w:r>
        <w:t xml:space="preserve">Caval reconstruction technique is an intraoperative decision. Piggyback reconstruction is the institutional default where anatomy permits. Neoadjuvant chemoradiation may produce retrohepatic caval and portal changes requiring caval resection with replacement or other vascular reconstruction, and living-donor recipients frequently require portal reconstruction. No single technique is protocol-mandated.</w:t>
      </w:r>
    </w:p>
    <w:p>
      <w:pPr>
        <w:pStyle w:val="Normal"/>
        <w:widowControl/>
        <w:numPr>
          <w:ilvl w:val="0"/>
          <w:numId w:val="3"/>
        </w:numPr>
      </w:pPr>
      <w:r>
        <w:t xml:space="preserve">Intraoperative staging laparotomy with lymph node sampling if not previously performed</w:t>
      </w:r>
    </w:p>
    <w:p>
      <w:pPr>
        <w:pStyle w:val="Normal"/>
        <w:widowControl/>
        <w:numPr>
          <w:ilvl w:val="0"/>
          <w:numId w:val="3"/>
        </w:numPr>
      </w:pPr>
      <w:r>
        <w:t xml:space="preserve">Before LT, review the actual radiation plan/dose map with transplant surgery and radiation oncology, including arterial/biliary exposure and reconstruction options. Counsel regarding arterial thrombosis, biliary injury, graft loss and possible retransplantation. Small pilot reports of outside-field reconstruction are technical signals, not a universal operative prescription.</w:t>
      </w:r>
      <w:r>
        <w:t xml:space="preserve"> </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Ni0xMF08L0Rpc3BsYXlUZXh0PjxyZWNvcmQ+PHJlYy1udW1iZXI+MTA8L3JlYy1udW1iZXI+PGZvcmVpZ24ta2V5cz48a2V5IGFwcD0iRU4iIGRiLWlkPSJkOTdmYTVhMy1kYmUzLTU4ODMtYTU2OC01MmVlZTI3YjM3YmQiIHRpbWVzdGFtcD0iMTc5MzI4MzY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p>
    <w:p>
      <w:pPr>
        <w:pStyle w:val="Heading3"/>
        <w:keepNext/>
        <w:widowControl/>
      </w:pPr>
      <w:r>
        <w:t xml:space="preserve">7. Post-Transplant Immunosuppression</w:t>
      </w:r>
    </w:p>
    <w:p>
      <w:pPr>
        <w:pStyle w:val="Normal"/>
        <w:widowControl/>
        <w:numPr>
          <w:ilvl w:val="0"/>
          <w:numId w:val="3"/>
        </w:numPr>
      </w:pPr>
      <w:r>
        <w:t xml:space="preserve">Induction: Bolus steroid therapy during the anhepatic phase</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jwvUmVjTnVtPjxEaXNwbGF5VGV4dD5bVjE2LTE2XTwvRGlzcGxheVRleHQ+PHJlY29yZD48cmVjLW51bWJlcj4xNjwvcmVjLW51bWJlcj48Zm9yZWlnbi1rZXlzPjxrZXkgYXBwPSJFTiIgZGItaWQ9ImQ5N2ZhNWEzLWRiZTMtNTg4My1hNTY4LTUyZWVlMjdiMzdiZCIgdGltZXN0YW1wPSIxNzkzMjgzNjg0Ij4xNj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[V16-16]</w:t>
      </w:r>
      <w:r>
        <w:fldChar w:fldCharType="end"/>
      </w:r>
    </w:p>
    <w:p>
      <w:pPr>
        <w:pStyle w:val="Normal"/>
        <w:widowControl/>
        <w:numPr>
          <w:ilvl w:val="0"/>
          <w:numId w:val="3"/>
        </w:numPr>
      </w:pPr>
      <w:r>
        <w:t xml:space="preserve">Maintenance:</w:t>
      </w:r>
    </w:p>
    <w:p>
      <w:pPr>
        <w:pStyle w:val="Normal"/>
        <w:widowControl/>
        <w:numPr>
          <w:ilvl w:val="0"/>
          <w:numId w:val="3"/>
        </w:numPr>
      </w:pPr>
      <w:r>
        <w:t xml:space="preserve">Use the institutionally approved post-LT immunosuppression regimen with transplant hepatology and pharmacy review. Individualize MMF duration, steroid taper, renal-sparing induction and CNI exposure for rejection risk, renal function, cytopenias, infection and PSC/autoimmune disease. Ramanan reports one historical center regimen (prednisone withdrawal at day 121, MMF at 2–4 months), not evidence that either drug must stop at day 30.</w:t>
      </w:r>
      <w:r>
        <w:t xml:space="preserve"> </w:t>
      </w:r>
      <w:r>
        <w:t xml:space="preserve"> </w:t>
      </w:r>
      <w:r>
        <w:t xml:space="preserve"> </w:t>
      </w:r>
      <w:r>
        <w:fldChar w:fldCharType="begin"/>
      </w:r>
      <w:r>
        <w:instrText xml:space="preserve"> ADDIN EN.CITE </w:instrText>
      </w:r>
      <w:r>
        <w:fldChar w:fldCharType="begin">
          <w:fldData>PEVuZE5vdGU+PENpdGU+PEF1dGhvcj5SYW1hbmFuPC9BdXRob3I+PFllYXI+MjAxNzwvWWVhcj48UmVjTnVtPjE3PC9SZWNOdW0+PERpc3BsYXlUZXh0PltWMTYtMTddPC9EaXNwbGF5VGV4dD48cmVjb3JkPjxyZWMtbnVtYmVyPjE3PC9yZWMtbnVtYmVyPjxmb3JlaWduLWtleXM+PGtleSBhcHA9IkVOIiBkYi1pZD0iZDk3ZmE1YTMtZGJlMy01ODgzLWE1NjgtNTJlZWUyN2IzN2JkIiB0aW1lc3RhbXA9IjE3OTMyODM2ODQiPjE3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Select ONE maintenance strategy per patient and document it: (a) tacrolimus-based maintenance with stepwise minimization, or (b) conversion to an mTOR inhibitor with reduced-dose tacrolimus.</w:t>
      </w:r>
    </w:p>
    <w:p>
      <w:pPr>
        <w:pStyle w:val="Normal"/>
        <w:widowControl/>
        <w:numPr>
          <w:ilvl w:val="0"/>
          <w:numId w:val="3"/>
        </w:numPr>
      </w:pPr>
      <w:r>
        <w:t xml:space="preserve">If everolimus conversion is selected, do not initiate before day 30 under the US adult-LT label. Confirm wound healing, arterial patency, proteinuria and infection status with transplant pharmacy. No pCCA-specific maintenance regimen has proved recurrence reduction. Renal-sparing induction is individualized; historical center CrCl thresholds are not validated cancer-selection thresholds.</w:t>
      </w:r>
      <w:r>
        <w:t xml:space="preserve"> </w:t>
      </w:r>
      <w:r>
        <w:t xml:space="preserve"> </w:t>
      </w:r>
      <w:r>
        <w:t xml:space="preserve"> </w:t>
      </w:r>
      <w:r>
        <w:fldChar w:fldCharType="begin"/>
      </w:r>
      <w:r>
        <w:instrText xml:space="preserve"> ADDIN EN.CITE </w:instrText>
      </w:r>
      <w:r>
        <w:fldChar w:fldCharType="begin">
          <w:fldData>PEVuZE5vdGU+PENpdGU+PEF1dGhvcj5TZW1hYW48L0F1dGhvcj48WWVhcj4yMDI1PC9ZZWFyPjxSZWNOdW0+MTg8L1JlY051bT48RGlzcGxheVRleHQ+W1YxNi0xOF08L0Rpc3BsYXlUZXh0PjxyZWNvcmQ+PHJlYy1udW1iZXI+MTg8L3JlYy1udW1iZXI+PGZvcmVpZ24ta2V5cz48a2V5IGFwcD0iRU4iIGRiLWlkPSJkOTdmYTVhMy1kYmUzLTU4ODMtYTU2OC01MmVlZTI3YjM3YmQiIHRpbWVzdGFtcD0iMTc5MzI4MzY4NCI+MT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SYW1hbmFuPC9BdXRob3I+PFllYXI+MjAxNzwvWWVhcj48UmVjTnVtPjE3PC9SZWNOdW0+PERpc3BsYXlUZXh0PltWMTYtMTddPC9EaXNwbGF5VGV4dD48cmVjb3JkPjxyZWMtbnVtYmVyPjE3PC9yZWMtbnVtYmVyPjxmb3JlaWduLWtleXM+PGtleSBhcHA9IkVOIiBkYi1pZD0iZDk3ZmE1YTMtZGJlMy01ODgzLWE1NjgtNTJlZWUyN2IzN2JkIiB0aW1lc3RhbXA9IjE3OTMyODM2ODQiPjE3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Tk8L1JlY051bT48RGlzcGxheVRleHQ+W1YxNi0xOV08L0Rpc3BsYXlUZXh0PjxyZWNvcmQ+PHJlYy1udW1iZXI+MTk8L3JlYy1udW1iZXI+PGZvcmVpZ24ta2V5cz48a2V5IGFwcD0iRU4iIGRiLWlkPSJkOTdmYTVhMy1kYmUzLTU4ODMtYTU2OC01MmVlZTI3YjM3YmQiIHRpbWVzdGFtcD0iMTc5MzI4MzY4NCI+MTk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p>
    <w:p>
      <w:pPr>
        <w:pStyle w:val="Heading3"/>
        <w:keepNext/>
        <w:widowControl/>
      </w:pPr>
      <w:r>
        <w:t xml:space="preserve">8. Post-Transplant Adjuvant Therapy</w:t>
      </w:r>
    </w:p>
    <w:p>
      <w:pPr>
        <w:pStyle w:val="Normal"/>
        <w:widowControl/>
        <w:numPr>
          <w:ilvl w:val="0"/>
          <w:numId w:val="3"/>
        </w:numPr>
      </w:pPr>
      <w:r>
        <w:t xml:space="preserve">No guideline establishes routine adjuvant chemotherapy after liver transplantation for pCCA. Explant pathology should trigger multidisciplinary recurrence-risk review.</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jwvUmVjTnVtPjxEaXNwbGF5VGV4dD5bVjE2LTE2XTwvRGlzcGxheVRleHQ+PHJlY29yZD48cmVjLW51bWJlcj4xNjwvcmVjLW51bWJlcj48Zm9yZWlnbi1rZXlzPjxrZXkgYXBwPSJFTiIgZGItaWQ9ImQ5N2ZhNWEzLWRiZTMtNTg4My1hNTY4LTUyZWVlMjdiMzdiZCIgdGltZXN0YW1wPSIxNzkzMjgzNjg0Ij4xNj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[V16-16]</w:t>
      </w:r>
      <w:r>
        <w:fldChar w:fldCharType="end"/>
      </w:r>
    </w:p>
    <w:p>
      <w:pPr>
        <w:pStyle w:val="Normal"/>
        <w:widowControl/>
        <w:numPr>
          <w:ilvl w:val="0"/>
          <w:numId w:val="3"/>
        </w:numPr>
      </w:pPr>
      <w:r>
        <w:t xml:space="preserve">Pathologic complete response (pCR): surveillance without routine adjuvant chemotherapy is appropriate unless a separate prospective protocol specifies otherwise.</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jwvUmVjTnVtPjxEaXNwbGF5VGV4dD5bVjE2LTE2XTwvRGlzcGxheVRleHQ+PHJlY29yZD48cmVjLW51bWJlcj4xNjwvcmVjLW51bWJlcj48Zm9yZWlnbi1rZXlzPjxrZXkgYXBwPSJFTiIgZGItaWQ9ImQ5N2ZhNWEzLWRiZTMtNTg4My1hNTY4LTUyZWVlMjdiMzdiZCIgdGltZXN0YW1wPSIxNzkzMjgzNjg0Ij4xNj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[V16-16]</w:t>
      </w:r>
      <w:r>
        <w:fldChar w:fldCharType="end"/>
      </w:r>
    </w:p>
    <w:p>
      <w:pPr>
        <w:pStyle w:val="Normal"/>
        <w:widowControl/>
        <w:numPr>
          <w:ilvl w:val="0"/>
          <w:numId w:val="3"/>
        </w:numPr>
      </w:pPr>
      <w:r>
        <w:t xml:space="preserve">Residual active disease on explant: capecitabine or gemcitabine-based therapy may be considered only case-by-case or within a prospective protocol. Evidence is extrapolated from resection studies; post-transplant benefit and tolerability are unproven.</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jwvUmVjTnVtPjxEaXNwbGF5VGV4dD5bVjE2LTE2XTwvRGlzcGxheVRleHQ+PHJlY29yZD48cmVjLW51bWJlcj4xNjwvcmVjLW51bWJlcj48Zm9yZWlnbi1rZXlzPjxrZXkgYXBwPSJFTiIgZGItaWQ9ImQ5N2ZhNWEzLWRiZTMtNTg4My1hNTY4LTUyZWVlMjdiMzdiZCIgdGltZXN0YW1wPSIxNzkzMjgzNjg0Ij4xNj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[V16-16]</w:t>
      </w:r>
      <w:r>
        <w:fldChar w:fldCharType="end"/>
      </w:r>
    </w:p>
    <w:p>
      <w:pPr>
        <w:pStyle w:val="Heading3"/>
        <w:keepNext/>
        <w:widowControl/>
      </w:pPr>
      <w:r>
        <w:t xml:space="preserve">9. Post-Transplant Surveillance</w:t>
      </w:r>
    </w:p>
    <w:p>
      <w:pPr>
        <w:pStyle w:val="Normal"/>
        <w:widowControl/>
        <w:numPr>
          <w:ilvl w:val="0"/>
          <w:numId w:val="3"/>
        </w:numPr>
      </w:pPr>
      <w:r>
        <w:t xml:space="preserve">Proposed local post-LT recurrence-surveillance schedule: contrast-enhanced abdominal/pelvic CT or MRI every 6 months for 3 years, then annually through year 5, with chest imaging and CA 19-9 use specified by the multidisciplinary team. Heinrich describes this observed imaging interval in incidental BTC; it was not a comparative trial establishing the optimal schedule for planned pCCA LT. Record the adopted schedule and rationale in the decision log.</w:t>
      </w:r>
      <w:r>
        <w:t xml:space="preserve"> </w:t>
      </w:r>
      <w:r>
        <w:t xml:space="preserve"> </w:t>
      </w:r>
      <w:r>
        <w:t xml:space="preserve"> </w:t>
      </w:r>
      <w:r>
        <w:fldChar w:fldCharType="begin"/>
      </w:r>
      <w:r>
        <w:instrText xml:space="preserve"> ADDIN EN.CITE </w:instrText>
      </w:r>
      <w:r>
        <w:fldChar w:fldCharType="begin">
          <w:fldData>PEVuZE5vdGU+PENpdGU+PEF1dGhvcj5IZWlucmljaDwvQXV0aG9yPjxZZWFyPjIwMjY8L1llYXI+PFJlY051bT4yMDwvUmVjTnVtPjxEaXNwbGF5VGV4dD5bVjE2LTIwXTwvRGlzcGxheVRleHQ+PHJlY29yZD48cmVjLW51bWJlcj4yMDwvcmVjLW51bWJlcj48Zm9yZWlnbi1rZXlzPjxrZXkgYXBwPSJFTiIgZGItaWQ9ImQ5N2ZhNWEzLWRiZTMtNTg4My1hNTY4LTUyZWVlMjdiMzdiZCIgdGltZXN0YW1wPSIxNzkzMjgzNjg0Ij4yMD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[V16-20]</w:t>
      </w:r>
      <w:r>
        <w:fldChar w:fldCharType="end"/>
      </w:r>
    </w:p>
    <w:p>
      <w:pPr>
        <w:pStyle w:val="Normal"/>
        <w:widowControl/>
        <w:numPr>
          <w:ilvl w:val="0"/>
          <w:numId w:val="3"/>
        </w:numPr>
      </w:pPr>
      <w:r>
        <w:t xml:space="preserve">Proposed local post-LT chest imaging: every 6 months for 2 years, then annually through year 5, subject to MDT approval and individualized recurrence risk. NCCN describes post-resection surveillance and does not validate this exact transplant calendar.</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CA 19-9 every 3 months for 2 years, then every 6 months</w:t>
      </w:r>
    </w:p>
    <w:p>
      <w:pPr>
        <w:pStyle w:val="Normal"/>
        <w:widowControl/>
        <w:numPr>
          <w:ilvl w:val="0"/>
          <w:numId w:val="3"/>
        </w:numPr>
      </w:pPr>
      <w:r>
        <w:t xml:space="preserve">LFTs and tacrolimus levels per standard transplant protocol</w:t>
      </w:r>
    </w:p>
    <w:p>
      <w:pPr>
        <w:pStyle w:val="Normal"/>
        <w:widowControl/>
        <w:numPr>
          <w:ilvl w:val="0"/>
          <w:numId w:val="3"/>
        </w:numPr>
      </w:pPr>
      <w:r>
        <w:t xml:space="preserve">Vascular surveillance (Doppler ultrasound) given radiation-related vascular complication risk</w:t>
      </w:r>
      <w:r>
        <w:t xml:space="preserve"> </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Ni0xMF08L0Rpc3BsYXlUZXh0PjxyZWNvcmQ+PHJlYy1udW1iZXI+MTA8L3JlYy1udW1iZXI+PGZvcmVpZ24ta2V5cz48a2V5IGFwcD0iRU4iIGRiLWlkPSJkOTdmYTVhMy1kYmUzLTU4ODMtYTU2OC01MmVlZTI3YjM3YmQiIHRpbWVzdGFtcD0iMTc5MzI4MzY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Heading3"/>
        <w:keepNext/>
        <w:widowControl/>
      </w:pPr>
      <w:r>
        <w:t xml:space="preserve">10. Expected Outcomes</w:t>
      </w:r>
    </w:p>
    <w:p>
      <w:pPr>
        <w:pStyle w:val="Normal"/>
        <w:widowControl/>
        <w:numPr>
          <w:ilvl w:val="0"/>
          <w:numId w:val="3"/>
        </w:numPr>
      </w:pPr>
      <w:r>
        <w:t xml:space="preserve">Intent-to-treat survival: 68% at 2 years and 53% at 5 years. Post-transplant RECURRENCE-FREE survival: 78% at 2 years and 65% at 5 years. The 65% figure is recurrence-free survival, not overall survival, and must not be quoted as 5-year survival in consent. Source: Darwish Murad S et al., Gastroenterology 2012;143(1):88-98.e3;  PMID 22504095 (12 US centers, n = 287).</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[V16-21]</w:t>
      </w:r>
      <w:r>
        <w:fldChar w:fldCharType="end"/>
      </w:r>
    </w:p>
    <w:p>
      <w:pPr>
        <w:pStyle w:val="Normal"/>
        <w:widowControl/>
        <w:numPr>
          <w:ilvl w:val="0"/>
          <w:numId w:val="3"/>
        </w:numPr>
      </w:pPr>
      <w:r>
        <w:t xml:space="preserve">Candidates falling outside UNOS criteria in that cohort — tumour mass greater than 3 cm, transperitoneal tumour biopsy, or metastatic disease — and those with a prior malignancy had significantly shorter survival (p &lt; 0.001). These features are hard exclusions under Section 1.</w:t>
      </w:r>
    </w:p>
    <w:p>
      <w:pPr>
        <w:pStyle w:val="Normal"/>
        <w:widowControl/>
        <w:numPr>
          <w:ilvl w:val="0"/>
          <w:numId w:val="3"/>
        </w:numPr>
      </w:pPr>
      <w:r>
        <w:t xml:space="preserve">A meta-analysis of 15 studies/315 recipients estimated explant pCR at 32% (95% CI 19–49), with substantial heterogeneity and some mixed iCCA populations. Regimen subgroups were small and nonrandomized; the results do not establish equivalence between Mayo-style therapy and SBRT. Counsel using both all-pathway and recipient outcomes from applicable primary cohorts, with denominators, time origins and uncertainty stated. pCR is not a pre-LT eligibility requirement or a validated study-level surrogate for OS.</w:t>
      </w:r>
      <w:r>
        <w:t xml:space="preserve"> </w:t>
      </w:r>
      <w:r>
        <w:t xml:space="preserve"> </w:t>
      </w:r>
      <w:r>
        <w:t xml:space="preserve"> </w:t>
      </w:r>
      <w:r>
        <w:fldChar w:fldCharType="begin"/>
      </w:r>
      <w:r>
        <w:instrText xml:space="preserve"> ADDIN EN.CITE </w:instrText>
      </w:r>
      <w:r>
        <w:fldChar w:fldCharType="begin">
          <w:fldData>PEVuZE5vdGU+PENpdGU+PEF1dGhvcj5XdTwvQXV0aG9yPjxZZWFyPjIwMjM8L1llYXI+PFJlY051bT4xMTwvUmVjTnVtPjxEaXNwbGF5VGV4dD5bVjE2LTExXTwvRGlzcGxheVRleHQ+PHJlY29yZD48cmVjLW51bWJlcj4xMTwvcmVjLW51bWJlcj48Zm9yZWlnbi1rZXlzPjxrZXkgYXBwPSJFTiIgZGItaWQ9ImQ5N2ZhNWEzLWRiZTMtNTg4My1hNTY4LTUyZWVlMjdiMzdiZCIgdGltZXN0YW1wPSIxNzkzMjgzNjg0Ij4x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numPr>
          <w:ilvl w:val="0"/>
          <w:numId w:val="3"/>
        </w:numPr>
      </w:pPr>
      <w:r>
        <w:t xml:space="preserve">Residual viable tumor on explant is associated with recurrence risk, but does not predict an individual patient's outcome with certainty; many patients with residual tumor did not recur. Discuss it with margins, nodes, differentiation and treatment history. It does not by itself establish a benefit from routine post-LT adjuvant therapy.</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Q8L1JlY051bT48RGlzcGxheVRleHQ+W1YxNi00XTwvRGlzcGxheVRleHQ+PHJlY29yZD48cmVjLW51bWJlcj40PC9yZWMtbnVtYmVyPjxmb3JlaWduLWtleXM+PGtleSBhcHA9IkVOIiBkYi1pZD0iZDk3ZmE1YTMtZGJlMy01ODgzLWE1NjgtNTJlZWUyN2IzN2JkIiB0aW1lc3RhbXA9IjE3OTMyODM2ODQiPjQ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In the 12-center US cohort, 71/287 patients (25%) dropped out before LT. The body reports an average 11.5% dropout per 3 months after completion of chemoradiation/listing; its abstract conclusion inconsistently says 3.5 months. In Toronto, 11/18 treated patients (61%) dropped out, six received LT and one remained waiting. These are different denominators, clocks and waiting environments. Report local cumulative dropout from protocol entry and time-specific dropout with the clock explicitly defined; do not equate cumulative attrition with a three-month rate.</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[V16-21]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3ZlZGF5PC9BdXRob3I+PFllYXI+MjAxODwvWWVhcj48UmVjTnVtPjIyPC9SZWNOdW0+PERpc3BsYXlUZXh0PltWMTYtMjJdPC9EaXNwbGF5VGV4dD48cmVjb3JkPjxyZWMtbnVtYmVyPjIyPC9yZWMtbnVtYmVyPjxmb3JlaWduLWtleXM+PGtleSBhcHA9IkVOIiBkYi1pZD0iZDk3ZmE1YTMtZGJlMy01ODgzLWE1NjgtNTJlZWUyN2IzN2JkIiB0aW1lc3RhbXA9IjE3OTMyODM2ODQiPjIy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p>
    <w:p>
      <w:pPr>
        <w:pStyle w:val="Normal"/>
        <w:widowControl/>
      </w:pPr>
      <w:r>
        <w:t xml:space="preserve">Everolimus safety and evidence boundary: if selected under the current transplant-pharmacy protocol, adult liver-transplant use must not begin before postoperative day 30 under the US label. This is a drug-specific safety floor, not a mandatory conversion date, and does not establish cancer-recurrence benefit. Dose, trough target and CNI co-therapy require individualized graft, renal, vascular, wound, infection and interaction review.</w:t>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Tk8L1JlY051bT48RGlzcGxheVRleHQ+W1YxNi0xOV08L0Rpc3BsYXlUZXh0PjxyZWNvcmQ+PHJlYy1udW1iZXI+MTk8L3JlYy1udW1iZXI+PGZvcmVpZ24ta2V5cz48a2V5IGFwcD0iRU4iIGRiLWlkPSJkOTdmYTVhMy1kYmUzLTU4ODMtYTU2OC01MmVlZTI3YjM3YmQiIHRpbWVzdGFtcD0iMTc5MzI4MzY4NCI+MTk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2LTIzXTwvRGlzcGxheVRleHQ+PHJlY29yZD48cmVjLW51bWJlcj4yMzwvcmVjLW51bWJlcj48Zm9yZWlnbi1rZXlzPjxrZXkgYXBwPSJFTiIgZGItaWQ9ImQ5N2ZhNWEzLWRiZTMtNTg4My1hNTY4LTUyZWVlMjdiMzdiZCIgdGltZXN0YW1wPSIxNzkzMjgzNjg0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Heading2"/>
        <w:keepNext/>
        <w:widowControl/>
      </w:pPr>
      <w:r>
        <w:t xml:space="preserve">Outcome evidence within the standard pathway</w:t>
      </w:r>
    </w:p>
    <w:p>
      <w:pPr>
        <w:pStyle w:val="Normal"/>
        <w:widowControl/>
      </w:pPr>
      <w:r>
        <w:t xml:space="preserve">The following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Ni05XTwvRGlzcGxheVRleHQ+PHJlY29yZD48cmVjLW51bWJlcj45PC9yZWMtbnVtYmVyPjxmb3JlaWduLWtleXM+PGtleSBhcHA9IkVOIiBkYi1pZD0iZDk3ZmE1YTMtZGJlMy01ODgzLWE1NjgtNTJlZWUyN2IzN2JkIiB0aW1lc3RhbXA9IjE3OTMyODM2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0PC9SZWNOdW0+PERpc3BsYXlUZXh0PltWMTYtMjRdPC9EaXNwbGF5VGV4dD48cmVjb3JkPjxyZWMtbnVtYmVyPjI0PC9yZWMtbnVtYmVyPjxmb3JlaWduLWtleXM+PGtleSBhcHA9IkVOIiBkYi1pZD0iZDk3ZmE1YTMtZGJlMy01ODgzLWE1NjgtNTJlZWUyN2IzN2JkIiB0aW1lc3RhbXA9IjE3OTMyODM2ODQiPjI0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[V16-24]</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r>
              <w:t xml:space="preserve">Selection: Methods specify persistent unresectability, multidisciplinary review and at least six months of stability/regression after ICI. Patients actually received heterogeneous ICI, chemotherapy, targeted agents and locoregional therapy; case histories include progression and salvage. The series does not establish a reproducible selection algorithm.</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jU8L1JlY051bT48RGlzcGxheVRleHQ+W1YxNi0yNV08L0Rpc3BsYXlUZXh0PjxyZWNvcmQ+PHJlYy1udW1iZXI+MjU8L3JlYy1udW1iZXI+PGZvcmVpZ24ta2V5cz48a2V5IGFwcD0iRU4iIGRiLWlkPSJkOTdmYTVhMy1kYmUzLTU4ODMtYTU2OC01MmVlZTI3YjM3YmQiIHRpbWVzdGFtcD0iMTc5MzI4MzY4NCI+MjU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jY8L1JlY051bT48RGlzcGxheVRleHQ+W1YxNi0yNl08L0Rpc3BsYXlUZXh0PjxyZWNvcmQ+PHJlYy1udW1iZXI+MjY8L3JlYy1udW1iZXI+PGZvcmVpZ24ta2V5cz48a2V5IGFwcD0iRU4iIGRiLWlkPSJkOTdmYTVhMy1kYmUzLTU4ODMtYTU2OC01MmVlZTI3YjM3YmQiIHRpbWVzdGFtcD0iMTc5MzI4MzY4NCI+MjY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[V16-26]</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I3PC9SZWNOdW0+PERpc3BsYXlUZXh0PltWMTYtMjddPC9EaXNwbGF5VGV4dD48cmVjb3JkPjxyZWMtbnVtYmVyPjI3PC9yZWMtbnVtYmVyPjxmb3JlaWduLWtleXM+PGtleSBhcHA9IkVOIiBkYi1pZD0iZDk3ZmE1YTMtZGJlMy01ODgzLWE1NjgtNTJlZWUyN2IzN2JkIiB0aW1lc3RhbXA9IjE3OTMyODM2ODQiPjI3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[V16-27]</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Ito 2025 · LDLT</w:t>
            </w:r>
            <w:r>
              <w:t xml:space="preserve"> </w:t>
            </w:r>
            <w:r>
              <w:t xml:space="preserve"> </w:t>
            </w:r>
            <w:r>
              <w:t xml:space="preserve"> </w:t>
            </w:r>
            <w:r>
              <w:fldChar w:fldCharType="begin"/>
            </w:r>
            <w:r>
              <w:instrText xml:space="preserve"> ADDIN EN.CITE </w:instrText>
            </w:r>
            <w:r>
              <w:fldChar w:fldCharType="begin">
                <w:fldData>PEVuZE5vdGU+PENpdGU+PEF1dGhvcj5JdG88L0F1dGhvcj48WWVhcj4yMDI1PC9ZZWFyPjxSZWNOdW0+Mjg8L1JlY051bT48RGlzcGxheVRleHQ+W1YxNi0yOF08L0Rpc3BsYXlUZXh0PjxyZWNvcmQ+PHJlYy1udW1iZXI+Mjg8L3JlYy1udW1iZXI+PGZvcmVpZ24ta2V5cz48a2V5IGFwcD0iRU4iIGRiLWlkPSJkOTdmYTVhMy1kYmUzLTU4ODMtYTU2OC01MmVlZTI3YjM3YmQiIHRpbWVzdGFtcD0iMTc5MzI4MzY4NCI+Mjg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[V16-28]</w:t>
            </w:r>
            <w:r>
              <w:fldChar w:fldCharType="end"/>
            </w:r>
          </w:p>
          <w:p>
            <w:pPr>
              <w:pStyle w:val="Normal"/>
              <w:widowControl/>
              <w:spacing w:before="60" w:after="20"/>
            </w:pPr>
            <w:r>
              <w:t xml:space="preserve">Prospective Kyoto pilot, ten enrolled 2018–2024; five LDLT and five dropout. Unresectability involved FLR, nonreconstructible vascular/ductal disease or PSC. Nodes/metastases excluded; ERCP diagnosis without transperitoneal primary biopsy. The methods do not state a numeric mass-size cap.</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Complete 11-page PDF, Methods, flow, Tables 1–3, survival and arterial-complication discussion; J Hepatobiliary Pancreat Sci 2025; 32:276–286.</w:t>
            </w:r>
          </w:p>
          <w:p>
            <w:pPr>
              <w:pStyle w:val="Normal"/>
              <w:widowControl/>
              <w:spacing w:before="60" w:after="20"/>
            </w:pPr>
            <w:r>
              <w:t xml:space="preserve">Review depth: Complete original J Hepatobiliary Pancreat Sci 2025; 32:276–286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Ten entered: five LDLT and five dropouts. One-year post-LT OS was 100%, with median recipient follow-up 23.7 months; one bone recurrence occurred at 10 months and death at 23.7 months. All five had complications, including two HAT events. Five-year ITT OS of 27.4% is from pathological diagnosis, not LT. Dropouts included conversion to resection, financial withdrawal, ERCP pancreatitis, progression and a positive node.</w:t>
            </w:r>
          </w:p>
          <w:p>
            <w:pPr>
              <w:pStyle w:val="Normal"/>
              <w:widowControl/>
              <w:spacing w:before="60" w:after="20"/>
            </w:pPr>
            <w:r>
              <w:rPr>
                <w:b/>
              </w:rPr>
              <w:t xml:space="preserve">Do not infer: </w:t>
            </w:r>
            <w:r>
              <w:t xml:space="preserve">Five recipients with immature long-term estimates and substantial arterial harm; no regimen noninferiority, no ICI data and no tested prior-biopsy/cleared-node expansion. Outside-field arterial reconstruction is a technical hypothesis from a tiny sequence, not a universally validated operation.</w:t>
            </w:r>
          </w:p>
        </w:tc>
      </w:tr>
      <w:tr>
        <w:trPr/>
        <w:tc>
          <w:tcPr>
            <w:tcW w:w="3400" w:type="dxa"/>
            <w:tcMar>
              <w:top w:w="90" w:type="dxa"/>
              <w:left w:w="90" w:type="dxa"/>
              <w:bottom w:w="90" w:type="dxa"/>
              <w:right w:w="90" w:type="dxa"/>
            </w:tcMar>
          </w:tcPr>
          <w:p>
            <w:pPr>
              <w:pStyle w:val="Normal"/>
              <w:widowControl/>
              <w:spacing w:before="60" w:after="20"/>
            </w:pPr>
            <w:r>
              <w:rPr>
                <w:b/>
              </w:rPr>
              <w:t xml:space="preserve">Aveson 2022</w:t>
            </w:r>
            <w:r>
              <w:t xml:space="preserve"> </w:t>
            </w:r>
            <w:r>
              <w:t xml:space="preserve"> </w:t>
            </w:r>
            <w:r>
              <w:t xml:space="preserve"> </w:t>
            </w:r>
            <w:r>
              <w:fldChar w:fldCharType="begin"/>
            </w:r>
            <w:r>
              <w:instrText xml:space="preserve"> ADDIN EN.CITE </w:instrText>
            </w:r>
            <w:r>
              <w:fldChar w:fldCharType="begin">
                <w:fldData>PEVuZE5vdGU+PENpdGU+PEF1dGhvcj5BdmVzb248L0F1dGhvcj48WWVhcj4yMDIyPC9ZZWFyPjxSZWNOdW0+ODwvUmVjTnVtPjxEaXNwbGF5VGV4dD5bVjE2LThdPC9EaXNwbGF5VGV4dD48cmVjb3JkPjxyZWMtbnVtYmVyPjg8L3JlYy1udW1iZXI+PGZvcmVpZ24ta2V5cz48a2V5IGFwcD0iRU4iIGRiLWlkPSJkOTdmYTVhMy1kYmUzLTU4ODMtYTU2OC01MmVlZTI3YjM3YmQiIHRpbWVzdGFtcD0iMTc5MzI4MzY4NCI+OD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MSK retrospective planned-resection/exploration cohort, 1991–2014: 262 patients, 37 TP primary biopsies and 225 intraluminal/no biopsies; 155 R0/R1 resections, not 262 completed resections.</w:t>
            </w:r>
          </w:p>
          <w:p>
            <w:pPr>
              <w:pStyle w:val="Normal"/>
              <w:widowControl/>
              <w:spacing w:before="60" w:after="20"/>
            </w:pPr>
            <w:r>
              <w:t xml:space="preserve">Selection: MSK retrospective planned-resection/exploration cohort 1991–2014: 262 evaluable patients; 37 primary-tumor transperitoneal biopsies versus 225 intraluminal/no biopsies (134/91). Only 155 underwent R0/R1 resection; 107 were unresectable, R2 or bypass. This is not 262 completed resections and not an LT cohort.</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Complete eight-page HPB 2022; 24:942–949 PDF; Methods, patient flow, Tables 1–3 and competing-risk results.</w:t>
            </w:r>
          </w:p>
          <w:p>
            <w:pPr>
              <w:pStyle w:val="Normal"/>
              <w:widowControl/>
              <w:spacing w:before="60" w:after="20"/>
            </w:pPr>
            <w:r>
              <w:t xml:space="preserve">Review depth: Complete original HPB 2022; 24:942–949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Index PM: 2/37 (5.4%) versus 17/225 (7.6%), p&gt;0.9.; 243 were initially PM-negative (35 exposed/208 unexposed); 72 subsequently developed PM.; Two-year cumulative PM 20.3% (95% CI 8.7–35.2) versus 20.1% (14.9–25.9), p=0.7.; Only 98 had R0 resections (14 TP/84 non-TP), with six PM-first recurrences; subgroup precision is limited.</w:t>
            </w:r>
          </w:p>
          <w:p>
            <w:pPr>
              <w:pStyle w:val="Normal"/>
              <w:widowControl/>
              <w:spacing w:before="60" w:after="20"/>
            </w:pPr>
            <w:r>
              <w:rPr>
                <w:b/>
              </w:rPr>
              <w:t xml:space="preserve">Do not infer: </w:t>
            </w:r>
            <w:r>
              <w:t xml:space="preserve">The absence of increased PM is genuine counterevidence to inevitable-seeding claims, but only 37 exposed patients, short 32-/38-day biopsy-to-operation intervals and no LT waiting/immunosuppression setting prevent a transplant-safety inference. Current policy is not overridden.</w:t>
            </w:r>
          </w:p>
        </w:tc>
      </w:tr>
      <w:tr>
        <w:trPr/>
        <w:tc>
          <w:tcPr>
            <w:tcW w:w="3400" w:type="dxa"/>
            <w:tcMar>
              <w:top w:w="90" w:type="dxa"/>
              <w:left w:w="90" w:type="dxa"/>
              <w:bottom w:w="90" w:type="dxa"/>
              <w:right w:w="90" w:type="dxa"/>
            </w:tcMar>
          </w:tcPr>
          <w:p>
            <w:pPr>
              <w:pStyle w:val="Normal"/>
              <w:widowControl/>
              <w:spacing w:before="60" w:after="20"/>
            </w:pPr>
            <w:r>
              <w:rPr>
                <w:b/>
              </w:rPr>
              <w:t xml:space="preserve">Ethun 2018</w:t>
            </w:r>
            <w:r>
              <w:t xml:space="preserve"> </w:t>
            </w:r>
            <w:r>
              <w:t xml:space="preserve"> </w:t>
            </w:r>
            <w:r>
              <w:t xml:space="preserve"> </w:t>
            </w:r>
            <w:r>
              <w:fldChar w:fldCharType="begin"/>
            </w:r>
            <w:r>
              <w:instrText xml:space="preserve"> ADDIN EN.CITE </w:instrText>
            </w:r>
            <w:r>
              <w:fldChar w:fldCharType="begin">
                <w:fldData>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Multicenter resection (2000–2015) and LT (2005–2016) experience: 234 attempted/191 R0–R1 resections; 70 LT-protocol entrants, 46 completed LT, 41 confirmed-cancer recipients; 66 in ITT after four missing entry dates.</w:t>
            </w:r>
          </w:p>
          <w:p>
            <w:pPr>
              <w:pStyle w:val="Normal"/>
              <w:widowControl/>
              <w:spacing w:before="60" w:after="20"/>
            </w:pPr>
            <w:r>
              <w:t xml:space="preserve">Selection: Strong selection differences. Table 1 median ages: 54 LT/67 resection; abstract ages differ. Recipient comparisons start at surgery; ITT uses LT-protocol initiation versus resection surgery. Restricted analysis was unadjusted, not multivariable-adjusted.</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Complete PDF pp 2–7, Methods, Table 1, flow and survival/ITT figures; Ann Surg 2018; 267:797–805.</w:t>
            </w:r>
          </w:p>
          <w:p>
            <w:pPr>
              <w:pStyle w:val="Normal"/>
              <w:widowControl/>
              <w:spacing w:before="60" w:after="20"/>
            </w:pPr>
            <w:r>
              <w:t xml:space="preserve">Review depth: Complete original Ann Surg 2018; 267:797–805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Recipient three-/five-year OS: 72%/64% LT versus 33%/18% resection. Non-PSC, &lt;3-cm, N0 recipient comparison: five-year OS 54% versus 29%, p=.03. Restricted ITT, 35 LT-protocol versus 57 attempted resections: one-/three-/five-year OS 82%/46%/41% versus 72%/45%/27%, p=.049. Overall ITT, 66 versus 234: five-year OS 53% versus 17%.</w:t>
            </w:r>
          </w:p>
          <w:p>
            <w:pPr>
              <w:pStyle w:val="Normal"/>
              <w:widowControl/>
              <w:spacing w:before="60" w:after="20"/>
            </w:pPr>
            <w:r>
              <w:rPr>
                <w:b/>
              </w:rPr>
              <w:t xml:space="preserve">Do not infer: </w:t>
            </w:r>
            <w:r>
              <w:t xml:space="preserve">No multivariable adjustment; postoperative resection subgroups, clinical LT selection, unmatched entry clocks, era and treatment confounding. This is LT-favorable observational evidence, not proof of superiority over optimized R0 resection; compare explicitly with Dong.</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Q8L1JlY051bT48RGlzcGxheVRleHQ+W1YxNi00XTwvRGlzcGxheVRleHQ+PHJlY29yZD48cmVjLW51bWJlcj40PC9yZWMtbnVtYmVyPjxmb3JlaWduLWtleXM+PGtleSBhcHA9IkVOIiBkYi1pZD0iZDk3ZmE1YTMtZGJlMy01ODgzLWE1NjgtNTJlZWUyN2IzN2JkIiB0aW1lc3RhbXA9IjE3OTMyODM2ODQiPjQ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Mayo retrospective 1993–2010: 199 protocol entrants, 62 dropouts, 131 local LT recipients and six LT elsewhere. Clear radial masses &gt;3 cm were excluded. The recorded mass measurement could be maximal radial OR longitudinal diameter, and the authors explain that observed &gt;3-cm measurements were generally longitudinal extension.</w:t>
            </w:r>
          </w:p>
          <w:p>
            <w:pPr>
              <w:pStyle w:val="Normal"/>
              <w:widowControl/>
              <w:spacing w:before="60" w:after="20"/>
            </w:pPr>
            <w:r>
              <w:t xml:space="preserve">Selection: Clear radial masses &gt;3 cm were excluded. The measured mass variable could be maximal radial or longitudinal diameter; the authors state that observed &gt;3-cm measurements generally reflected longitudinal extension.</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Complete Hepatology 2012 PDF, Transplantation and Recurrence sections.</w:t>
            </w:r>
          </w:p>
          <w:p>
            <w:pPr>
              <w:pStyle w:val="Normal"/>
              <w:widowControl/>
              <w:spacing w:before="60" w:after="20"/>
            </w:pPr>
            <w:r>
              <w:t xml:space="preserve">Review depth: Complete original article, Hepatology 2012; 56:972–981. Complete main paper reviewed; separate supplements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11/131 local recipients required retransplantation: six HAT, three primary nonfunction, one ischemic cholangiopathy and one recurrent PSC. Five-year post-LT OS was 71% and RFS 68%.</w:t>
            </w:r>
          </w:p>
          <w:p>
            <w:pPr>
              <w:pStyle w:val="Normal"/>
              <w:widowControl/>
              <w:spacing w:before="60" w:after="20"/>
            </w:pPr>
            <w:r>
              <w:rPr>
                <w:b/>
              </w:rPr>
              <w:t xml:space="preserve">Do not infer: </w:t>
            </w:r>
            <w:r>
              <w:t xml:space="preserve">Overlapping Mayo experience, not an independent additive safety denominator. Recurrence benefit must be discussed beside graft loss and retransplant use.</w:t>
            </w:r>
          </w:p>
        </w:tc>
      </w:tr>
      <w:tr>
        <w:trPr/>
        <w:tc>
          <w:tcPr>
            <w:tcW w:w="3400" w:type="dxa"/>
            <w:tcMar>
              <w:top w:w="90" w:type="dxa"/>
              <w:left w:w="90" w:type="dxa"/>
              <w:bottom w:w="90" w:type="dxa"/>
              <w:right w:w="90" w:type="dxa"/>
            </w:tcMar>
          </w:tcPr>
          <w:p>
            <w:pPr>
              <w:pStyle w:val="Normal"/>
              <w:widowControl/>
              <w:spacing w:before="60" w:after="20"/>
            </w:pPr>
            <w:r>
              <w:rPr>
                <w:b/>
              </w:rPr>
              <w:t xml:space="preserve">Olthof 2020</w:t>
            </w:r>
            <w:r>
              <w:t xml:space="preserve"> </w:t>
            </w:r>
            <w:r>
              <w:t xml:space="preserve"> </w:t>
            </w:r>
            <w:r>
              <w:t xml:space="preserve"> </w:t>
            </w:r>
            <w:r>
              <w:fldChar w:fldCharType="begin"/>
            </w:r>
            <w:r>
              <w:instrText xml:space="preserve"> ADDIN EN.CITE </w:instrText>
            </w:r>
            <w:r>
              <w:fldChar w:fldCharType="begin">
                <w:fldData>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20-center retrospective dataset: 1667 records, 1484 combined hepatic/biliary resections after exclusion of 37 unresectable cases, 140 bile-duct-only resections and six LT. 298 PVE/1186 no PVE; complete volumetry in 510 (151/359), with propensity matching of 98 PVE and 98 controls.</w:t>
            </w:r>
          </w:p>
          <w:p>
            <w:pPr>
              <w:pStyle w:val="Normal"/>
              <w:widowControl/>
              <w:spacing w:before="60" w:after="20"/>
            </w:pPr>
            <w:hyperlink r:id="rId46">
              <w:r>
                <w:rPr>
                  <w:color w:val="77230C"/>
                  <w:sz w:val="20"/>
                  <w:u w:val="single"/>
                </w:rPr>
                <w:t>Primary source</w:t>
              </w:r>
            </w:hyperlink>
            <w:r>
              <w:t xml:space="preserve"> | </w:t>
            </w:r>
            <w:hyperlink r:id="rId47">
              <w:r>
                <w:rPr>
                  <w:color w:val="77230C"/>
                  <w:sz w:val="20"/>
                  <w:u w:val="single"/>
                </w:rPr>
                <w:t>Full-text PDF</w:t>
              </w:r>
            </w:hyperlink>
          </w:p>
          <w:p>
            <w:pPr>
              <w:pStyle w:val="Normal"/>
              <w:widowControl/>
              <w:spacing w:before="60" w:after="20"/>
            </w:pPr>
            <w:r>
              <w:t xml:space="preserve">Locator: Complete PDF, matched cohort/Table 3 and Discussion; Ann Surg Oncol 2020; 27:2311–2318.</w:t>
            </w:r>
          </w:p>
          <w:p>
            <w:pPr>
              <w:pStyle w:val="Normal"/>
              <w:widowControl/>
              <w:spacing w:before="60" w:after="20"/>
            </w:pPr>
            <w:r>
              <w:t xml:space="preserve">Review depth: Complete original Ann Surg Oncol 2020; 27:2311–2318 article; byte-identical to the V7 PDF and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Among 98 matched pairs, PVE versus no PVE: ISGLS B/C liver failure 8/98 versus 35/98, 90-day mortality 7/98 versus 18/98, and bile leak 10/98 versus 34/98. Median relative FLR-volume growth was 42% after 22 days, distinct from approximately seven-percentage-point FLR-share growth. Major morbidity, 51% versus 54%, did not differ.</w:t>
            </w:r>
          </w:p>
          <w:p>
            <w:pPr>
              <w:pStyle w:val="Normal"/>
              <w:widowControl/>
              <w:spacing w:before="60" w:after="20"/>
            </w:pPr>
            <w:r>
              <w:rPr>
                <w:b/>
              </w:rPr>
              <w:t xml:space="preserve">Do not infer: </w:t>
            </w:r>
            <w:r>
              <w:t xml:space="preserve">Only operated patients and complete-data matching; the denominator failing to reach resection after PVE is unavailable. No validated universal FLR cutoff or mandatory day-22 clearance; assess function, cholestasis and infection.</w:t>
            </w:r>
          </w:p>
        </w:tc>
      </w:tr>
      <w:tr>
        <w:trPr/>
        <w:tc>
          <w:tcPr>
            <w:tcW w:w="3400" w:type="dxa"/>
            <w:tcMar>
              <w:top w:w="90" w:type="dxa"/>
              <w:left w:w="90" w:type="dxa"/>
              <w:bottom w:w="90" w:type="dxa"/>
              <w:right w:w="90" w:type="dxa"/>
            </w:tcMar>
          </w:tcPr>
          <w:p>
            <w:pPr>
              <w:pStyle w:val="Normal"/>
              <w:widowControl/>
              <w:spacing w:before="60" w:after="20"/>
            </w:pPr>
            <w:r>
              <w:rPr>
                <w:b/>
              </w:rPr>
              <w:t xml:space="preserve">Vugts 2021</w:t>
            </w:r>
            <w:r>
              <w:t xml:space="preserve"> </w:t>
            </w:r>
            <w:r>
              <w:t xml:space="preserve"> </w:t>
            </w:r>
            <w:r>
              <w:t xml:space="preserve"> </w:t>
            </w:r>
            <w:r>
              <w:fldChar w:fldCharType="begin"/>
            </w:r>
            <w:r>
              <w:instrText xml:space="preserve"> ADDIN EN.CITE </w:instrText>
            </w:r>
            <w:r>
              <w:fldChar w:fldCharType="begin">
                <w:fldData>PEVuZE5vdGU+PENpdGU+PEF1dGhvcj5WdWd0czwvQXV0aG9yPjxZZWFyPjIwMjE8L1llYXI+PFJlY051bT4yOTwvUmVjTnVtPjxEaXNwbGF5VGV4dD5bVjE2LTI5XTwvRGlzcGxheVRleHQ+PHJlY29yZD48cmVjLW51bWJlcj4yOTwvcmVjLW51bWJlcj48Zm9yZWlnbi1rZXlzPjxrZXkgYXBwPSJFTiIgZGItaWQ9ImQ5N2ZhNWEzLWRiZTMtNTg4My1hNTY4LTUyZWVlMjdiMzdiZCIgdGltZXN0YW1wPSIxNzkzMjgzNjg0Ij4yOT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Z1bGwgdGV4dCByZWFkIGZvciB0aGUgVjE2IGV4dHJhaGVwYXRpYy1kaXNlYXNlIHJldmlldyAoY29tcGxldGUgbWFpbiB0ZXh0OyByZWxldmFudCBjb21wbGV0ZSBzZWN0aW9ucyBmb3IgbG9uZyBndWlkZWxpbmVzKS4gVjggZXh0cmFjdGlvbiBhbmQgbGltaXRhdGlvbnM6IHNvdXJjZS9iaWxpYXJ5X2Z1bGx0ZXh0X3Jldmlldy5qc29uPC9ub3Rlcz48dXJscz48cmVsYXRlZC11cmxzPjx1cmw+aHR0cHM6Ly9saW5rLnNwcmluZ2VyLmNvbS9hcnRpY2xlLzEwLjEyNDUvczEwNDM0LTAyMC0wOTAwMS04PC91cmw+PC9yZWxhdGVkLXVybHM+PHBkZi11cmxzLz48L3VybHM+PC9yZWNvcmQ+PC9DaXRlPjwvRW5kTm90ZT4=</w:fldData>
              </w:fldChar>
            </w:r>
            <w:r>
              <w:instrText xml:space="preserve"> ADDIN EN.CITE.DATA </w:instrText>
            </w:r>
            <w:r>
              <w:fldChar w:fldCharType="end"/>
            </w:r>
            <w:r>
              <w:fldChar w:fldCharType="separate"/>
            </w:r>
            <w:r>
              <w:t xml:space="preserve">[V16-29]</w:t>
            </w:r>
            <w:r>
              <w:fldChar w:fldCharType="end"/>
            </w:r>
          </w:p>
          <w:p>
            <w:pPr>
              <w:pStyle w:val="Normal"/>
              <w:widowControl/>
              <w:spacing w:before="60" w:after="20"/>
            </w:pPr>
            <w:r>
              <w:t xml:space="preserve">732 consecutive Dutch pCCA presentations, 2002–2014; 154 underwent resection. Retrospective Mayo screening identified 34 potentially eligible (5%); 335 excluded for suspected/confirmed nodal or distant disease and 50 solely for age &gt;70. Two of the 34 actually received LT.</w:t>
            </w:r>
          </w:p>
          <w:p>
            <w:pPr>
              <w:pStyle w:val="Normal"/>
              <w:widowControl/>
              <w:spacing w:before="60" w:after="20"/>
            </w:pPr>
            <w:r>
              <w:t xml:space="preserve">Selection: 34/732 potentially Mayo-eligible after retrospective screening; two of these 34 actually received LT. This is predominantly historical non-LT care, not an entirely untreated/non-LT cohort.</w:t>
            </w:r>
          </w:p>
          <w:p>
            <w:pPr>
              <w:pStyle w:val="Normal"/>
              <w:widowControl/>
              <w:spacing w:before="60" w:after="20"/>
            </w:pPr>
            <w:hyperlink r:id="rId48">
              <w:r>
                <w:rPr>
                  <w:color w:val="77230C"/>
                  <w:sz w:val="20"/>
                  <w:u w:val="single"/>
                </w:rPr>
                <w:t>Primary source</w:t>
              </w:r>
            </w:hyperlink>
            <w:r>
              <w:t xml:space="preserve"> | </w:t>
            </w:r>
            <w:hyperlink r:id="rId49">
              <w:r>
                <w:rPr>
                  <w:color w:val="77230C"/>
                  <w:sz w:val="20"/>
                  <w:u w:val="single"/>
                </w:rPr>
                <w:t>Full-text PDF</w:t>
              </w:r>
            </w:hyperlink>
          </w:p>
          <w:p>
            <w:pPr>
              <w:pStyle w:val="Normal"/>
              <w:widowControl/>
              <w:spacing w:before="60" w:after="20"/>
            </w:pPr>
            <w:r>
              <w:t xml:space="preserve">Locator: Complete PDF, Methods/statistical analysis, Results and survival; Ann Surg Oncol 2021; 28:1483–1492.</w:t>
            </w:r>
          </w:p>
          <w:p>
            <w:pPr>
              <w:pStyle w:val="Normal"/>
              <w:widowControl/>
              <w:spacing w:before="60" w:after="20"/>
            </w:pPr>
            <w:r>
              <w:t xml:space="preserve">Review depth: Complete original Ann Surg Oncol 2021; 28:1483–1492 article, with correction information in the source record. Byte-identical to the already verified V7 PDF;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Potentially eligible cohort median OS 13 months (95% CI 3–23) from first presentation at the tertiary center; one-/three-/five-year OS 56%/18%/11%.</w:t>
            </w:r>
          </w:p>
          <w:p>
            <w:pPr>
              <w:pStyle w:val="Normal"/>
              <w:widowControl/>
              <w:spacing w:before="60" w:after="20"/>
            </w:pPr>
            <w:r>
              <w:rPr>
                <w:b/>
              </w:rPr>
              <w:t xml:space="preserve">Do not infer: </w:t>
            </w:r>
            <w:r>
              <w:t xml:space="preserve">No matched modern comparator, incompletely reconstructible infection/staging criteria and no prospective NAT-tolerance assessment. Shows unmet need, not LT efficacy or superiority over R0 resection.</w:t>
            </w:r>
          </w:p>
        </w:tc>
      </w:tr>
      <w:tr>
        <w:trPr/>
        <w:tc>
          <w:tcPr>
            <w:tcW w:w="3400" w:type="dxa"/>
            <w:tcMar>
              <w:top w:w="90" w:type="dxa"/>
              <w:left w:w="90" w:type="dxa"/>
              <w:bottom w:w="90" w:type="dxa"/>
              <w:right w:w="90" w:type="dxa"/>
            </w:tcMar>
          </w:tcPr>
          <w:p>
            <w:pPr>
              <w:pStyle w:val="Normal"/>
              <w:widowControl/>
              <w:spacing w:before="60" w:after="20"/>
            </w:pPr>
            <w:r>
              <w:rPr>
                <w:b/>
              </w:rPr>
              <w:t xml:space="preserve">Gorji 2024</w:t>
            </w:r>
            <w:r>
              <w:t xml:space="preserve"> </w:t>
            </w:r>
            <w:r>
              <w:t xml:space="preserve"> </w:t>
            </w:r>
            <w:r>
              <w:t xml:space="preserve"> </w:t>
            </w:r>
            <w:r>
              <w:fldChar w:fldCharType="begin"/>
            </w:r>
            <w:r>
              <w:instrText xml:space="preserve"> ADDIN EN.CITE </w:instrText>
            </w:r>
            <w:r>
              <w:fldChar w:fldCharType="begin">
                <w:fldData>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Narrative review; no new patient cohort or meta-analysis.</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pp 213–216 Tables 2–3, Figure 2, CRLM/NET and allocation sections; references pp 217–218.</w:t>
            </w:r>
          </w:p>
          <w:p>
            <w:pPr>
              <w:pStyle w:val="Normal"/>
              <w:widowControl/>
              <w:spacing w:before="60" w:after="20"/>
            </w:pPr>
            <w:r>
              <w:t xml:space="preserve">Review depth: Complete eight-page narrative review read, including tables, figures/captions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Useful historical synthesis, not a substitute for current allocation guidance or primary trial denominators.; Table 2 p 213 distinguishes Milan NET age &lt;60 (relative), &lt;50% burden and &gt;6-month stability from other guidance; Figure 2 p 215 imports older risk flags (Ki-67 &gt;10%, observation &lt;12 months), which are not proven universal gates.; CRLM p 214 uses IHPBA BRAF V600E and historical CEA/PET language; these are not interchangeable with current NLRB all-BRAF and CEA rules.</w:t>
            </w:r>
          </w:p>
          <w:p>
            <w:pPr>
              <w:pStyle w:val="Normal"/>
              <w:widowControl/>
              <w:spacing w:before="60" w:after="20"/>
            </w:pPr>
            <w:r>
              <w:rPr>
                <w:b/>
              </w:rPr>
              <w:t xml:space="preserve">Do not infer: </w:t>
            </w:r>
            <w:r>
              <w:t xml:space="preserve">The paper says no iCCA/CRLM MELD exceptions and uses older allocation sources: outdated for 2026.; NET ELTR sentence p 216 reverses pre-/post-2000 five-year OS (46% versus 59%); primary ELTR shows better post-2000 outcome.; SECA-II DFS labels p 215 use 1/3/5 years although the primary paper reports 1/2/3 years for 53/44/35%.; Do not count review citations as independent outcome data or adopt Figure 2 Ki-67/observation cutoffs over current evidence.</w:t>
            </w:r>
          </w:p>
        </w:tc>
      </w:tr>
      <w:tr>
        <w:trPr/>
        <w:tc>
          <w:tcPr>
            <w:tcW w:w="3400" w:type="dxa"/>
            <w:tcMar>
              <w:top w:w="90" w:type="dxa"/>
              <w:left w:w="90" w:type="dxa"/>
              <w:bottom w:w="90" w:type="dxa"/>
              <w:right w:w="90" w:type="dxa"/>
            </w:tcMar>
          </w:tcPr>
          <w:p>
            <w:pPr>
              <w:pStyle w:val="Normal"/>
              <w:widowControl/>
              <w:spacing w:before="60" w:after="20"/>
            </w:pPr>
            <w:r>
              <w:rPr>
                <w:b/>
              </w:rPr>
              <w:t xml:space="preserve">Wu 2023</w:t>
            </w:r>
            <w:r>
              <w:t xml:space="preserve"> </w:t>
            </w:r>
            <w:r>
              <w:t xml:space="preserve"> </w:t>
            </w:r>
            <w:r>
              <w:t xml:space="preserve"> </w:t>
            </w:r>
            <w:r>
              <w:fldChar w:fldCharType="begin"/>
            </w:r>
            <w:r>
              <w:instrText xml:space="preserve"> ADDIN EN.CITE </w:instrText>
            </w:r>
            <w:r>
              <w:fldChar w:fldCharType="begin">
                <w:fldData>PEVuZE5vdGU+PENpdGU+PEF1dGhvcj5XdTwvQXV0aG9yPjxZZWFyPjIwMjM8L1llYXI+PFJlY051bT4xMTwvUmVjTnVtPjxEaXNwbGF5VGV4dD5bVjE2LTExXTwvRGlzcGxheVRleHQ+PHJlY29yZD48cmVjLW51bWJlcj4xMTwvcmVjLW51bWJlcj48Zm9yZWlnbi1rZXlzPjxrZXkgYXBwPSJFTiIgZGItaWQ9ImQ5N2ZhNWEzLWRiZTMtNTg4My1hNTY4LTUyZWVlMjdiMzdiZCIgdGltZXN0YW1wPSIxNzkzMjgzNjg0Ij4x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spacing w:before="60" w:after="20"/>
            </w:pPr>
            <w:r>
              <w:t xml:space="preserve">Fifteen studies and 315 transplanted patients; 14 retrospective studies and one prospective study. Searches through 9 September 2022. Four Mayo-protocol studies contributed 208 recipients, two SBRT studies 11, and nine other-protocol studies 96. Four studies included iCCA.</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PDF pp 2–4 methods, included studies and pooled pCR; study table and forest plots; pp 7–8 discussion and limitations.</w:t>
            </w:r>
          </w:p>
          <w:p>
            <w:pPr>
              <w:pStyle w:val="Normal"/>
              <w:widowControl/>
              <w:spacing w:before="60" w:after="20"/>
            </w:pPr>
            <w:r>
              <w:t xml:space="preserve">Review depth: Complete ten-page systematic review and meta-analysis read, including study table,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Pooled pCR was 32% (95% CI 19–49), with substantial heterogeneity (I² 56%). Mayo subgroup pCR was 46% (31–61), SBRT 9% (1–44), and other regimens 33% (13–63).; Subgroup comparison was reported at p=.05; chemotherapy-duration association p=.13. Neither establishes regimen equivalence or noninferiority.; Study-level pCR was not associated with OS in meta-regression. This is not evidence that an individual's residual viable tumor lacks prognostic importance.; The table labels McMillan survival as post-LT although the primary article reports the relevant survival from listing. It also lists Loveday dropout as 10/18, whereas the primary full text has 11/18. Use the primary papers for these values.; Different studies contribute to pooled one-, three- and five-year RFS; nonmonotone pooled figures must not be shown as one longitudinal survival curve.</w:t>
            </w:r>
          </w:p>
          <w:p>
            <w:pPr>
              <w:pStyle w:val="Normal"/>
              <w:widowControl/>
              <w:spacing w:before="60" w:after="20"/>
            </w:pPr>
            <w:r>
              <w:rPr>
                <w:b/>
              </w:rPr>
              <w:t xml:space="preserve">Do not infer: </w:t>
            </w:r>
            <w:r>
              <w:t xml:space="preserve">Transplanted-only selection; mixed pCCA/iCCA populations; small and nonrandomized regimen subgroups; center overlap addressed imperfectly; ecological meta-regression; some secondary extraction errors. The meta-analysis is not a radiation prescription source or a regimen-equivalence trial. Time origin: pCR is an explant outcome among recipients, excluding pathway dropouts. Pooled survival time origins are not uniform enough to treat the table as a common post-LT survival curve.</w:t>
            </w:r>
          </w:p>
        </w:tc>
      </w:tr>
      <w:tr>
        <w:trPr/>
        <w:tc>
          <w:tcPr>
            <w:tcW w:w="3400" w:type="dxa"/>
            <w:tcMar>
              <w:top w:w="90" w:type="dxa"/>
              <w:left w:w="90" w:type="dxa"/>
              <w:bottom w:w="90" w:type="dxa"/>
              <w:right w:w="90" w:type="dxa"/>
            </w:tcMar>
          </w:tcPr>
          <w:p>
            <w:pPr>
              <w:pStyle w:val="Normal"/>
              <w:widowControl/>
              <w:spacing w:before="60" w:after="20"/>
            </w:pPr>
            <w:r>
              <w:rPr>
                <w:b/>
              </w:rPr>
              <w:t xml:space="preserve">Semaan 2025</w:t>
            </w:r>
            <w:r>
              <w:t xml:space="preserve"> </w:t>
            </w:r>
            <w:r>
              <w:t xml:space="preserve"> </w:t>
            </w:r>
            <w:r>
              <w:t xml:space="preserve"> </w:t>
            </w:r>
            <w:r>
              <w:fldChar w:fldCharType="begin"/>
            </w:r>
            <w:r>
              <w:instrText xml:space="preserve"> ADDIN EN.CITE </w:instrText>
            </w:r>
            <w:r>
              <w:fldChar w:fldCharType="begin">
                <w:fldData>PEVuZE5vdGU+PENpdGU+PEF1dGhvcj5TZW1hYW48L0F1dGhvcj48WWVhcj4yMDI1PC9ZZWFyPjxSZWNOdW0+MTg8L1JlY051bT48RGlzcGxheVRleHQ+W1YxNi0xOF08L0Rpc3BsYXlUZXh0PjxyZWNvcmQ+PHJlYy1udW1iZXI+MTg8L3JlYy1udW1iZXI+PGZvcmVpZ24ta2V5cz48a2V5IGFwcD0iRU4iIGRiLWlkPSJkOTdmYTVhMy1kYmUzLTU4ODMtYTU2OC01MmVlZTI3YjM3YmQiIHRpbWVzdGFtcD0iMTc5MzI4MzY4NCI+MT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p>
          <w:p>
            <w:pPr>
              <w:pStyle w:val="Normal"/>
              <w:widowControl/>
              <w:spacing w:before="60" w:after="20"/>
            </w:pPr>
            <w:r>
              <w:t xml:space="preserve">Retrospective Houston Methodist cohort, 2008–2023: 53 LT recipients, 27 pCCA and 26 iCCA; 49 received neoadjuvant treatment. Results overlap earlier Houston iCCA series and must not be counted as independent replication.</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PDF pp 1–2 methods; p 4/Table 2 exposure and timing; pp 5–7/Table 4 time-dependent models and Table 5 survival; pp 7–8 discussion.</w:t>
            </w:r>
          </w:p>
          <w:p>
            <w:pPr>
              <w:pStyle w:val="Normal"/>
              <w:widowControl/>
              <w:spacing w:before="60" w:after="20"/>
            </w:pPr>
            <w:r>
              <w:t xml:space="preserve">Review depth: Complete nine-page main article read. Tables and time-dependent analysis verified.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Thirty-nine of 53 patients received an mTOR inhibitor (73.6%); the abstract's 71.7% is inconsistent with 39/53 and matches the everolimus count of 38. Five received sirolimus and four received both sequentially.; Median initiation was 38 days after LT (IQR 27–79.5), not a tested mandatory day 30–38 conversion interval.; Three-year OS was 69.2% (95% CI 56.9–84.2) and RFS 57.4% (43.7–75.4); 21 patients developed recurrence.; The optimized conventional Cox association between mTOR use and OS was HR 0.16 (0.06–0.45; p=.001). It was not confirmed when mTOR exposure was treated as time-dependent: OS HR 0.52 (0.19–1.43; p=.2); RFS HR 0.82 (0.32–2.08; p=.7).; Pathology included multifocal iCCA, occult nodal disease and other adverse features; presumed pre-LT N 0 status does not establish the safety of knowingly transplanting node-positive patients.</w:t>
            </w:r>
          </w:p>
          <w:p>
            <w:pPr>
              <w:pStyle w:val="Normal"/>
              <w:widowControl/>
              <w:spacing w:before="60" w:after="20"/>
            </w:pPr>
            <w:r>
              <w:rPr>
                <w:b/>
              </w:rPr>
              <w:t xml:space="preserve">Do not infer: </w:t>
            </w:r>
            <w:r>
              <w:t xml:space="preserve">Small, heterogeneous, nonrandomized cohort; stepwise model selection; post-LT exposure timing; overlapping Houston patients. The source's current/prior/never-use categories are not readily reconciled with 39 ever-exposed patients. Do not infer a causal survival benefit, an optimal trough target, or a mandatory conversion date. Time origin: OS and RFS begin at LT; median post-LT follow-up 910 days. mTOR exposure starts after LT, creating an important timing/immortal-time problem in simple ever-treated comparisons.</w:t>
            </w:r>
          </w:p>
        </w:tc>
      </w:tr>
      <w:tr>
        <w:trPr/>
        <w:tc>
          <w:tcPr>
            <w:tcW w:w="3400" w:type="dxa"/>
            <w:tcMar>
              <w:top w:w="90" w:type="dxa"/>
              <w:left w:w="90" w:type="dxa"/>
              <w:bottom w:w="90" w:type="dxa"/>
              <w:right w:w="90" w:type="dxa"/>
            </w:tcMar>
          </w:tcPr>
          <w:p>
            <w:pPr>
              <w:pStyle w:val="Normal"/>
              <w:widowControl/>
              <w:spacing w:before="60" w:after="20"/>
            </w:pPr>
            <w:r>
              <w:rPr>
                <w:b/>
              </w:rPr>
              <w:t xml:space="preserve">Ramanan 2017</w:t>
            </w:r>
            <w:r>
              <w:t xml:space="preserve"> </w:t>
            </w:r>
            <w:r>
              <w:t xml:space="preserve"> </w:t>
            </w:r>
            <w:r>
              <w:t xml:space="preserve"> </w:t>
            </w:r>
            <w:r>
              <w:fldChar w:fldCharType="begin"/>
            </w:r>
            <w:r>
              <w:instrText xml:space="preserve"> ADDIN EN.CITE </w:instrText>
            </w:r>
            <w:r>
              <w:fldChar w:fldCharType="begin">
                <w:fldData>PEVuZE5vdGU+PENpdGU+PEF1dGhvcj5SYW1hbmFuPC9BdXRob3I+PFllYXI+MjAxNzwvWWVhcj48UmVjTnVtPjE3PC9SZWNOdW0+PERpc3BsYXlUZXh0PltWMTYtMTddPC9EaXNwbGF5VGV4dD48cmVjb3JkPjxyZWMtbnVtYmVyPjE3PC9yZWMtbnVtYmVyPjxmb3JlaWduLWtleXM+PGtleSBhcHA9IkVOIiBkYi1pZD0iZDk3ZmE1YTMtZGJlMy01ODgzLWE1NjgtNTJlZWUyN2IzN2JkIiB0aW1lc3RhbXA9IjE3OTMyODM2ODQiPjE3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spacing w:before="60" w:after="20"/>
            </w:pPr>
            <w:r>
              <w:t xml:space="preserve">Retrospective Mayo cohort of 124 pCCA recipients after neoadjuvant treatment and LT, 2004–2013; two incidental/no-neoadjuvant cases excluded from 126. Forty-five received LDLT; all had Roux-en-Y reconstruction. This is an infection cohort, not a randomized immunosuppression trial.</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PDF p 2 §§2.4–2.5 (immunosuppression/prophylaxis); pp 3–4 infection denominators and timing; pp 5–7 outcome models and limitations.</w:t>
            </w:r>
          </w:p>
          <w:p>
            <w:pPr>
              <w:pStyle w:val="Normal"/>
              <w:widowControl/>
              <w:spacing w:before="60" w:after="20"/>
            </w:pPr>
            <w:r>
              <w:t xml:space="preserve">Review depth: Complete seven-page main article read, including methods, results, tables, discussion and references.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There were 255 infections in 105/124 patients (84.7%); 53/124 had intra-abdominal infection, with 88 episodes. Forty-three had bloodstream infection, with 67 episodes.; The described regimen used tacrolimus, MMF and prednisone; prednisone was withdrawn on postoperative day 121 and MMF at 2–4 months when feasible, aiming for tacrolimus monotherapy. It does not support universal MMF cessation at 30 days or steroid withdrawal at 30 days.; The center used basiliximab with delayed tacrolimus in renal insufficiency (creatinine clearance &lt;40 mL/min or dialysis). This is a reported institutional strategy, not a proven pCCA-specific numeric threshold.; Associations with time to first infection of any type (Table3), not specifically abdominal infection, included LDLT HR 6.63 (95% CI 2.74–16.0), hepatic artery thrombosis HR 2.62 (1.34–5.12), biliary stricture HR 3.76 (1.60–8.82), and abdominal fluid collections HR 4.20 (2.14–8.23). These are nonrandomized associations, not proof that LDLT causes infection.; There were 36 deaths, 26 from recurrent CCA. Abdominal infection was associated with mortality after adjustment for recurrent CCA; the paper does not establish the effect of changing the immunosuppression schedule.</w:t>
            </w:r>
          </w:p>
          <w:p>
            <w:pPr>
              <w:pStyle w:val="Normal"/>
              <w:widowControl/>
              <w:spacing w:before="60" w:after="20"/>
            </w:pPr>
            <w:r>
              <w:rPr>
                <w:b/>
              </w:rPr>
              <w:t xml:space="preserve">Do not infer: </w:t>
            </w:r>
            <w:r>
              <w:t xml:space="preserve">Single center, historical practice, confounding by technical complexity and complications. Do not transfer old antimicrobial prophylaxis or immunosuppression details into a current mandatory order set. Time origin: Infection and survival outcomes begin at LT; median follow-up 4.2 years. Kaplan–Meier median time to first infection was 105.8 days. The 37-day median among infected patients is a different statistic.</w:t>
            </w:r>
          </w:p>
        </w:tc>
      </w:tr>
      <w:tr>
        <w:trPr/>
        <w:tc>
          <w:tcPr>
            <w:tcW w:w="3400" w:type="dxa"/>
            <w:tcMar>
              <w:top w:w="90" w:type="dxa"/>
              <w:left w:w="90" w:type="dxa"/>
              <w:bottom w:w="90" w:type="dxa"/>
              <w:right w:w="90" w:type="dxa"/>
            </w:tcMar>
          </w:tcPr>
          <w:p>
            <w:pPr>
              <w:pStyle w:val="Normal"/>
              <w:widowControl/>
              <w:spacing w:before="60" w:after="20"/>
            </w:pPr>
            <w:r>
              <w:rPr>
                <w:b/>
              </w:rPr>
              <w:t xml:space="preserve">Heinrich 2026</w:t>
            </w:r>
            <w:r>
              <w:t xml:space="preserve"> </w:t>
            </w:r>
            <w:r>
              <w:t xml:space="preserve"> </w:t>
            </w:r>
            <w:r>
              <w:t xml:space="preserve"> </w:t>
            </w:r>
            <w:r>
              <w:fldChar w:fldCharType="begin"/>
            </w:r>
            <w:r>
              <w:instrText xml:space="preserve"> ADDIN EN.CITE </w:instrText>
            </w:r>
            <w:r>
              <w:fldChar w:fldCharType="begin">
                <w:fldData>PEVuZE5vdGU+PENpdGU+PEF1dGhvcj5IZWlucmljaDwvQXV0aG9yPjxZZWFyPjIwMjY8L1llYXI+PFJlY051bT4yMDwvUmVjTnVtPjxEaXNwbGF5VGV4dD5bVjE2LTIwXTwvRGlzcGxheVRleHQ+PHJlY29yZD48cmVjLW51bWJlcj4yMDwvcmVjLW51bWJlcj48Zm9yZWlnbi1rZXlzPjxrZXkgYXBwPSJFTiIgZGItaWQ9ImQ5N2ZhNWEzLWRiZTMtNTg4My1hNTY4LTUyZWVlMjdiMzdiZCIgdGltZXN0YW1wPSIxNzkzMjgzNjg0Ij4yMD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[V16-20]</w:t>
            </w:r>
            <w:r>
              <w:fldChar w:fldCharType="end"/>
            </w:r>
          </w:p>
          <w:p>
            <w:pPr>
              <w:pStyle w:val="Normal"/>
              <w:widowControl/>
              <w:spacing w:before="60" w:after="20"/>
            </w:pPr>
            <w:r>
              <w:t xml:space="preserve">Retrospective three-center German study, 2002–2021: 19 incidental biliary tract cancers found on explant versus 140 HCC recipients within Milan criteria. All incidental cases were T 1/T 2; the cohort includes more than just iCCA/pCCA. Twelve of 19 had PSC or autoimmune liver disease.</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PDF p 2 methods and surveillance; p 3 overall outcomes; pp 5–7 subgroup analyses and limitations; p 8 supporting-information descriptions.</w:t>
            </w:r>
          </w:p>
          <w:p>
            <w:pPr>
              <w:pStyle w:val="Normal"/>
              <w:widowControl/>
              <w:spacing w:before="60" w:after="20"/>
            </w:pPr>
            <w:r>
              <w:t xml:space="preserve">Review depth: Complete eight-page main article read. Supporting-information captions were read but separate supporting tables were not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was 65% in incidental BTC versus 73% in HCC (p=.31); DFS 54% versus 69% (p approximately .25). Failure to reject a difference is not proof of equivalence.; Six of 19 developed recurrence. Seventeen received no adjuvant treatment; two treated cases do not establish adjuvant benefit.; The observed surveillance schedule was CT/MRI every six months for three years, then annually through year five. It does not support attributing an every-three-month years 1–2/every-six-month years 3–5 schedule to this study.; CA 19-9 was available in only 13 patients; the four with &gt;100 U/mL all recurred. This tiny incomplete-data association is not a new absolute exclusion threshold.; Subgroup denominators in the body are internally inconsistent with total n=19; do not reproduce separate iCCA/pCCA/distal/GBC recurrence denominators without supporting-table clarification.</w:t>
            </w:r>
          </w:p>
          <w:p>
            <w:pPr>
              <w:pStyle w:val="Normal"/>
              <w:widowControl/>
              <w:spacing w:before="60" w:after="20"/>
            </w:pPr>
            <w:r>
              <w:rPr>
                <w:b/>
              </w:rPr>
              <w:t xml:space="preserve">Do not infer: </w:t>
            </w:r>
            <w:r>
              <w:t xml:space="preserve">Incidental tumors without pre-LT suspicion, mixed anatomic sites, tiny sample, selection/era confounding and underpowered survival comparisons. Not evidence for intentional transplantation of known advanced iCCA or pCCA. Surveillance was observed practice, not randomized optimization. Time origin: OS and DFS begin at LT; death without recurrence counts as a DFS event. Mean follow-up 61 months, range 4–254 months.</w:t>
            </w:r>
          </w:p>
        </w:tc>
      </w:tr>
      <w:tr>
        <w:trPr/>
        <w:tc>
          <w:tcPr>
            <w:tcW w:w="3400" w:type="dxa"/>
            <w:tcMar>
              <w:top w:w="90" w:type="dxa"/>
              <w:left w:w="90" w:type="dxa"/>
              <w:bottom w:w="90" w:type="dxa"/>
              <w:right w:w="90" w:type="dxa"/>
            </w:tcMar>
          </w:tcPr>
          <w:p>
            <w:pPr>
              <w:pStyle w:val="Normal"/>
              <w:widowControl/>
              <w:spacing w:before="60" w:after="20"/>
            </w:pPr>
            <w:r>
              <w:rPr>
                <w:b/>
              </w:rPr>
              <w:t xml:space="preserve">NCCN Biliary Tract Cancers v1.2026</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ZDk3ZmE1YTMtZGJlMy01ODgzLWE1NjgtNTJlZWUyN2IzN2Jk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NCCN clinical practice guideline, verified local 2026 edition; relevant complete sections reviewed, not a patient cohort.</w:t>
            </w:r>
          </w:p>
          <w:p>
            <w:pPr>
              <w:pStyle w:val="Normal"/>
              <w:widowControl/>
              <w:spacing w:before="60" w:after="20"/>
            </w:pPr>
            <w:r>
              <w:t xml:space="preserve">Selection: Clinical guidance and allocation criteria are separate; no new independent transplant outcomes.</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PDF 23 EXTRA-1 footnote h; PDF 65 MS-18 transplantation discussion; PDF 16 INTRA-1 footnotes l and s; PDF 61 MS-14; PDF 23 EXTRA-1 footnote h; PDF 58–59 MS-11–12; PDF 16 INTRA-1 and PDF 21 INTRA-C; PDF 18 INTRA-A; PDF 25 EXTRA-A; PDF 59 MS-12; PDF 16 INTRA-1 footnotes; PDF 61 MS-14; PDF 36 BIL-C 1; PDF 37 BIL-C 2; PDF 41 BIL-D; PDF 65 MS-18; PDF 23 EXTRA-1; PDF 37 BIL-C 2; PDF 65 MS-18; PDF 17 INTRA-2; PDF 24 EXTRA-2; PDF 61 MS-14 and PDF 65 MS-18</w:t>
            </w:r>
          </w:p>
          <w:p>
            <w:pPr>
              <w:pStyle w:val="Normal"/>
              <w:widowControl/>
              <w:spacing w:before="60" w:after="20"/>
            </w:pPr>
            <w:r>
              <w:t xml:space="preserve">Review depth: Targeted complete relevant guideline sections reviewed; exact pages and limits in nccn_biliary_final_check.json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NCCN uses radial size ≤3 cm for highly selected pCCA LT consideration, with no nodal, intrahepatic or extrahepatic metastatic disease. This differs from current OPTN Policy 9.5.A's single mass &lt;3 cm requirement. The transplant-referral option links to footnote l for small single tumors &lt;3 cm. Footnotes also describe biopsy-proven iCCA/mixed HCC-iCCA, cirrhosis, unresectability, prior locoregional/systemic therapy and six months from diagnosis or last treatment without new lesions/extrahepatic disease. Current NLRB guidance uses ≤3 cm, so the exactly 3.0 cm boundary is not identical. Determine pCCA resection/transplant status before primary biopsy; potential LT candidates should be referred before transperitoneal or surgical primary-tumor biopsy. For unresectable iCCA, obtain tissue confirmation and biomarkers. A preoperative biopsy is not always necessary when proceeding directly to potentially curative resection. These are different clinical settings. Resection remains the standard potentially curative route when feasible. For pCCA, assess functional/volumetric FLR, arterial and portal inflow, biliary drainage, and whether remnant-directed drainage/PVE or expert vascular reconstruction can permit R 0 surgery. The guideline does not define a universal numeric FLR cutoff in these sections. The original diagnosis-or-last-treatment wording is genuinely present in this version of NCCN, not a fabricated phrase. NCCN's summary does not resolve the two formulations in the controlling NLRB guidance. The systemic-therapy page's named neoadjuvant subsection is for gallbladder cancer only. Unresectable/metastatic BTC regimens include GemCis plus durvalumab/pembrolizumab as preferred options, and chemotherapy-only alternatives. This does not establish a transplant-specific NAT regimen or pre-LT ICI safety. The pCCA LT discussion cites selected neoadjuvant chemoradiation experience without prescribing a universal radiation schedule. NCCN supports tissue/genomic assessment for unresectable disease to guide systemic treatment. It does not establish a blanket permanent LT exclusion for every prior targeted or other systemic therapy. The postoperative-resection algorithms suggest abdominal/pelvic cross-sectional imaging plus chest CT every 3–6 months for 2 years, then every 6–12 months through year 5. Both explicitly acknowledge lack of data for an optimal schedule and cite the BILCAP schedule. NCCN summarizes highly selected observational and small prospective LT experience and notes selection differences in pCCA LT/resection comparisons. This does not overturn the main-paper evidence audit or validate expanded advanced/node-positive disease.</w:t>
            </w:r>
          </w:p>
          <w:p>
            <w:pPr>
              <w:pStyle w:val="Normal"/>
              <w:widowControl/>
              <w:spacing w:before="60" w:after="20"/>
            </w:pPr>
            <w:r>
              <w:rPr>
                <w:b/>
              </w:rPr>
              <w:t xml:space="preserve">Do not infer: </w:t>
            </w:r>
            <w:r>
              <w:t xml:space="preserve">Targeted relevant-section review, not a whole-guideline audit. Source-specific wording does not override OPTN policy or establish an experimentally expanded eligibility rule. Time origin: Not an outcomes cohort.</w:t>
            </w:r>
          </w:p>
        </w:tc>
      </w:tr>
      <w:tr>
        <w:trPr/>
        <w:tc>
          <w:tcPr>
            <w:tcW w:w="3400" w:type="dxa"/>
            <w:tcMar>
              <w:top w:w="90" w:type="dxa"/>
              <w:left w:w="90" w:type="dxa"/>
              <w:bottom w:w="90" w:type="dxa"/>
              <w:right w:w="90" w:type="dxa"/>
            </w:tcMar>
          </w:tcPr>
          <w:p>
            <w:pPr>
              <w:pStyle w:val="Normal"/>
              <w:widowControl/>
              <w:spacing w:before="60" w:after="20"/>
            </w:pPr>
            <w:r>
              <w:rPr>
                <w:b/>
              </w:rPr>
              <w:t xml:space="preserve">Te 2025</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2LTIzXTwvRGlzcGxheVRleHQ+PHJlY29yZD48cmVjLW51bWJlcj4yMzwvcmVjLW51bWJlcj48Zm9yZWlnbi1rZXlzPjxrZXkgYXBwPSJFTiIgZGItaWQ9ImQ5N2ZhNWEzLWRiZTMtNTg4My1hNTY4LTUyZWVlMjdiMzdiZCIgdGltZXN0YW1wPSIxNzkzMjgzNjg0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r>
              <w:t xml:space="preserve">AASLD/AST clinical practice guideline, published online 2025 / volume 2026; systematic search updated through 12 September 2024.</w:t>
            </w:r>
          </w:p>
          <w:p>
            <w:pPr>
              <w:pStyle w:val="Normal"/>
              <w:widowControl/>
              <w:spacing w:before="60" w:after="20"/>
            </w:pPr>
            <w:hyperlink r:id="rId62">
              <w:r>
                <w:rPr>
                  <w:color w:val="77230C"/>
                  <w:sz w:val="20"/>
                  <w:u w:val="single"/>
                </w:rPr>
                <w:t>Primary source</w:t>
              </w:r>
            </w:hyperlink>
            <w:r>
              <w:t xml:space="preserve"> | </w:t>
            </w:r>
            <w:hyperlink r:id="rId63">
              <w:r>
                <w:rPr>
                  <w:color w:val="77230C"/>
                  <w:sz w:val="20"/>
                  <w:u w:val="single"/>
                </w:rPr>
                <w:t>Full-text PDF</w:t>
              </w:r>
            </w:hyperlink>
          </w:p>
          <w:p>
            <w:pPr>
              <w:pStyle w:val="Normal"/>
              <w:widowControl/>
              <w:spacing w:before="60" w:after="20"/>
            </w:pPr>
            <w:r>
              <w:t xml:space="preserve">Locator: PDF pp 13–18, statements 25–33 and Tables 3–5; pp 19–21 statements 34–40/Table 6; printed 456–464.</w:t>
            </w:r>
          </w:p>
          <w:p>
            <w:pPr>
              <w:pStyle w:val="Normal"/>
              <w:widowControl/>
              <w:spacing w:before="60" w:after="20"/>
            </w:pPr>
            <w:r>
              <w:t xml:space="preserve">Review depth: Targeted full-section review of 47-page guideline: PDF pp 1–2 (scope/methods) and pp 12–21 (printed 455–464; immunosuppression, minimization and rejection statements/tables). Other graft/recurrent-disease chapters were not fully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 25: basiliximab may permit delayed CNI initiation for renal recovery (Weak, Level 2); statement 26 advises against ATG induction (Strong, Level 2). These are general LT recommendations, not NET/CRLM-specific anticancer induction.; Statements 28–31 support individualized tacrolimus-based therapy, selective combination/CNI minimization and caution against routine steroid-free therapy. Table 4 explicitly notes dose/trough targets vary with transplant-professional judgment.; Statement 32 only suggests mTOR use for HCC WITHIN Milan to improve RFS up to three years (Weak, Level 3). It does not establish NET/CRLM recurrence reduction or a general preferred oncologic regimen.; Statement 33 supports early mTOR consideration for CKD, a renal indication. Statement 36 does not recommend routine complete immunosuppression withdrawal.; Search excluded conference abstracts and unpublished reports from the systematic evidence review; this provides a better current general-immunosuppression source than an unretrieved older review.</w:t>
            </w:r>
          </w:p>
          <w:p>
            <w:pPr>
              <w:pStyle w:val="Normal"/>
              <w:widowControl/>
              <w:spacing w:before="60" w:after="20"/>
            </w:pPr>
            <w:r>
              <w:rPr>
                <w:b/>
              </w:rPr>
              <w:t xml:space="preserve">Do not infer: </w:t>
            </w:r>
            <w:r>
              <w:t xml:space="preserve">Most immunosuppression and cancer evidence is indication-specific; do not extrapolate HCC benefit causally to NET/CRLM.; Not a 2026 literature search: substantive search update ended September 2024.; Dosing examples are not local standing orders. Supplementary methods/flowchart referenced at links.lww.com/LVT/B9 were not reviewed.</w:t>
            </w:r>
          </w:p>
        </w:tc>
      </w:tr>
      <w:tr>
        <w:trPr/>
        <w:tc>
          <w:tcPr>
            <w:tcW w:w="3400" w:type="dxa"/>
            <w:tcMar>
              <w:top w:w="90" w:type="dxa"/>
              <w:left w:w="90" w:type="dxa"/>
              <w:bottom w:w="90" w:type="dxa"/>
              <w:right w:w="90" w:type="dxa"/>
            </w:tcMar>
          </w:tcPr>
          <w:p>
            <w:pPr>
              <w:pStyle w:val="Normal"/>
              <w:widowControl/>
              <w:spacing w:before="60" w:after="20"/>
            </w:pPr>
            <w:r>
              <w:rPr>
                <w:b/>
              </w:rPr>
              <w:t xml:space="preserve">Bowlus 2022</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2LTddPC9EaXNwbGF5VGV4dD48cmVjb3JkPjxyZWMtbnVtYmVyPjc8L3JlYy1udW1iZXI+PGZvcmVpZ24ta2V5cz48a2V5IGFwcD0iRU4iIGRiLWlkPSJkOTdmYTVhMy1kYmUzLTU4ODMtYTU2OC01MmVlZTI3YjM3YmQiIHRpbWVzdGFtcD0iMTc5MzI4MzY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AASLD practice guidance, published online 2022 and in the 2023 issue; no new trial denominator. Recommendations and their underlying studies must be distinguished.</w:t>
            </w:r>
          </w:p>
          <w:p>
            <w:pPr>
              <w:pStyle w:val="Normal"/>
              <w:widowControl/>
              <w:spacing w:before="60" w:after="20"/>
            </w:pPr>
            <w:hyperlink r:id="rId64">
              <w:r>
                <w:rPr>
                  <w:color w:val="77230C"/>
                  <w:sz w:val="20"/>
                  <w:u w:val="single"/>
                </w:rPr>
                <w:t>Primary source</w:t>
              </w:r>
            </w:hyperlink>
            <w:r>
              <w:t xml:space="preserve"> | </w:t>
            </w:r>
            <w:hyperlink r:id="rId65">
              <w:r>
                <w:rPr>
                  <w:color w:val="77230C"/>
                  <w:sz w:val="20"/>
                  <w:u w:val="single"/>
                </w:rPr>
                <w:t>Full-text PDF</w:t>
              </w:r>
            </w:hyperlink>
          </w:p>
          <w:p>
            <w:pPr>
              <w:pStyle w:val="Normal"/>
              <w:widowControl/>
              <w:spacing w:before="60" w:after="20"/>
            </w:pPr>
            <w:r>
              <w:t xml:space="preserve">Locator: PDF p 24 guidance statement 33 and diagnostic workup; p 25 statements 39–40 and iCCA discussion; pp 26–28 pCCA biopsy, resection, NAT/LT and statement 48.</w:t>
            </w:r>
          </w:p>
          <w:p>
            <w:pPr>
              <w:pStyle w:val="Normal"/>
              <w:widowControl/>
              <w:spacing w:before="60" w:after="20"/>
            </w:pPr>
            <w:r>
              <w:t xml:space="preserve">Review depth: Targeted full-text review of all biliary cancer clinical sections in PDF pp 21–28, including diagnostic, resection and LT guidance and Figure 9. The unrelated remainder of the 44-page PSC guideline was not reread in full during this supplement.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iCCA diagnosis requires core biopsy and molecular characterization as appropriate; primary-tumor transperitoneal/EUS avoidance belongs to potential pCCA-LT candidates. EUS sampling of suspicious regional nodes is a different procedure.; R 0 resection with sufficient functional remnant remains the curative first route when feasible. The guidance's general remnant discussion is not a universal 40% numeric rule for every patient.; Guidance statement 48 uses pCCA radial size ≤3 cm, whereas current OPTN Policy 9.5.A requires a single mass, if present, &lt;3 cm. Exactly 3.0 cm is an explicit guideline/policy discrepancy, not an automatic standardized-exception case.; The guidance describes selected very-early iCCA evidence and keeps advanced iCCA in research; it does not turn incidental-cohort outcomes into a routine advanced-disease indication.; The guidance narrative mislabels the multicenter Murad 78% RFS as five-year; the primary article gives 78% at two years and 65% at five years. Its De Martin burden description also should not replace the primary largest-nodule measurement.</w:t>
            </w:r>
          </w:p>
          <w:p>
            <w:pPr>
              <w:pStyle w:val="Normal"/>
              <w:widowControl/>
              <w:spacing w:before="60" w:after="20"/>
            </w:pPr>
            <w:r>
              <w:rPr>
                <w:b/>
              </w:rPr>
              <w:t xml:space="preserve">Do not infer: </w:t>
            </w:r>
            <w:r>
              <w:t xml:space="preserve">Professional guidance is not allocation policy. Several secondary numerical summaries are inaccurate; use verified primary-study results. The systemic-treatment section predates newer trial updates and is not the sole source for 2026 non-LT therapy. Time origin: Not applicable to the guidance itself; use primary studies for outcome origins.</w:t>
            </w:r>
          </w:p>
        </w:tc>
      </w:tr>
      <w:tr>
        <w:trPr/>
        <w:tc>
          <w:tcPr>
            <w:tcW w:w="3400" w:type="dxa"/>
            <w:tcMar>
              <w:top w:w="90" w:type="dxa"/>
              <w:left w:w="90" w:type="dxa"/>
              <w:bottom w:w="90" w:type="dxa"/>
              <w:right w:w="90" w:type="dxa"/>
            </w:tcMar>
          </w:tcPr>
          <w:p>
            <w:pPr>
              <w:pStyle w:val="Normal"/>
              <w:widowControl/>
              <w:spacing w:before="60" w:after="20"/>
            </w:pPr>
            <w:r>
              <w:rPr>
                <w:b/>
              </w:rPr>
              <w:t xml:space="preserve">Tan 2020</w:t>
            </w:r>
            <w:r>
              <w:t xml:space="preserve"> </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Ni0xMF08L0Rpc3BsYXlUZXh0PjxyZWNvcmQ+PHJlYy1udW1iZXI+MTA8L3JlYy1udW1iZXI+PGZvcmVpZ24ta2V5cz48a2V5IGFwcD0iRU4iIGRiLWlkPSJkOTdmYTVhMy1kYmUzLTU4ODMtYTU2OC01MmVlZTI3YjM3YmQiIHRpbWVzdGFtcD0iMTc5MzI4MzY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Narrative Mayo expert review with an updated 349-entry/211-LT program experience from 1993–2018; extensive overlap with prior Mayo reports, not an independent validation cohort.</w:t>
            </w:r>
          </w:p>
          <w:p>
            <w:pPr>
              <w:pStyle w:val="Normal"/>
              <w:widowControl/>
              <w:spacing w:before="60" w:after="20"/>
            </w:pPr>
            <w:hyperlink r:id="rId66">
              <w:r>
                <w:rPr>
                  <w:color w:val="77230C"/>
                  <w:sz w:val="20"/>
                  <w:u w:val="single"/>
                </w:rPr>
                <w:t>Primary source</w:t>
              </w:r>
            </w:hyperlink>
            <w:r>
              <w:t xml:space="preserve"> | </w:t>
            </w:r>
            <w:hyperlink r:id="rId67">
              <w:r>
                <w:rPr>
                  <w:color w:val="77230C"/>
                  <w:sz w:val="20"/>
                  <w:u w:val="single"/>
                </w:rPr>
                <w:t>Full-text PDF</w:t>
              </w:r>
            </w:hyperlink>
          </w:p>
          <w:p>
            <w:pPr>
              <w:pStyle w:val="Normal"/>
              <w:widowControl/>
              <w:spacing w:before="60" w:after="20"/>
            </w:pPr>
            <w:r>
              <w:t xml:space="preserve">Locator: PDF pp 1–2 historical/updated outcomes; pp 2–3 eligibility and NAT; pp 3–5 operative staging, transplant and complications; pp 5–6 resection comparison.</w:t>
            </w:r>
          </w:p>
          <w:p>
            <w:pPr>
              <w:pStyle w:val="Normal"/>
              <w:widowControl/>
              <w:spacing w:before="60" w:after="20"/>
            </w:pPr>
            <w:r>
              <w:t xml:space="preserve">Review depth: Complete eight-page PDF read: seven-page main review plus copyright page. No separate supplementary material claimed.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Reported ITT one-/five-/ten-year survival was 80%/51%/46%; corresponding recipient survival was 91%/69%/62%. PSC and de novo outcomes differ substantially and should not be pooled without context.; Selection requires a malignant-appearing stricture plus a specified diagnostic feature; the radial mass limit is &lt;3 cm. Longitudinal duct extent and vascular encasement are not equivalent to metastatic disease or tumor thrombus.; The review describes 45-Gy EBRT followed by a 9.3–16-Gy intraluminal brachytherapy boost, with alternatives where brachytherapy cannot be delivered. These technical prescriptions are not interchangeable with a generic 20–30-Gy range without radiation-oncology plan review.; Operative staging includes regional nodes and abdominal exploration; it may occur near DDLT or the day before LDLT. Recipient staging and donor-operation sequencing need a written safety workflow.; Reported late arterial and portal-venous complication risks justify transplant vascular planning and surveillance. Aortic conduits, indefinite aspirin and anticoagulation described by one center are not automatically universal orders.; The review explicitly notes that observational LT/resection comparisons do not resolve the best treatment for resectable de novo pCCA.</w:t>
            </w:r>
          </w:p>
          <w:p>
            <w:pPr>
              <w:pStyle w:val="Normal"/>
              <w:widowControl/>
              <w:spacing w:before="60" w:after="20"/>
            </w:pPr>
            <w:r>
              <w:rPr>
                <w:b/>
              </w:rPr>
              <w:t xml:space="preserve">Do not infer: </w:t>
            </w:r>
            <w:r>
              <w:t xml:space="preserve">Expert narrative, overlapping center data, treatment-era and selection effects, no randomized comparison of NAT, vascular reconstruction, anticoagulation or surveillance schedules. Time origin: ITT survival begins at program entry; recipient survival begins at LT. These are reported separately.</w:t>
            </w:r>
          </w:p>
        </w:tc>
      </w:tr>
      <w:tr>
        <w:trPr/>
        <w:tc>
          <w:tcPr>
            <w:tcW w:w="3400" w:type="dxa"/>
            <w:tcMar>
              <w:top w:w="90" w:type="dxa"/>
              <w:left w:w="90" w:type="dxa"/>
              <w:bottom w:w="90" w:type="dxa"/>
              <w:right w:w="90" w:type="dxa"/>
            </w:tcMar>
          </w:tcPr>
          <w:p>
            <w:pPr>
              <w:pStyle w:val="Normal"/>
              <w:widowControl/>
              <w:spacing w:before="60" w:after="20"/>
            </w:pPr>
            <w:r>
              <w:rPr>
                <w:b/>
              </w:rPr>
              <w:t xml:space="preserve">Loveday 2018</w:t>
            </w:r>
            <w:r>
              <w:t xml:space="preserve"> </w:t>
            </w:r>
            <w:r>
              <w:t xml:space="preserve"> </w:t>
            </w:r>
            <w:r>
              <w:t xml:space="preserve"> </w:t>
            </w:r>
            <w:r>
              <w:fldChar w:fldCharType="begin"/>
            </w:r>
            <w:r>
              <w:instrText xml:space="preserve"> ADDIN EN.CITE </w:instrText>
            </w:r>
            <w:r>
              <w:fldChar w:fldCharType="begin">
                <w:fldData>PEVuZE5vdGU+PENpdGU+PEF1dGhvcj5Mb3ZlZGF5PC9BdXRob3I+PFllYXI+MjAxODwvWWVhcj48UmVjTnVtPjIyPC9SZWNOdW0+PERpc3BsYXlUZXh0PltWMTYtMjJdPC9EaXNwbGF5VGV4dD48cmVjb3JkPjxyZWMtbnVtYmVyPjIyPC9yZWMtbnVtYmVyPjxmb3JlaWduLWtleXM+PGtleSBhcHA9IkVOIiBkYi1pZD0iZDk3ZmE1YTMtZGJlMy01ODgzLWE1NjgtNTJlZWUyN2IzN2JkIiB0aW1lc3RhbXA9IjE3OTMyODM2ODQiPjIy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p>
          <w:p>
            <w:pPr>
              <w:pStyle w:val="Normal"/>
              <w:widowControl/>
              <w:spacing w:before="60" w:after="20"/>
            </w:pPr>
            <w:r>
              <w:t xml:space="preserve">Prospective Toronto program, 2009–2015: 43 referred, 24 assessed in detail, 18 treated with neoadjuvant chemoradiation, six transplanted and one still awaiting LT. Initial radial limit &lt;3 cm was briefly increased to 3.5 cm, then returned to &lt;3 cm.</w:t>
            </w:r>
          </w:p>
          <w:p>
            <w:pPr>
              <w:pStyle w:val="Normal"/>
              <w:widowControl/>
              <w:spacing w:before="60" w:after="20"/>
            </w:pPr>
            <w:hyperlink r:id="rId68">
              <w:r>
                <w:rPr>
                  <w:color w:val="77230C"/>
                  <w:sz w:val="20"/>
                  <w:u w:val="single"/>
                </w:rPr>
                <w:t>Primary source</w:t>
              </w:r>
            </w:hyperlink>
            <w:r>
              <w:t xml:space="preserve"> | </w:t>
            </w:r>
            <w:hyperlink r:id="rId69">
              <w:r>
                <w:rPr>
                  <w:color w:val="77230C"/>
                  <w:sz w:val="20"/>
                  <w:u w:val="single"/>
                </w:rPr>
                <w:t>Full-text PDF</w:t>
              </w:r>
            </w:hyperlink>
          </w:p>
          <w:p>
            <w:pPr>
              <w:pStyle w:val="Normal"/>
              <w:widowControl/>
              <w:spacing w:before="60" w:after="20"/>
            </w:pPr>
            <w:r>
              <w:t xml:space="preserve">Locator: PDF pp 2–3 eligibility and regimen; pp 3–5/Table 2 and patient-flow diagram; pp 5–6 transplant outcomes and discussion.</w:t>
            </w:r>
          </w:p>
          <w:p>
            <w:pPr>
              <w:pStyle w:val="Normal"/>
              <w:widowControl/>
              <w:spacing w:before="60" w:after="20"/>
            </w:pPr>
            <w:r>
              <w:t xml:space="preserve">Review depth: Complete seven-page main article read, including selection changes, patient flow and operative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Eleven of 18 treated patients dropped out (61.1%); six received LT (three LDLT and three DDLT), with one waiting at analysis.; The full text describes one comorbidity-related dropout, so do not repeat the abstract's implication that all 11 were metastatic progression. Six of 16 patients who reached operative staging had metastatic disease, and three later progressed during maintenance.; Both treated tumors exceeding 3 cm during the expansion period were found to have metastatic disease at staging and did not receive LT. This is a tiny cautionary experience, not a validated cutoff comparison.; ITT median OS was 16.4 months, with one-/two-year OS 70.6%/35.3%. Post-LT one-/two-year OS was 83.3%/55.6%. One recipient died of pulmonary embolism on postoperative day 6; another recurred at 14.1 months and died at 16.4 months.; Only one of six explants had pCR. Five of six received an aortic arterial jump graft; no arterial-graft complication was reported. Treatment-associated cholangitis and readmissions were common.</w:t>
            </w:r>
          </w:p>
          <w:p>
            <w:pPr>
              <w:pStyle w:val="Normal"/>
              <w:widowControl/>
              <w:spacing w:before="60" w:after="20"/>
            </w:pPr>
            <w:r>
              <w:rPr>
                <w:b/>
              </w:rPr>
              <w:t xml:space="preserve">Do not infer: </w:t>
            </w:r>
            <w:r>
              <w:t xml:space="preserve">Very small single-center series, substantial all-pathway attrition, short recipient follow-up, selection and waiting-time differences from Mayo. Cholangitis count differs between body text and Table 2; avoid an unqualified exact rate. Radiation-unit typographical errors must not be copied into prescriptions. Time origin: ITT OS starts at initiation of neoadjuvant treatment. Recipient OS starts at LT. Median time from NAT initiation to LT was 37 weeks; median recipient follow-up was only 12.6 months.</w:t>
            </w:r>
          </w:p>
        </w:tc>
      </w:tr>
    </w:tbl>
    <w:p>
      <w:pPr>
        <w:pStyle w:val="Normal"/>
        <w:widowControl/>
      </w:pPr>
      <w:hyperlink r:id="rId70">
        <w:r>
          <w:rPr>
            <w:color w:val="77230C"/>
            <w:sz w:val="20"/>
            <w:u w:val="single"/>
          </w:rPr>
          <w:t>Separate evidence/alignment meeting record — OPEN boundary decisions</w:t>
        </w:r>
      </w:hyperlink>
    </w:p>
    <w:p>
      <w:pPr>
        <w:pStyle w:val="Normal"/>
        <w:widowControl/>
      </w:pPr>
      <w:r>
        <w:t xml:space="preserve">Evidence review record: </w:t>
      </w:r>
      <w:hyperlink r:id="rId71">
        <w:r>
          <w:rPr>
            <w:color w:val="77230C"/>
            <w:sz w:val="20"/>
            <w:u w:val="single"/>
          </w:rPr>
          <w:t>Five analyst comments and reconciliation</w:t>
        </w:r>
      </w:hyperlink>
      <w:r>
        <w:t xml:space="preserve">  |  </w:t>
      </w:r>
      <w:hyperlink r:id="rId72">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Standard-route clarification. The standardized pathway requires no extrahepatic disease. This section states how previously treated, responded extrahepatic disease is handled, and records the program position proposed for review.</w:t>
      </w:r>
    </w:p>
    <w:p>
      <w:pPr>
        <w:pStyle w:val="Heading2"/>
        <w:widowControl/>
        <w:keepNext/>
      </w:pPr>
      <w:bookmarkStart w:id="16010" w:name="pCCA_B1"/>
      <w:r>
        <w:t xml:space="preserve">pCCA-B1 — Previously malignant nodes, peritoneal or distant disease</w:t>
      </w:r>
      <w:bookmarkEnd w:id="16010"/>
    </w:p>
    <w:p>
      <w:pPr>
        <w:pStyle w:val="Normal"/>
        <w:widowControl/>
        <w:spacing w:after="120"/>
      </w:pPr>
      <w:r>
        <w:t xml:space="preserve">Status: Closed (part of pCCA-B1). OPEN proposal for multidisciplinary review; not activated.</w:t>
      </w:r>
    </w:p>
    <w:p>
      <w:pPr>
        <w:pStyle w:val="Normal"/>
        <w:widowControl/>
        <w:spacing w:after="120"/>
      </w:pPr>
      <w:r>
        <w:t xml:space="preserve">Question: Should regional nodal disease that has responded, or any treated peritoneal or distant disease, ever allow transplantation for perihilar cholangiocarcinoma?</w:t>
      </w:r>
    </w:p>
    <w:p>
      <w:pPr>
        <w:pStyle w:val="Normal"/>
        <w:widowControl/>
        <w:spacing w:after="120"/>
      </w:pPr>
      <w:r>
        <w:t xml:space="preserve">Proposed position (OPEN): Keep closed. Nodal, peritoneal or distant disease found at any time, including at operative staging and after response to chemoradiation or chemotherapy, ends the transplant route; there is no re-entry after nodal response. The data on transplantation after nodal disease are absent rather than negative, and that is recorded.</w:t>
      </w:r>
    </w:p>
    <w:p>
      <w:pPr>
        <w:pStyle w:val="Heading3"/>
        <w:widowControl/>
        <w:keepNext/>
      </w:pPr>
      <w:r>
        <w:t xml:space="preserve">Proposed rules</w:t>
      </w:r>
    </w:p>
    <w:p>
      <w:pPr>
        <w:pStyle w:val="Normal"/>
        <w:widowControl/>
        <w:spacing w:after="120"/>
        <w:numPr>
          <w:ilvl w:val="0"/>
          <w:numId w:val="5"/>
        </w:numPr>
      </w:pPr>
      <w:r>
        <w:t xml:space="preserve">Before neoadjuvant chemoradiation: EUS-FNA of any suspicious regional node (not through the primary). A positive node ends the route.</w:t>
      </w:r>
    </w:p>
    <w:p>
      <w:pPr>
        <w:pStyle w:val="Normal"/>
        <w:widowControl/>
        <w:spacing w:after="120"/>
        <w:numPr>
          <w:ilvl w:val="0"/>
          <w:numId w:val="5"/>
        </w:numPr>
      </w:pPr>
      <w:r>
        <w:t xml:space="preserve">Operative staging before transplantation with biopsy of hepatic artery and pericholedochal nodes and of any suspicious lesion.</w:t>
      </w:r>
    </w:p>
    <w:p>
      <w:pPr>
        <w:pStyle w:val="Normal"/>
        <w:widowControl/>
        <w:spacing w:after="120"/>
        <w:numPr>
          <w:ilvl w:val="0"/>
          <w:numId w:val="5"/>
        </w:numPr>
      </w:pPr>
      <w:r>
        <w:t xml:space="preserve">Previously proven malignant nodes stay excluded even after radiographic or pathological clearance; distant or peritoneal disease at any time ends the route.</w:t>
      </w:r>
    </w:p>
    <w:p>
      <w:pPr>
        <w:pStyle w:val="Normal"/>
        <w:widowControl/>
        <w:spacing w:after="120"/>
      </w:pPr>
      <w:r>
        <w:t xml:space="preserve">Why: Nodal disease is the commonest finding that removes patients at staging, and survival after removal is short. One US centre accepted regional N1 disease and four patients were transplanted with metastases, without separable outcomes, so there are no usable data either way.</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Sio 2016 · Mayo protocol fall-out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Mayo protocol, 215 started; 63 fell out. Staging findings overlap: positive nodes 19, peritoneal 14, local extension 11.</w:t>
            </w:r>
          </w:p>
        </w:tc>
        <w:tc>
          <w:tcPr>
            <w:tcW w:w="3743" w:type="dxa"/>
            <w:vAlign w:val="top"/>
            <w:shd w:fill="F1F5F8"/>
          </w:tcPr>
          <w:p>
            <w:pPr>
              <w:pStyle w:val="Normal"/>
              <w:widowControl/>
              <w:spacing w:after="55" w:line="240" w:lineRule="auto"/>
              <w:keepNext w:val="0"/>
              <w:keepLines/>
            </w:pPr>
            <w:r>
              <w:rPr>
                <w:sz w:val="21"/>
                <w:szCs w:val="21"/>
              </w:rPr>
              <w:t xml:space="preserve">Results: Median survival after the staging operation 6.0 months; EUS-FNA before chemoradiation lowered the positive-staging rate to 15%; two node-positive patients (one also with omental metastases) lived 3.7 and 8.7 years without transplant.</w:t>
            </w:r>
          </w:p>
          <w:p>
            <w:pPr>
              <w:pStyle w:val="Normal"/>
              <w:widowControl/>
              <w:spacing w:after="55" w:line="240" w:lineRule="auto"/>
              <w:keepNext w:val="0"/>
              <w:keepLines/>
            </w:pPr>
            <w:r>
              <w:rPr>
                <w:sz w:val="21"/>
                <w:szCs w:val="21"/>
              </w:rPr>
              <w:t xml:space="preserve">Limits: Survival not reported by finding.</w:t>
            </w:r>
          </w:p>
          <w:p>
            <w:pPr>
              <w:pStyle w:val="Normal"/>
              <w:widowControl/>
              <w:spacing w:after="55" w:line="240" w:lineRule="auto"/>
              <w:keepNext w:val="0"/>
              <w:keepLines/>
            </w:pPr>
            <w:r>
              <w:rPr>
                <w:sz w:val="21"/>
                <w:szCs w:val="21"/>
              </w:rPr>
              <w:t xml:space="preserve">Am J Clin Oncol 2016;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A5Ny9DT0MuMDAwMDAwMDAwMDAwMDA1NjwvdXJsPjwvcmVsYXRlZC11cmxzPjwvdXJscz48L3JlY29yZD48L0NpdGU+PC9FbmROb3RlPg==</w:fldData>
              </w:fldChar>
            </w:r>
            <w:r>
              <w:instrText xml:space="preserve"> ADDIN EN.CITE.DATA </w:instrText>
            </w:r>
            <w:r>
              <w:fldChar w:fldCharType="end"/>
            </w:r>
            <w:r>
              <w:fldChar w:fldCharType="separate"/>
            </w:r>
            <w:r>
              <w:t xml:space="preserve">[V16-30]</w:t>
            </w:r>
            <w:r>
              <w:fldChar w:fldCharType="end"/>
            </w:r>
            <w:r>
              <w:br/>
            </w:r>
            <w:hyperlink r:id="rId190">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Darwish Murad 2012 · 12-centre pCCA LT</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12-centre US cohort, 287 patients. Positive staging biopsies excluded patients in most centres; one centre accepted N0–N1 within the hepatoduodenal ligament.</w:t>
            </w:r>
          </w:p>
        </w:tc>
        <w:tc>
          <w:tcPr>
            <w:tcW w:w="3743" w:type="dxa"/>
            <w:vAlign w:val="top"/>
            <w:shd w:fill="FFFFFF"/>
          </w:tcPr>
          <w:p>
            <w:pPr>
              <w:pStyle w:val="Normal"/>
              <w:widowControl/>
              <w:spacing w:after="55" w:line="240" w:lineRule="auto"/>
              <w:keepNext w:val="0"/>
              <w:keepLines/>
            </w:pPr>
            <w:r>
              <w:rPr>
                <w:sz w:val="21"/>
                <w:szCs w:val="21"/>
              </w:rPr>
              <w:t xml:space="preserve">Results: Staging found metastases in 17%; 4 transplanted with metastatic disease, pooled in a 48-patient outside-criteria group (recurrence HR 2.98); explant nodal invasion 14% with recurrence vs 4% without.</w:t>
            </w:r>
          </w:p>
          <w:p>
            <w:pPr>
              <w:pStyle w:val="Normal"/>
              <w:widowControl/>
              <w:spacing w:after="55" w:line="240" w:lineRule="auto"/>
              <w:keepNext w:val="0"/>
              <w:keepLines/>
            </w:pPr>
            <w:r>
              <w:rPr>
                <w:sz w:val="21"/>
                <w:szCs w:val="21"/>
              </w:rPr>
              <w:t xml:space="preserve">Limits: Centre-dependent handling; no separate estimate for nodal disease.</w:t>
            </w:r>
          </w:p>
          <w:p>
            <w:pPr>
              <w:pStyle w:val="Normal"/>
              <w:widowControl/>
              <w:spacing w:after="55" w:line="240" w:lineRule="auto"/>
              <w:keepNext w:val="0"/>
              <w:keepLines/>
            </w:pPr>
            <w:r>
              <w:rPr>
                <w:sz w:val="21"/>
                <w:szCs w:val="21"/>
              </w:rPr>
              <w:t xml:space="preserve">Gastroenterology 2012; Supplementary Table 1,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</w:fldData>
              </w:fldChar>
            </w:r>
            <w:r>
              <w:instrText xml:space="preserve"> ADDIN EN.CITE.DATA </w:instrText>
            </w:r>
            <w:r>
              <w:fldChar w:fldCharType="end"/>
            </w:r>
            <w:r>
              <w:fldChar w:fldCharType="separate"/>
            </w:r>
            <w:r>
              <w:t xml:space="preserve">[V16-21]</w:t>
            </w:r>
            <w:r>
              <w:fldChar w:fldCharType="end"/>
            </w:r>
            <w:r>
              <w:br/>
            </w:r>
            <w:hyperlink r:id="rId191">
              <w:r>
                <w:rPr>
                  <w:color w:val="0563C1"/>
                  <w:u w:val="single"/>
                </w:rPr>
                <w:t>Source</w:t>
              </w:r>
            </w:hyperlink>
            <w:r>
              <w:t xml:space="preserve"> · </w:t>
            </w:r>
            <w:hyperlink r:id="rId192">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Vugts 2020 · eligibility for pCCA LT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Two-centre cohort, 732 pCCA. Imaging suspicion pooled with tissue proof.</w:t>
            </w:r>
          </w:p>
        </w:tc>
        <w:tc>
          <w:tcPr>
            <w:tcW w:w="3743" w:type="dxa"/>
            <w:vAlign w:val="top"/>
            <w:shd w:fill="F1F5F8"/>
          </w:tcPr>
          <w:p>
            <w:pPr>
              <w:pStyle w:val="Normal"/>
              <w:widowControl/>
              <w:spacing w:after="55" w:line="240" w:lineRule="auto"/>
              <w:keepNext w:val="0"/>
              <w:keepLines/>
            </w:pPr>
            <w:r>
              <w:rPr>
                <w:sz w:val="21"/>
                <w:szCs w:val="21"/>
              </w:rPr>
              <w:t xml:space="preserve">Results: Of 498 fit unresected patients, 156 had nodal and 179 distant metastases; only 34 (5%) potentially eligible.</w:t>
            </w:r>
          </w:p>
          <w:p>
            <w:pPr>
              <w:pStyle w:val="Normal"/>
              <w:widowControl/>
              <w:spacing w:after="55" w:line="240" w:lineRule="auto"/>
              <w:keepNext w:val="0"/>
              <w:keepLines/>
            </w:pPr>
            <w:r>
              <w:rPr>
                <w:sz w:val="21"/>
                <w:szCs w:val="21"/>
              </w:rPr>
              <w:t xml:space="preserve">Limits: No survival by nodal status.</w:t>
            </w:r>
          </w:p>
          <w:p>
            <w:pPr>
              <w:pStyle w:val="Normal"/>
              <w:widowControl/>
              <w:spacing w:after="55" w:line="240" w:lineRule="auto"/>
              <w:keepNext w:val="0"/>
              <w:keepLines/>
            </w:pPr>
            <w:r>
              <w:rPr>
                <w:sz w:val="21"/>
                <w:szCs w:val="21"/>
              </w:rPr>
              <w:t xml:space="preserve">Ann Surg Oncol 2020; Results, Fig. 1, Table 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WdWd0czwvQXV0aG9yPjxZZWFyPjIwMjE8L1llYXI+PFJlY051bT4yOTwvUmVjTnVtPjxEaXNwbGF5VGV4dD5bVjE2LTI5XTwvRGlzcGxheVRleHQ+PHJlY29yZD48cmVjLW51bWJlcj4yOTwvcmVjLW51bWJlcj48Zm9yZWlnbi1rZXlzPjxrZXkgYXBwPSJFTiIgZGItaWQ9ImQ5N2ZhNWEzLWRiZTMtNTg4My1hNTY4LTUyZWVlMjdiMzdiZCIgdGltZXN0YW1wPSIxNzkzMjgzNjg0Ij4yOT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Z1bGwgdGV4dCByZWFkIGZvciB0aGUgVjE2IGV4dHJhaGVwYXRpYy1kaXNlYXNlIHJldmlldyAoY29tcGxldGUgbWFpbiB0ZXh0OyByZWxldmFudCBjb21wbGV0ZSBzZWN0aW9ucyBmb3IgbG9uZyBndWlkZWxpbmVzKS4gVjggZXh0cmFjdGlvbiBhbmQgbGltaXRhdGlvbnM6IHNvdXJjZS9iaWxpYXJ5X2Z1bGx0ZXh0X3Jldmlldy5qc29uPC9ub3Rlcz48dXJscz48cmVsYXRlZC11cmxzPjx1cmw+aHR0cHM6Ly9saW5rLnNwcmluZ2VyLmNvbS9hcnRpY2xlLzEwLjEyNDUvczEwNDM0LTAyMC0wOTAwMS04PC91cmw+PC9yZWxhdGVkLXVybHM+PHBkZi11cmxzLz48L3VybHM+PC9yZWNvcmQ+PC9DaXRlPjwvRW5kTm90ZT4=</w:fldData>
              </w:fldChar>
            </w:r>
            <w:r>
              <w:instrText xml:space="preserve"> ADDIN EN.CITE.DATA </w:instrText>
            </w:r>
            <w:r>
              <w:fldChar w:fldCharType="end"/>
            </w:r>
            <w:r>
              <w:fldChar w:fldCharType="separate"/>
            </w:r>
            <w:r>
              <w:t xml:space="preserve">[V16-29]</w:t>
            </w:r>
            <w:r>
              <w:fldChar w:fldCharType="end"/>
            </w:r>
            <w:r>
              <w:br/>
            </w:r>
            <w:hyperlink r:id="rId193">
              <w:r>
                <w:rPr>
                  <w:color w:val="0563C1"/>
                  <w:u w:val="single"/>
                </w:rPr>
                <w:t>Source</w:t>
              </w:r>
            </w:hyperlink>
            <w:r>
              <w:t xml:space="preserve"> · </w:t>
            </w:r>
            <w:hyperlink r:id="rId194">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AHPBA 2015 hilar CCA consensus</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AHPBA 2015 expert consensus. EUS or laparoscopic FNA of suspicious regional nodes; patients with metastases excluded; operative biopsy of hepatic artery and pericholedochal nodes.</w:t>
            </w:r>
          </w:p>
        </w:tc>
        <w:tc>
          <w:tcPr>
            <w:tcW w:w="3743" w:type="dxa"/>
            <w:vAlign w:val="top"/>
            <w:shd w:fill="FFFFFF"/>
          </w:tcPr>
          <w:p>
            <w:pPr>
              <w:pStyle w:val="Normal"/>
              <w:widowControl/>
              <w:spacing w:after="55" w:line="240" w:lineRule="auto"/>
              <w:keepNext w:val="0"/>
              <w:keepLines/>
            </w:pPr>
            <w:r>
              <w:rPr>
                <w:sz w:val="21"/>
                <w:szCs w:val="21"/>
              </w:rPr>
              <w:t xml:space="preserve">Results: No outcome data.</w:t>
            </w:r>
          </w:p>
          <w:p>
            <w:pPr>
              <w:pStyle w:val="Normal"/>
              <w:widowControl/>
              <w:spacing w:after="55" w:line="240" w:lineRule="auto"/>
              <w:keepNext w:val="0"/>
              <w:keepLines/>
            </w:pPr>
            <w:r>
              <w:rPr>
                <w:sz w:val="21"/>
                <w:szCs w:val="21"/>
              </w:rPr>
              <w:t xml:space="preserve">Limits: 2014 consensus.</w:t>
            </w:r>
          </w:p>
          <w:p>
            <w:pPr>
              <w:pStyle w:val="Normal"/>
              <w:widowControl/>
              <w:spacing w:after="55" w:line="240" w:lineRule="auto"/>
              <w:keepNext w:val="0"/>
              <w:keepLines/>
            </w:pPr>
            <w:r>
              <w:rPr>
                <w:sz w:val="21"/>
                <w:szCs w:val="21"/>
              </w:rPr>
              <w:t xml:space="preserve">HPB 2015; staging and transplantation sections.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xMTEvaHBiLjEyNDUwPC91cmw+PC9yZWxhdGVkLXVybHM+PHBkZi11cmxzLz48L3VybHM+PC9yZWNvcmQ+PC9DaXRlPjwvRW5kTm90ZT4=</w:fldData>
              </w:fldChar>
            </w:r>
            <w:r>
              <w:instrText xml:space="preserve"> ADDIN EN.CITE.DATA </w:instrText>
            </w:r>
            <w:r>
              <w:fldChar w:fldCharType="end"/>
            </w:r>
            <w:r>
              <w:fldChar w:fldCharType="separate"/>
            </w:r>
            <w:r>
              <w:t xml:space="preserve">[V16-31]</w:t>
            </w:r>
            <w:r>
              <w:fldChar w:fldCharType="end"/>
            </w:r>
            <w:r>
              <w:br/>
            </w:r>
            <w:hyperlink r:id="rId195">
              <w:r>
                <w:rPr>
                  <w:color w:val="0563C1"/>
                  <w:u w:val="single"/>
                </w:rPr>
                <w:t>Source</w:t>
              </w:r>
            </w:hyperlink>
            <w:r>
              <w:t xml:space="preserve"> · </w:t>
            </w:r>
            <w:hyperlink r:id="rId196">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Campbell 2026 · biliary cancer LT, single centre</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Single-centre biliary transplant series. Explant nodes.</w:t>
            </w:r>
          </w:p>
        </w:tc>
        <w:tc>
          <w:tcPr>
            <w:tcW w:w="3743" w:type="dxa"/>
            <w:vAlign w:val="top"/>
            <w:shd w:fill="F1F5F8"/>
          </w:tcPr>
          <w:p>
            <w:pPr>
              <w:pStyle w:val="Normal"/>
              <w:widowControl/>
              <w:spacing w:after="55" w:line="240" w:lineRule="auto"/>
              <w:keepNext w:val="0"/>
              <w:keepLines/>
            </w:pPr>
            <w:r>
              <w:rPr>
                <w:sz w:val="21"/>
                <w:szCs w:val="21"/>
              </w:rPr>
              <w:t xml:space="preserve">Results: Node positivity predicted recurrence (HR 3.27), not survival; not significant in the intentional pCCA/iCCA subset (HR 2.48).</w:t>
            </w:r>
          </w:p>
          <w:p>
            <w:pPr>
              <w:pStyle w:val="Normal"/>
              <w:widowControl/>
              <w:spacing w:after="55" w:line="240" w:lineRule="auto"/>
              <w:keepNext w:val="0"/>
              <w:keepLines/>
            </w:pPr>
            <w:r>
              <w:rPr>
                <w:sz w:val="21"/>
                <w:szCs w:val="21"/>
              </w:rPr>
              <w:t xml:space="preserve">Limits: Mixed subtypes.</w:t>
            </w:r>
          </w:p>
          <w:p>
            <w:pPr>
              <w:pStyle w:val="Normal"/>
              <w:widowControl/>
              <w:spacing w:after="55" w:line="240" w:lineRule="auto"/>
              <w:keepNext w:val="0"/>
              <w:keepLines/>
            </w:pPr>
            <w:r>
              <w:rPr>
                <w:sz w:val="21"/>
                <w:szCs w:val="21"/>
              </w:rPr>
              <w:t xml:space="preserve">Ann Surg Oncol 2026.</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I0NS9zMTA0MzQtMDI2LTE5OTc1LTY8L3VybD48L3JlbGF0ZWQtdXJscz48L3VybHM+PC9yZWNvcmQ+PC9DaXRlPjwvRW5kTm90ZT4=</w:fldData>
              </w:fldChar>
            </w:r>
            <w:r>
              <w:instrText xml:space="preserve"> ADDIN EN.CITE.DATA </w:instrText>
            </w:r>
            <w:r>
              <w:fldChar w:fldCharType="end"/>
            </w:r>
            <w:r>
              <w:fldChar w:fldCharType="separate"/>
            </w:r>
            <w:r>
              <w:t xml:space="preserve">[V16-32]</w:t>
            </w:r>
            <w:r>
              <w:fldChar w:fldCharType="end"/>
            </w:r>
            <w:r>
              <w:br/>
            </w:r>
            <w:hyperlink r:id="rId197">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de Jong 2023 · EUS nodal sampling before LT</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FFFFF"/>
          </w:tcPr>
          <w:p>
            <w:pPr>
              <w:pStyle w:val="Normal"/>
              <w:widowControl/>
              <w:spacing w:after="55" w:line="240" w:lineRule="auto"/>
              <w:keepNext w:val="0"/>
              <w:keepLines/>
            </w:pPr>
            <w:r>
              <w:rPr>
                <w:sz w:val="21"/>
                <w:szCs w:val="21"/>
              </w:rPr>
              <w:t xml:space="preserve">Dutch nationwide screening cohort, 75 patients. Any malignant node precludes further screening.</w:t>
            </w:r>
          </w:p>
        </w:tc>
        <w:tc>
          <w:tcPr>
            <w:tcW w:w="3743" w:type="dxa"/>
            <w:vAlign w:val="top"/>
            <w:shd w:fill="FFFFFF"/>
          </w:tcPr>
          <w:p>
            <w:pPr>
              <w:pStyle w:val="Normal"/>
              <w:widowControl/>
              <w:spacing w:after="55" w:line="240" w:lineRule="auto"/>
              <w:keepNext w:val="0"/>
              <w:keepLines/>
            </w:pPr>
            <w:r>
              <w:rPr>
                <w:sz w:val="21"/>
                <w:szCs w:val="21"/>
              </w:rPr>
              <w:t xml:space="preserve">Results: EUS sampling found malignant nodes in 3 of 75; surgical staging found non-regional malignant nodes in 6 of 43.</w:t>
            </w:r>
          </w:p>
          <w:p>
            <w:pPr>
              <w:pStyle w:val="Normal"/>
              <w:widowControl/>
              <w:spacing w:after="55" w:line="240" w:lineRule="auto"/>
              <w:keepNext w:val="0"/>
              <w:keepLines/>
            </w:pPr>
            <w:r>
              <w:rPr>
                <w:sz w:val="21"/>
                <w:szCs w:val="21"/>
              </w:rPr>
              <w:t xml:space="preserve">Limits: Small.</w:t>
            </w:r>
          </w:p>
          <w:p>
            <w:pPr>
              <w:pStyle w:val="Normal"/>
              <w:widowControl/>
              <w:spacing w:after="55" w:line="240" w:lineRule="auto"/>
              <w:keepNext w:val="0"/>
              <w:keepLines/>
            </w:pPr>
            <w:r>
              <w:rPr>
                <w:sz w:val="21"/>
                <w:szCs w:val="21"/>
              </w:rPr>
              <w:t xml:space="preserve">Gastrointest Endosc 2023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</w:fldData>
              </w:fldChar>
            </w:r>
            <w:r>
              <w:instrText xml:space="preserve"> ADDIN EN.CITE.DATA </w:instrText>
            </w:r>
            <w:r>
              <w:fldChar w:fldCharType="end"/>
            </w:r>
            <w:r>
              <w:fldChar w:fldCharType="separate"/>
            </w:r>
            <w:r>
              <w:t xml:space="preserve">[V16-33]</w:t>
            </w:r>
            <w:r>
              <w:fldChar w:fldCharType="end"/>
            </w:r>
            <w:r>
              <w:br/>
            </w:r>
            <w:hyperlink r:id="rId198">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Wong 2019 · downstaging pilot</w:t>
            </w:r>
          </w:p>
          <w:p>
            <w:pPr>
              <w:pStyle w:val="Normal"/>
              <w:widowControl/>
              <w:spacing w:after="55" w:line="240" w:lineRule="auto"/>
              <w:keepNext w:val="0"/>
              <w:keepLines/>
            </w:pPr>
            <w:r>
              <w:rPr>
                <w:sz w:val="21"/>
                <w:szCs w:val="21"/>
              </w:rPr>
              <w:t xml:space="preserve"/>
            </w:r>
          </w:p>
        </w:tc>
        <w:tc>
          <w:tcPr>
            <w:tcW w:w="3582" w:type="dxa"/>
            <w:vAlign w:val="top"/>
            <w:shd w:fill="F1F5F8"/>
          </w:tcPr>
          <w:p>
            <w:pPr>
              <w:pStyle w:val="Normal"/>
              <w:widowControl/>
              <w:spacing w:after="55" w:line="240" w:lineRule="auto"/>
              <w:keepNext w:val="0"/>
              <w:keepLines/>
            </w:pPr>
            <w:r>
              <w:rPr>
                <w:sz w:val="21"/>
                <w:szCs w:val="21"/>
              </w:rPr>
              <w:t xml:space="preserve">Prospective pilot, 18 hilar and intrahepatic tumors. Admitted regional lymphadenopathy without distant metastasis; nodal pathology not reported in the abstract.</w:t>
            </w:r>
          </w:p>
        </w:tc>
        <w:tc>
          <w:tcPr>
            <w:tcW w:w="3743" w:type="dxa"/>
            <w:vAlign w:val="top"/>
            <w:shd w:fill="F1F5F8"/>
          </w:tcPr>
          <w:p>
            <w:pPr>
              <w:pStyle w:val="Normal"/>
              <w:widowControl/>
              <w:spacing w:after="55" w:line="240" w:lineRule="auto"/>
              <w:keepNext w:val="0"/>
              <w:keepLines/>
            </w:pPr>
            <w:r>
              <w:rPr>
                <w:sz w:val="21"/>
                <w:szCs w:val="21"/>
              </w:rPr>
              <w:t xml:space="preserve">Results: 5 transplanted; one isolated portacaval nodal recurrence at 12 months.</w:t>
            </w:r>
          </w:p>
          <w:p>
            <w:pPr>
              <w:pStyle w:val="Normal"/>
              <w:widowControl/>
              <w:spacing w:after="55" w:line="240" w:lineRule="auto"/>
              <w:keepNext w:val="0"/>
              <w:keepLines/>
            </w:pPr>
            <w:r>
              <w:rPr>
                <w:sz w:val="21"/>
                <w:szCs w:val="21"/>
              </w:rPr>
              <w:t xml:space="preserve">Limits: Cannot establish a cleared-node stratum.</w:t>
            </w:r>
          </w:p>
          <w:p>
            <w:pPr>
              <w:pStyle w:val="Normal"/>
              <w:widowControl/>
              <w:spacing w:after="55" w:line="240" w:lineRule="auto"/>
              <w:keepNext w:val="0"/>
              <w:keepLines/>
            </w:pPr>
            <w:r>
              <w:rPr>
                <w:sz w:val="21"/>
                <w:szCs w:val="21"/>
              </w:rPr>
              <w:t xml:space="preserve">J Surg Res 2019.</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</w:fldData>
              </w:fldChar>
            </w:r>
            <w:r>
              <w:instrText xml:space="preserve"> ADDIN EN.CITE.DATA </w:instrText>
            </w:r>
            <w:r>
              <w:fldChar w:fldCharType="end"/>
            </w:r>
            <w:r>
              <w:fldChar w:fldCharType="separate"/>
            </w:r>
            <w:r>
              <w:t xml:space="preserve">[V16-34]</w:t>
            </w:r>
            <w:r>
              <w:fldChar w:fldCharType="end"/>
            </w:r>
            <w:r>
              <w:br/>
            </w:r>
            <w:hyperlink r:id="rId199">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Absence of usable data is not proof of futility; a small regional-node subset may do well.</w:t>
      </w:r>
    </w:p>
    <w:p>
      <w:pPr>
        <w:pStyle w:val="Normal"/>
        <w:widowControl/>
        <w:spacing w:after="120"/>
      </w:pPr>
      <w:r>
        <w:t xml:space="preserve">Certainty: Moderate that conventional selection gives better outcomes; very low or none for a cleared-node pathway.</w:t>
      </w:r>
    </w:p>
    <w:p>
      <w:pPr>
        <w:pStyle w:val="Normal"/>
        <w:widowControl/>
        <w:spacing w:after="120"/>
      </w:pPr>
      <w:r>
        <w:t xml:space="preserve">What would change the answer: A prospective series transplanting tissue-proven regional N1 disease after response, with intention-to-treat survival.</w:t>
      </w:r>
    </w:p>
    <w:p>
      <w:pPr>
        <w:pStyle w:val="Normal"/>
        <w:widowControl/>
        <w:spacing w:after="120"/>
      </w:pPr>
      <w:r>
        <w:t xml:space="preserve">Meeting question pCCA-B1,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Size, biopsy and regimen comparisons were liable to be interpreted as evidence for broader eligibility. </w:t>
      </w:r>
      <w:r>
        <w:rPr>
          <w:b/>
        </w:rPr>
        <w:t xml:space="preserve">Correction and reason: </w:t>
      </w:r>
      <w:r>
        <w:t xml:space="preserve">Clarified radial-size versus recorded mass dimensions, node versus primary biopsy, unadjusted resection comparisons and separately governed regimen alternatives.</w:t>
      </w:r>
    </w:p>
    <w:p>
      <w:pPr>
        <w:pStyle w:val="Normal"/>
        <w:keepNext/>
        <w:widowControl/>
        <w:keepLines/>
      </w:pPr>
      <w:r>
        <w:rPr>
          <w:b/>
        </w:rPr>
        <w:t xml:space="preserve">Problem: </w:t>
      </w:r>
      <w:r>
        <w:t xml:space="preserve">Size definitions, resectability and primary-versus-node biopsy were insufficiently separated. </w:t>
      </w:r>
      <w:r>
        <w:rPr>
          <w:b/>
        </w:rPr>
        <w:t xml:space="preserve">Correction and reason: </w:t>
      </w:r>
      <w:r>
        <w:t xml:space="preserve">Clarified radial diameter, functional-remnant/R0 review, diagnostic pathways and the strict policy allocation boundary.</w:t>
      </w:r>
    </w:p>
    <w:p>
      <w:pPr>
        <w:pStyle w:val="Normal"/>
        <w:keepNext/>
        <w:widowControl/>
        <w:keepLines/>
      </w:pPr>
      <w:r>
        <w:rPr>
          <w:b/>
        </w:rPr>
        <w:t xml:space="preserve">Problem: </w:t>
      </w:r>
      <w:r>
        <w:t xml:space="preserve">Dropout and pCR summaries mixed denominators, clocks and treatment comparisons. </w:t>
      </w:r>
      <w:r>
        <w:rPr>
          <w:b/>
        </w:rPr>
        <w:t xml:space="preserve">Correction and reason: </w:t>
      </w:r>
      <w:r>
        <w:t xml:space="preserve">Added primary-cohort attrition, uncertainty and the absence of proven regimen equivalence; require a complete signed NAT order set.</w:t>
      </w:r>
    </w:p>
    <w:p>
      <w:pPr>
        <w:pStyle w:val="Normal"/>
        <w:keepNext/>
        <w:widowControl/>
        <w:keepLines/>
      </w:pPr>
      <w:r>
        <w:rPr>
          <w:b/>
        </w:rPr>
        <w:t xml:space="preserve">Problem: </w:t>
      </w:r>
      <w:r>
        <w:t xml:space="preserve">Fixed immunosuppression and surveillance schedules had weak or misassigned support. </w:t>
      </w:r>
      <w:r>
        <w:rPr>
          <w:b/>
        </w:rPr>
        <w:t xml:space="preserve">Correction and reason: </w:t>
      </w:r>
      <w:r>
        <w:t xml:space="preserve">Replaced mandatory drug timing with individualized oversight and the everolimus label floor; labeled surveillance as a proposed local schedule.</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Revision history</w:t>
      </w:r>
    </w:p>
    <w:p>
      <w:pPr>
        <w:pStyle w:val="Normal"/>
        <w:widowControl/>
        <w:spacing w:after="120"/>
      </w:pPr>
      <w:r>
        <w:t xml:space="preserve">2026-10-25 04:38 CDT. Problem and correction: Integrate pCCA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200">
        <w:r>
          <w:rPr>
            <w:color w:val="0563C1"/>
            <w:u w:val="single"/>
          </w:rPr>
          <w:t>Source</w:t>
        </w:r>
      </w:hyperlink>
      <w:r>
        <w:t xml:space="preserve"> | </w:t>
      </w:r>
      <w:hyperlink r:id="rId201">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202">
        <w:r>
          <w:rPr>
            <w:color w:val="0563C1"/>
            <w:u w:val="single"/>
          </w:rPr>
          <w:t>Source</w:t>
        </w:r>
      </w:hyperlink>
      <w:r>
        <w:t xml:space="preserve"> | </w:t>
      </w:r>
      <w:hyperlink r:id="rId203">
        <w:r>
          <w:rPr>
            <w:color w:val="0563C1"/>
            <w:u w:val="single"/>
          </w:rPr>
          <w:t>Full-text access</w:t>
        </w:r>
      </w:hyperlink>
    </w:p>
    <w:p>
      <w:pPr>
        <w:pStyle w:val="Normal"/>
        <w:widowControl/>
        <w:spacing w:after="120"/>
      </w:pPr>
      <w:r>
        <w:t xml:space="preserve"/>
      </w:r>
      <w:r>
        <w:t xml:space="preserve">[V16-3] National Comprehensive Cancer Network. NCCN Clinical Practice Guidelines in Oncology: Biliary Tract Cancers, Version 1.2026 (10 March 2026). . 2026. </w:t>
      </w:r>
      <w:hyperlink r:id="rId204">
        <w:r>
          <w:rPr>
            <w:color w:val="0563C1"/>
            <w:u w:val="single"/>
          </w:rPr>
          <w:t>Source</w:t>
        </w:r>
      </w:hyperlink>
      <w:r>
        <w:t xml:space="preserve"> | </w:t>
      </w:r>
      <w:hyperlink r:id="rId205">
        <w:r>
          <w:rPr>
            <w:color w:val="0563C1"/>
            <w:u w:val="single"/>
          </w:rPr>
          <w:t>Full-text access</w:t>
        </w:r>
      </w:hyperlink>
    </w:p>
    <w:p>
      <w:pPr>
        <w:pStyle w:val="Normal"/>
        <w:widowControl/>
        <w:spacing w:after="120"/>
      </w:pPr>
      <w:r>
        <w:t xml:space="preserve"/>
      </w:r>
      <w:r>
        <w:t xml:space="preserve">[V16-4] Darwish Murad, Sarwa. Predictors of pretransplant dropout and posttransplant recurrence in patients with perihilar cholangiocarcinoma. Hepatology. 2012. </w:t>
      </w:r>
      <w:hyperlink r:id="rId206">
        <w:r>
          <w:rPr>
            <w:color w:val="0563C1"/>
            <w:u w:val="single"/>
          </w:rPr>
          <w:t>Source</w:t>
        </w:r>
      </w:hyperlink>
      <w:r>
        <w:t xml:space="preserve"> | </w:t>
      </w:r>
      <w:hyperlink r:id="rId207">
        <w:r>
          <w:rPr>
            <w:color w:val="0563C1"/>
            <w:u w:val="single"/>
          </w:rPr>
          <w:t>Full-text access</w:t>
        </w:r>
      </w:hyperlink>
    </w:p>
    <w:p>
      <w:pPr>
        <w:pStyle w:val="Normal"/>
        <w:widowControl/>
        <w:spacing w:after="120"/>
      </w:pPr>
      <w:r>
        <w:t xml:space="preserve"/>
      </w:r>
      <w:r>
        <w:t xml:space="preserve">[V16-5] Ethun, Cecilia G; Lopez-Aguiar, Alexandra G; Anderson, Douglas J; et al. Transplantation Versus Resection for Hilar Cholangiocarcinoma: An Argument for Shifting Treatment Paradigms for Resectable Disease. Annals of Surgery. 2018. </w:t>
      </w:r>
      <w:hyperlink r:id="rId208">
        <w:r>
          <w:rPr>
            <w:color w:val="0563C1"/>
            <w:u w:val="single"/>
          </w:rPr>
          <w:t>Source</w:t>
        </w:r>
      </w:hyperlink>
      <w:r>
        <w:t xml:space="preserve"> | </w:t>
      </w:r>
      <w:hyperlink r:id="rId209">
        <w:r>
          <w:rPr>
            <w:color w:val="0563C1"/>
            <w:u w:val="single"/>
          </w:rPr>
          <w:t>Full-text access</w:t>
        </w:r>
      </w:hyperlink>
    </w:p>
    <w:p>
      <w:pPr>
        <w:pStyle w:val="Normal"/>
        <w:widowControl/>
        <w:spacing w:after="120"/>
      </w:pPr>
      <w:r>
        <w:t xml:space="preserve"/>
      </w:r>
      <w:r>
        <w:t xml:space="preserve">[V16-6] Olthof, Pim B; Aldrighetti, Luca; Alikhanov, Ruslan; et al. Portal Vein Embolization is Associated with Reduced Liver Failure and Mortality in High-Risk Resections for Perihilar Cholangiocarcinoma. Annals of Surgical Oncology. 2020. </w:t>
      </w:r>
      <w:hyperlink r:id="rId210">
        <w:r>
          <w:rPr>
            <w:color w:val="0563C1"/>
            <w:u w:val="single"/>
          </w:rPr>
          <w:t>Source</w:t>
        </w:r>
      </w:hyperlink>
      <w:r>
        <w:t xml:space="preserve"> | </w:t>
      </w:r>
      <w:hyperlink r:id="rId211">
        <w:r>
          <w:rPr>
            <w:color w:val="0563C1"/>
            <w:u w:val="single"/>
          </w:rPr>
          <w:t>Full-text access</w:t>
        </w:r>
      </w:hyperlink>
    </w:p>
    <w:p>
      <w:pPr>
        <w:pStyle w:val="Normal"/>
        <w:widowControl/>
        <w:spacing w:after="120"/>
      </w:pPr>
      <w:r>
        <w:t xml:space="preserve"/>
      </w:r>
      <w:r>
        <w:t xml:space="preserve">[V16-7] Bowlus, Christopher L.; Arrivé, Lionel; Bergquist, Annika; et al. AASLD practice guidance on primary sclerosing cholangitis and cholangiocarcinoma. Hepatology. 2022; 77(2):659-702. </w:t>
      </w:r>
      <w:hyperlink r:id="rId212">
        <w:r>
          <w:rPr>
            <w:color w:val="0563C1"/>
            <w:u w:val="single"/>
          </w:rPr>
          <w:t>Source</w:t>
        </w:r>
      </w:hyperlink>
      <w:r>
        <w:t xml:space="preserve"> | </w:t>
      </w:r>
      <w:hyperlink r:id="rId213">
        <w:r>
          <w:rPr>
            <w:color w:val="0563C1"/>
            <w:u w:val="single"/>
          </w:rPr>
          <w:t>Full-text access</w:t>
        </w:r>
      </w:hyperlink>
    </w:p>
    <w:p>
      <w:pPr>
        <w:pStyle w:val="Normal"/>
        <w:widowControl/>
        <w:spacing w:after="120"/>
      </w:pPr>
      <w:r>
        <w:t xml:space="preserve"/>
      </w:r>
      <w:r>
        <w:t xml:space="preserve">[V16-8] Aveson, Victoria G; Ilagan, Crisanta H; Chou, Joanne F; et al. Association between biopsy method and development of peritoneal metastases in perihilar cholangiocarcinoma. HPB (Oxford). 2022. </w:t>
      </w:r>
      <w:hyperlink r:id="rId214">
        <w:r>
          <w:rPr>
            <w:color w:val="0563C1"/>
            <w:u w:val="single"/>
          </w:rPr>
          <w:t>Source</w:t>
        </w:r>
      </w:hyperlink>
      <w:r>
        <w:t xml:space="preserve"> | </w:t>
      </w:r>
      <w:hyperlink r:id="rId215">
        <w:r>
          <w:rPr>
            <w:color w:val="0563C1"/>
            <w:u w:val="single"/>
          </w:rPr>
          <w:t>Full-text access</w:t>
        </w:r>
      </w:hyperlink>
    </w:p>
    <w:p>
      <w:pPr>
        <w:pStyle w:val="Normal"/>
        <w:widowControl/>
        <w:spacing w:after="120"/>
      </w:pPr>
      <w:r>
        <w:t xml:space="preserve"/>
      </w:r>
      <w:r>
        <w:t xml:space="preserve">[V16-9] Dove, Lorna; Chadha, Ryan M.; Lai, Jennifer C.; et al. AASLD AST Practice Guideline on adult liver transplantation: Candidate evaluation. Hepatology. 2026; 83(6):1609-1645. </w:t>
      </w:r>
      <w:hyperlink r:id="rId216">
        <w:r>
          <w:rPr>
            <w:color w:val="0563C1"/>
            <w:u w:val="single"/>
          </w:rPr>
          <w:t>Source</w:t>
        </w:r>
      </w:hyperlink>
      <w:r>
        <w:t xml:space="preserve"> | </w:t>
      </w:r>
      <w:hyperlink r:id="rId217">
        <w:r>
          <w:rPr>
            <w:color w:val="0563C1"/>
            <w:u w:val="single"/>
          </w:rPr>
          <w:t>Full-text access</w:t>
        </w:r>
      </w:hyperlink>
    </w:p>
    <w:p>
      <w:pPr>
        <w:pStyle w:val="Normal"/>
        <w:widowControl/>
        <w:spacing w:after="120"/>
      </w:pPr>
      <w:r>
        <w:t xml:space="preserve"/>
      </w:r>
      <w:r>
        <w:t xml:space="preserve">[V16-10] Tan, Ek Khoon; Taner, Timucin; Heimbach, Julie K.; et al. Liver Transplantation for Peri-hilar Cholangiocarcinoma. Journal of Gastrointestinal Surgery. 2020; 24(11):2679-2685. </w:t>
      </w:r>
      <w:hyperlink r:id="rId218">
        <w:r>
          <w:rPr>
            <w:color w:val="0563C1"/>
            <w:u w:val="single"/>
          </w:rPr>
          <w:t>Source</w:t>
        </w:r>
      </w:hyperlink>
      <w:r>
        <w:t xml:space="preserve"> | </w:t>
      </w:r>
      <w:hyperlink r:id="rId219">
        <w:r>
          <w:rPr>
            <w:color w:val="0563C1"/>
            <w:u w:val="single"/>
          </w:rPr>
          <w:t>Full-text access</w:t>
        </w:r>
      </w:hyperlink>
    </w:p>
    <w:p>
      <w:pPr>
        <w:pStyle w:val="Normal"/>
        <w:widowControl/>
        <w:spacing w:after="120"/>
      </w:pPr>
      <w:r>
        <w:t xml:space="preserve"/>
      </w:r>
      <w:r>
        <w:t xml:space="preserve">[V16-11] Wu, Trudy C.; Smith, Clayton P.; Li, Joshua S.; et al. A systematic review and meta‐analysis of pathologic complete response rates for patients with cholangiocarcinoma treated on liver transplant protocols. Journal of Surgical Oncology. 2023; 129(3):574-583. </w:t>
      </w:r>
      <w:hyperlink r:id="rId220">
        <w:r>
          <w:rPr>
            <w:color w:val="0563C1"/>
            <w:u w:val="single"/>
          </w:rPr>
          <w:t>Source</w:t>
        </w:r>
      </w:hyperlink>
      <w:r>
        <w:t xml:space="preserve"> | </w:t>
      </w:r>
      <w:hyperlink r:id="rId221">
        <w:r>
          <w:rPr>
            <w:color w:val="0563C1"/>
            <w:u w:val="single"/>
          </w:rPr>
          <w:t>Full-text access</w:t>
        </w:r>
      </w:hyperlink>
    </w:p>
    <w:p>
      <w:pPr>
        <w:pStyle w:val="Normal"/>
        <w:widowControl/>
        <w:spacing w:after="120"/>
      </w:pPr>
      <w:r>
        <w:t xml:space="preserve"/>
      </w:r>
      <w:r>
        <w:t xml:space="preserve">[V16-12] Shroff RT; Kennedy EB; Alarcon Rozas AE; et al. Treatment of Advanced Biliary Tract Cancer: ASCO Living Guideline, Version 2026.1.0.. Journal of clinical oncology : official journal of the American Society of Clinical Oncology. 2026; :101200JCO2602462. </w:t>
      </w:r>
      <w:hyperlink r:id="rId222">
        <w:r>
          <w:rPr>
            <w:color w:val="0563C1"/>
            <w:u w:val="single"/>
          </w:rPr>
          <w:t>Source</w:t>
        </w:r>
      </w:hyperlink>
      <w:r>
        <w:t xml:space="preserve"> | </w:t>
      </w:r>
      <w:hyperlink r:id="rId223">
        <w:r>
          <w:rPr>
            <w:color w:val="0563C1"/>
            <w:u w:val="single"/>
          </w:rPr>
          <w:t>Full-text access</w:t>
        </w:r>
      </w:hyperlink>
    </w:p>
    <w:p>
      <w:pPr>
        <w:pStyle w:val="Normal"/>
        <w:widowControl/>
        <w:spacing w:after="120"/>
      </w:pPr>
      <w:r>
        <w:t xml:space="preserve"/>
      </w:r>
      <w:r>
        <w:t xml:space="preserve">[V16-13]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224">
        <w:r>
          <w:rPr>
            <w:color w:val="0563C1"/>
            <w:u w:val="single"/>
          </w:rPr>
          <w:t>Source</w:t>
        </w:r>
      </w:hyperlink>
      <w:r>
        <w:t xml:space="preserve"> | </w:t>
      </w:r>
      <w:hyperlink r:id="rId225">
        <w:r>
          <w:rPr>
            <w:color w:val="0563C1"/>
            <w:u w:val="single"/>
          </w:rPr>
          <w:t>Full-text access</w:t>
        </w:r>
      </w:hyperlink>
    </w:p>
    <w:p>
      <w:pPr>
        <w:pStyle w:val="Normal"/>
        <w:widowControl/>
        <w:spacing w:after="120"/>
      </w:pPr>
      <w:r>
        <w:t xml:space="preserve"/>
      </w:r>
      <w:r>
        <w:t xml:space="preserve">[V16-14] Gorji, Leva; Brown, Zachary J.; Limkemann, Ashley; et al. Liver Transplant as a Treatment of Primary and Secondary Liver Neoplasms. JAMA Surgery. 2024; 159(2):211. </w:t>
      </w:r>
      <w:hyperlink r:id="rId226">
        <w:r>
          <w:rPr>
            <w:color w:val="0563C1"/>
            <w:u w:val="single"/>
          </w:rPr>
          <w:t>Source</w:t>
        </w:r>
      </w:hyperlink>
      <w:r>
        <w:t xml:space="preserve"> | </w:t>
      </w:r>
      <w:hyperlink r:id="rId227">
        <w:r>
          <w:rPr>
            <w:color w:val="0563C1"/>
            <w:u w:val="single"/>
          </w:rPr>
          <w:t>Full-text access</w:t>
        </w:r>
      </w:hyperlink>
    </w:p>
    <w:p>
      <w:pPr>
        <w:pStyle w:val="Normal"/>
        <w:widowControl/>
        <w:spacing w:after="120"/>
      </w:pPr>
      <w:r>
        <w:t xml:space="preserve"/>
      </w:r>
      <w:r>
        <w:t xml:space="preserve">[V16-15] Dong, Yawen; Li, Zhihao; Podrascanin, Vanja; et al. Liver resection with and without vascular resection versus transplantation for de novo perihilar cholangiocarcinoma. Hepatology. 2026; 83(5):1128-1142. </w:t>
      </w:r>
      <w:hyperlink r:id="rId228">
        <w:r>
          <w:rPr>
            <w:color w:val="0563C1"/>
            <w:u w:val="single"/>
          </w:rPr>
          <w:t>Source</w:t>
        </w:r>
      </w:hyperlink>
      <w:r>
        <w:t xml:space="preserve"> | </w:t>
      </w:r>
      <w:hyperlink r:id="rId229">
        <w:r>
          <w:rPr>
            <w:color w:val="0563C1"/>
            <w:u w:val="single"/>
          </w:rPr>
          <w:t>Full-text access</w:t>
        </w:r>
      </w:hyperlink>
    </w:p>
    <w:p>
      <w:pPr>
        <w:pStyle w:val="Normal"/>
        <w:widowControl/>
        <w:spacing w:after="120"/>
      </w:pPr>
      <w:r>
        <w:t xml:space="preserve"/>
      </w:r>
      <w:r>
        <w:t xml:space="preserve">[V16-16] Lunsford, Keri E; Javle, Milind; Heyne, Kirk; et al. Liver transplantation for locally advanced intrahepatic cholangiocarcinoma treated with neoadjuvant therapy: a prospective case-series. The lancet. Gastroenterology &amp; hepatology. 2018; 3(5):337-348. </w:t>
      </w:r>
      <w:hyperlink r:id="rId230">
        <w:r>
          <w:rPr>
            <w:color w:val="0563C1"/>
            <w:u w:val="single"/>
          </w:rPr>
          <w:t>Source</w:t>
        </w:r>
      </w:hyperlink>
      <w:r>
        <w:t xml:space="preserve"> | </w:t>
      </w:r>
      <w:hyperlink r:id="rId231">
        <w:r>
          <w:rPr>
            <w:color w:val="0563C1"/>
            <w:u w:val="single"/>
          </w:rPr>
          <w:t>Full-text access</w:t>
        </w:r>
      </w:hyperlink>
    </w:p>
    <w:p>
      <w:pPr>
        <w:pStyle w:val="Normal"/>
        <w:widowControl/>
        <w:spacing w:after="120"/>
      </w:pPr>
      <w:r>
        <w:t xml:space="preserve"/>
      </w:r>
      <w:r>
        <w:t xml:space="preserve">[V16-17] Ramanan, Poornima; Cummins, Nathan W.; Wilhelm, Mark P.; et al. Epidemiology, risk factors, and outcomes of infections in patients undergoing liver transplantation for hilar cholangiocarcinoma. Clinical Transplantation. 2017; 31(8). </w:t>
      </w:r>
      <w:hyperlink r:id="rId232">
        <w:r>
          <w:rPr>
            <w:color w:val="0563C1"/>
            <w:u w:val="single"/>
          </w:rPr>
          <w:t>Source</w:t>
        </w:r>
      </w:hyperlink>
      <w:r>
        <w:t xml:space="preserve"> | </w:t>
      </w:r>
      <w:hyperlink r:id="rId233">
        <w:r>
          <w:rPr>
            <w:color w:val="0563C1"/>
            <w:u w:val="single"/>
          </w:rPr>
          <w:t>Full-text access</w:t>
        </w:r>
      </w:hyperlink>
    </w:p>
    <w:p>
      <w:pPr>
        <w:pStyle w:val="Normal"/>
        <w:widowControl/>
        <w:spacing w:after="120"/>
      </w:pPr>
      <w:r>
        <w:t xml:space="preserve"/>
      </w:r>
      <w:r>
        <w:t xml:space="preserve">[V16-18] Semaan, Samar; Connor, Ashton A.; Saharia, Ashish; et al. Transplantation for Peri-Hilar and Intrahepatic Cholangiocarcinoma With mTOR Immunosuppression. Transplantation Proceedings. 2025; 57(2):255-263. </w:t>
      </w:r>
      <w:hyperlink r:id="rId234">
        <w:r>
          <w:rPr>
            <w:color w:val="0563C1"/>
            <w:u w:val="single"/>
          </w:rPr>
          <w:t>Source</w:t>
        </w:r>
      </w:hyperlink>
      <w:r>
        <w:t xml:space="preserve"> | </w:t>
      </w:r>
      <w:hyperlink r:id="rId235">
        <w:r>
          <w:rPr>
            <w:color w:val="0563C1"/>
            <w:u w:val="single"/>
          </w:rPr>
          <w:t>Full-text access</w:t>
        </w:r>
      </w:hyperlink>
    </w:p>
    <w:p>
      <w:pPr>
        <w:pStyle w:val="Normal"/>
        <w:widowControl/>
        <w:spacing w:after="120"/>
      </w:pPr>
      <w:r>
        <w:t xml:space="preserve"/>
      </w:r>
      <w:r>
        <w:t xml:space="preserve">[V16-19] Novartis Pharmaceuticals Corporation. Zortress (everolimus) US prescribing information, updated 16 September 2026. DailyMed. 2026. </w:t>
      </w:r>
      <w:hyperlink r:id="rId236">
        <w:r>
          <w:rPr>
            <w:color w:val="0563C1"/>
            <w:u w:val="single"/>
          </w:rPr>
          <w:t>Source</w:t>
        </w:r>
      </w:hyperlink>
      <w:r>
        <w:t xml:space="preserve"> | </w:t>
      </w:r>
      <w:hyperlink r:id="rId237">
        <w:r>
          <w:rPr>
            <w:color w:val="0563C1"/>
            <w:u w:val="single"/>
          </w:rPr>
          <w:t>Full-text access</w:t>
        </w:r>
      </w:hyperlink>
    </w:p>
    <w:p>
      <w:pPr>
        <w:pStyle w:val="Normal"/>
        <w:widowControl/>
        <w:spacing w:after="120"/>
      </w:pPr>
      <w:r>
        <w:t xml:space="preserve"/>
      </w:r>
      <w:r>
        <w:t xml:space="preserve">[V16-20] Heinrich, Sophia; Campos‐Murguia, Alejandro; Mensah, Angelina; et al. A Retrospective Multicenter Study Identifies a Similar Overall Survival of Patients After Liver Transplantation With Incidental Cholangiocarcinoma Compared to Hepatocellular Carcinoma. Clinical Transplantation. 2026; 40(5). </w:t>
      </w:r>
      <w:hyperlink r:id="rId238">
        <w:r>
          <w:rPr>
            <w:color w:val="0563C1"/>
            <w:u w:val="single"/>
          </w:rPr>
          <w:t>Source</w:t>
        </w:r>
      </w:hyperlink>
      <w:r>
        <w:t xml:space="preserve"> | </w:t>
      </w:r>
      <w:hyperlink r:id="rId239">
        <w:r>
          <w:rPr>
            <w:color w:val="0563C1"/>
            <w:u w:val="single"/>
          </w:rPr>
          <w:t>Full-text access</w:t>
        </w:r>
      </w:hyperlink>
    </w:p>
    <w:p>
      <w:pPr>
        <w:pStyle w:val="Normal"/>
        <w:widowControl/>
        <w:spacing w:after="120"/>
      </w:pPr>
      <w:r>
        <w:t xml:space="preserve"/>
      </w:r>
      <w:r>
        <w:t xml:space="preserve">[V16-21] Darwish Murad, Sarwa; Kim, W. Ray; Harnois, Denise M.; et al. Efficacy of Neoadjuvant Chemoradiation, Followed by Liver Transplantation, for Perihilar Cholangiocarcinoma at 12 US Centers. Gastroenterology. 2012; 143(1):88-98.e3. </w:t>
      </w:r>
      <w:hyperlink r:id="rId240">
        <w:r>
          <w:rPr>
            <w:color w:val="0563C1"/>
            <w:u w:val="single"/>
          </w:rPr>
          <w:t>Source</w:t>
        </w:r>
      </w:hyperlink>
      <w:r>
        <w:t xml:space="preserve"> | </w:t>
      </w:r>
      <w:hyperlink r:id="rId241">
        <w:r>
          <w:rPr>
            <w:color w:val="0563C1"/>
            <w:u w:val="single"/>
          </w:rPr>
          <w:t>Full-text access</w:t>
        </w:r>
      </w:hyperlink>
    </w:p>
    <w:p>
      <w:pPr>
        <w:pStyle w:val="Normal"/>
        <w:widowControl/>
        <w:spacing w:after="120"/>
      </w:pPr>
      <w:r>
        <w:t xml:space="preserve"/>
      </w:r>
      <w:r>
        <w:t xml:space="preserve">[V16-22] Loveday, Benjamin P.T.; Knox, Jennifer J.; Dawson, Laura A.; et al. Neoadjuvant hyperfractionated chemoradiation and liver transplantation for unresectable perihilar cholangiocarcinoma in Canada. Journal of Surgical Oncology. 2018; 117(2):213-219. </w:t>
      </w:r>
      <w:hyperlink r:id="rId242">
        <w:r>
          <w:rPr>
            <w:color w:val="0563C1"/>
            <w:u w:val="single"/>
          </w:rPr>
          <w:t>Source</w:t>
        </w:r>
      </w:hyperlink>
      <w:r>
        <w:t xml:space="preserve"> | </w:t>
      </w:r>
      <w:hyperlink r:id="rId243">
        <w:r>
          <w:rPr>
            <w:color w:val="0563C1"/>
            <w:u w:val="single"/>
          </w:rPr>
          <w:t>Full-text access</w:t>
        </w:r>
      </w:hyperlink>
    </w:p>
    <w:p>
      <w:pPr>
        <w:pStyle w:val="Normal"/>
        <w:widowControl/>
        <w:spacing w:after="120"/>
      </w:pPr>
      <w:r>
        <w:t xml:space="preserve"/>
      </w:r>
      <w:r>
        <w:t xml:space="preserve">[V16-23] Te, Helen S.; Agopian, Vatche G.; Demetris, Anthony J.; et al. AASLD AST Practice Guideline on adult liver transplantation: Diagnosis and management of graft-related complications. Liver Transplantation. 2025; 32(3):444-490. </w:t>
      </w:r>
      <w:hyperlink r:id="rId244">
        <w:r>
          <w:rPr>
            <w:color w:val="0563C1"/>
            <w:u w:val="single"/>
          </w:rPr>
          <w:t>Source</w:t>
        </w:r>
      </w:hyperlink>
      <w:r>
        <w:t xml:space="preserve"> | </w:t>
      </w:r>
      <w:hyperlink r:id="rId245">
        <w:r>
          <w:rPr>
            <w:color w:val="0563C1"/>
            <w:u w:val="single"/>
          </w:rPr>
          <w:t>Full-text access</w:t>
        </w:r>
      </w:hyperlink>
    </w:p>
    <w:p>
      <w:pPr>
        <w:pStyle w:val="Normal"/>
        <w:widowControl/>
        <w:spacing w:after="120"/>
      </w:pPr>
      <w:r>
        <w:t xml:space="preserve"/>
      </w:r>
      <w:r>
        <w:t xml:space="preserve">[V16-24] Abdelrahim, Maen; Esmail, Abdullah; Connor, Ashton A; et al. Utilization of immunotherapy as a neoadjuvant treatment in liver transplant recipients with hepatobiliary carcinoma. Frontiers in oncology. 2026; 16:1866870. </w:t>
      </w:r>
      <w:hyperlink r:id="rId246">
        <w:r>
          <w:rPr>
            <w:color w:val="0563C1"/>
            <w:u w:val="single"/>
          </w:rPr>
          <w:t>Source</w:t>
        </w:r>
      </w:hyperlink>
      <w:r>
        <w:t xml:space="preserve"> | </w:t>
      </w:r>
      <w:hyperlink r:id="rId247">
        <w:r>
          <w:rPr>
            <w:color w:val="0563C1"/>
            <w:u w:val="single"/>
          </w:rPr>
          <w:t>Full-text access</w:t>
        </w:r>
      </w:hyperlink>
    </w:p>
    <w:p>
      <w:pPr>
        <w:pStyle w:val="Normal"/>
        <w:widowControl/>
        <w:spacing w:after="120"/>
      </w:pPr>
      <w:r>
        <w:t xml:space="preserve"/>
      </w:r>
      <w:r>
        <w:t xml:space="preserve">[V16-25] Abecassis, M.M.; Fisher, R.A.; Olthoff, K.M.; et al. Complications of Living Donor Hepatic Lobectomy—A Comprehensive Report. American Journal of Transplantation. 2012; 12(5):1208-1217. </w:t>
      </w:r>
      <w:hyperlink r:id="rId248">
        <w:r>
          <w:rPr>
            <w:color w:val="0563C1"/>
            <w:u w:val="single"/>
          </w:rPr>
          <w:t>Source</w:t>
        </w:r>
      </w:hyperlink>
      <w:r>
        <w:t xml:space="preserve"> | </w:t>
      </w:r>
      <w:hyperlink r:id="rId249">
        <w:r>
          <w:rPr>
            <w:color w:val="0563C1"/>
            <w:u w:val="single"/>
          </w:rPr>
          <w:t>Full-text access</w:t>
        </w:r>
      </w:hyperlink>
    </w:p>
    <w:p>
      <w:pPr>
        <w:pStyle w:val="Normal"/>
        <w:widowControl/>
        <w:spacing w:after="120"/>
      </w:pPr>
      <w:r>
        <w:t xml:space="preserve"/>
      </w:r>
      <w:r>
        <w:t xml:space="preserve">[V16-26] DiMartini, A.; Dew, M.A.; Liu, Q.; et al. Social and Financial Outcomes of Living Liver Donation: A Prospective Investigation Within the Adult-to-Adult Living Donor Liver Transplantation Cohort Study 2 (A2ALL-2). American Journal of Transplantation. 2017; 17(4):1081-1096. </w:t>
      </w:r>
      <w:hyperlink r:id="rId250">
        <w:r>
          <w:rPr>
            <w:color w:val="0563C1"/>
            <w:u w:val="single"/>
          </w:rPr>
          <w:t>Source</w:t>
        </w:r>
      </w:hyperlink>
      <w:r>
        <w:t xml:space="preserve"> | </w:t>
      </w:r>
      <w:hyperlink r:id="rId251">
        <w:r>
          <w:rPr>
            <w:color w:val="0563C1"/>
            <w:u w:val="single"/>
          </w:rPr>
          <w:t>Full-text access</w:t>
        </w:r>
      </w:hyperlink>
    </w:p>
    <w:p>
      <w:pPr>
        <w:pStyle w:val="Normal"/>
        <w:widowControl/>
        <w:spacing w:after="120"/>
      </w:pPr>
      <w:r>
        <w:t xml:space="preserve"/>
      </w:r>
      <w:r>
        <w:t xml:space="preserve">[V16-27] Xiao, Jieling; Zeng, Rebecca Wenling; Lim, Wen Hui; et al. The incidence of adverse outcome in donors after living donor liver transplantation: A meta-analysis of 60,829 donors. Liver Transplantation. 2024; 30(5):493-504. </w:t>
      </w:r>
      <w:hyperlink r:id="rId252">
        <w:r>
          <w:rPr>
            <w:color w:val="0563C1"/>
            <w:u w:val="single"/>
          </w:rPr>
          <w:t>Source</w:t>
        </w:r>
      </w:hyperlink>
      <w:r>
        <w:t xml:space="preserve"> | </w:t>
      </w:r>
      <w:hyperlink r:id="rId253">
        <w:r>
          <w:rPr>
            <w:color w:val="0563C1"/>
            <w:u w:val="single"/>
          </w:rPr>
          <w:t>Full-text access</w:t>
        </w:r>
      </w:hyperlink>
    </w:p>
    <w:p>
      <w:pPr>
        <w:pStyle w:val="Normal"/>
        <w:widowControl/>
        <w:spacing w:after="120"/>
      </w:pPr>
      <w:r>
        <w:t xml:space="preserve"/>
      </w:r>
      <w:r>
        <w:t xml:space="preserve">[V16-28] Ito, Takashi; Taura, Kojiro; Fukumitsu, Ken; et al. Safety and efficacy of living donor liver transplantation for unresectable perihilar cholangiocarcinoma: A single center prospective study. Journal of Hepato-Biliary-Pancreatic Sciences. 2025; 32(4):276-286. </w:t>
      </w:r>
      <w:hyperlink r:id="rId254">
        <w:r>
          <w:rPr>
            <w:color w:val="0563C1"/>
            <w:u w:val="single"/>
          </w:rPr>
          <w:t>Source</w:t>
        </w:r>
      </w:hyperlink>
      <w:r>
        <w:t xml:space="preserve"> | </w:t>
      </w:r>
      <w:hyperlink r:id="rId255">
        <w:r>
          <w:rPr>
            <w:color w:val="0563C1"/>
            <w:u w:val="single"/>
          </w:rPr>
          <w:t>Full-text access</w:t>
        </w:r>
      </w:hyperlink>
    </w:p>
    <w:p>
      <w:pPr>
        <w:pStyle w:val="Normal"/>
        <w:widowControl/>
        <w:spacing w:after="120"/>
      </w:pPr>
      <w:r>
        <w:t xml:space="preserve"/>
      </w:r>
      <w:r>
        <w:t xml:space="preserve">[V16-29] Vugts, Jaynee J A; Gaspersz, Marcia P; Roos, Eva; et al. Eligibility for Liver Transplantation in Patients with Perihilar Cholangiocarcinoma. Annals of Surgical Oncology. 2021. </w:t>
      </w:r>
      <w:hyperlink r:id="rId256">
        <w:r>
          <w:rPr>
            <w:color w:val="0563C1"/>
            <w:u w:val="single"/>
          </w:rPr>
          <w:t>Source</w:t>
        </w:r>
      </w:hyperlink>
      <w:r>
        <w:t xml:space="preserve"> | </w:t>
      </w:r>
      <w:hyperlink r:id="rId257">
        <w:r>
          <w:rPr>
            <w:color w:val="0563C1"/>
            <w:u w:val="single"/>
          </w:rPr>
          <w:t>Full-text access</w:t>
        </w:r>
      </w:hyperlink>
    </w:p>
    <w:p>
      <w:pPr>
        <w:pStyle w:val="Normal"/>
        <w:widowControl/>
        <w:spacing w:after="120"/>
      </w:pPr>
      <w:r>
        <w:t xml:space="preserve"/>
      </w:r>
      <w:r>
        <w:t xml:space="preserve">[V16-30] Sio, Terence T; Martenson, James A; Haddock, Michael G; et al. Outcome of Transplant-fallout Patients With Unresectable Cholangiocarcinoma. American journal of clinical oncology. 2016; 39(3):271-5. </w:t>
      </w:r>
      <w:hyperlink r:id="rId258">
        <w:r>
          <w:rPr>
            <w:color w:val="0563C1"/>
            <w:u w:val="single"/>
          </w:rPr>
          <w:t>Source</w:t>
        </w:r>
      </w:hyperlink>
      <w:r>
        <w:t xml:space="preserve"> | Local PDF not available in this update</w:t>
      </w:r>
    </w:p>
    <w:p>
      <w:pPr>
        <w:pStyle w:val="Normal"/>
        <w:widowControl/>
        <w:spacing w:after="120"/>
      </w:pPr>
      <w:r>
        <w:t xml:space="preserve"/>
      </w:r>
      <w:r>
        <w:t xml:space="preserve">[V16-31] Mansour, John C; Aloia, Thomas A; Crane, Christopher H; et al. Hilar cholangiocarcinoma: expert consensus statement. HPB : the official journal of the International Hepato Pancreato Biliary Association. 2015; 17(8):691-9. </w:t>
      </w:r>
      <w:hyperlink r:id="rId259">
        <w:r>
          <w:rPr>
            <w:color w:val="0563C1"/>
            <w:u w:val="single"/>
          </w:rPr>
          <w:t>Source</w:t>
        </w:r>
      </w:hyperlink>
      <w:r>
        <w:t xml:space="preserve"> | </w:t>
      </w:r>
      <w:hyperlink r:id="rId260">
        <w:r>
          <w:rPr>
            <w:color w:val="0563C1"/>
            <w:u w:val="single"/>
          </w:rPr>
          <w:t>Full-text access</w:t>
        </w:r>
      </w:hyperlink>
    </w:p>
    <w:p>
      <w:pPr>
        <w:pStyle w:val="Normal"/>
        <w:widowControl/>
        <w:spacing w:after="120"/>
      </w:pPr>
      <w:r>
        <w:t xml:space="preserve"/>
      </w:r>
      <w:r>
        <w:t xml:space="preserve">[V16-32] Campbell, Sally; Ahmed, Ola; Cullinan, Darren; et al. Liver Transplantation for Unresectable Biliary Tract Cancers: Largest Single-Center Analysis of Subtype-Specific Survival and Recurrence (2007-2025). Annals of surgical oncology. 2026; 33(9):7870-7880. </w:t>
      </w:r>
      <w:hyperlink r:id="rId261">
        <w:r>
          <w:rPr>
            <w:color w:val="0563C1"/>
            <w:u w:val="single"/>
          </w:rPr>
          <w:t>Source</w:t>
        </w:r>
      </w:hyperlink>
      <w:r>
        <w:t xml:space="preserve"> | Local PDF not available in this update</w:t>
      </w:r>
    </w:p>
    <w:p>
      <w:pPr>
        <w:pStyle w:val="Normal"/>
        <w:widowControl/>
        <w:spacing w:after="120"/>
      </w:pPr>
      <w:r>
        <w:t xml:space="preserve"/>
      </w:r>
      <w:r>
        <w:t xml:space="preserve">[V16-33] de Jong, David M; den Hoed, Caroline M; Willemssen, Francois E J A; et al. Impact of EUS in liver transplantation workup for patients with unresectable perihilar cholangiocarcinoma. Gastrointestinal endoscopy. 2023; 99(4):548-556. </w:t>
      </w:r>
      <w:hyperlink r:id="rId262">
        <w:r>
          <w:rPr>
            <w:color w:val="0563C1"/>
            <w:u w:val="single"/>
          </w:rPr>
          <w:t>Source</w:t>
        </w:r>
      </w:hyperlink>
      <w:r>
        <w:t xml:space="preserve"> | Local PDF not available in this update</w:t>
      </w:r>
    </w:p>
    <w:p>
      <w:pPr>
        <w:pStyle w:val="Normal"/>
        <w:widowControl/>
        <w:spacing w:after="120"/>
      </w:pPr>
      <w:r>
        <w:t xml:space="preserve"/>
      </w:r>
      <w:r>
        <w:t xml:space="preserve">[V16-34] Wong. Downstaging locally advanced cholangiocarcinoma pre-liver transplantation: a prospective pilot study. The Journal of surgical research. 2019. </w:t>
      </w:r>
      <w:hyperlink r:id="rId263">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pCCA-B1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5 cited study lines rest on full-text reading (complete main text; relevant complete sections of long guidelines) and 1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5"/>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1eqwtejbt6fad7bttkla" Type="http://schemas.openxmlformats.org/officeDocument/2006/relationships/hyperlink" Target="https://doi.org/10.1002/hep.32771" TargetMode="External"/><Relationship Id="rIdr8inpyax5gy96gts3eo5p" Type="http://schemas.openxmlformats.org/officeDocument/2006/relationships/hyperlink" Target="https://doi.org/10.1097/HEP.0000000000001644" TargetMode="External"/><Relationship Id="rIdqssj9czqemee1n3l7yvud" Type="http://schemas.openxmlformats.org/officeDocument/2006/relationships/hyperlink" Target="https://www.nccn.org/professionals/physician_gls/pdf/btc.pdf#page=23" TargetMode="External"/><Relationship Id="rIdjpvwiwjsfy9vrzfsy034h" Type="http://schemas.openxmlformats.org/officeDocument/2006/relationships/hyperlink" Target="https://pubmed.ncbi.nlm.nih.gov/32671802" TargetMode="External"/><Relationship Id="rIdgvhnqvuhaimk9pemvhnwk" Type="http://schemas.openxmlformats.org/officeDocument/2006/relationships/hyperlink" Target="https://onlinelibrary.wiley.com/doi/10.1002/jso.27511" TargetMode="External"/><Relationship Id="rIdnb8jto2kvuvp8pbgxpfdi" Type="http://schemas.openxmlformats.org/officeDocument/2006/relationships/hyperlink" Target="https://jamanetwork.com/journals/jamasurgery/fullarticle/10.1001/jamasurg.2023.6083?utm_source=openevidence&amp;utm_medium=referral" TargetMode="External"/><Relationship Id="rIdvt9i8kjhgrvclooarmsjc" Type="http://schemas.openxmlformats.org/officeDocument/2006/relationships/hyperlink" Target="https://doi.org/10.1002/hep.26972" TargetMode="External"/><Relationship Id="rIdgr56vommnphmzrszqbeig" Type="http://schemas.openxmlformats.org/officeDocument/2006/relationships/hyperlink" Target="https://pubmed.ncbi.nlm.nih.gov/29548617" TargetMode="External"/><Relationship Id="rIdsjixnukvi5iewpsl6tmf1" Type="http://schemas.openxmlformats.org/officeDocument/2006/relationships/hyperlink" Target="https://onlinelibrary.wiley.com/doi/10.1111/ctr.13023" TargetMode="External"/><Relationship Id="rIdwnmj0zfnc4gcwxzi4m5kw" Type="http://schemas.openxmlformats.org/officeDocument/2006/relationships/hyperlink" Target="https://pubmed.ncbi.nlm.nih.gov/39939239" TargetMode="External"/><Relationship Id="rIdrv8ezywjyfchxdaztc3v7" Type="http://schemas.openxmlformats.org/officeDocument/2006/relationships/hyperlink" Target="https://onlinelibrary.wiley.com/doi/10.1111/ctr.70547" TargetMode="External"/><Relationship Id="rIdyrgsm_-3ite8glop60jgl" Type="http://schemas.openxmlformats.org/officeDocument/2006/relationships/hyperlink" Target="https://pubmed.ncbi.nlm.nih.gov/31972704" TargetMode="External"/><Relationship Id="rIddevqlwro1v_pbh8imtxbo" Type="http://schemas.openxmlformats.org/officeDocument/2006/relationships/hyperlink" Target="https://pubmed.ncbi.nlm.nih.gov/40622853" TargetMode="External"/><Relationship Id="rIdah40xaiwshz2cm5s3ouz0" Type="http://schemas.openxmlformats.org/officeDocument/2006/relationships/hyperlink" Target="https://onlinelibrary.wiley.com/doi/10.1002/jso.24833" TargetMode="External"/><Relationship Id="rIdd0oxcj9dm-ekcgq4rcxz4" Type="http://schemas.openxmlformats.org/officeDocument/2006/relationships/hyperlink" Target="https://pubmed.ncbi.nlm.nih.gov/41899493" TargetMode="External"/><Relationship Id="rId1naamldjfpmbuqysogu3d" Type="http://schemas.openxmlformats.org/officeDocument/2006/relationships/hyperlink" Target="https://pubmed.ncbi.nlm.nih.gov/42073607" TargetMode="External"/><Relationship Id="rIdb2_lubzxx4n3lvvi8l1ai" Type="http://schemas.openxmlformats.org/officeDocument/2006/relationships/hyperlink" Target="https://www.ncbi.nlm.nih.gov/pmc/articles/PMC10663390/" TargetMode="External"/><Relationship Id="rIdgspakwp1qfentfjvyzty5" Type="http://schemas.openxmlformats.org/officeDocument/2006/relationships/hyperlink" Target="https://meetings.asco.org/abstracts-presentations/247656" TargetMode="External"/><Relationship Id="rIdul2eciutnbgv7ujwojggg" Type="http://schemas.openxmlformats.org/officeDocument/2006/relationships/hyperlink" Target="https://meetings.asco.org/abstracts-presentations/255564" TargetMode="External"/><Relationship Id="rIdy9jr0bzcoynngb0otf66m" Type="http://schemas.openxmlformats.org/officeDocument/2006/relationships/hyperlink" Target="https://pubmed.ncbi.nlm.nih.gov/37760542" TargetMode="External"/><Relationship Id="rIdk14r2uu5xunnsalzz-so1" Type="http://schemas.openxmlformats.org/officeDocument/2006/relationships/hyperlink" Target="https://pubmed.ncbi.nlm.nih.gov/41919430" TargetMode="External"/><Relationship Id="rId27" Type="http://schemas.openxmlformats.org/officeDocument/2006/relationships/fontTable" Target="fontTable.xml"/><Relationship Id="rId28" Type="http://schemas.openxmlformats.org/officeDocument/2006/relationships/hyperlink" Target="https://doi.org/10.1097/HEP.0000000000001644" TargetMode="External"/><Relationship Id="rId29" Type="http://schemas.openxmlformats.org/officeDocument/2006/relationships/hyperlink" Target="https://drliuhao.github.io/mh-liver-pathways/evidence-libraries/" TargetMode="External"/><Relationship Id="rId30" Type="http://schemas.openxmlformats.org/officeDocument/2006/relationships/hyperlink" Target="https://doi.org/10.3389/fonc.2026.1866870" TargetMode="External"/><Relationship Id="rId31" Type="http://schemas.openxmlformats.org/officeDocument/2006/relationships/hyperlink" Target="https://drliuhao.github.io/mh-liver-pathways/evidence-libraries/" TargetMode="External"/><Relationship Id="rId32" Type="http://schemas.openxmlformats.org/officeDocument/2006/relationships/hyperlink" Target="https://doi.org/10.1111/j.1600-6143.2011.03972.x" TargetMode="External"/><Relationship Id="rId33" Type="http://schemas.openxmlformats.org/officeDocument/2006/relationships/hyperlink" Target="https://drliuhao.github.io/mh-liver-pathways/evidence-libraries/" TargetMode="External"/><Relationship Id="rId34" Type="http://schemas.openxmlformats.org/officeDocument/2006/relationships/hyperlink" Target="https://doi.org/10.1111/ajt.14055" TargetMode="External"/><Relationship Id="rId35" Type="http://schemas.openxmlformats.org/officeDocument/2006/relationships/hyperlink" Target="https://drliuhao.github.io/mh-liver-pathways/evidence-libraries/" TargetMode="External"/><Relationship Id="rId36" Type="http://schemas.openxmlformats.org/officeDocument/2006/relationships/hyperlink" Target="https://doi.org/10.1097/LVT.0000000000000303" TargetMode="External"/><Relationship Id="rId37" Type="http://schemas.openxmlformats.org/officeDocument/2006/relationships/hyperlink" Target="https://drliuhao.github.io/mh-liver-pathways/evidence-libraries/" TargetMode="External"/><Relationship Id="rId38" Type="http://schemas.openxmlformats.org/officeDocument/2006/relationships/hyperlink" Target="https://doi.org/10.1002/jhbp.12121" TargetMode="External"/><Relationship Id="rId39" Type="http://schemas.openxmlformats.org/officeDocument/2006/relationships/hyperlink" Target="https://drliuhao.github.io/mh-liver-pathways/evidence-libraries/" TargetMode="External"/><Relationship Id="rId40" Type="http://schemas.openxmlformats.org/officeDocument/2006/relationships/hyperlink" Target="https://pmc.ncbi.nlm.nih.gov/articles/PMC9085963/" TargetMode="External"/><Relationship Id="rId41" Type="http://schemas.openxmlformats.org/officeDocument/2006/relationships/hyperlink" Target="https://drliuhao.github.io/mh-liver-pathways/evidence-libraries/" TargetMode="External"/><Relationship Id="rId42" Type="http://schemas.openxmlformats.org/officeDocument/2006/relationships/hyperlink" Target="https://pmc.ncbi.nlm.nih.gov/articles/PMC6002861/" TargetMode="External"/><Relationship Id="rId43" Type="http://schemas.openxmlformats.org/officeDocument/2006/relationships/hyperlink" Target="https://drliuhao.github.io/mh-liver-pathways/evidence-libraries/" TargetMode="External"/><Relationship Id="rId44" Type="http://schemas.openxmlformats.org/officeDocument/2006/relationships/hyperlink" Target="https://onlinelibrary.wiley.com/doi/full/10.1002/hep.25629"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link.springer.com/article/10.1245/s10434-020-08258-3" TargetMode="External"/><Relationship Id="rId47" Type="http://schemas.openxmlformats.org/officeDocument/2006/relationships/hyperlink" Target="https://drliuhao.github.io/mh-liver-pathways/evidence-libraries/" TargetMode="External"/><Relationship Id="rId48" Type="http://schemas.openxmlformats.org/officeDocument/2006/relationships/hyperlink" Target="https://link.springer.com/article/10.1245/s10434-020-09001-8" TargetMode="External"/><Relationship Id="rId49" Type="http://schemas.openxmlformats.org/officeDocument/2006/relationships/hyperlink" Target="https://drliuhao.github.io/mh-liver-pathways/evidence-libraries/" TargetMode="External"/><Relationship Id="rId50" Type="http://schemas.openxmlformats.org/officeDocument/2006/relationships/hyperlink" Target="https://jamanetwork.com/journals/jamasurgery/fullarticle/10.1001/jamasurg.2023.6083?utm_source=openevidence&amp;utm_medium=referral" TargetMode="External"/><Relationship Id="rId51" Type="http://schemas.openxmlformats.org/officeDocument/2006/relationships/hyperlink" Target="https://drliuhao.github.io/mh-liver-pathways/evidence-libraries/" TargetMode="External"/><Relationship Id="rId52" Type="http://schemas.openxmlformats.org/officeDocument/2006/relationships/hyperlink" Target="https://onlinelibrary.wiley.com/doi/10.1002/jso.27511" TargetMode="External"/><Relationship Id="rId53" Type="http://schemas.openxmlformats.org/officeDocument/2006/relationships/hyperlink" Target="https://drliuhao.github.io/mh-liver-pathways/evidence-libraries/" TargetMode="External"/><Relationship Id="rId54" Type="http://schemas.openxmlformats.org/officeDocument/2006/relationships/hyperlink" Target="https://pubmed.ncbi.nlm.nih.gov/39939239" TargetMode="External"/><Relationship Id="rId55" Type="http://schemas.openxmlformats.org/officeDocument/2006/relationships/hyperlink" Target="https://drliuhao.github.io/mh-liver-pathways/evidence-libraries/" TargetMode="External"/><Relationship Id="rId56" Type="http://schemas.openxmlformats.org/officeDocument/2006/relationships/hyperlink" Target="https://onlinelibrary.wiley.com/doi/10.1111/ctr.13023" TargetMode="External"/><Relationship Id="rId57" Type="http://schemas.openxmlformats.org/officeDocument/2006/relationships/hyperlink" Target="https://drliuhao.github.io/mh-liver-pathways/evidence-libraries/" TargetMode="External"/><Relationship Id="rId58" Type="http://schemas.openxmlformats.org/officeDocument/2006/relationships/hyperlink" Target="https://onlinelibrary.wiley.com/doi/10.1111/ctr.70547" TargetMode="External"/><Relationship Id="rId59" Type="http://schemas.openxmlformats.org/officeDocument/2006/relationships/hyperlink" Target="https://drliuhao.github.io/mh-liver-pathways/evidence-libraries/" TargetMode="External"/><Relationship Id="rId60" Type="http://schemas.openxmlformats.org/officeDocument/2006/relationships/hyperlink" Target="https://www.nccn.org/professionals/physician_gls/pdf/btc.pdf#page=23"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097/lvt.0000000000000715"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doi.org/10.1002/hep.32771"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pubmed.ncbi.nlm.nih.gov/32671802"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onlinelibrary.wiley.com/doi/10.1002/jso.24833"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rliuhao.github.io/mh-liver-pathways/evidence-libraries/"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drliuhao.github.io/mh-liver-pathways/evidence-libraries/" TargetMode="External"/><Relationship Id="rId73" Type="http://schemas.openxmlformats.org/officeDocument/2006/relationships/hyperlink" Target="https://www.hrsa.gov/sites/default/files/hrsa/optn/optn_policies.pdf" TargetMode="External"/><Relationship Id="rId74" Type="http://schemas.openxmlformats.org/officeDocument/2006/relationships/hyperlink" Target="https://drliuhao.github.io/mh-liver-pathways/evidence-libraries/" TargetMode="External"/><Relationship Id="rId75" Type="http://schemas.openxmlformats.org/officeDocument/2006/relationships/hyperlink" Target="https://www.hrsa.gov/sites/default/files/hrsa/optn/adult-meld-exception-transplant-oncology-review-guidance.pdf" TargetMode="External"/><Relationship Id="rId76" Type="http://schemas.openxmlformats.org/officeDocument/2006/relationships/hyperlink" Target="https://drliuhao.github.io/mh-liver-pathways/evidence-libraries/" TargetMode="External"/><Relationship Id="rId77" Type="http://schemas.openxmlformats.org/officeDocument/2006/relationships/hyperlink" Target="https://www.nccn.org/professionals/physician_gls/pdf/btc.pdf#page=23" TargetMode="External"/><Relationship Id="rId78" Type="http://schemas.openxmlformats.org/officeDocument/2006/relationships/hyperlink" Target="https://drliuhao.github.io/mh-liver-pathways/evidence-libraries/" TargetMode="External"/><Relationship Id="rId79" Type="http://schemas.openxmlformats.org/officeDocument/2006/relationships/hyperlink" Target="https://onlinelibrary.wiley.com/doi/full/10.1002/hep.25629" TargetMode="External"/><Relationship Id="rId80" Type="http://schemas.openxmlformats.org/officeDocument/2006/relationships/hyperlink" Target="https://drliuhao.github.io/mh-liver-pathways/evidence-libraries/" TargetMode="External"/><Relationship Id="rId81" Type="http://schemas.openxmlformats.org/officeDocument/2006/relationships/hyperlink" Target="https://pmc.ncbi.nlm.nih.gov/articles/PMC6002861/" TargetMode="External"/><Relationship Id="rId82" Type="http://schemas.openxmlformats.org/officeDocument/2006/relationships/hyperlink" Target="https://drliuhao.github.io/mh-liver-pathways/evidence-libraries/" TargetMode="External"/><Relationship Id="rId83" Type="http://schemas.openxmlformats.org/officeDocument/2006/relationships/hyperlink" Target="https://link.springer.com/article/10.1245/s10434-020-08258-3" TargetMode="External"/><Relationship Id="rId84" Type="http://schemas.openxmlformats.org/officeDocument/2006/relationships/hyperlink" Target="https://drliuhao.github.io/mh-liver-pathways/evidence-libraries/" TargetMode="External"/><Relationship Id="rId85" Type="http://schemas.openxmlformats.org/officeDocument/2006/relationships/hyperlink" Target="https://doi.org/10.1002/hep.32771" TargetMode="External"/><Relationship Id="rId86" Type="http://schemas.openxmlformats.org/officeDocument/2006/relationships/hyperlink" Target="https://drliuhao.github.io/mh-liver-pathways/evidence-libraries/" TargetMode="External"/><Relationship Id="rId87" Type="http://schemas.openxmlformats.org/officeDocument/2006/relationships/hyperlink" Target="https://pmc.ncbi.nlm.nih.gov/articles/PMC9085963/" TargetMode="External"/><Relationship Id="rId88" Type="http://schemas.openxmlformats.org/officeDocument/2006/relationships/hyperlink" Target="https://drliuhao.github.io/mh-liver-pathways/evidence-libraries/" TargetMode="External"/><Relationship Id="rId89" Type="http://schemas.openxmlformats.org/officeDocument/2006/relationships/hyperlink" Target="https://doi.org/10.1097/HEP.0000000000001644"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pubmed.ncbi.nlm.nih.gov/32671802" TargetMode="External"/><Relationship Id="rId92" Type="http://schemas.openxmlformats.org/officeDocument/2006/relationships/hyperlink" Target="https://drliuhao.github.io/mh-liver-pathways/evidence-libraries/" TargetMode="External"/><Relationship Id="rId93" Type="http://schemas.openxmlformats.org/officeDocument/2006/relationships/hyperlink" Target="https://onlinelibrary.wiley.com/doi/10.1002/jso.27511" TargetMode="External"/><Relationship Id="rId94" Type="http://schemas.openxmlformats.org/officeDocument/2006/relationships/hyperlink" Target="https://drliuhao.github.io/mh-liver-pathways/evidence-libraries/" TargetMode="External"/><Relationship Id="rId95" Type="http://schemas.openxmlformats.org/officeDocument/2006/relationships/hyperlink" Target="https://jamanetwork.com/journals/jamasurgery/fullarticle/10.1001/jamasurg.2023.6083?utm_source=openevidence&amp;utm_medium=referral" TargetMode="External"/><Relationship Id="rId96" Type="http://schemas.openxmlformats.org/officeDocument/2006/relationships/hyperlink" Target="https://drliuhao.github.io/mh-liver-pathways/evidence-libraries/" TargetMode="External"/><Relationship Id="rId97" Type="http://schemas.openxmlformats.org/officeDocument/2006/relationships/hyperlink" Target="https://doi.org/10.1097/HEP.0000000000001449" TargetMode="External"/><Relationship Id="rId98" Type="http://schemas.openxmlformats.org/officeDocument/2006/relationships/hyperlink" Target="https://drliuhao.github.io/mh-liver-pathways/evidence-libraries/" TargetMode="External"/><Relationship Id="rId99" Type="http://schemas.openxmlformats.org/officeDocument/2006/relationships/hyperlink" Target="https://doi.org/10.1016/S2468-1253(18)30045-1" TargetMode="External"/><Relationship Id="rId100" Type="http://schemas.openxmlformats.org/officeDocument/2006/relationships/hyperlink" Target="https://drliuhao.github.io/mh-liver-pathways/evidence-libraries/" TargetMode="External"/><Relationship Id="rId101" Type="http://schemas.openxmlformats.org/officeDocument/2006/relationships/hyperlink" Target="https://onlinelibrary.wiley.com/doi/10.1111/ctr.13023" TargetMode="External"/><Relationship Id="rId102" Type="http://schemas.openxmlformats.org/officeDocument/2006/relationships/hyperlink" Target="https://drliuhao.github.io/mh-liver-pathways/evidence-libraries/" TargetMode="External"/><Relationship Id="rId103" Type="http://schemas.openxmlformats.org/officeDocument/2006/relationships/hyperlink" Target="https://pubmed.ncbi.nlm.nih.gov/39939239" TargetMode="External"/><Relationship Id="rId104" Type="http://schemas.openxmlformats.org/officeDocument/2006/relationships/hyperlink" Target="https://drliuhao.github.io/mh-liver-pathways/evidence-libraries/" TargetMode="External"/><Relationship Id="rId105" Type="http://schemas.openxmlformats.org/officeDocument/2006/relationships/hyperlink" Target="https://dailymed.nlm.nih.gov/dailymed/drugInfo.cfm?setid=e082a024-7850-400b-a5c2-2a140612562a" TargetMode="External"/><Relationship Id="rId106" Type="http://schemas.openxmlformats.org/officeDocument/2006/relationships/hyperlink" Target="https://drliuhao.github.io/mh-liver-pathways/evidence-libraries/" TargetMode="External"/><Relationship Id="rId107" Type="http://schemas.openxmlformats.org/officeDocument/2006/relationships/hyperlink" Target="https://onlinelibrary.wiley.com/doi/10.1111/ctr.70547" TargetMode="External"/><Relationship Id="rId108" Type="http://schemas.openxmlformats.org/officeDocument/2006/relationships/hyperlink" Target="https://drliuhao.github.io/mh-liver-pathways/evidence-libraries/" TargetMode="External"/><Relationship Id="rId109" Type="http://schemas.openxmlformats.org/officeDocument/2006/relationships/hyperlink" Target="https://doi.org/10.1053/j.gastro.2012.04.008" TargetMode="External"/><Relationship Id="rId110" Type="http://schemas.openxmlformats.org/officeDocument/2006/relationships/hyperlink" Target="https://drliuhao.github.io/mh-liver-pathways/evidence-libraries/" TargetMode="External"/><Relationship Id="rId111" Type="http://schemas.openxmlformats.org/officeDocument/2006/relationships/hyperlink" Target="https://onlinelibrary.wiley.com/doi/10.1002/jso.24833" TargetMode="External"/><Relationship Id="rId112" Type="http://schemas.openxmlformats.org/officeDocument/2006/relationships/hyperlink" Target="https://drliuhao.github.io/mh-liver-pathways/evidence-libraries/" TargetMode="External"/><Relationship Id="rId113" Type="http://schemas.openxmlformats.org/officeDocument/2006/relationships/hyperlink" Target="https://doi.org/10.1097/lvt.0000000000000715" TargetMode="External"/><Relationship Id="rId114" Type="http://schemas.openxmlformats.org/officeDocument/2006/relationships/hyperlink" Target="https://drliuhao.github.io/mh-liver-pathways/evidence-libraries/" TargetMode="External"/><Relationship Id="rId115" Type="http://schemas.openxmlformats.org/officeDocument/2006/relationships/hyperlink" Target="https://doi.org/10.3389/fonc.2026.1866870" TargetMode="External"/><Relationship Id="rId116" Type="http://schemas.openxmlformats.org/officeDocument/2006/relationships/hyperlink" Target="https://drliuhao.github.io/mh-liver-pathways/evidence-libraries/" TargetMode="External"/><Relationship Id="rId117" Type="http://schemas.openxmlformats.org/officeDocument/2006/relationships/hyperlink" Target="https://doi.org/10.1111/j.1600-6143.2011.03972.x" TargetMode="External"/><Relationship Id="rId118" Type="http://schemas.openxmlformats.org/officeDocument/2006/relationships/hyperlink" Target="https://drliuhao.github.io/mh-liver-pathways/evidence-libraries/" TargetMode="External"/><Relationship Id="rId119" Type="http://schemas.openxmlformats.org/officeDocument/2006/relationships/hyperlink" Target="https://doi.org/10.1111/ajt.14055" TargetMode="External"/><Relationship Id="rId120" Type="http://schemas.openxmlformats.org/officeDocument/2006/relationships/hyperlink" Target="https://drliuhao.github.io/mh-liver-pathways/evidence-libraries/" TargetMode="External"/><Relationship Id="rId121" Type="http://schemas.openxmlformats.org/officeDocument/2006/relationships/hyperlink" Target="https://doi.org/10.1097/LVT.0000000000000303" TargetMode="External"/><Relationship Id="rId122" Type="http://schemas.openxmlformats.org/officeDocument/2006/relationships/hyperlink" Target="https://drliuhao.github.io/mh-liver-pathways/evidence-libraries/" TargetMode="External"/><Relationship Id="rId123" Type="http://schemas.openxmlformats.org/officeDocument/2006/relationships/hyperlink" Target="https://doi.org/10.1002/jhbp.12121" TargetMode="External"/><Relationship Id="rId124" Type="http://schemas.openxmlformats.org/officeDocument/2006/relationships/hyperlink" Target="https://drliuhao.github.io/mh-liver-pathways/evidence-libraries/" TargetMode="External"/><Relationship Id="rId125" Type="http://schemas.openxmlformats.org/officeDocument/2006/relationships/hyperlink" Target="https://link.springer.com/article/10.1245/s10434-020-09001-8" TargetMode="External"/><Relationship Id="rId126" Type="http://schemas.openxmlformats.org/officeDocument/2006/relationships/hyperlink" Target="https://drliuhao.github.io/mh-liver-pathways/evidence-libraries/" TargetMode="External"/><Relationship Id="rId127" Type="http://schemas.openxmlformats.org/officeDocument/2006/relationships/hyperlink" Target="https://drliuhao.github.io/mh-liver-pathways/evidence-libraries/" TargetMode="External"/><Relationship Id="rId128" Type="http://schemas.openxmlformats.org/officeDocument/2006/relationships/hyperlink" Target="https://doi.org/10.1200/JCO-26-02462" TargetMode="External"/><Relationship Id="rId129" Type="http://schemas.openxmlformats.org/officeDocument/2006/relationships/hyperlink" Target="https://drliuhao.github.io/mh-liver-pathways/evidence-libraries/" TargetMode="External"/><Relationship Id="rId130" Type="http://schemas.openxmlformats.org/officeDocument/2006/relationships/hyperlink" Target="https://doi.org/10.1016/S2468-1253(24)00119-5" TargetMode="External"/><Relationship Id="rId131" Type="http://schemas.openxmlformats.org/officeDocument/2006/relationships/hyperlink" Target="https://drliuhao.github.io/mh-liver-pathways/evidence-libraries/" TargetMode="External"/><Relationship Id="rId132" Type="http://schemas.openxmlformats.org/officeDocument/2006/relationships/hyperlink" Target="https://www.hrsa.gov/sites/default/files/hrsa/optn/optn_policies.pdf" TargetMode="External"/><Relationship Id="rId133" Type="http://schemas.openxmlformats.org/officeDocument/2006/relationships/hyperlink" Target="https://drliuhao.github.io/mh-liver-pathways/evidence-libraries/" TargetMode="External"/><Relationship Id="rId134" Type="http://schemas.openxmlformats.org/officeDocument/2006/relationships/hyperlink" Target="https://www.hrsa.gov/sites/default/files/hrsa/optn/adult-meld-exception-transplant-oncology-review-guidance.pdf" TargetMode="External"/><Relationship Id="rId135" Type="http://schemas.openxmlformats.org/officeDocument/2006/relationships/hyperlink" Target="https://drliuhao.github.io/mh-liver-pathways/evidence-libraries/" TargetMode="External"/><Relationship Id="rId136" Type="http://schemas.openxmlformats.org/officeDocument/2006/relationships/hyperlink" Target="https://www.nccn.org/professionals/physician_gls/pdf/btc.pdf#page=16" TargetMode="External"/><Relationship Id="rId137" Type="http://schemas.openxmlformats.org/officeDocument/2006/relationships/hyperlink" Target="https://drliuhao.github.io/mh-liver-pathways/evidence-libraries/" TargetMode="External"/><Relationship Id="rId138" Type="http://schemas.openxmlformats.org/officeDocument/2006/relationships/hyperlink" Target="https://onlinelibrary.wiley.com/doi/full/10.1002/hep.25629" TargetMode="External"/><Relationship Id="rId139" Type="http://schemas.openxmlformats.org/officeDocument/2006/relationships/hyperlink" Target="https://drliuhao.github.io/mh-liver-pathways/evidence-libraries/" TargetMode="External"/><Relationship Id="rId140" Type="http://schemas.openxmlformats.org/officeDocument/2006/relationships/hyperlink" Target="https://pmc.ncbi.nlm.nih.gov/articles/PMC6002861/" TargetMode="External"/><Relationship Id="rId141" Type="http://schemas.openxmlformats.org/officeDocument/2006/relationships/hyperlink" Target="https://drliuhao.github.io/mh-liver-pathways/evidence-libraries/" TargetMode="External"/><Relationship Id="rId142" Type="http://schemas.openxmlformats.org/officeDocument/2006/relationships/hyperlink" Target="https://link.springer.com/article/10.1245/s10434-020-08258-3" TargetMode="External"/><Relationship Id="rId143" Type="http://schemas.openxmlformats.org/officeDocument/2006/relationships/hyperlink" Target="https://drliuhao.github.io/mh-liver-pathways/evidence-libraries/" TargetMode="External"/><Relationship Id="rId144" Type="http://schemas.openxmlformats.org/officeDocument/2006/relationships/hyperlink" Target="https://doi.org/10.1002/hep.32771" TargetMode="External"/><Relationship Id="rId145" Type="http://schemas.openxmlformats.org/officeDocument/2006/relationships/hyperlink" Target="https://drliuhao.github.io/mh-liver-pathways/evidence-libraries/" TargetMode="External"/><Relationship Id="rId146" Type="http://schemas.openxmlformats.org/officeDocument/2006/relationships/hyperlink" Target="https://pmc.ncbi.nlm.nih.gov/articles/PMC9085963/" TargetMode="External"/><Relationship Id="rId147" Type="http://schemas.openxmlformats.org/officeDocument/2006/relationships/hyperlink" Target="https://drliuhao.github.io/mh-liver-pathways/evidence-libraries/" TargetMode="External"/><Relationship Id="rId148" Type="http://schemas.openxmlformats.org/officeDocument/2006/relationships/hyperlink" Target="https://doi.org/10.1097/HEP.0000000000001644" TargetMode="External"/><Relationship Id="rId149" Type="http://schemas.openxmlformats.org/officeDocument/2006/relationships/hyperlink" Target="https://drliuhao.github.io/mh-liver-pathways/evidence-libraries/" TargetMode="External"/><Relationship Id="rId150" Type="http://schemas.openxmlformats.org/officeDocument/2006/relationships/hyperlink" Target="https://pubmed.ncbi.nlm.nih.gov/32671802" TargetMode="External"/><Relationship Id="rId151" Type="http://schemas.openxmlformats.org/officeDocument/2006/relationships/hyperlink" Target="https://drliuhao.github.io/mh-liver-pathways/evidence-libraries/" TargetMode="External"/><Relationship Id="rId152" Type="http://schemas.openxmlformats.org/officeDocument/2006/relationships/hyperlink" Target="https://onlinelibrary.wiley.com/doi/10.1002/jso.27511" TargetMode="External"/><Relationship Id="rId153" Type="http://schemas.openxmlformats.org/officeDocument/2006/relationships/hyperlink" Target="https://drliuhao.github.io/mh-liver-pathways/evidence-libraries/" TargetMode="External"/><Relationship Id="rId154" Type="http://schemas.openxmlformats.org/officeDocument/2006/relationships/hyperlink" Target="https://jamanetwork.com/journals/jamasurgery/fullarticle/10.1001/jamasurg.2023.6083?utm_source=openevidence&amp;utm_medium=referral" TargetMode="External"/><Relationship Id="rId155" Type="http://schemas.openxmlformats.org/officeDocument/2006/relationships/hyperlink" Target="https://drliuhao.github.io/mh-liver-pathways/evidence-libraries/" TargetMode="External"/><Relationship Id="rId156" Type="http://schemas.openxmlformats.org/officeDocument/2006/relationships/hyperlink" Target="https://doi.org/10.1097/HEP.0000000000001449" TargetMode="External"/><Relationship Id="rId157" Type="http://schemas.openxmlformats.org/officeDocument/2006/relationships/hyperlink" Target="https://drliuhao.github.io/mh-liver-pathways/evidence-libraries/" TargetMode="External"/><Relationship Id="rId158" Type="http://schemas.openxmlformats.org/officeDocument/2006/relationships/hyperlink" Target="https://doi.org/10.1016/S2468-1253(18)30045-1" TargetMode="External"/><Relationship Id="rId159" Type="http://schemas.openxmlformats.org/officeDocument/2006/relationships/hyperlink" Target="https://drliuhao.github.io/mh-liver-pathways/evidence-libraries/" TargetMode="External"/><Relationship Id="rId160" Type="http://schemas.openxmlformats.org/officeDocument/2006/relationships/hyperlink" Target="https://onlinelibrary.wiley.com/doi/10.1111/ctr.13023" TargetMode="External"/><Relationship Id="rId161" Type="http://schemas.openxmlformats.org/officeDocument/2006/relationships/hyperlink" Target="https://drliuhao.github.io/mh-liver-pathways/evidence-libraries/" TargetMode="External"/><Relationship Id="rId162" Type="http://schemas.openxmlformats.org/officeDocument/2006/relationships/hyperlink" Target="https://pubmed.ncbi.nlm.nih.gov/39939239" TargetMode="External"/><Relationship Id="rId163" Type="http://schemas.openxmlformats.org/officeDocument/2006/relationships/hyperlink" Target="https://drliuhao.github.io/mh-liver-pathways/evidence-libraries/" TargetMode="External"/><Relationship Id="rId164" Type="http://schemas.openxmlformats.org/officeDocument/2006/relationships/hyperlink" Target="https://dailymed.nlm.nih.gov/dailymed/drugInfo.cfm?setid=e082a024-7850-400b-a5c2-2a140612562a" TargetMode="External"/><Relationship Id="rId165" Type="http://schemas.openxmlformats.org/officeDocument/2006/relationships/hyperlink" Target="https://drliuhao.github.io/mh-liver-pathways/evidence-libraries/" TargetMode="External"/><Relationship Id="rId166" Type="http://schemas.openxmlformats.org/officeDocument/2006/relationships/hyperlink" Target="https://onlinelibrary.wiley.com/doi/10.1111/ctr.70547" TargetMode="External"/><Relationship Id="rId167" Type="http://schemas.openxmlformats.org/officeDocument/2006/relationships/hyperlink" Target="https://drliuhao.github.io/mh-liver-pathways/evidence-libraries/" TargetMode="External"/><Relationship Id="rId168" Type="http://schemas.openxmlformats.org/officeDocument/2006/relationships/hyperlink" Target="https://doi.org/10.1053/j.gastro.2012.04.008" TargetMode="External"/><Relationship Id="rId169" Type="http://schemas.openxmlformats.org/officeDocument/2006/relationships/hyperlink" Target="https://drliuhao.github.io/mh-liver-pathways/evidence-libraries/" TargetMode="External"/><Relationship Id="rId170" Type="http://schemas.openxmlformats.org/officeDocument/2006/relationships/hyperlink" Target="https://onlinelibrary.wiley.com/doi/10.1002/jso.24833" TargetMode="External"/><Relationship Id="rId171" Type="http://schemas.openxmlformats.org/officeDocument/2006/relationships/hyperlink" Target="https://drliuhao.github.io/mh-liver-pathways/evidence-libraries/" TargetMode="External"/><Relationship Id="rId172" Type="http://schemas.openxmlformats.org/officeDocument/2006/relationships/hyperlink" Target="https://doi.org/10.1097/lvt.0000000000000715" TargetMode="External"/><Relationship Id="rId173" Type="http://schemas.openxmlformats.org/officeDocument/2006/relationships/hyperlink" Target="https://drliuhao.github.io/mh-liver-pathways/evidence-libraries/" TargetMode="External"/><Relationship Id="rId174" Type="http://schemas.openxmlformats.org/officeDocument/2006/relationships/hyperlink" Target="https://doi.org/10.3389/fonc.2026.1866870" TargetMode="External"/><Relationship Id="rId175" Type="http://schemas.openxmlformats.org/officeDocument/2006/relationships/hyperlink" Target="https://drliuhao.github.io/mh-liver-pathways/evidence-libraries/" TargetMode="External"/><Relationship Id="rId176" Type="http://schemas.openxmlformats.org/officeDocument/2006/relationships/hyperlink" Target="https://doi.org/10.1111/j.1600-6143.2011.03972.x" TargetMode="External"/><Relationship Id="rId177" Type="http://schemas.openxmlformats.org/officeDocument/2006/relationships/hyperlink" Target="https://drliuhao.github.io/mh-liver-pathways/evidence-libraries/" TargetMode="External"/><Relationship Id="rId178" Type="http://schemas.openxmlformats.org/officeDocument/2006/relationships/hyperlink" Target="https://doi.org/10.1111/ajt.14055" TargetMode="External"/><Relationship Id="rId179" Type="http://schemas.openxmlformats.org/officeDocument/2006/relationships/hyperlink" Target="https://drliuhao.github.io/mh-liver-pathways/evidence-libraries/" TargetMode="External"/><Relationship Id="rId180" Type="http://schemas.openxmlformats.org/officeDocument/2006/relationships/hyperlink" Target="https://doi.org/10.1097/LVT.0000000000000303" TargetMode="External"/><Relationship Id="rId181" Type="http://schemas.openxmlformats.org/officeDocument/2006/relationships/hyperlink" Target="https://drliuhao.github.io/mh-liver-pathways/evidence-libraries/" TargetMode="External"/><Relationship Id="rId182" Type="http://schemas.openxmlformats.org/officeDocument/2006/relationships/hyperlink" Target="https://doi.org/10.1002/jhbp.12121" TargetMode="External"/><Relationship Id="rId183" Type="http://schemas.openxmlformats.org/officeDocument/2006/relationships/hyperlink" Target="https://drliuhao.github.io/mh-liver-pathways/evidence-libraries/" TargetMode="External"/><Relationship Id="rId184" Type="http://schemas.openxmlformats.org/officeDocument/2006/relationships/hyperlink" Target="https://link.springer.com/article/10.1245/s10434-020-09001-8" TargetMode="External"/><Relationship Id="rId185" Type="http://schemas.openxmlformats.org/officeDocument/2006/relationships/hyperlink" Target="https://drliuhao.github.io/mh-liver-pathways/evidence-libraries/" TargetMode="External"/><Relationship Id="rId186" Type="http://schemas.openxmlformats.org/officeDocument/2006/relationships/hyperlink" Target="https://doi.org/10.1200/JCO-26-02462" TargetMode="External"/><Relationship Id="rId187" Type="http://schemas.openxmlformats.org/officeDocument/2006/relationships/hyperlink" Target="https://drliuhao.github.io/mh-liver-pathways/evidence-libraries/" TargetMode="External"/><Relationship Id="rId188" Type="http://schemas.openxmlformats.org/officeDocument/2006/relationships/hyperlink" Target="https://doi.org/10.1016/S2468-1253(24)00119-5" TargetMode="External"/><Relationship Id="rId189" Type="http://schemas.openxmlformats.org/officeDocument/2006/relationships/hyperlink" Target="https://drliuhao.github.io/mh-liver-pathways/evidence-libraries/" TargetMode="External"/><Relationship Id="rId190" Type="http://schemas.openxmlformats.org/officeDocument/2006/relationships/hyperlink" Target="https://doi.org/10.1097/COC.0000000000000056" TargetMode="External"/><Relationship Id="rId191" Type="http://schemas.openxmlformats.org/officeDocument/2006/relationships/hyperlink" Target="https://doi.org/10.1053/j.gastro.2012.04.008" TargetMode="External"/><Relationship Id="rId192" Type="http://schemas.openxmlformats.org/officeDocument/2006/relationships/hyperlink" Target="https://drliuhao.github.io/mh-liver-pathways/evidence-libraries/" TargetMode="External"/><Relationship Id="rId193" Type="http://schemas.openxmlformats.org/officeDocument/2006/relationships/hyperlink" Target="https://link.springer.com/article/10.1245/s10434-020-09001-8" TargetMode="External"/><Relationship Id="rId194" Type="http://schemas.openxmlformats.org/officeDocument/2006/relationships/hyperlink" Target="https://drliuhao.github.io/mh-liver-pathways/evidence-libraries/" TargetMode="External"/><Relationship Id="rId195" Type="http://schemas.openxmlformats.org/officeDocument/2006/relationships/hyperlink" Target="https://doi.org/10.1111/hpb.12450" TargetMode="External"/><Relationship Id="rId196" Type="http://schemas.openxmlformats.org/officeDocument/2006/relationships/hyperlink" Target="https://drliuhao.github.io/mh-liver-pathways/evidence-libraries/" TargetMode="External"/><Relationship Id="rId197" Type="http://schemas.openxmlformats.org/officeDocument/2006/relationships/hyperlink" Target="https://doi.org/10.1245/s10434-026-19975-6" TargetMode="External"/><Relationship Id="rId198" Type="http://schemas.openxmlformats.org/officeDocument/2006/relationships/hyperlink" Target="https://doi.org/10.1016/j.gie.2023.10.047" TargetMode="External"/><Relationship Id="rId199" Type="http://schemas.openxmlformats.org/officeDocument/2006/relationships/hyperlink" Target="https://doi.org/10.1016/j.jss.2019.04.023" TargetMode="External"/><Relationship Id="rId200" Type="http://schemas.openxmlformats.org/officeDocument/2006/relationships/hyperlink" Target="https://www.hrsa.gov/sites/default/files/hrsa/optn/optn_policies.pdf" TargetMode="External"/><Relationship Id="rId201" Type="http://schemas.openxmlformats.org/officeDocument/2006/relationships/hyperlink" Target="https://drliuhao.github.io/mh-liver-pathways/evidence-libraries/" TargetMode="External"/><Relationship Id="rId202" Type="http://schemas.openxmlformats.org/officeDocument/2006/relationships/hyperlink" Target="https://www.hrsa.gov/sites/default/files/hrsa/optn/adult-meld-exception-transplant-oncology-review-guidance.pdf" TargetMode="External"/><Relationship Id="rId203" Type="http://schemas.openxmlformats.org/officeDocument/2006/relationships/hyperlink" Target="https://drliuhao.github.io/mh-liver-pathways/evidence-libraries/" TargetMode="External"/><Relationship Id="rId204" Type="http://schemas.openxmlformats.org/officeDocument/2006/relationships/hyperlink" Target="https://www.nccn.org/professionals/physician_gls/pdf/btc.pdf#page=16" TargetMode="External"/><Relationship Id="rId205" Type="http://schemas.openxmlformats.org/officeDocument/2006/relationships/hyperlink" Target="https://drliuhao.github.io/mh-liver-pathways/evidence-libraries/" TargetMode="External"/><Relationship Id="rId206" Type="http://schemas.openxmlformats.org/officeDocument/2006/relationships/hyperlink" Target="https://onlinelibrary.wiley.com/doi/full/10.1002/hep.25629" TargetMode="External"/><Relationship Id="rId207" Type="http://schemas.openxmlformats.org/officeDocument/2006/relationships/hyperlink" Target="https://drliuhao.github.io/mh-liver-pathways/evidence-libraries/" TargetMode="External"/><Relationship Id="rId208" Type="http://schemas.openxmlformats.org/officeDocument/2006/relationships/hyperlink" Target="https://pmc.ncbi.nlm.nih.gov/articles/PMC6002861/" TargetMode="External"/><Relationship Id="rId209" Type="http://schemas.openxmlformats.org/officeDocument/2006/relationships/hyperlink" Target="https://drliuhao.github.io/mh-liver-pathways/evidence-libraries/" TargetMode="External"/><Relationship Id="rId210" Type="http://schemas.openxmlformats.org/officeDocument/2006/relationships/hyperlink" Target="https://link.springer.com/article/10.1245/s10434-020-08258-3" TargetMode="External"/><Relationship Id="rId211" Type="http://schemas.openxmlformats.org/officeDocument/2006/relationships/hyperlink" Target="https://drliuhao.github.io/mh-liver-pathways/evidence-libraries/" TargetMode="External"/><Relationship Id="rId212" Type="http://schemas.openxmlformats.org/officeDocument/2006/relationships/hyperlink" Target="https://doi.org/10.1002/hep.32771" TargetMode="External"/><Relationship Id="rId213" Type="http://schemas.openxmlformats.org/officeDocument/2006/relationships/hyperlink" Target="https://drliuhao.github.io/mh-liver-pathways/evidence-libraries/" TargetMode="External"/><Relationship Id="rId214" Type="http://schemas.openxmlformats.org/officeDocument/2006/relationships/hyperlink" Target="https://pmc.ncbi.nlm.nih.gov/articles/PMC9085963/" TargetMode="External"/><Relationship Id="rId215" Type="http://schemas.openxmlformats.org/officeDocument/2006/relationships/hyperlink" Target="https://drliuhao.github.io/mh-liver-pathways/evidence-libraries/" TargetMode="External"/><Relationship Id="rId216" Type="http://schemas.openxmlformats.org/officeDocument/2006/relationships/hyperlink" Target="https://doi.org/10.1097/HEP.0000000000001644" TargetMode="External"/><Relationship Id="rId217" Type="http://schemas.openxmlformats.org/officeDocument/2006/relationships/hyperlink" Target="https://drliuhao.github.io/mh-liver-pathways/evidence-libraries/" TargetMode="External"/><Relationship Id="rId218" Type="http://schemas.openxmlformats.org/officeDocument/2006/relationships/hyperlink" Target="https://pubmed.ncbi.nlm.nih.gov/32671802" TargetMode="External"/><Relationship Id="rId219" Type="http://schemas.openxmlformats.org/officeDocument/2006/relationships/hyperlink" Target="https://drliuhao.github.io/mh-liver-pathways/evidence-libraries/" TargetMode="External"/><Relationship Id="rId220" Type="http://schemas.openxmlformats.org/officeDocument/2006/relationships/hyperlink" Target="https://onlinelibrary.wiley.com/doi/10.1002/jso.27511" TargetMode="External"/><Relationship Id="rId221" Type="http://schemas.openxmlformats.org/officeDocument/2006/relationships/hyperlink" Target="https://drliuhao.github.io/mh-liver-pathways/evidence-libraries/" TargetMode="External"/><Relationship Id="rId222" Type="http://schemas.openxmlformats.org/officeDocument/2006/relationships/hyperlink" Target="https://doi.org/10.1200/JCO-26-02462" TargetMode="External"/><Relationship Id="rId223" Type="http://schemas.openxmlformats.org/officeDocument/2006/relationships/hyperlink" Target="https://drliuhao.github.io/mh-liver-pathways/evidence-libraries/" TargetMode="External"/><Relationship Id="rId224" Type="http://schemas.openxmlformats.org/officeDocument/2006/relationships/hyperlink" Target="https://doi.org/10.1016/S2468-1253(24)00119-5" TargetMode="External"/><Relationship Id="rId225" Type="http://schemas.openxmlformats.org/officeDocument/2006/relationships/hyperlink" Target="https://drliuhao.github.io/mh-liver-pathways/evidence-libraries/" TargetMode="External"/><Relationship Id="rId226" Type="http://schemas.openxmlformats.org/officeDocument/2006/relationships/hyperlink" Target="https://jamanetwork.com/journals/jamasurgery/fullarticle/10.1001/jamasurg.2023.6083?utm_source=openevidence&amp;utm_medium=referral" TargetMode="External"/><Relationship Id="rId227" Type="http://schemas.openxmlformats.org/officeDocument/2006/relationships/hyperlink" Target="https://drliuhao.github.io/mh-liver-pathways/evidence-libraries/" TargetMode="External"/><Relationship Id="rId228" Type="http://schemas.openxmlformats.org/officeDocument/2006/relationships/hyperlink" Target="https://doi.org/10.1097/HEP.0000000000001449" TargetMode="External"/><Relationship Id="rId229" Type="http://schemas.openxmlformats.org/officeDocument/2006/relationships/hyperlink" Target="https://drliuhao.github.io/mh-liver-pathways/evidence-libraries/" TargetMode="External"/><Relationship Id="rId230" Type="http://schemas.openxmlformats.org/officeDocument/2006/relationships/hyperlink" Target="https://doi.org/10.1016/S2468-1253(18)30045-1" TargetMode="External"/><Relationship Id="rId231" Type="http://schemas.openxmlformats.org/officeDocument/2006/relationships/hyperlink" Target="https://drliuhao.github.io/mh-liver-pathways/evidence-libraries/" TargetMode="External"/><Relationship Id="rId232" Type="http://schemas.openxmlformats.org/officeDocument/2006/relationships/hyperlink" Target="https://onlinelibrary.wiley.com/doi/10.1111/ctr.13023" TargetMode="External"/><Relationship Id="rId233" Type="http://schemas.openxmlformats.org/officeDocument/2006/relationships/hyperlink" Target="https://drliuhao.github.io/mh-liver-pathways/evidence-libraries/" TargetMode="External"/><Relationship Id="rId234" Type="http://schemas.openxmlformats.org/officeDocument/2006/relationships/hyperlink" Target="https://pubmed.ncbi.nlm.nih.gov/39939239" TargetMode="External"/><Relationship Id="rId235" Type="http://schemas.openxmlformats.org/officeDocument/2006/relationships/hyperlink" Target="https://drliuhao.github.io/mh-liver-pathways/evidence-libraries/" TargetMode="External"/><Relationship Id="rId236" Type="http://schemas.openxmlformats.org/officeDocument/2006/relationships/hyperlink" Target="https://dailymed.nlm.nih.gov/dailymed/drugInfo.cfm?setid=e082a024-7850-400b-a5c2-2a140612562a" TargetMode="External"/><Relationship Id="rId237" Type="http://schemas.openxmlformats.org/officeDocument/2006/relationships/hyperlink" Target="https://drliuhao.github.io/mh-liver-pathways/evidence-libraries/" TargetMode="External"/><Relationship Id="rId238" Type="http://schemas.openxmlformats.org/officeDocument/2006/relationships/hyperlink" Target="https://onlinelibrary.wiley.com/doi/10.1111/ctr.70547" TargetMode="External"/><Relationship Id="rId239" Type="http://schemas.openxmlformats.org/officeDocument/2006/relationships/hyperlink" Target="https://drliuhao.github.io/mh-liver-pathways/evidence-libraries/" TargetMode="External"/><Relationship Id="rId240" Type="http://schemas.openxmlformats.org/officeDocument/2006/relationships/hyperlink" Target="https://doi.org/10.1053/j.gastro.2012.04.008" TargetMode="External"/><Relationship Id="rId241" Type="http://schemas.openxmlformats.org/officeDocument/2006/relationships/hyperlink" Target="https://drliuhao.github.io/mh-liver-pathways/evidence-libraries/" TargetMode="External"/><Relationship Id="rId242" Type="http://schemas.openxmlformats.org/officeDocument/2006/relationships/hyperlink" Target="https://onlinelibrary.wiley.com/doi/10.1002/jso.24833" TargetMode="External"/><Relationship Id="rId243" Type="http://schemas.openxmlformats.org/officeDocument/2006/relationships/hyperlink" Target="https://drliuhao.github.io/mh-liver-pathways/evidence-libraries/" TargetMode="External"/><Relationship Id="rId244" Type="http://schemas.openxmlformats.org/officeDocument/2006/relationships/hyperlink" Target="https://doi.org/10.1097/lvt.0000000000000715" TargetMode="External"/><Relationship Id="rId245" Type="http://schemas.openxmlformats.org/officeDocument/2006/relationships/hyperlink" Target="https://drliuhao.github.io/mh-liver-pathways/evidence-libraries/" TargetMode="External"/><Relationship Id="rId246" Type="http://schemas.openxmlformats.org/officeDocument/2006/relationships/hyperlink" Target="https://doi.org/10.3389/fonc.2026.1866870" TargetMode="External"/><Relationship Id="rId247" Type="http://schemas.openxmlformats.org/officeDocument/2006/relationships/hyperlink" Target="https://drliuhao.github.io/mh-liver-pathways/evidence-libraries/" TargetMode="External"/><Relationship Id="rId248" Type="http://schemas.openxmlformats.org/officeDocument/2006/relationships/hyperlink" Target="https://doi.org/10.1111/j.1600-6143.2011.03972.x" TargetMode="External"/><Relationship Id="rId249" Type="http://schemas.openxmlformats.org/officeDocument/2006/relationships/hyperlink" Target="https://drliuhao.github.io/mh-liver-pathways/evidence-libraries/" TargetMode="External"/><Relationship Id="rId250" Type="http://schemas.openxmlformats.org/officeDocument/2006/relationships/hyperlink" Target="https://doi.org/10.1111/ajt.14055" TargetMode="External"/><Relationship Id="rId251" Type="http://schemas.openxmlformats.org/officeDocument/2006/relationships/hyperlink" Target="https://drliuhao.github.io/mh-liver-pathways/evidence-libraries/" TargetMode="External"/><Relationship Id="rId252" Type="http://schemas.openxmlformats.org/officeDocument/2006/relationships/hyperlink" Target="https://doi.org/10.1097/LVT.0000000000000303" TargetMode="External"/><Relationship Id="rId253" Type="http://schemas.openxmlformats.org/officeDocument/2006/relationships/hyperlink" Target="https://drliuhao.github.io/mh-liver-pathways/evidence-libraries/" TargetMode="External"/><Relationship Id="rId254" Type="http://schemas.openxmlformats.org/officeDocument/2006/relationships/hyperlink" Target="https://doi.org/10.1002/jhbp.12121" TargetMode="External"/><Relationship Id="rId255" Type="http://schemas.openxmlformats.org/officeDocument/2006/relationships/hyperlink" Target="https://drliuhao.github.io/mh-liver-pathways/evidence-libraries/" TargetMode="External"/><Relationship Id="rId256" Type="http://schemas.openxmlformats.org/officeDocument/2006/relationships/hyperlink" Target="https://link.springer.com/article/10.1245/s10434-020-09001-8" TargetMode="External"/><Relationship Id="rId257" Type="http://schemas.openxmlformats.org/officeDocument/2006/relationships/hyperlink" Target="https://drliuhao.github.io/mh-liver-pathways/evidence-libraries/" TargetMode="External"/><Relationship Id="rId258" Type="http://schemas.openxmlformats.org/officeDocument/2006/relationships/hyperlink" Target="https://doi.org/10.1097/COC.0000000000000056" TargetMode="External"/><Relationship Id="rId259" Type="http://schemas.openxmlformats.org/officeDocument/2006/relationships/hyperlink" Target="https://doi.org/10.1111/hpb.12450" TargetMode="External"/><Relationship Id="rId260" Type="http://schemas.openxmlformats.org/officeDocument/2006/relationships/hyperlink" Target="https://drliuhao.github.io/mh-liver-pathways/evidence-libraries/" TargetMode="External"/><Relationship Id="rId261" Type="http://schemas.openxmlformats.org/officeDocument/2006/relationships/hyperlink" Target="https://doi.org/10.1245/s10434-026-19975-6" TargetMode="External"/><Relationship Id="rId262" Type="http://schemas.openxmlformats.org/officeDocument/2006/relationships/hyperlink" Target="https://doi.org/10.1016/j.gie.2023.10.047" TargetMode="External"/><Relationship Id="rId263" Type="http://schemas.openxmlformats.org/officeDocument/2006/relationships/hyperlink" Target="https://doi.org/10.1016/j.jss.2019.04.023"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2026-07-15T23:24:36.929Z</dcterms:created>
  <dcterms:modified xsi:type="dcterms:W3CDTF">2026-10-29T14:21:24Z</dcterms:modified>
  <dc:title>UTHealth Houston / Memorial Hermann — Perihilar cholangiocarcinoma Standard / Guidance-Aligned Transplant Protocol V8</dc:title>
  <dc:subject>OPTN Policy 9.5.A standardized exception pathway</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