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line="252" w:lineRule="auto" w:after="120"/>
      </w:pPr>
      <w:r>
        <w:rPr>
          <w:b w:val="0"/>
          <w:i w:val="0"/>
          <w:sz w:val="44"/>
        </w:rPr>
        <w:t>Perihilar cholangiocarcinoma — Standard transplant pathway: questions for consensus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UTHealth Houston and Memorial Hermann · HPB oncology · 29 October 2026 · V17 standardized documents</w:t>
      </w:r>
    </w:p>
    <w:p>
      <w:pPr>
        <w:spacing w:after="80"/>
      </w:pPr>
      <w:r>
        <w:rPr>
          <w:b w:val="0"/>
          <w:i w:val="0"/>
        </w:rPr>
        <w:t>Every question in the standard transplant pathway that still needs a consensus answer. Each one shows what guidelines, trials and papers say, our proposed selection, and space for the group decision. All proposals are OPEN; nothing in this document is activated or approved.</w:t>
      </w:r>
    </w:p>
    <w:p>
      <w:pPr>
        <w:spacing w:after="80"/>
      </w:pPr>
      <w:r>
        <w:rPr>
          <w:b w:val="0"/>
          <w:i w:val="0"/>
        </w:rPr>
        <w:t>Web page: https://drliuhao.github.io/mh-liver-pathways/transplant/pcca/#meeting</w:t>
      </w:r>
    </w:p>
    <w:p>
      <w:pPr>
        <w:spacing w:after="160"/>
      </w:pPr>
      <w:r>
        <w:rPr>
          <w:b/>
          <w:i w:val="0"/>
        </w:rPr>
        <w:t xml:space="preserve">Companion files: </w:t>
      </w:r>
      <w:r>
        <w:rPr>
          <w:b w:val="0"/>
          <w:i w:val="0"/>
          <w:sz w:val="20"/>
        </w:rPr>
        <w:t xml:space="preserve">Full content: </w:t>
      </w:r>
      <w:r>
        <w:rPr>
          <w:b w:val="0"/>
          <w:i/>
        </w:rPr>
        <w:t>pCCA_3_Standard_Transplant_Protocol.docx</w:t>
      </w:r>
      <w:r>
        <w:rPr>
          <w:b w:val="0"/>
          <w:i w:val="0"/>
          <w:sz w:val="20"/>
        </w:rPr>
        <w:t xml:space="preserve"> · Decision discussion for all settings: </w:t>
      </w:r>
      <w:r>
        <w:rPr>
          <w:b w:val="0"/>
          <w:i/>
        </w:rPr>
        <w:t>pCCA_7_Decision_Discussion.docx</w:t>
      </w:r>
    </w:p>
    <w:p>
      <w:pPr>
        <w:pStyle w:val="Heading1"/>
        <w:keepNext/>
        <w:spacing w:before="280" w:after="80"/>
      </w:pPr>
      <w:r>
        <w:rPr>
          <w:b w:val="0"/>
          <w:i w:val="0"/>
        </w:rPr>
        <w:t>Summary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1300"/>
        <w:gridCol w:w="3500"/>
        <w:gridCol w:w="3780"/>
        <w:gridCol w:w="1500"/>
      </w:tblGrid>
      <w:tr>
        <w:trPr>
          <w:tblHeader/>
        </w:trPr>
        <w:tc>
          <w:tcPr>
            <w:tcW w:type="dxa" w:w="2520"/>
            <w:tcW w:w="13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ID</w:t>
            </w:r>
          </w:p>
        </w:tc>
        <w:tc>
          <w:tcPr>
            <w:tcW w:type="dxa" w:w="2520"/>
            <w:tcW w:w="35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Question</w:t>
            </w:r>
          </w:p>
        </w:tc>
        <w:tc>
          <w:tcPr>
            <w:tcW w:type="dxa" w:w="2520"/>
            <w:tcW w:w="37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Proposed selection (summary)</w:t>
            </w:r>
          </w:p>
        </w:tc>
        <w:tc>
          <w:tcPr>
            <w:tcW w:type="dxa" w:w="2520"/>
            <w:tcW w:w="15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Status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pCCA G1</w:t>
            </w:r>
          </w:p>
        </w:tc>
        <w:tc>
          <w:tcPr>
            <w:tcW w:type="dxa" w:w="2520"/>
            <w:tcW w:w="3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Which proximal strictures require transplant-team review before diagnostic sampling?</w:t>
            </w:r>
          </w:p>
        </w:tc>
        <w:tc>
          <w:tcPr>
            <w:tcW w:type="dxa" w:w="2520"/>
            <w:tcW w:w="37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Request radiology/HPB localization before a primary needle biopsy when hilar origin is plausible.</w:t>
            </w:r>
          </w:p>
        </w:tc>
        <w:tc>
          <w:tcPr>
            <w:tcW w:type="dxa" w:w="2520"/>
            <w:tcW w:w="1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pCCA G2</w:t>
            </w:r>
          </w:p>
        </w:tc>
        <w:tc>
          <w:tcPr>
            <w:tcW w:type="dxa" w:w="2520"/>
            <w:tcW w:w="3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Primary-tumor sampling versus nodal sampling: what is acceptable?</w:t>
            </w:r>
          </w:p>
        </w:tc>
        <w:tc>
          <w:tcPr>
            <w:tcW w:type="dxa" w:w="2520"/>
            <w:tcW w:w="37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Use intraductal diagnostic approaches; require explicit target/needle-path review for EUS. Nodal sampling is not interchangeable with sampling the primary.</w:t>
            </w:r>
          </w:p>
        </w:tc>
        <w:tc>
          <w:tcPr>
            <w:tcW w:type="dxa" w:w="2520"/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pCCA G3</w:t>
            </w:r>
          </w:p>
        </w:tc>
        <w:tc>
          <w:tcPr>
            <w:tcW w:type="dxa" w:w="2520"/>
            <w:tcW w:w="3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How do we handle exactly 3 cm or conflicting radial measurements?</w:t>
            </w:r>
          </w:p>
        </w:tc>
        <w:tc>
          <w:tcPr>
            <w:tcW w:type="dxa" w:w="2520"/>
            <w:tcW w:w="37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For the standardized exception, use the strict OPTN &lt;3 cm rule. Request a documented transplant-radiology measurement when borderline.</w:t>
            </w:r>
          </w:p>
        </w:tc>
        <w:tc>
          <w:tcPr>
            <w:tcW w:type="dxa" w:w="2520"/>
            <w:tcW w:w="1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pCCA G4</w:t>
            </w:r>
          </w:p>
        </w:tc>
        <w:tc>
          <w:tcPr>
            <w:tcW w:type="dxa" w:w="2520"/>
            <w:tcW w:w="3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Which neoadjuvant regimen and modifications will our center approve?</w:t>
            </w:r>
          </w:p>
        </w:tc>
        <w:tc>
          <w:tcPr>
            <w:tcW w:type="dxa" w:w="2520"/>
            <w:tcW w:w="37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Use the formally approved center regimen and document treatment milestones; require named multidisciplinary approval for deviations.</w:t>
            </w:r>
          </w:p>
        </w:tc>
        <w:tc>
          <w:tcPr>
            <w:tcW w:type="dxa" w:w="2520"/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pCCA G5 / G6</w:t>
            </w:r>
          </w:p>
        </w:tc>
        <w:tc>
          <w:tcPr>
            <w:tcW w:type="dxa" w:w="2520"/>
            <w:tcW w:w="3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When is operative staging performed, and when does imaging expire?</w:t>
            </w:r>
          </w:p>
        </w:tc>
        <w:tc>
          <w:tcPr>
            <w:tcW w:type="dxa" w:w="2520"/>
            <w:tcW w:w="37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Separate initial-request imaging, extension imaging and mandatory pretransplant operative staging; assign a date/owner to each.</w:t>
            </w:r>
          </w:p>
        </w:tc>
        <w:tc>
          <w:tcPr>
            <w:tcW w:type="dxa" w:w="2520"/>
            <w:tcW w:w="15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  <w:tr>
        <w:trPr>
          <w:cantSplit/>
        </w:trPr>
        <w:tc>
          <w:tcPr>
            <w:tcW w:type="dxa" w:w="2520"/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pCCA G6</w:t>
            </w:r>
          </w:p>
        </w:tc>
        <w:tc>
          <w:tcPr>
            <w:tcW w:type="dxa" w:w="2520"/>
            <w:tcW w:w="3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Who approves the program and its surveillance plan?</w:t>
            </w:r>
          </w:p>
        </w:tc>
        <w:tc>
          <w:tcPr>
            <w:tcW w:type="dxa" w:w="2520"/>
            <w:tcW w:w="37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Keep center approval, patient selection and post-transplant surveillance sign-off as three distinct recorded actions.</w:t>
            </w:r>
          </w:p>
        </w:tc>
        <w:tc>
          <w:tcPr>
            <w:tcW w:type="dxa" w:w="2520"/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Discussion required — not yet approved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80"/>
      </w:pPr>
      <w:r>
        <w:rPr>
          <w:b w:val="0"/>
          <w:i w:val="0"/>
        </w:rPr>
        <w:t>Questions</w:t>
      </w:r>
    </w:p>
    <w:p>
      <w:pPr>
        <w:pStyle w:val="Heading2"/>
        <w:keepNext/>
        <w:spacing w:before="200" w:after="80"/>
      </w:pPr>
      <w:r>
        <w:rPr>
          <w:b w:val="0"/>
          <w:i w:val="0"/>
        </w:rPr>
        <w:t>pCCA G1 — Which proximal strictures require transplant-team review before diagnostic sampling?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6">
        <w:r>
          <w:rPr>
            <w:color w:val="0563C1"/>
            <w:u w:val="single"/>
          </w:rPr>
          <w:t xml:space="preserve">Localize the lesion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9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OPTN 9.5.A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“Hilar Cholangiocarcinoma”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§9.5.A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AASLD · CCA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Guidance distinguishes intrahepatic, perihilar and distal CCA and their diagnostic/treatment pathways.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2023 · pCCA diagnosis / transplantation · PDF pp.26–28; iCCA treatment section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Request radiology/HPB localization before a primary needle biopsy when hilar origin is plausible.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A location label changes both treatment and the consequences of sampling.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Advanced GI · HPB radiology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pCCA G1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pCCA G2 — Primary-tumor sampling versus nodal sampling: what is acceptable?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0">
        <w:r>
          <w:rPr>
            <w:color w:val="0563C1"/>
            <w:u w:val="single"/>
          </w:rPr>
          <w:t xml:space="preserve">Plan diagnostic sampling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1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OPTN 9.5.A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“Transperitoneal aspiration or biopsy of the primary tumor”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§9.5.A(6): must be avoided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OPTN 9.5.A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“Endoscopic ultrasound-guided aspiration of regional hepatic lymph nodes may be advisable”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§9.5.A(5)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AASLD · CCA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“Transperitoneal biopsies must be avoided in patients with pCCA who are potential LT candidates”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PDF p.26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Use intraductal diagnostic approaches; require explicit target/needle-path review for EUS. Nodal sampling is not interchangeable with sampling the primary.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The risk depends on the target and trajectory, not the name of the endoscopic procedure.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Advanced GI · transplant surgery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pCCA G2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pCCA G3 — How do we handle exactly 3 cm or conflicting radial measurements?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2">
        <w:r>
          <w:rPr>
            <w:color w:val="0563C1"/>
            <w:u w:val="single"/>
          </w:rPr>
          <w:t xml:space="preserve">Check protocol criteria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3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OPTN 9.5.A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“less than three cm in radial (perpendicular to the duct) diameter”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§9.5.A(3)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AASLD · CCA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“≤3 cm in radial diameter”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Treatment discussion, PDF p.27; summary guidance uses &lt;3 cm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For the standardized exception, use the strict OPTN &lt;3 cm rule. Request a documented transplant-radiology measurement when borderline.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Clinical text and allocation policy are not identical at the boundary.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Radiology · coordinator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pCCA G3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pCCA G4 — Which neoadjuvant regimen and modifications will our center approve?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4">
        <w:r>
          <w:rPr>
            <w:color w:val="0563C1"/>
            <w:u w:val="single"/>
          </w:rPr>
          <w:t xml:space="preserve">Deliver approved neoadjuvant therapy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5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OPTN 9.5.A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“Administration of neoadjuvant therapy before transplantation”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Required written protocol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AASLD · CCA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Describes external-beam radiation with 5-FU, brachytherapy and maintenance capecitabine; delivery varies by center.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2023 · pCCA diagnosis / transplantation · PDF pp.26–28; iCCA treatment section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pCCA · multicenter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Multicenter outcomes support integrated neoadjuvant-plus-transplant programs, not a single isolated component.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Darwish Murad et al. · Gastroenterology · 2012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Use the formally approved center regimen and document treatment milestones; require named multidisciplinary approval for deviations.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The website should not manufacture a regimen or imply our draft has received approval.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Medical oncology · radiation oncology · transplant leadership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pCCA G4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pCCA G5 / G6 — When is operative staging performed, and when does imaging expire?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6">
        <w:r>
          <w:rPr>
            <w:color w:val="0563C1"/>
            <w:u w:val="single"/>
          </w:rPr>
          <w:t xml:space="preserve">Perform operative staging</w:t>
        </w:r>
      </w:hyperlink>
      <w:r>
        <w:rPr>
          <w:b w:val="0"/>
          <w:i w:val="0"/>
        </w:rPr>
        <w:t xml:space="preserve"> · </w:t>
      </w:r>
      <w:hyperlink r:id="rId17">
        <w:r>
          <w:rPr>
            <w:color w:val="0563C1"/>
            <w:u w:val="single"/>
          </w:rPr>
          <w:t xml:space="preserve">List and maintain readiness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18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OPTN 9.5.A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“after completion of neoadjuvant therapy and before liver transplantation”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Operative staging, §9.5.A(5)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OPTN 9.5.A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“within 30 days prior to the submission of the extension request”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Extension imaging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Separate initial-request imaging, extension imaging and mandatory pretransplant operative staging; assign a date/owner to each.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Negative pretherapy nodal sampling does not replace posttherapy operative staging.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Transplant surgery · coordinator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pCCA G5 / G6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2"/>
        <w:keepNext/>
        <w:spacing w:before="200" w:after="80"/>
      </w:pPr>
      <w:r>
        <w:rPr>
          <w:b w:val="0"/>
          <w:i w:val="0"/>
        </w:rPr>
        <w:t>pCCA G6 — Who approves the program and its surveillance plan?</w:t>
      </w:r>
    </w:p>
    <w:p>
      <w:pPr>
        <w:spacing w:after="80"/>
      </w:pPr>
      <w:r>
        <w:rPr>
          <w:b w:val="0"/>
          <w:i w:val="0"/>
          <w:color w:val="5A6069"/>
          <w:sz w:val="18"/>
        </w:rPr>
        <w:t>Discussion required — not yet approved · Standard pathway</w:t>
      </w:r>
    </w:p>
    <w:p>
      <w:pPr>
        <w:spacing w:after="80"/>
      </w:pPr>
      <w:r>
        <w:rPr>
          <w:b/>
          <w:i w:val="0"/>
        </w:rPr>
        <w:t xml:space="preserve">Where it is decided: </w:t>
      </w:r>
      <w:hyperlink r:id="rId17">
        <w:r>
          <w:rPr>
            <w:color w:val="0563C1"/>
            <w:u w:val="single"/>
          </w:rPr>
          <w:t xml:space="preserve">List and maintain readiness</w:t>
        </w:r>
      </w:hyperlink>
      <w:r>
        <w:rPr>
          <w:b w:val="0"/>
          <w:i w:val="0"/>
        </w:rPr>
        <w:t xml:space="preserve"> · </w:t>
      </w:r>
      <w:hyperlink r:id="rId19">
        <w:r>
          <w:rPr>
            <w:color w:val="0563C1"/>
            <w:u w:val="single"/>
          </w:rPr>
          <w:t xml:space="preserve">Surveil after transplant</w:t>
        </w:r>
      </w:hyperlink>
    </w:p>
    <w:p>
      <w:pPr>
        <w:spacing w:after="120"/>
      </w:pPr>
      <w:r>
        <w:rPr>
          <w:b/>
          <w:i w:val="0"/>
          <w:sz w:val="18"/>
        </w:rPr>
        <w:t xml:space="preserve">Web page: </w:t>
      </w:r>
      <w:hyperlink r:id="rId20">
        <w:r>
          <w:rPr>
            <w:color w:val="0563C1"/>
            <w:u w:val="single"/>
            <w:sz w:val="18"/>
          </w:rPr>
          <w:t xml:space="preserve">open this question on the website</w:t>
        </w:r>
      </w:hyperlink>
    </w:p>
    <w:p>
      <w:pPr>
        <w:pStyle w:val="Heading3"/>
        <w:keepNext/>
        <w:spacing w:before="120" w:after="80"/>
      </w:pPr>
      <w:r>
        <w:rPr>
          <w:b w:val="0"/>
          <w:i w:val="0"/>
        </w:rPr>
        <w:t>Positions of guidelines, trials and papers</w:t>
      </w:r>
    </w:p>
    <w:tbl>
      <w:tblPr>
        <w:tblW w:type="auto" w:w="0"/>
        <w:tblLook w:firstColumn="1" w:firstRow="1" w:lastColumn="0" w:lastRow="0" w:noHBand="0" w:noVBand="1" w:val="04A0"/>
        <w:tblW w:w="10080" w:type="dxa"/>
        <w:tblLayout w:type="fixed"/>
        <w:tblBorders>
          <w:top w:val="single" w:sz="4" w:color="CCD6DF"/>
          <w:left w:val="single" w:sz="4" w:color="CCD6DF"/>
          <w:bottom w:val="single" w:sz="4" w:color="CCD6DF"/>
          <w:right w:val="single" w:sz="4" w:color="CCD6DF"/>
          <w:insideH w:val="single" w:sz="4" w:color="CCD6DF"/>
          <w:insideV w:val="single" w:sz="4" w:color="CCD6DF"/>
        </w:tblBorders>
        <w:tblCellMar>
          <w:top w:w="90" w:type="dxa"/>
          <w:left w:w="90" w:type="dxa"/>
          <w:bottom w:w="90" w:type="dxa"/>
          <w:right w:w="90" w:type="dxa"/>
        </w:tblCellMar>
      </w:tblPr>
      <w:tblGrid>
        <w:gridCol w:w="2200"/>
        <w:gridCol w:w="5480"/>
        <w:gridCol w:w="2400"/>
      </w:tblGrid>
      <w:tr>
        <w:trPr>
          <w:tblHeader/>
        </w:trPr>
        <w:tc>
          <w:tcPr>
            <w:tcW w:type="dxa" w:w="3360"/>
            <w:tcW w:w="22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Source</w:t>
            </w:r>
          </w:p>
        </w:tc>
        <w:tc>
          <w:tcPr>
            <w:tcW w:type="dxa" w:w="3360"/>
            <w:tcW w:w="548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Position</w:t>
            </w:r>
          </w:p>
        </w:tc>
        <w:tc>
          <w:tcPr>
            <w:tcW w:type="dxa" w:w="3360"/>
            <w:tcW w:w="2400" w:type="dxa"/>
            <w:shd w:val="clear" w:color="auto" w:fill="17365D"/>
          </w:tcPr>
          <w:p>
            <w:r>
              <w:rPr>
                <w:b/>
                <w:i w:val="0"/>
                <w:color w:val="FFFFFF"/>
                <w:sz w:val="19"/>
              </w:rPr>
              <w:t>Where stated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1F5F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OPTN 9.5.A</w:t>
            </w:r>
          </w:p>
        </w:tc>
        <w:tc>
          <w:tcPr>
            <w:tcW w:type="dxa" w:w="3360"/>
            <w:tcW w:w="548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Requires center protocol review/approval and specified supporting documentation.</w:t>
            </w:r>
          </w:p>
        </w:tc>
        <w:tc>
          <w:tcPr>
            <w:tcW w:type="dxa" w:w="3360"/>
            <w:tcW w:w="2400" w:type="dxa"/>
            <w:shd w:val="clear" w:color="auto" w:fill="F1F5F8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Effective October 1, 2026 · §9.5.A · pp.190–191</w:t>
            </w:r>
          </w:p>
        </w:tc>
      </w:tr>
      <w:tr>
        <w:trPr>
          <w:cantSplit/>
        </w:trPr>
        <w:tc>
          <w:tcPr>
            <w:tcW w:type="dxa" w:w="3360"/>
            <w:tcW w:w="2200" w:type="dxa"/>
            <w:shd w:val="clear" w:color="auto" w:fill="FFFFFF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pCCA · multicenter</w:t>
            </w:r>
          </w:p>
        </w:tc>
        <w:tc>
          <w:tcPr>
            <w:tcW w:type="dxa" w:w="3360"/>
            <w:tcW w:w="548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Long-term outcomes inform counseling, but do not specify a universal local surveillance workflow.</w:t>
            </w:r>
          </w:p>
        </w:tc>
        <w:tc>
          <w:tcPr>
            <w:tcW w:type="dxa" w:w="3360"/>
            <w:tcW w:w="2400" w:type="dxa"/>
            <w:shd w:val="clear" w:color="auto" w:fill="FFFFFF"/>
          </w:tcPr>
          <w:p>
            <w:pPr>
              <w:spacing w:after="0"/>
            </w:pPr>
            <w:r>
              <w:rPr>
                <w:b w:val="0"/>
                <w:i w:val="0"/>
                <w:color w:val="5A6069"/>
                <w:sz w:val="18"/>
              </w:rPr>
              <w:t>Darwish Murad et al. · Gastroenterology · 2012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20" w:after="80"/>
      </w:pPr>
      <w:r>
        <w:rPr>
          <w:b w:val="0"/>
          <w:i w:val="0"/>
        </w:rPr>
        <w:t>Our proposed selection (OPEN)</w:t>
      </w:r>
    </w:p>
    <w:p>
      <w:pPr>
        <w:spacing w:after="80"/>
      </w:pPr>
      <w:r>
        <w:rPr>
          <w:b w:val="0"/>
          <w:i w:val="0"/>
        </w:rPr>
        <w:t>Keep center approval, patient selection and post-transplant surveillance sign-off as three distinct recorded actions.</w:t>
      </w:r>
    </w:p>
    <w:p>
      <w:pPr>
        <w:spacing w:after="80"/>
      </w:pPr>
      <w:r>
        <w:rPr>
          <w:b/>
          <w:i w:val="0"/>
        </w:rPr>
        <w:t xml:space="preserve">Why: </w:t>
      </w:r>
      <w:r>
        <w:rPr>
          <w:b w:val="0"/>
          <w:i w:val="0"/>
        </w:rPr>
        <w:t>A web protocol is not evidence that a program has been approved.</w:t>
      </w:r>
    </w:p>
    <w:p>
      <w:pPr>
        <w:spacing w:after="80"/>
      </w:pPr>
      <w:r>
        <w:rPr>
          <w:b/>
          <w:i w:val="0"/>
        </w:rPr>
        <w:t xml:space="preserve">Owners: </w:t>
      </w:r>
      <w:r>
        <w:rPr>
          <w:b w:val="0"/>
          <w:i w:val="0"/>
        </w:rPr>
        <w:t>Transplant leadership · oncology</w:t>
      </w:r>
    </w:p>
    <w:p>
      <w:pPr>
        <w:pStyle w:val="Heading3"/>
        <w:keepNext/>
        <w:spacing w:before="120" w:after="80"/>
      </w:pPr>
      <w:r>
        <w:rPr>
          <w:b w:val="0"/>
          <w:i w:val="0"/>
        </w:rPr>
        <w:t>pCCA G6 — group decision</w:t>
      </w:r>
    </w:p>
    <w:p>
      <w:pPr>
        <w:spacing w:after="0"/>
      </w:pPr>
      <w:r>
        <w:rPr>
          <w:b/>
          <w:i w:val="0"/>
        </w:rPr>
        <w:t xml:space="preserve">Accepted position (or alternative chosen):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Rationale, dissent and exceptions: </w:t>
      </w:r>
    </w:p>
    <w:p>
      <w:pPr>
        <w:spacing w:after="200"/>
        <w:pBdr>
          <w:bottom w:val="single" w:sz="6" w:space="1" w:color="9AA8B4"/>
        </w:pBdr>
      </w:pPr>
    </w:p>
    <w:p>
      <w:pPr>
        <w:spacing w:after="0"/>
      </w:pPr>
      <w:r>
        <w:rPr>
          <w:b/>
          <w:i w:val="0"/>
        </w:rPr>
        <w:t xml:space="preserve">Owner · approval date · implementation date: </w:t>
      </w:r>
    </w:p>
    <w:p>
      <w:pPr>
        <w:spacing w:after="200"/>
        <w:pBdr>
          <w:bottom w:val="single" w:sz="6" w:space="1" w:color="9AA8B4"/>
        </w:pBdr>
      </w:pPr>
    </w:p>
    <w:p>
      <w:pPr>
        <w:pStyle w:val="Heading1"/>
        <w:keepNext/>
        <w:spacing w:before="280" w:after="80"/>
      </w:pPr>
      <w:r>
        <w:rPr>
          <w:b w:val="0"/>
          <w:i w:val="0"/>
        </w:rPr>
        <w:t>Sources</w:t>
      </w:r>
    </w:p>
    <w:p>
      <w:pPr>
        <w:spacing w:after="60"/>
      </w:pPr>
      <w:r>
        <w:rPr>
          <w:b/>
          <w:i w:val="0"/>
          <w:sz w:val="19"/>
        </w:rPr>
        <w:t>AASLD · CCA</w:t>
      </w:r>
      <w:r>
        <w:rPr>
          <w:b w:val="0"/>
          <w:i w:val="0"/>
          <w:sz w:val="19"/>
        </w:rPr>
        <w:t xml:space="preserve"> — AASLD Practice Guidance on PSC and cholangiocarcinoma</w:t>
      </w:r>
      <w:r>
        <w:rPr>
          <w:b w:val="0"/>
          <w:i w:val="0"/>
          <w:sz w:val="19"/>
        </w:rPr>
        <w:t xml:space="preserve">  </w:t>
      </w:r>
      <w:hyperlink r:id="rId21">
        <w:r>
          <w:rPr>
            <w:color w:val="0563C1"/>
            <w:u w:val="single"/>
            <w:sz w:val="19"/>
          </w:rPr>
          <w:t xml:space="preserve">Source</w:t>
        </w:r>
      </w:hyperlink>
    </w:p>
    <w:p>
      <w:pPr>
        <w:spacing w:after="60"/>
      </w:pPr>
      <w:r>
        <w:rPr>
          <w:b/>
          <w:i w:val="0"/>
          <w:sz w:val="19"/>
        </w:rPr>
        <w:t>OPTN 9.5.A</w:t>
      </w:r>
      <w:r>
        <w:rPr>
          <w:b w:val="0"/>
          <w:i w:val="0"/>
          <w:sz w:val="19"/>
        </w:rPr>
        <w:t xml:space="preserve"> — OPTN Policies — hilar CCA standardized exception</w:t>
      </w:r>
      <w:r>
        <w:rPr>
          <w:b w:val="0"/>
          <w:i w:val="0"/>
          <w:sz w:val="19"/>
        </w:rPr>
        <w:t xml:space="preserve">  </w:t>
      </w:r>
      <w:hyperlink r:id="rId22">
        <w:r>
          <w:rPr>
            <w:color w:val="0563C1"/>
            <w:u w:val="single"/>
            <w:sz w:val="19"/>
          </w:rPr>
          <w:t xml:space="preserve">Source</w:t>
        </w:r>
      </w:hyperlink>
    </w:p>
    <w:p>
      <w:pPr>
        <w:spacing w:after="60"/>
      </w:pPr>
      <w:r>
        <w:rPr>
          <w:b/>
          <w:i w:val="0"/>
          <w:sz w:val="19"/>
        </w:rPr>
        <w:t>pCCA · multicenter</w:t>
      </w:r>
      <w:r>
        <w:rPr>
          <w:b w:val="0"/>
          <w:i w:val="0"/>
          <w:sz w:val="19"/>
        </w:rPr>
        <w:t xml:space="preserve"> — Neoadjuvant chemoradiation followed by LT for perihilar CCA: 12-center experience</w:t>
      </w:r>
      <w:r>
        <w:rPr>
          <w:b w:val="0"/>
          <w:i w:val="0"/>
          <w:sz w:val="19"/>
        </w:rPr>
        <w:t xml:space="preserve">  </w:t>
      </w:r>
      <w:hyperlink r:id="rId23">
        <w:r>
          <w:rPr>
            <w:color w:val="0563C1"/>
            <w:u w:val="single"/>
            <w:sz w:val="19"/>
          </w:rPr>
          <w:t xml:space="preserve">Source</w:t>
        </w:r>
      </w:hyperlink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5A6069"/>
        <w:sz w:val="15"/>
        <w:szCs w:val="15"/>
      </w:rPr>
      <w:t xml:space="preserve">HPB oncology working reference  |  </w:t>
    </w:r>
    <w:r>
      <w:rPr>
        <w:sz w:val="15"/>
        <w:szCs w:val="15"/>
      </w:rPr>
      <w:t xml:space="preserve"/>
    </w:r>
    <w:r>
      <w:rPr>
        <w:color w:val="5A6069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–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abstractNum w:abstractNumId="4">
    <w:multiLevelType w:val="multilevel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bullet"/>
      <w:lvlText w:val="•"/>
      <w:lvlJc w:val="left"/>
      <w:pPr>
        <w:ind w:left="720" w:hanging="180"/>
      </w:pPr>
    </w:lvl>
    <w:lvl w:ilvl="2">
      <w:start w:val="1"/>
      <w:numFmt w:val="bullet"/>
      <w:lvlText w:val="•"/>
      <w:lvlJc w:val="left"/>
      <w:pPr>
        <w:ind w:left="1080" w:hanging="180"/>
      </w:pPr>
    </w:lvl>
  </w:abstractNum>
  <w:num w:numId="3">
    <w:abstractNumId w:val="4"/>
  </w:num>
  <w:abstractNum w:abstractNumId="5">
    <w:multiLevelType w:val="multilevel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bullet"/>
      <w:lvlText w:val="•"/>
      <w:lvlJc w:val="left"/>
      <w:pPr>
        <w:ind w:left="720" w:hanging="180"/>
      </w:pPr>
    </w:lvl>
    <w:lvl w:ilvl="2">
      <w:start w:val="1"/>
      <w:numFmt w:val="bullet"/>
      <w:lvlText w:val="•"/>
      <w:lvlJc w:val="left"/>
      <w:pPr>
        <w:ind w:left="1080" w:hanging="180"/>
      </w:pPr>
    </w:lvl>
  </w:abstractNum>
  <w:num w:numId="4">
    <w:abstractNumId w:val="5"/>
  </w:num>
  <w:abstractNum w:abstractNumId="6">
    <w:multiLevelType w:val="multilevel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bullet"/>
      <w:lvlText w:val="•"/>
      <w:lvlJc w:val="left"/>
      <w:pPr>
        <w:ind w:left="720" w:hanging="180"/>
      </w:pPr>
    </w:lvl>
    <w:lvl w:ilvl="2">
      <w:start w:val="1"/>
      <w:numFmt w:val="bullet"/>
      <w:lvlText w:val="•"/>
      <w:lvlJc w:val="left"/>
      <w:pPr>
        <w:ind w:left="1080" w:hanging="180"/>
      </w:pPr>
    </w:lvl>
  </w:abstractNum>
  <w:num w:numId="5">
    <w:abstractNumId w:val="6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5181F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  <w:color w:val="000000"/>
      <w:u w:val="none"/>
    </w:rPr>
  </w:style>
  <w:style w:type="paragraph" w:styleId="Heading1">
    <w:name w:val="Heading 1"/>
    <w:basedOn w:val="Normal"/>
    <w:next w:val="Normal"/>
    <w:qFormat/>
    <w:rPr>
      <w:rFonts w:ascii="Cambria" w:cs="Cambria" w:eastAsia="Cambria" w:hAnsi="Cambria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mbria" w:cs="Cambria" w:eastAsia="Cambria" w:hAnsi="Cambria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mbria" w:cs="Cambria" w:eastAsia="Cambria" w:hAnsi="Cambria"/>
      <w:b/>
      <w:bCs/>
      <w:color w:val="17365D"/>
      <w:sz w:val="22"/>
      <w:szCs w:val="22"/>
    </w:rPr>
  </w:style>
  <w:style w:type="paragraph" w:styleId="Heading4">
    <w:name w:val="Heading 4"/>
    <w:basedOn w:val="Normal"/>
    <w:next w:val="Normal"/>
    <w:qFormat/>
    <w:rPr>
      <w:rFonts w:ascii="Calibri" w:cs="Calibri" w:eastAsia="Calibri" w:hAnsi="Calibri"/>
      <w:b/>
      <w:bCs/>
      <w:color w:val="176A87"/>
      <w:sz w:val="20"/>
      <w:szCs w:val="20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6" Type="http://schemas.openxmlformats.org/officeDocument/2006/relationships/hyperlink" Target="https://drliuhao.github.io/mh-liver-pathways/transplant/pcca/#localize" TargetMode="External"/><Relationship Id="rId9" Type="http://schemas.openxmlformats.org/officeDocument/2006/relationships/hyperlink" Target="https://drliuhao.github.io/mh-liver-pathways/transplant/pcca/#meeting-anatomy" TargetMode="External"/><Relationship Id="rId10" Type="http://schemas.openxmlformats.org/officeDocument/2006/relationships/hyperlink" Target="https://drliuhao.github.io/mh-liver-pathways/transplant/pcca/#diagnosis" TargetMode="External"/><Relationship Id="rId11" Type="http://schemas.openxmlformats.org/officeDocument/2006/relationships/hyperlink" Target="https://drliuhao.github.io/mh-liver-pathways/transplant/pcca/#meeting-sampling" TargetMode="External"/><Relationship Id="rId12" Type="http://schemas.openxmlformats.org/officeDocument/2006/relationships/hyperlink" Target="https://drliuhao.github.io/mh-liver-pathways/transplant/pcca/#phenotype" TargetMode="External"/><Relationship Id="rId13" Type="http://schemas.openxmlformats.org/officeDocument/2006/relationships/hyperlink" Target="https://drliuhao.github.io/mh-liver-pathways/transplant/pcca/#meeting-threshold" TargetMode="External"/><Relationship Id="rId14" Type="http://schemas.openxmlformats.org/officeDocument/2006/relationships/hyperlink" Target="https://drliuhao.github.io/mh-liver-pathways/transplant/pcca/#neoadjuvant" TargetMode="External"/><Relationship Id="rId15" Type="http://schemas.openxmlformats.org/officeDocument/2006/relationships/hyperlink" Target="https://drliuhao.github.io/mh-liver-pathways/transplant/pcca/#meeting-regimen" TargetMode="External"/><Relationship Id="rId16" Type="http://schemas.openxmlformats.org/officeDocument/2006/relationships/hyperlink" Target="https://drliuhao.github.io/mh-liver-pathways/transplant/pcca/#staging" TargetMode="External"/><Relationship Id="rId17" Type="http://schemas.openxmlformats.org/officeDocument/2006/relationships/hyperlink" Target="https://drliuhao.github.io/mh-liver-pathways/transplant/pcca/#listing" TargetMode="External"/><Relationship Id="rId18" Type="http://schemas.openxmlformats.org/officeDocument/2006/relationships/hyperlink" Target="https://drliuhao.github.io/mh-liver-pathways/transplant/pcca/#meeting-staging-timing" TargetMode="External"/><Relationship Id="rId19" Type="http://schemas.openxmlformats.org/officeDocument/2006/relationships/hyperlink" Target="https://drliuhao.github.io/mh-liver-pathways/transplant/pcca/#follow-up" TargetMode="External"/><Relationship Id="rId20" Type="http://schemas.openxmlformats.org/officeDocument/2006/relationships/hyperlink" Target="https://drliuhao.github.io/mh-liver-pathways/transplant/pcca/#meeting-ownership" TargetMode="External"/><Relationship Id="rId21" Type="http://schemas.openxmlformats.org/officeDocument/2006/relationships/hyperlink" Target="https://doi.org/10.1002/hep.32771" TargetMode="External"/><Relationship Id="rId22" Type="http://schemas.openxmlformats.org/officeDocument/2006/relationships/hyperlink" Target="https://www.hrsa.gov/sites/default/files/hrsa/optn/optn_policies.pdf#page=190" TargetMode="External"/><Relationship Id="rId23" Type="http://schemas.openxmlformats.org/officeDocument/2006/relationships/hyperlink" Target="https://doi.org/10.1053/j.gastro.2012.04.008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Hermann HCC system roadmap v0.9</dc:title>
  <dc:subject>Hepatocellular carcinoma</dc:subject>
  <dc:creator>Memorial Hermann / UTHealth Houston tumour roadmap programme</dc:creator>
  <dc:description>Draft under development. Not ratified clinical policy.</dc:description>
  <cp:lastModifiedBy>Un-named</cp:lastModifiedBy>
  <cp:revision>1</cp:revision>
  <dcterms:created xsi:type="dcterms:W3CDTF">2026-10-10T04:29:15.270Z</dcterms:created>
  <dcterms:modified xsi:type="dcterms:W3CDTF">2026-10-29T14:21:32Z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