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600"/>
      </w:pPr>
      <w:r>
        <w:rPr>
          <w:b/>
          <w:bCs/>
          <w:color w:val="176A87"/>
          <w:spacing w:val="36"/>
          <w:sz w:val="16"/>
          <w:szCs w:val="16"/>
        </w:rPr>
        <w:t xml:space="preserve">MEMORIAL HERMANN / UTHEALTH HOUSTON</w:t>
      </w:r>
    </w:p>
    <w:p>
      <w:pPr>
        <w:spacing w:after="100"/>
      </w:pPr>
      <w:r>
        <w:rPr>
          <w:rFonts w:ascii="Cambria" w:cs="Cambria" w:eastAsia="Cambria" w:hAnsi="Cambria"/>
          <w:b/>
          <w:bCs/>
          <w:color w:val="17365D"/>
          <w:sz w:val="48"/>
          <w:szCs w:val="48"/>
        </w:rPr>
        <w:t xml:space="preserve">Pancreatic ductal adenocarcinoma</w:t>
      </w:r>
    </w:p>
    <w:p>
      <w:pPr>
        <w:spacing w:after="120"/>
      </w:pPr>
      <w:r>
        <w:rPr>
          <w:i/>
          <w:sz w:val="18"/>
        </w:rPr>
        <w:t xml:space="preserve">Standardized document set, 29 October 2026: this is the full-content document for the cancer roadmap. Questions for consensus: PDAC_2_Cancer_Roadmap_Questions.docx. Decision discussion for all settings: PDAC_7_Decision_Discussion.docx. Web page: https://drliuhao.github.io/mh-liver-pathways/pdac/</w:t>
      </w:r>
    </w:p>
    <w:p>
      <w:pPr>
        <w:spacing w:after="320"/>
      </w:pPr>
      <w:r>
        <w:rPr>
          <w:rFonts w:ascii="Cambria" w:cs="Cambria" w:eastAsia="Cambria" w:hAnsi="Cambria"/>
          <w:i/>
          <w:iCs/>
          <w:color w:val="5A6069"/>
          <w:sz w:val="28"/>
          <w:szCs w:val="28"/>
        </w:rPr>
        <w:t xml:space="preserve">Memorial Hermann system roadmap</w:t>
      </w:r>
    </w:p>
    <w:p>
      <w:pPr>
        <w:pBdr>
          <w:bottom w:val="single" w:color="D3DCE4" w:sz="6" w:space="1"/>
        </w:pBdr>
        <w:spacing w:after="260"/>
      </w:pPr>
    </w:p>
    <w:p>
      <w:pPr>
        <w:spacing w:after="60" w:line="276"/>
      </w:pPr>
      <w:r>
        <w:rPr>
          <w:b/>
          <w:bCs/>
          <w:color w:val="15181F"/>
          <w:sz w:val="22"/>
          <w:szCs w:val="22"/>
        </w:rPr>
        <w:t xml:space="preserve">Pancreatic ductal adenocarcinoma · system roadmap</w:t>
      </w:r>
    </w:p>
    <w:p>
      <w:pPr>
        <w:spacing w:after="320" w:line="276"/>
      </w:pPr>
      <w:r>
        <w:rPr>
          <w:color w:val="5A6069"/>
          <w:sz w:val="20"/>
          <w:szCs w:val="20"/>
        </w:rPr>
        <w:t xml:space="preserve">Clinical pathway and evidence appendix; full-text integration revised 2026-10-25 04:54 CDT.</w:t>
      </w:r>
    </w:p>
    <w:p>
      <w:r>
        <w:br w:type="page"/>
      </w:r>
    </w:p>
    <w:p>
      <w:pPr>
        <w:pStyle w:val="Heading1"/>
        <w:keepNext/>
        <w:spacing w:after="110" w:before="320"/>
      </w:pPr>
      <w:r>
        <w:rPr>
          <w:rFonts w:ascii="Cambria" w:cs="Cambria" w:eastAsia="Cambria" w:hAnsi="Cambria"/>
          <w:b/>
          <w:bCs/>
          <w:color w:val="17365D"/>
          <w:sz w:val="32"/>
          <w:szCs w:val="32"/>
        </w:rPr>
        <w:t xml:space="preserve">What this roadmap answers</w:t>
      </w:r>
    </w:p>
    <w:p>
      <w:pPr>
        <w:spacing w:after="120" w:line="276"/>
      </w:pPr>
      <w:r>
        <w:rPr>
          <w:color w:val="15181F"/>
          <w:sz w:val="20"/>
          <w:szCs w:val="20"/>
        </w:rPr>
        <w:t xml:space="preserve">Which resectability box this patient is in, what the next act must not foreclose, and where the neoadjuvant trials disagree badly enough that the sequence has to be decided locally rather than quoted. Revised after reading every paper in the depot in full: the biggest single finding is that almost no trial on this page had a control arm receiving the therapy this page recommends.</w:t>
      </w:r>
    </w:p>
    <w:p>
      <w:pPr>
        <w:spacing w:after="120" w:line="276"/>
      </w:pPr>
      <w:r>
        <w:rPr>
          <w:color w:val="15181F"/>
          <w:sz w:val="20"/>
          <w:szCs w:val="20"/>
        </w:rPr>
        <w:t xml:space="preserve">The gates below run in the order the roadmap asks them, and the order is the point: each one can foreclose the next. Each gate states what has to be in hand before it can be answered, the question it actually settles, and then the standard, the reasonable alternative and what to avoid — each carrying a recommendation label, an evidence grade and the sources behind it.</w:t>
      </w:r>
    </w:p>
    <w:p>
      <w:pPr>
        <w:pStyle w:val="Heading2"/>
        <w:keepNext/>
        <w:spacing w:after="110" w:before="240"/>
      </w:pPr>
      <w:r>
        <w:rPr>
          <w:rFonts w:ascii="Cambria" w:cs="Cambria" w:eastAsia="Cambria" w:hAnsi="Cambria"/>
          <w:b/>
          <w:bCs/>
          <w:color w:val="17365D"/>
          <w:sz w:val="26"/>
          <w:szCs w:val="26"/>
        </w:rPr>
        <w:t xml:space="preserve">How to read a recommendation</w:t>
      </w:r>
    </w:p>
    <w:p>
      <w:pPr>
        <w:spacing w:after="60" w:before="160"/>
      </w:pPr>
      <w:r>
        <w:rPr>
          <w:b/>
          <w:bCs/>
          <w:color w:val="176A87"/>
          <w:spacing w:val="24"/>
          <w:sz w:val="15"/>
          <w:szCs w:val="15"/>
        </w:rPr>
        <w:t xml:space="preserve">RECOMMENDATION LABEL — WHAT WE ADVISE</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1500"/>
        <w:gridCol w:w="7860"/>
      </w:tblGrid>
      <w:tr>
        <w:trPr>
          <w:cantSplit/>
        </w:trPr>
        <w:tc>
          <w:tcPr>
            <w:tcW w:type="dxa" w:w="1500"/>
            <w:tcMar>
              <w:top w:type="dxa" w:w="70"/>
              <w:left w:type="dxa" w:w="110"/>
              <w:bottom w:type="dxa" w:w="70"/>
              <w:right w:type="dxa" w:w="110"/>
            </w:tcMar>
            <w:vAlign w:val="top"/>
          </w:tcPr>
          <w:p>
            <w:r>
              <w:rPr>
                <w:b/>
                <w:bCs/>
                <w:color w:val="17365D"/>
                <w:spacing w:val="16"/>
                <w:sz w:val="17"/>
                <w:szCs w:val="17"/>
              </w:rPr>
              <w:t xml:space="preserve">STANDARD</w:t>
            </w:r>
          </w:p>
        </w:tc>
        <w:tc>
          <w:tcPr>
            <w:tcW w:type="dxa" w:w="7860"/>
            <w:tcMar>
              <w:top w:type="dxa" w:w="70"/>
              <w:left w:type="dxa" w:w="110"/>
              <w:bottom w:type="dxa" w:w="70"/>
              <w:right w:type="dxa" w:w="110"/>
            </w:tcMar>
            <w:vAlign w:val="top"/>
          </w:tcPr>
          <w:p>
            <w:pPr>
              <w:spacing w:after="0" w:line="276"/>
            </w:pPr>
            <w:r>
              <w:rPr>
                <w:color w:val="15181F"/>
                <w:sz w:val="18"/>
                <w:szCs w:val="18"/>
              </w:rPr>
              <w:t xml:space="preserve">Default when eligibility is met; a departure needs a recorded reason.</w:t>
            </w:r>
          </w:p>
        </w:tc>
      </w:tr>
      <w:tr>
        <w:trPr>
          <w:cantSplit/>
        </w:trPr>
        <w:tc>
          <w:tcPr>
            <w:tcW w:type="dxa" w:w="1500"/>
            <w:tcMar>
              <w:top w:type="dxa" w:w="70"/>
              <w:left w:type="dxa" w:w="110"/>
              <w:bottom w:type="dxa" w:w="70"/>
              <w:right w:type="dxa" w:w="110"/>
            </w:tcMar>
            <w:vAlign w:val="top"/>
          </w:tcPr>
          <w:p>
            <w:r>
              <w:rPr>
                <w:b/>
                <w:bCs/>
                <w:color w:val="176A87"/>
                <w:spacing w:val="16"/>
                <w:sz w:val="17"/>
                <w:szCs w:val="17"/>
              </w:rPr>
              <w:t xml:space="preserve">REASONABLE</w:t>
            </w:r>
          </w:p>
        </w:tc>
        <w:tc>
          <w:tcPr>
            <w:tcW w:type="dxa" w:w="7860"/>
            <w:tcMar>
              <w:top w:type="dxa" w:w="70"/>
              <w:left w:type="dxa" w:w="110"/>
              <w:bottom w:type="dxa" w:w="70"/>
              <w:right w:type="dxa" w:w="110"/>
            </w:tcMar>
            <w:vAlign w:val="top"/>
          </w:tcPr>
          <w:p>
            <w:pPr>
              <w:spacing w:after="0" w:line="276"/>
            </w:pPr>
            <w:r>
              <w:rPr>
                <w:color w:val="15181F"/>
                <w:sz w:val="18"/>
                <w:szCs w:val="18"/>
              </w:rPr>
              <w:t xml:space="preserve">Acceptable after documented multidisciplinary review; the benefit is context dependent.</w:t>
            </w:r>
          </w:p>
        </w:tc>
      </w:tr>
      <w:tr>
        <w:trPr>
          <w:cantSplit/>
        </w:trPr>
        <w:tc>
          <w:tcPr>
            <w:tcW w:type="dxa" w:w="1500"/>
            <w:tcMar>
              <w:top w:type="dxa" w:w="70"/>
              <w:left w:type="dxa" w:w="110"/>
              <w:bottom w:type="dxa" w:w="70"/>
              <w:right w:type="dxa" w:w="110"/>
            </w:tcMar>
            <w:vAlign w:val="top"/>
          </w:tcPr>
          <w:p>
            <w:r>
              <w:rPr>
                <w:b/>
                <w:bCs/>
                <w:color w:val="8C2F26"/>
                <w:spacing w:val="16"/>
                <w:sz w:val="17"/>
                <w:szCs w:val="17"/>
              </w:rPr>
              <w:t xml:space="preserve">AVOID</w:t>
            </w:r>
          </w:p>
        </w:tc>
        <w:tc>
          <w:tcPr>
            <w:tcW w:type="dxa" w:w="7860"/>
            <w:tcMar>
              <w:top w:type="dxa" w:w="70"/>
              <w:left w:type="dxa" w:w="110"/>
              <w:bottom w:type="dxa" w:w="70"/>
              <w:right w:type="dxa" w:w="110"/>
            </w:tcMar>
            <w:vAlign w:val="top"/>
          </w:tcPr>
          <w:p>
            <w:pPr>
              <w:spacing w:after="0" w:line="276"/>
            </w:pPr>
            <w:r>
              <w:rPr>
                <w:color w:val="15181F"/>
                <w:sz w:val="18"/>
                <w:szCs w:val="18"/>
              </w:rPr>
              <w:t xml:space="preserve">Expected harm, futility, or absent benefit generally outweighs the benefit.</w:t>
            </w:r>
          </w:p>
        </w:tc>
      </w:tr>
    </w:tbl>
    <w:p>
      <w:pPr>
        <w:spacing w:after="120" w:line="276"/>
      </w:pPr>
      <w:r>
        <w:rPr>
          <w:color w:val="15181F"/>
          <w:sz w:val="20"/>
          <w:szCs w:val="20"/>
        </w:rPr>
        <w:t xml:space="preserve"/>
      </w:r>
    </w:p>
    <w:p>
      <w:pPr>
        <w:spacing w:after="60" w:before="160"/>
      </w:pPr>
      <w:r>
        <w:rPr>
          <w:b/>
          <w:bCs/>
          <w:color w:val="176A87"/>
          <w:spacing w:val="24"/>
          <w:sz w:val="15"/>
          <w:szCs w:val="15"/>
        </w:rPr>
        <w:t xml:space="preserve">EVIDENCE GRADE — HOW STRONG THE BASIS IS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1500"/>
        <w:gridCol w:w="7860"/>
      </w:tblGrid>
      <w:tr>
        <w:trPr>
          <w:cantSplit/>
        </w:trPr>
        <w:tc>
          <w:tcPr>
            <w:tcW w:type="dxa" w:w="1500"/>
            <w:tcMar>
              <w:top w:type="dxa" w:w="70"/>
              <w:left w:type="dxa" w:w="110"/>
              <w:bottom w:type="dxa" w:w="70"/>
              <w:right w:type="dxa" w:w="110"/>
            </w:tcMar>
            <w:vAlign w:val="top"/>
          </w:tcPr>
          <w:p>
            <w:r>
              <w:rPr>
                <w:b/>
                <w:bCs/>
                <w:color w:val="17365D"/>
                <w:sz w:val="20"/>
                <w:szCs w:val="20"/>
              </w:rPr>
              <w:t xml:space="preserve">A</w:t>
            </w:r>
          </w:p>
        </w:tc>
        <w:tc>
          <w:tcPr>
            <w:tcW w:type="dxa" w:w="7860"/>
            <w:tcMar>
              <w:top w:type="dxa" w:w="70"/>
              <w:left w:type="dxa" w:w="110"/>
              <w:bottom w:type="dxa" w:w="70"/>
              <w:right w:type="dxa" w:w="110"/>
            </w:tcMar>
            <w:vAlign w:val="top"/>
          </w:tcPr>
          <w:p>
            <w:pPr>
              <w:spacing w:after="0" w:line="276"/>
            </w:pPr>
            <w:r>
              <w:rPr>
                <w:color w:val="15181F"/>
                <w:sz w:val="18"/>
                <w:szCs w:val="18"/>
              </w:rPr>
              <w:t xml:space="preserve">Guideline supported by randomised trials or strong consistent comparative evidence.</w:t>
            </w:r>
          </w:p>
        </w:tc>
      </w:tr>
      <w:tr>
        <w:trPr>
          <w:cantSplit/>
        </w:trPr>
        <w:tc>
          <w:tcPr>
            <w:tcW w:type="dxa" w:w="1500"/>
            <w:tcMar>
              <w:top w:type="dxa" w:w="70"/>
              <w:left w:type="dxa" w:w="110"/>
              <w:bottom w:type="dxa" w:w="70"/>
              <w:right w:type="dxa" w:w="110"/>
            </w:tcMar>
            <w:vAlign w:val="top"/>
          </w:tcPr>
          <w:p>
            <w:r>
              <w:rPr>
                <w:b/>
                <w:bCs/>
                <w:color w:val="17365D"/>
                <w:sz w:val="20"/>
                <w:szCs w:val="20"/>
              </w:rPr>
              <w:t xml:space="preserve">B</w:t>
            </w:r>
          </w:p>
        </w:tc>
        <w:tc>
          <w:tcPr>
            <w:tcW w:type="dxa" w:w="7860"/>
            <w:tcMar>
              <w:top w:type="dxa" w:w="70"/>
              <w:left w:type="dxa" w:w="110"/>
              <w:bottom w:type="dxa" w:w="70"/>
              <w:right w:type="dxa" w:w="110"/>
            </w:tcMar>
            <w:vAlign w:val="top"/>
          </w:tcPr>
          <w:p>
            <w:pPr>
              <w:spacing w:after="0" w:line="276"/>
            </w:pPr>
            <w:r>
              <w:rPr>
                <w:color w:val="15181F"/>
                <w:sz w:val="18"/>
                <w:szCs w:val="18"/>
              </w:rPr>
              <w:t xml:space="preserve">One randomised trial, prospective comparative evidence, or strong prospective cohorts.</w:t>
            </w:r>
          </w:p>
        </w:tc>
      </w:tr>
      <w:tr>
        <w:trPr>
          <w:cantSplit/>
        </w:trPr>
        <w:tc>
          <w:tcPr>
            <w:tcW w:type="dxa" w:w="1500"/>
            <w:tcMar>
              <w:top w:type="dxa" w:w="70"/>
              <w:left w:type="dxa" w:w="110"/>
              <w:bottom w:type="dxa" w:w="70"/>
              <w:right w:type="dxa" w:w="110"/>
            </w:tcMar>
            <w:vAlign w:val="top"/>
          </w:tcPr>
          <w:p>
            <w:r>
              <w:rPr>
                <w:b/>
                <w:bCs/>
                <w:color w:val="17365D"/>
                <w:sz w:val="20"/>
                <w:szCs w:val="20"/>
              </w:rPr>
              <w:t xml:space="preserve">C</w:t>
            </w:r>
          </w:p>
        </w:tc>
        <w:tc>
          <w:tcPr>
            <w:tcW w:type="dxa" w:w="7860"/>
            <w:tcMar>
              <w:top w:type="dxa" w:w="70"/>
              <w:left w:type="dxa" w:w="110"/>
              <w:bottom w:type="dxa" w:w="70"/>
              <w:right w:type="dxa" w:w="110"/>
            </w:tcMar>
            <w:vAlign w:val="top"/>
          </w:tcPr>
          <w:p>
            <w:pPr>
              <w:spacing w:after="0" w:line="276"/>
            </w:pPr>
            <w:r>
              <w:rPr>
                <w:color w:val="15181F"/>
                <w:sz w:val="18"/>
                <w:szCs w:val="18"/>
              </w:rPr>
              <w:t xml:space="preserve">Single-arm prospective, retrospective comparative, or inconsistent evidence.</w:t>
            </w:r>
          </w:p>
        </w:tc>
      </w:tr>
      <w:tr>
        <w:trPr>
          <w:cantSplit/>
        </w:trPr>
        <w:tc>
          <w:tcPr>
            <w:tcW w:type="dxa" w:w="1500"/>
            <w:tcMar>
              <w:top w:type="dxa" w:w="70"/>
              <w:left w:type="dxa" w:w="110"/>
              <w:bottom w:type="dxa" w:w="70"/>
              <w:right w:type="dxa" w:w="110"/>
            </w:tcMar>
            <w:vAlign w:val="top"/>
          </w:tcPr>
          <w:p>
            <w:r>
              <w:rPr>
                <w:b/>
                <w:bCs/>
                <w:color w:val="17365D"/>
                <w:sz w:val="20"/>
                <w:szCs w:val="20"/>
              </w:rPr>
              <w:t xml:space="preserve">D</w:t>
            </w:r>
          </w:p>
        </w:tc>
        <w:tc>
          <w:tcPr>
            <w:tcW w:type="dxa" w:w="7860"/>
            <w:tcMar>
              <w:top w:type="dxa" w:w="70"/>
              <w:left w:type="dxa" w:w="110"/>
              <w:bottom w:type="dxa" w:w="70"/>
              <w:right w:type="dxa" w:w="110"/>
            </w:tcMar>
            <w:vAlign w:val="top"/>
          </w:tcPr>
          <w:p>
            <w:pPr>
              <w:spacing w:after="0" w:line="276"/>
            </w:pPr>
            <w:r>
              <w:rPr>
                <w:color w:val="15181F"/>
                <w:sz w:val="18"/>
                <w:szCs w:val="18"/>
              </w:rPr>
              <w:t xml:space="preserve">Expert consensus or local operational requirement, no comparative outcome data.</w:t>
            </w:r>
          </w:p>
        </w:tc>
      </w:tr>
    </w:tbl>
    <w:p>
      <w:pPr>
        <w:spacing w:after="160" w:line="276"/>
      </w:pPr>
      <w:r>
        <w:rPr>
          <w:i/>
          <w:iCs/>
          <w:color w:val="5A6069"/>
          <w:sz w:val="18"/>
          <w:szCs w:val="18"/>
        </w:rPr>
        <w:t xml:space="preserve">A strong label does not imply a high grade. Several operating requirements are deliberately Standard at grade D because they are local policy choices rather than evidence claims.</w:t>
      </w:r>
    </w:p>
    <w:p>
      <w:pPr>
        <w:spacing w:after="60" w:before="160"/>
      </w:pPr>
      <w:r>
        <w:rPr>
          <w:b/>
          <w:bCs/>
          <w:color w:val="176A87"/>
          <w:spacing w:val="24"/>
          <w:sz w:val="15"/>
          <w:szCs w:val="15"/>
        </w:rPr>
        <w:t xml:space="preserve">DEPENDENCY FLAGS — WHAT IT RESTS ON LOCALLY</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1500"/>
        <w:gridCol w:w="7860"/>
      </w:tblGrid>
      <w:tr>
        <w:trPr>
          <w:cantSplit/>
        </w:trPr>
        <w:tc>
          <w:tcPr>
            <w:tcW w:type="dxa" w:w="1500"/>
            <w:tcMar>
              <w:top w:type="dxa" w:w="70"/>
              <w:left w:type="dxa" w:w="110"/>
              <w:bottom w:type="dxa" w:w="70"/>
              <w:right w:type="dxa" w:w="110"/>
            </w:tcMar>
            <w:vAlign w:val="top"/>
          </w:tcPr>
          <w:p>
            <w:r>
              <w:rPr>
                <w:b/>
                <w:bCs/>
                <w:color w:val="8E5008"/>
                <w:spacing w:val="14"/>
                <w:sz w:val="16"/>
                <w:szCs w:val="16"/>
              </w:rPr>
              <w:t xml:space="preserve">EXPERTISE</w:t>
            </w:r>
          </w:p>
        </w:tc>
        <w:tc>
          <w:tcPr>
            <w:tcW w:type="dxa" w:w="7860"/>
            <w:tcMar>
              <w:top w:type="dxa" w:w="70"/>
              <w:left w:type="dxa" w:w="110"/>
              <w:bottom w:type="dxa" w:w="70"/>
              <w:right w:type="dxa" w:w="110"/>
            </w:tcMar>
            <w:vAlign w:val="top"/>
          </w:tcPr>
          <w:p>
            <w:pPr>
              <w:spacing w:after="0" w:line="276"/>
            </w:pPr>
            <w:r>
              <w:rPr>
                <w:color w:val="15181F"/>
                <w:sz w:val="18"/>
                <w:szCs w:val="18"/>
              </w:rPr>
              <w:t xml:space="preserve">Demonstrated operator and team experience with this technique at this site.</w:t>
            </w:r>
          </w:p>
        </w:tc>
      </w:tr>
      <w:tr>
        <w:trPr>
          <w:cantSplit/>
        </w:trPr>
        <w:tc>
          <w:tcPr>
            <w:tcW w:type="dxa" w:w="1500"/>
            <w:tcMar>
              <w:top w:type="dxa" w:w="70"/>
              <w:left w:type="dxa" w:w="110"/>
              <w:bottom w:type="dxa" w:w="70"/>
              <w:right w:type="dxa" w:w="110"/>
            </w:tcMar>
            <w:vAlign w:val="top"/>
          </w:tcPr>
          <w:p>
            <w:r>
              <w:rPr>
                <w:b/>
                <w:bCs/>
                <w:color w:val="8E5008"/>
                <w:spacing w:val="14"/>
                <w:sz w:val="16"/>
                <w:szCs w:val="16"/>
              </w:rPr>
              <w:t xml:space="preserve">REGISTRY</w:t>
            </w:r>
          </w:p>
        </w:tc>
        <w:tc>
          <w:tcPr>
            <w:tcW w:type="dxa" w:w="7860"/>
            <w:tcMar>
              <w:top w:type="dxa" w:w="70"/>
              <w:left w:type="dxa" w:w="110"/>
              <w:bottom w:type="dxa" w:w="70"/>
              <w:right w:type="dxa" w:w="110"/>
            </w:tcMar>
            <w:vAlign w:val="top"/>
          </w:tcPr>
          <w:p>
            <w:pPr>
              <w:spacing w:after="0" w:line="276"/>
            </w:pPr>
            <w:r>
              <w:rPr>
                <w:color w:val="15181F"/>
                <w:sz w:val="18"/>
                <w:szCs w:val="18"/>
              </w:rPr>
              <w:t xml:space="preserve">Mandatory prospective outcomes registry; effectiveness evidence is immature.</w:t>
            </w:r>
          </w:p>
        </w:tc>
      </w:tr>
      <w:tr>
        <w:trPr>
          <w:cantSplit/>
        </w:trPr>
        <w:tc>
          <w:tcPr>
            <w:tcW w:type="dxa" w:w="1500"/>
            <w:tcMar>
              <w:top w:type="dxa" w:w="70"/>
              <w:left w:type="dxa" w:w="110"/>
              <w:bottom w:type="dxa" w:w="70"/>
              <w:right w:type="dxa" w:w="110"/>
            </w:tcMar>
            <w:vAlign w:val="top"/>
          </w:tcPr>
          <w:p>
            <w:r>
              <w:rPr>
                <w:b/>
                <w:bCs/>
                <w:color w:val="8E5008"/>
                <w:spacing w:val="14"/>
                <w:sz w:val="16"/>
                <w:szCs w:val="16"/>
              </w:rPr>
              <w:t xml:space="preserve">PROTOCOL</w:t>
            </w:r>
          </w:p>
        </w:tc>
        <w:tc>
          <w:tcPr>
            <w:tcW w:type="dxa" w:w="7860"/>
            <w:tcMar>
              <w:top w:type="dxa" w:w="70"/>
              <w:left w:type="dxa" w:w="110"/>
              <w:bottom w:type="dxa" w:w="70"/>
              <w:right w:type="dxa" w:w="110"/>
            </w:tcMar>
            <w:vAlign w:val="top"/>
          </w:tcPr>
          <w:p>
            <w:pPr>
              <w:spacing w:after="0" w:line="276"/>
            </w:pPr>
            <w:r>
              <w:rPr>
                <w:color w:val="15181F"/>
                <w:sz w:val="18"/>
                <w:szCs w:val="18"/>
              </w:rPr>
              <w:t xml:space="preserve">Only inside a clinical trial or an approved institutional protocol.</w:t>
            </w:r>
          </w:p>
        </w:tc>
      </w:tr>
    </w:tbl>
    <w:p>
      <w:pPr>
        <w:pStyle w:val="Heading1"/>
        <w:keepNext/>
        <w:pageBreakBefore/>
        <w:spacing w:after="110" w:before="320"/>
      </w:pPr>
      <w:r>
        <w:rPr>
          <w:rFonts w:ascii="Cambria" w:cs="Cambria" w:eastAsia="Cambria" w:hAnsi="Cambria"/>
          <w:b/>
          <w:bCs/>
          <w:color w:val="17365D"/>
          <w:sz w:val="32"/>
          <w:szCs w:val="32"/>
        </w:rPr>
        <w:t xml:space="preserve">The gates</w:t>
      </w:r>
    </w:p>
    <w:p>
      <w:pPr>
        <w:spacing w:after="200" w:line="276"/>
      </w:pPr>
      <w:r>
        <w:rPr>
          <w:i/>
          <w:iCs/>
          <w:color w:val="5A6069"/>
          <w:sz w:val="20"/>
          <w:szCs w:val="20"/>
        </w:rPr>
        <w:t xml:space="preserve">In the order the roadmap asks them.</w:t>
      </w:r>
    </w:p>
    <w:p>
      <w:pPr>
        <w:pStyle w:val="Heading2"/>
        <w:keepNext/>
        <w:pageBreakBefore/>
        <w:spacing w:after="110" w:before="240"/>
      </w:pPr>
      <w:r>
        <w:rPr>
          <w:rFonts w:ascii="Cambria" w:cs="Cambria" w:eastAsia="Cambria" w:hAnsi="Cambria"/>
          <w:b/>
          <w:bCs/>
          <w:color w:val="17365D"/>
          <w:sz w:val="26"/>
          <w:szCs w:val="26"/>
        </w:rPr>
        <w:t xml:space="preserve">0 · Get a stageable scan before anything else</w:t>
      </w:r>
    </w:p>
    <w:p>
      <w:pPr>
        <w:spacing w:after="140"/>
      </w:pPr>
      <w:r>
        <w:rPr>
          <w:b/>
          <w:bCs/>
          <w:color w:val="176A87"/>
          <w:sz w:val="19"/>
          <w:szCs w:val="19"/>
        </w:rPr>
        <w:t xml:space="preserve">The question. </w:t>
      </w:r>
      <w:r>
        <w:rPr>
          <w:sz w:val="19"/>
          <w:szCs w:val="19"/>
        </w:rPr>
        <w:t xml:space="preserve">Is this scan good enough to decide an operation on, and did anyone put a stent in before it was done?</w:t>
      </w:r>
    </w:p>
    <w:p>
      <w:pPr>
        <w:spacing w:after="60" w:before="160"/>
      </w:pPr>
      <w:r>
        <w:rPr>
          <w:b/>
          <w:bCs/>
          <w:color w:val="176A87"/>
          <w:spacing w:val="24"/>
          <w:sz w:val="15"/>
          <w:szCs w:val="15"/>
        </w:rPr>
        <w:t xml:space="preserve">ALL OF THE FOLLOWING HAVE TO BE IN HAND</w:t>
      </w:r>
    </w:p>
    <w:p>
      <w:pPr>
        <w:pStyle w:val="ListParagraph"/>
        <w:numPr>
          <w:ilvl w:val="0"/>
          <w:numId w:val="2"/>
        </w:numPr>
        <w:spacing w:after="60" w:line="268"/>
      </w:pPr>
      <w:r>
        <w:rPr>
          <w:color w:val="15181F"/>
          <w:sz w:val="18"/>
          <w:szCs w:val="18"/>
        </w:rPr>
        <w:t xml:space="preserve">Pancreas-protocol multiphase CT with a pancreatic parenchymal phase at 40–50 seconds and a portal venous phase at 65–70 seconds</w:t>
      </w:r>
    </w:p>
    <w:p>
      <w:pPr>
        <w:pStyle w:val="ListParagraph"/>
        <w:numPr>
          <w:ilvl w:val="0"/>
          <w:numId w:val="2"/>
        </w:numPr>
        <w:spacing w:after="60" w:line="268"/>
      </w:pPr>
      <w:r>
        <w:rPr>
          <w:color w:val="15181F"/>
          <w:sz w:val="18"/>
          <w:szCs w:val="18"/>
        </w:rPr>
        <w:t xml:space="preserve">Chest and pelvis CT in the same episode, for complete staging</w:t>
      </w:r>
    </w:p>
    <w:p>
      <w:pPr>
        <w:pStyle w:val="ListParagraph"/>
        <w:numPr>
          <w:ilvl w:val="0"/>
          <w:numId w:val="2"/>
        </w:numPr>
        <w:spacing w:after="60" w:line="268"/>
      </w:pPr>
      <w:r>
        <w:rPr>
          <w:color w:val="15181F"/>
          <w:sz w:val="18"/>
          <w:szCs w:val="18"/>
        </w:rPr>
        <w:t xml:space="preserve">CA 19-9 and liver function drawn after biliary decompression, not before</w:t>
      </w:r>
    </w:p>
    <w:p>
      <w:pPr>
        <w:pStyle w:val="ListParagraph"/>
        <w:numPr>
          <w:ilvl w:val="0"/>
          <w:numId w:val="2"/>
        </w:numPr>
        <w:spacing w:after="60" w:line="268"/>
      </w:pPr>
      <w:r>
        <w:rPr>
          <w:color w:val="15181F"/>
          <w:sz w:val="18"/>
          <w:szCs w:val="18"/>
        </w:rPr>
        <w:t xml:space="preserve">Genetic counselling and germline testing offered to every patient, whatever the stage</w:t>
      </w:r>
    </w:p>
    <w:p>
      <w:pPr>
        <w:pStyle w:val="ListParagraph"/>
        <w:numPr>
          <w:ilvl w:val="0"/>
          <w:numId w:val="2"/>
        </w:numPr>
        <w:spacing w:after="60" w:line="268"/>
      </w:pPr>
      <w:r>
        <w:rPr>
          <w:color w:val="15181F"/>
          <w:sz w:val="18"/>
          <w:szCs w:val="18"/>
        </w:rPr>
        <w:t xml:space="preserve">High-quality imaging no more than 4 weeks old at the time of the operation</w:t>
      </w:r>
    </w:p>
    <w:p>
      <w:pPr>
        <w:spacing w:after="80" w:line="276"/>
      </w:pPr>
      <w:r>
        <w:rPr>
          <w:color w:val="15181F"/>
          <w:sz w:val="20"/>
          <w:szCs w:val="20"/>
        </w:rPr>
        <w:t xml:space="preserve"/>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Repeat the scan as a pancreas-protocol CT if the one in front of you is not one — a non-protocol CT is not a staging study.</w:t>
      </w:r>
    </w:p>
    <w:p>
      <w:pPr>
        <w:spacing w:after="50" w:line="276"/>
        <w:ind w:left="240"/>
      </w:pPr>
      <w:r>
        <w:rPr>
          <w:color w:val="15181F"/>
          <w:sz w:val="18"/>
          <w:szCs w:val="18"/>
        </w:rPr>
        <w:t xml:space="preserve">Every patient referred with an outside scan. NCCN reports that re-imaging patients who arrived with a non-pancreas-protocol CT changed the stage and the management in 56% of cases at a single institution, and that where CT showed a resectable tumour 70% to 85% of patients went on to resection. Both figures are NCCN's citation of single-institution series and are not in the reporting-template paper this item is referenced to.</w:t>
      </w:r>
    </w:p>
    <w:p>
      <w:pPr>
        <w:spacing w:after="50"/>
        <w:ind w:left="240"/>
      </w:pPr>
      <w:r>
        <w:rPr>
          <w:b/>
          <w:bCs/>
          <w:color w:val="8C2F26"/>
          <w:sz w:val="18"/>
          <w:szCs w:val="18"/>
        </w:rPr>
        <w:t xml:space="preserve">Caveat. </w:t>
      </w:r>
      <w:r>
        <w:rPr>
          <w:color w:val="15181F"/>
          <w:sz w:val="18"/>
          <w:szCs w:val="18"/>
        </w:rPr>
        <w:t xml:space="preserve">Do not accept thick sections, positive oral contrast or a single post-contrast phase. Neutral oral contrast only, because positive contrast degrades the 3D and maximum-intensity-projection reformats that show the vessels. Sections as thin as the scanner allows, under 3 mm and preferably submillimetre, reconstructed at 2–3 mm with multiplanar reformats.</w:t>
      </w:r>
    </w:p>
    <w:p>
      <w:pPr>
        <w:spacing w:after="50" w:line="276"/>
        <w:ind w:left="240"/>
      </w:pPr>
      <w:r>
        <w:rPr>
          <w:i/>
          <w:iCs/>
          <w:color w:val="5A6069"/>
          <w:sz w:val="17"/>
          <w:szCs w:val="17"/>
        </w:rPr>
        <w:t xml:space="preserve">Accuracy decays with time because the disease moves: NCCN sets an outer limit of 4 weeks between the staging CT and the operation. Sensitivity for small hepatic and peritoneal deposits is limited however good the protocol is, and protocol quality is not the whole of the problem — in SWOG S1505, 43 of 146 patients centrally reviewed (29%) did not meet the trial's own resectability criteria, 51% of them for arterial interface and 65% for suspicion of distant disease, and adding a mandatory site radiologist checklist moved that only from 33% to 26%. [EXPERTISE]</w:t>
      </w:r>
    </w:p>
    <w:p>
      <w:pPr>
        <w:spacing w:after="60" w:line="276"/>
        <w:ind w:left="240"/>
      </w:pPr>
      <w:r>
        <w:rPr>
          <w:color w:val="5A6069"/>
          <w:sz w:val="16"/>
          <w:szCs w:val="16"/>
        </w:rPr>
        <w:t xml:space="preserve">Sources: SAR/APA template</w:t>
      </w:r>
    </w:p>
    <w:p>
      <w:pPr>
        <w:spacing w:after="60" w:before="180"/>
      </w:pPr>
      <w:r>
        <w:rPr>
          <w:b/>
          <w:bCs/>
          <w:color w:val="17365D"/>
          <w:spacing w:val="16"/>
          <w:sz w:val="16"/>
          <w:szCs w:val="16"/>
        </w:rPr>
        <w:t xml:space="preserve">STANDARD</w:t>
      </w:r>
      <w:r>
        <w:rPr>
          <w:color w:val="5A6069"/>
          <w:sz w:val="16"/>
          <w:szCs w:val="16"/>
        </w:rPr>
        <w:t xml:space="preserve">   grade D</w:t>
      </w:r>
    </w:p>
    <w:p>
      <w:pPr>
        <w:spacing w:after="60" w:line="276"/>
      </w:pPr>
      <w:r>
        <w:rPr>
          <w:color w:val="15181F"/>
          <w:sz w:val="19"/>
          <w:szCs w:val="19"/>
        </w:rPr>
        <w:t xml:space="preserve">Report it against the Society of Abdominal Radiology and American Pancreatic Association template, in degrees of vessel contact — not in adjectives.</w:t>
      </w:r>
    </w:p>
    <w:p>
      <w:pPr>
        <w:spacing w:after="50" w:line="276"/>
        <w:ind w:left="240"/>
      </w:pPr>
      <w:r>
        <w:rPr>
          <w:color w:val="15181F"/>
          <w:sz w:val="18"/>
          <w:szCs w:val="18"/>
        </w:rPr>
        <w:t xml:space="preserve">Every staging report. The template covers morphology (appearance in the parenchymal phase, size, location relative to the SMV, duct and biliary cut-off), the arterial evaluation (celiac axis, SMA, common hepatic artery, with vessel contact, soft-tissue contact, hazy attenuation or stranding, focal narrowing and contour irregularity), the venous evaluation (main portal vein and SMV, thrombus, collaterals) and the extrapancreatic evaluation (liver lesions, peritoneal or omental nodules, ascites, suspicious nodes).</w:t>
      </w:r>
    </w:p>
    <w:p>
      <w:pPr>
        <w:spacing w:after="50"/>
        <w:ind w:left="240"/>
      </w:pPr>
      <w:r>
        <w:rPr>
          <w:b/>
          <w:bCs/>
          <w:color w:val="8C2F26"/>
          <w:sz w:val="18"/>
          <w:szCs w:val="18"/>
        </w:rPr>
        <w:t xml:space="preserve">Caveat. </w:t>
      </w:r>
      <w:r>
        <w:rPr>
          <w:color w:val="15181F"/>
          <w:sz w:val="18"/>
          <w:szCs w:val="18"/>
        </w:rPr>
        <w:t xml:space="preserve">Words like </w:t>
      </w:r>
      <w:r>
        <w:rPr>
          <w:i/>
          <w:iCs/>
          <w:color w:val="15181F"/>
          <w:sz w:val="18"/>
          <w:szCs w:val="18"/>
        </w:rPr>
        <w:t xml:space="preserve">abutment</w:t>
      </w:r>
      <w:r>
        <w:rPr>
          <w:color w:val="15181F"/>
          <w:sz w:val="18"/>
          <w:szCs w:val="18"/>
        </w:rPr>
        <w:t xml:space="preserve">, </w:t>
      </w:r>
      <w:r>
        <w:rPr>
          <w:i/>
          <w:iCs/>
          <w:color w:val="15181F"/>
          <w:sz w:val="18"/>
          <w:szCs w:val="18"/>
        </w:rPr>
        <w:t xml:space="preserve">encasement</w:t>
      </w:r>
      <w:r>
        <w:rPr>
          <w:color w:val="15181F"/>
          <w:sz w:val="18"/>
          <w:szCs w:val="18"/>
        </w:rPr>
        <w:t xml:space="preserve"> and </w:t>
      </w:r>
      <w:r>
        <w:rPr>
          <w:i/>
          <w:iCs/>
          <w:color w:val="15181F"/>
          <w:sz w:val="18"/>
          <w:szCs w:val="18"/>
        </w:rPr>
        <w:t xml:space="preserve">involvement</w:t>
      </w:r>
      <w:r>
        <w:rPr>
          <w:color w:val="15181F"/>
          <w:sz w:val="18"/>
          <w:szCs w:val="18"/>
        </w:rPr>
        <w:t xml:space="preserve"> are defined in the template by degree — 180 degrees or less of circumferential contact is abutment, more than 180 degrees is encasement — so a report that uses them without the degrees cannot be mapped onto the resectability categories and forces the board to re-read the scan.</w:t>
      </w:r>
    </w:p>
    <w:p>
      <w:pPr>
        <w:spacing w:after="50" w:line="276"/>
        <w:ind w:left="240"/>
      </w:pPr>
      <w:r>
        <w:rPr>
          <w:i/>
          <w:iCs/>
          <w:color w:val="5A6069"/>
          <w:sz w:val="17"/>
          <w:szCs w:val="17"/>
        </w:rPr>
        <w:t xml:space="preserve">Downgraded to D on the full-text read. The template is expert consensus from a single meeting at the American Pancreatic Association annual meeting in November 2011, with no Delphi process, no voting, no reported level of agreement, no described literature search and no validation of any kind — the paper does not show that using it changes report completeness, inter-reader agreement, board decisions, resection rates or margins, and reports no inter-reader reproducibility for measuring circumferential contact, which is the measurement the whole template rests on. Variant arterial anatomy — accessory or replaced right hepatic artery, replaced common hepatic artery, and the origin of the replaced or accessory vessel — must still be named whether or not it is in contact, because it changes the operation.</w:t>
      </w:r>
    </w:p>
    <w:p>
      <w:pPr>
        <w:spacing w:after="60" w:line="276"/>
        <w:ind w:left="240"/>
      </w:pPr>
      <w:r>
        <w:rPr>
          <w:color w:val="5A6069"/>
          <w:sz w:val="16"/>
          <w:szCs w:val="16"/>
        </w:rPr>
        <w:t xml:space="preserve">Sources: SAR/APA template</w:t>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Offer genetic counselling and germline testing to every patient with pancreatic adenocarcinoma, regardless of family history.</w:t>
      </w:r>
    </w:p>
    <w:p>
      <w:pPr>
        <w:spacing w:after="50" w:line="276"/>
        <w:ind w:left="240"/>
      </w:pPr>
      <w:r>
        <w:rPr>
          <w:color w:val="15181F"/>
          <w:sz w:val="18"/>
          <w:szCs w:val="18"/>
        </w:rPr>
        <w:t xml:space="preserve">At diagnosis, in parallel with staging, so a result exists before systemic therapy choices are made. In 3,030 patients with pancreatic adenocarcinoma enrolled in the Mayo Clinic pancreas registry between 2000 and 2016, deleterious germline variants in six genes were found in 5.5% overall — </w:t>
      </w:r>
      <w:r>
        <w:rPr>
          <w:i/>
          <w:iCs/>
          <w:color w:val="15181F"/>
          <w:sz w:val="18"/>
          <w:szCs w:val="18"/>
        </w:rPr>
        <w:t xml:space="preserve">CDKN2A</w:t>
      </w:r>
      <w:r>
        <w:rPr>
          <w:color w:val="15181F"/>
          <w:sz w:val="18"/>
          <w:szCs w:val="18"/>
        </w:rPr>
        <w:t xml:space="preserve"> (OR 12.33, 95% CI 5.43–25.61), </w:t>
      </w:r>
      <w:r>
        <w:rPr>
          <w:i/>
          <w:iCs/>
          <w:color w:val="15181F"/>
          <w:sz w:val="18"/>
          <w:szCs w:val="18"/>
        </w:rPr>
        <w:t xml:space="preserve">TP53</w:t>
      </w:r>
      <w:r>
        <w:rPr>
          <w:color w:val="15181F"/>
          <w:sz w:val="18"/>
          <w:szCs w:val="18"/>
        </w:rPr>
        <w:t xml:space="preserve"> (6.70, 2.52–14.95), </w:t>
      </w:r>
      <w:r>
        <w:rPr>
          <w:i/>
          <w:iCs/>
          <w:color w:val="15181F"/>
          <w:sz w:val="18"/>
          <w:szCs w:val="18"/>
        </w:rPr>
        <w:t xml:space="preserve">MLH1</w:t>
      </w:r>
      <w:r>
        <w:rPr>
          <w:color w:val="15181F"/>
          <w:sz w:val="18"/>
          <w:szCs w:val="18"/>
        </w:rPr>
        <w:t xml:space="preserve"> (6.66, 1.94–17.53), </w:t>
      </w:r>
      <w:r>
        <w:rPr>
          <w:i/>
          <w:iCs/>
          <w:color w:val="15181F"/>
          <w:sz w:val="18"/>
          <w:szCs w:val="18"/>
        </w:rPr>
        <w:t xml:space="preserve">BRCA2</w:t>
      </w:r>
      <w:r>
        <w:rPr>
          <w:color w:val="15181F"/>
          <w:sz w:val="18"/>
          <w:szCs w:val="18"/>
        </w:rPr>
        <w:t xml:space="preserve"> (6.20, 4.62–8.17), </w:t>
      </w:r>
      <w:r>
        <w:rPr>
          <w:i/>
          <w:iCs/>
          <w:color w:val="15181F"/>
          <w:sz w:val="18"/>
          <w:szCs w:val="18"/>
        </w:rPr>
        <w:t xml:space="preserve">ATM</w:t>
      </w:r>
      <w:r>
        <w:rPr>
          <w:color w:val="15181F"/>
          <w:sz w:val="18"/>
          <w:szCs w:val="18"/>
        </w:rPr>
        <w:t xml:space="preserve"> (5.71, 4.38–7.33) and </w:t>
      </w:r>
      <w:r>
        <w:rPr>
          <w:i/>
          <w:iCs/>
          <w:color w:val="15181F"/>
          <w:sz w:val="18"/>
          <w:szCs w:val="18"/>
        </w:rPr>
        <w:t xml:space="preserve">BRCA1</w:t>
      </w:r>
      <w:r>
        <w:rPr>
          <w:color w:val="15181F"/>
          <w:sz w:val="18"/>
          <w:szCs w:val="18"/>
        </w:rPr>
        <w:t xml:space="preserve"> (2.58, 1.54–4.05).</w:t>
      </w:r>
    </w:p>
    <w:p>
      <w:pPr>
        <w:spacing w:after="50"/>
        <w:ind w:left="240"/>
      </w:pPr>
      <w:r>
        <w:rPr>
          <w:b/>
          <w:bCs/>
          <w:color w:val="8C2F26"/>
          <w:sz w:val="18"/>
          <w:szCs w:val="18"/>
        </w:rPr>
        <w:t xml:space="preserve">Caveat. </w:t>
      </w:r>
      <w:r>
        <w:rPr>
          <w:color w:val="15181F"/>
          <w:sz w:val="18"/>
          <w:szCs w:val="18"/>
        </w:rPr>
        <w:t xml:space="preserve">Do not use family history to select who is tested. In the same cohort the yield was 7.9% with a family history of pancreatic cancer and 5.2% without — a difference far too small to triage on. But do not quote 5.5% as the proportion with an actionable result either: the figure is driven mostly by </w:t>
      </w:r>
      <w:r>
        <w:rPr>
          <w:i/>
          <w:iCs/>
          <w:color w:val="15181F"/>
          <w:sz w:val="18"/>
          <w:szCs w:val="18"/>
        </w:rPr>
        <w:t xml:space="preserve">ATM</w:t>
      </w:r>
      <w:r>
        <w:rPr>
          <w:color w:val="15181F"/>
          <w:sz w:val="18"/>
          <w:szCs w:val="18"/>
        </w:rPr>
        <w:t xml:space="preserve"> and </w:t>
      </w:r>
      <w:r>
        <w:rPr>
          <w:i/>
          <w:iCs/>
          <w:color w:val="15181F"/>
          <w:sz w:val="18"/>
          <w:szCs w:val="18"/>
        </w:rPr>
        <w:t xml:space="preserve">BRCA2</w:t>
      </w:r>
      <w:r>
        <w:rPr>
          <w:color w:val="15181F"/>
          <w:sz w:val="18"/>
          <w:szCs w:val="18"/>
        </w:rPr>
        <w:t xml:space="preserve">, and of the six genes only </w:t>
      </w:r>
      <w:r>
        <w:rPr>
          <w:i/>
          <w:iCs/>
          <w:color w:val="15181F"/>
          <w:sz w:val="18"/>
          <w:szCs w:val="18"/>
        </w:rPr>
        <w:t xml:space="preserve">BRCA1/2</w:t>
      </w:r>
      <w:r>
        <w:rPr>
          <w:color w:val="15181F"/>
          <w:sz w:val="18"/>
          <w:szCs w:val="18"/>
        </w:rPr>
        <w:t xml:space="preserve"> has a randomised treatment consequence in this disease, with </w:t>
      </w:r>
      <w:r>
        <w:rPr>
          <w:i/>
          <w:iCs/>
          <w:color w:val="15181F"/>
          <w:sz w:val="18"/>
          <w:szCs w:val="18"/>
        </w:rPr>
        <w:t xml:space="preserve">MLH1</w:t>
      </w:r>
      <w:r>
        <w:rPr>
          <w:color w:val="15181F"/>
          <w:sz w:val="18"/>
          <w:szCs w:val="18"/>
        </w:rPr>
        <w:t xml:space="preserve"> acting through mismatch-repair status rather than through the gene itself.</w:t>
      </w:r>
    </w:p>
    <w:p>
      <w:pPr>
        <w:spacing w:after="50" w:line="276"/>
        <w:ind w:left="240"/>
      </w:pPr>
      <w:r>
        <w:rPr>
          <w:i/>
          <w:iCs/>
          <w:color w:val="5A6069"/>
          <w:sz w:val="17"/>
          <w:szCs w:val="17"/>
        </w:rPr>
        <w:t xml:space="preserve">Downgraded to C on the full-text read. This is a clinic-based case series at a tertiary referral centre compared with race and ethnicity matched public sequencing databases (ExAC non-TCGA and gnomAD) rather than with a recruited control group, so it is exposed to differential variant calling and coverage between cases and controls; the </w:t>
      </w:r>
      <w:r>
        <w:rPr>
          <w:i/>
          <w:iCs/>
          <w:color w:val="5A6069"/>
          <w:sz w:val="17"/>
          <w:szCs w:val="17"/>
        </w:rPr>
        <w:t xml:space="preserve">CDKN2A</w:t>
      </w:r>
      <w:r>
        <w:rPr>
          <w:i/>
          <w:iCs/>
          <w:color w:val="5A6069"/>
          <w:sz w:val="17"/>
          <w:szCs w:val="17"/>
        </w:rPr>
        <w:t xml:space="preserve"> and </w:t>
      </w:r>
      <w:r>
        <w:rPr>
          <w:i/>
          <w:iCs/>
          <w:color w:val="5A6069"/>
          <w:sz w:val="17"/>
          <w:szCs w:val="17"/>
        </w:rPr>
        <w:t xml:space="preserve">MLH1</w:t>
      </w:r>
      <w:r>
        <w:rPr>
          <w:i/>
          <w:iCs/>
          <w:color w:val="5A6069"/>
          <w:sz w:val="17"/>
          <w:szCs w:val="17"/>
        </w:rPr>
        <w:t xml:space="preserve"> intervals rest on a handful of carriers each, and multiplicity across 21 genes and several subgroup strata is not controlled. It is a prevalence and association study: it does not estimate penetrance, carriage was not associated with overall survival (HR 0.86, P=.09), and it does not show that testing changes outcomes. A germline result still drives cascade testing of relatives, which is a separate benefit from the treatment decision.</w:t>
      </w:r>
    </w:p>
    <w:p>
      <w:pPr>
        <w:spacing w:after="60" w:line="276"/>
        <w:ind w:left="240"/>
      </w:pPr>
      <w:r>
        <w:rPr>
          <w:color w:val="5A6069"/>
          <w:sz w:val="16"/>
          <w:szCs w:val="16"/>
        </w:rPr>
        <w:t xml:space="preserve">Sources: Hu 2018 germline</w:t>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Treat CA 19-9 as a baseline measurement whose value depends on the bilirubin and the patient's Lewis antigen status, not as a diagnostic test.</w:t>
      </w:r>
    </w:p>
    <w:p>
      <w:pPr>
        <w:spacing w:after="50" w:line="276"/>
        <w:ind w:left="240"/>
      </w:pPr>
      <w:r>
        <w:rPr>
          <w:color w:val="15181F"/>
          <w:sz w:val="18"/>
          <w:szCs w:val="18"/>
        </w:rPr>
        <w:t xml:space="preserve">Draw it once the biliary tree is decompressed and record the bilirubin alongside it, so the number can be compared with later ones. It is most useful as a trajectory under treatment and as one of the three response metrics after neoadjuvant therapy.</w:t>
      </w:r>
    </w:p>
    <w:p>
      <w:pPr>
        <w:spacing w:after="50"/>
        <w:ind w:left="240"/>
      </w:pPr>
      <w:r>
        <w:rPr>
          <w:b/>
          <w:bCs/>
          <w:color w:val="8C2F26"/>
          <w:sz w:val="18"/>
          <w:szCs w:val="18"/>
        </w:rPr>
        <w:t xml:space="preserve">Caveat. </w:t>
      </w:r>
      <w:r>
        <w:rPr>
          <w:color w:val="15181F"/>
          <w:sz w:val="18"/>
          <w:szCs w:val="18"/>
        </w:rPr>
        <w:t xml:space="preserve">An elevated CA 19-9 does not indicate cancer or advanced disease — it rises with biliary obstruction, cholangitis and benign or malignant inflammation. It is undetectable in Lewis-antigen-negative individuals, in whom NCCN suggests obtaining CEA and CA-125 instead.</w:t>
      </w:r>
    </w:p>
    <w:p>
      <w:pPr>
        <w:spacing w:after="50" w:line="276"/>
        <w:ind w:left="240"/>
      </w:pPr>
      <w:r>
        <w:rPr>
          <w:i/>
          <w:iCs/>
          <w:color w:val="5A6069"/>
          <w:sz w:val="17"/>
          <w:szCs w:val="17"/>
        </w:rPr>
        <w:t xml:space="preserve">NCCN grades surveillance CA 19-9 after resection as category 2B, and states there are no data that a rising marker leads to earlier intervention or better outcomes. Treat the two uses — baseline and surveillance — as separate questions. The one place CA 19-9 has randomised-adjacent support is as a response measure: ESMO's 2023 guideline cites a pooled analysis of 17 studies and 2,242 patients in which a fall of more than 50% or normalisation after neoadjuvant treatment was associated with better overall survival (P&lt;0.0001).</w:t>
      </w:r>
    </w:p>
    <w:p>
      <w:pPr>
        <w:spacing w:after="60" w:line="276"/>
        <w:ind w:left="240"/>
      </w:pPr>
      <w:r>
        <w:rPr>
          <w:color w:val="5A6069"/>
          <w:sz w:val="16"/>
          <w:szCs w:val="16"/>
        </w:rPr>
        <w:t xml:space="preserve">Sources: ESMO 2023 pancreatic</w:t>
      </w:r>
    </w:p>
    <w:p>
      <w:pPr>
        <w:spacing w:after="60" w:before="180"/>
      </w:pPr>
      <w:r>
        <w:rPr>
          <w:b/>
          <w:bCs/>
          <w:color w:val="176A87"/>
          <w:spacing w:val="16"/>
          <w:sz w:val="16"/>
          <w:szCs w:val="16"/>
        </w:rPr>
        <w:t xml:space="preserve">REASONABLE</w:t>
      </w:r>
      <w:r>
        <w:rPr>
          <w:color w:val="5A6069"/>
          <w:sz w:val="16"/>
          <w:szCs w:val="16"/>
        </w:rPr>
        <w:t xml:space="preserve">   grade C</w:t>
      </w:r>
    </w:p>
    <w:p>
      <w:pPr>
        <w:spacing w:after="60" w:line="276"/>
      </w:pPr>
      <w:r>
        <w:rPr>
          <w:color w:val="15181F"/>
          <w:sz w:val="19"/>
          <w:szCs w:val="19"/>
        </w:rPr>
        <w:t xml:space="preserve">Pancreas-protocol MRI with contrast as an adjunct to CT, not a replacement for it.</w:t>
      </w:r>
    </w:p>
    <w:p>
      <w:pPr>
        <w:spacing w:after="50" w:line="276"/>
        <w:ind w:left="240"/>
      </w:pPr>
      <w:r>
        <w:rPr>
          <w:color w:val="15181F"/>
          <w:sz w:val="18"/>
          <w:szCs w:val="18"/>
        </w:rPr>
        <w:t xml:space="preserve">Three situations: a CT-indeterminate liver lesion, a suspected tumour not visible on CT (the isoattenuating tumour, which the template asks to be reported as non-measurable), and iodinated contrast allergy. The protocol is axial T2 single-shot fast spin echo, in- and opposed-phase gradient echo, fat-suppressed T2, diffusion-weighted imaging, dynamic post-contrast 3D fat-suppressed gradient echo in pancreatic, portal venous and equilibrium phases at 2–3 mm, and coronal MRCP under 3 mm.</w:t>
      </w:r>
    </w:p>
    <w:p>
      <w:pPr>
        <w:spacing w:after="50"/>
        <w:ind w:left="240"/>
      </w:pPr>
      <w:r>
        <w:rPr>
          <w:b/>
          <w:bCs/>
          <w:color w:val="8C2F26"/>
          <w:sz w:val="18"/>
          <w:szCs w:val="18"/>
        </w:rPr>
        <w:t xml:space="preserve">Caveat. </w:t>
      </w:r>
      <w:r>
        <w:rPr>
          <w:color w:val="15181F"/>
          <w:sz w:val="18"/>
          <w:szCs w:val="18"/>
        </w:rPr>
        <w:t xml:space="preserve">Do not substitute MRI for the arterial and venous assessment the pancreas-protocol CT provides, and do not read unenhanced MRI as a staging study — NCCN reserves it for renal failure or a gadolinium contraindication when enhanced CT also cannot be obtained.</w:t>
      </w:r>
    </w:p>
    <w:p>
      <w:pPr>
        <w:spacing w:after="60" w:before="180"/>
      </w:pPr>
      <w:r>
        <w:rPr>
          <w:b/>
          <w:bCs/>
          <w:color w:val="176A87"/>
          <w:spacing w:val="16"/>
          <w:sz w:val="16"/>
          <w:szCs w:val="16"/>
        </w:rPr>
        <w:t xml:space="preserve">REASONABLE</w:t>
      </w:r>
      <w:r>
        <w:rPr>
          <w:color w:val="5A6069"/>
          <w:sz w:val="16"/>
          <w:szCs w:val="16"/>
        </w:rPr>
        <w:t xml:space="preserve">   grade C</w:t>
      </w:r>
    </w:p>
    <w:p>
      <w:pPr>
        <w:spacing w:after="60" w:line="276"/>
      </w:pPr>
      <w:r>
        <w:rPr>
          <w:color w:val="15181F"/>
          <w:sz w:val="19"/>
          <w:szCs w:val="19"/>
        </w:rPr>
        <w:t xml:space="preserve">FDG-PET/CT or PET/MRI after the pancreas-protocol CT in patients with high-risk features, to look for extrapancreatic metastases.</w:t>
      </w:r>
    </w:p>
    <w:p>
      <w:pPr>
        <w:spacing w:after="50" w:line="276"/>
        <w:ind w:left="240"/>
      </w:pPr>
      <w:r>
        <w:rPr>
          <w:color w:val="15181F"/>
          <w:sz w:val="18"/>
          <w:szCs w:val="18"/>
        </w:rPr>
        <w:t xml:space="preserve">NCCN defines high-risk features as equivocal or indeterminate imaging findings, markedly elevated CA 19-9, a large primary tumour, or large regional lymph nodes. PET before and after starting neoadjuvant therapy also gives the metabolic arm of the three-metric response assessment.</w:t>
      </w:r>
    </w:p>
    <w:p>
      <w:pPr>
        <w:spacing w:after="50"/>
        <w:ind w:left="240"/>
      </w:pPr>
      <w:r>
        <w:rPr>
          <w:b/>
          <w:bCs/>
          <w:color w:val="8C2F26"/>
          <w:sz w:val="18"/>
          <w:szCs w:val="18"/>
        </w:rPr>
        <w:t xml:space="preserve">Caveat. </w:t>
      </w:r>
      <w:r>
        <w:rPr>
          <w:color w:val="15181F"/>
          <w:sz w:val="18"/>
          <w:szCs w:val="18"/>
        </w:rPr>
        <w:t xml:space="preserve">It is not a substitute for high-quality contrast-enhanced CT and does not belong in routine staging. Order it to answer a question, and name the question.</w:t>
      </w:r>
    </w:p>
    <w:p>
      <w:pPr>
        <w:spacing w:after="60" w:before="180"/>
      </w:pPr>
      <w:r>
        <w:rPr>
          <w:b/>
          <w:bCs/>
          <w:color w:val="176A87"/>
          <w:spacing w:val="16"/>
          <w:sz w:val="16"/>
          <w:szCs w:val="16"/>
        </w:rPr>
        <w:t xml:space="preserve">REASONABLE</w:t>
      </w:r>
      <w:r>
        <w:rPr>
          <w:color w:val="5A6069"/>
          <w:sz w:val="16"/>
          <w:szCs w:val="16"/>
        </w:rPr>
        <w:t xml:space="preserve">   grade C</w:t>
      </w:r>
    </w:p>
    <w:p>
      <w:pPr>
        <w:spacing w:after="60" w:line="276"/>
      </w:pPr>
      <w:r>
        <w:rPr>
          <w:color w:val="15181F"/>
          <w:sz w:val="19"/>
          <w:szCs w:val="19"/>
        </w:rPr>
        <w:t xml:space="preserve">EUS in selected cases where it is complementary to CT — but not as a routine staging tool.</w:t>
      </w:r>
    </w:p>
    <w:p>
      <w:pPr>
        <w:spacing w:after="50" w:line="276"/>
        <w:ind w:left="240"/>
      </w:pPr>
      <w:r>
        <w:rPr>
          <w:color w:val="15181F"/>
          <w:sz w:val="18"/>
          <w:szCs w:val="18"/>
        </w:rPr>
        <w:t xml:space="preserve">Separating a benign from a malignant stricture, evaluating a periampullary mass, and characterising a cystic lesion. Across 20 studies and 726 cases, EUS had sensitivity 0.72 and specificity 0.90 for T1–2 and 0.90 and 0.72 for T3–4.</w:t>
      </w:r>
    </w:p>
    <w:p>
      <w:pPr>
        <w:spacing w:after="50"/>
        <w:ind w:left="240"/>
      </w:pPr>
      <w:r>
        <w:rPr>
          <w:b/>
          <w:bCs/>
          <w:color w:val="8C2F26"/>
          <w:sz w:val="18"/>
          <w:szCs w:val="18"/>
        </w:rPr>
        <w:t xml:space="preserve">Caveat. </w:t>
      </w:r>
      <w:r>
        <w:rPr>
          <w:color w:val="15181F"/>
          <w:sz w:val="18"/>
          <w:szCs w:val="18"/>
        </w:rPr>
        <w:t xml:space="preserve">The T-stage figures are not good enough to overturn a protocol CT, and the procedure is operator dependent. Where EUS is being done anyway, combine it with ERCP in one anaesthetic — see the tissue and drainage gate.</w:t>
      </w:r>
    </w:p>
    <w:p>
      <w:pPr>
        <w:spacing w:after="50" w:line="276"/>
        <w:ind w:left="240"/>
      </w:pPr>
      <w:r>
        <w:rPr>
          <w:i/>
          <w:iCs/>
          <w:color w:val="5A6069"/>
          <w:sz w:val="17"/>
          <w:szCs w:val="17"/>
        </w:rPr>
        <w:t xml:space="preserve">The sensitivity and specificity figures are carried in the NCCN discussion text supplied to this page, not in any paper read in full for this depot; the primary reports were not retrieved.</w:t>
      </w:r>
    </w:p>
    <w:p>
      <w:pPr>
        <w:spacing w:after="60" w:before="180"/>
      </w:pPr>
      <w:r>
        <w:rPr>
          <w:b/>
          <w:bCs/>
          <w:color w:val="8C2F26"/>
          <w:spacing w:val="16"/>
          <w:sz w:val="16"/>
          <w:szCs w:val="16"/>
        </w:rPr>
        <w:t xml:space="preserve">AVOID</w:t>
      </w:r>
      <w:r>
        <w:rPr>
          <w:color w:val="5A6069"/>
          <w:sz w:val="16"/>
          <w:szCs w:val="16"/>
        </w:rPr>
        <w:t xml:space="preserve">   grade D</w:t>
      </w:r>
    </w:p>
    <w:p>
      <w:pPr>
        <w:spacing w:after="60" w:line="276"/>
      </w:pPr>
      <w:r>
        <w:rPr>
          <w:color w:val="15181F"/>
          <w:sz w:val="19"/>
          <w:szCs w:val="19"/>
        </w:rPr>
        <w:t xml:space="preserve">Do not let a stent be placed before the staging scan in a patient who is not septic and whose bilirubin is not rising.</w:t>
      </w:r>
    </w:p>
    <w:p>
      <w:pPr>
        <w:spacing w:after="50" w:line="276"/>
        <w:ind w:left="240"/>
      </w:pPr>
      <w:r>
        <w:rPr>
          <w:color w:val="15181F"/>
          <w:sz w:val="18"/>
          <w:szCs w:val="18"/>
        </w:rPr>
        <w:t xml:space="preserve">Where urgent decompression is unavoidable, document why, and complete pancreas-protocol imaging promptly afterwards.</w:t>
      </w:r>
    </w:p>
    <w:p>
      <w:pPr>
        <w:spacing w:after="50"/>
        <w:ind w:left="240"/>
      </w:pPr>
      <w:r>
        <w:rPr>
          <w:b/>
          <w:bCs/>
          <w:color w:val="8C2F26"/>
          <w:sz w:val="18"/>
          <w:szCs w:val="18"/>
        </w:rPr>
        <w:t xml:space="preserve">Caveat. </w:t>
      </w:r>
      <w:r>
        <w:rPr>
          <w:color w:val="15181F"/>
          <w:sz w:val="18"/>
          <w:szCs w:val="18"/>
        </w:rPr>
        <w:t xml:space="preserve">Drainage is not routinely recommended before planned upfront surgery, so a stent placed for convenience buys a procedure, its complications, and a degraded baseline CA 19-9, for no benefit.</w:t>
      </w:r>
    </w:p>
    <w:p>
      <w:pPr>
        <w:spacing w:after="60" w:before="180"/>
      </w:pPr>
      <w:r>
        <w:rPr>
          <w:b/>
          <w:bCs/>
          <w:color w:val="8C2F26"/>
          <w:spacing w:val="16"/>
          <w:sz w:val="16"/>
          <w:szCs w:val="16"/>
        </w:rPr>
        <w:t xml:space="preserve">AVOID</w:t>
      </w:r>
      <w:r>
        <w:rPr>
          <w:color w:val="5A6069"/>
          <w:sz w:val="16"/>
          <w:szCs w:val="16"/>
        </w:rPr>
        <w:t xml:space="preserve">   grade C</w:t>
      </w:r>
    </w:p>
    <w:p>
      <w:pPr>
        <w:spacing w:after="60" w:line="276"/>
      </w:pPr>
      <w:r>
        <w:rPr>
          <w:color w:val="15181F"/>
          <w:sz w:val="19"/>
          <w:szCs w:val="19"/>
        </w:rPr>
        <w:t xml:space="preserve">Do not call a scan negative for metastases and treat that as proof.</w:t>
      </w:r>
    </w:p>
    <w:p>
      <w:pPr>
        <w:spacing w:after="50" w:line="276"/>
        <w:ind w:left="240"/>
      </w:pPr>
      <w:r>
        <w:rPr>
          <w:color w:val="15181F"/>
          <w:sz w:val="18"/>
          <w:szCs w:val="18"/>
        </w:rPr>
        <w:t xml:space="preserve">Say what the scan can and cannot exclude, and decide at the board whether staging laparoscopy or PET is worth adding in this patient.</w:t>
      </w:r>
    </w:p>
    <w:p>
      <w:pPr>
        <w:spacing w:after="50"/>
        <w:ind w:left="240"/>
      </w:pPr>
      <w:r>
        <w:rPr>
          <w:b/>
          <w:bCs/>
          <w:color w:val="8C2F26"/>
          <w:sz w:val="18"/>
          <w:szCs w:val="18"/>
        </w:rPr>
        <w:t xml:space="preserve">Caveat. </w:t>
      </w:r>
      <w:r>
        <w:rPr>
          <w:color w:val="15181F"/>
          <w:sz w:val="18"/>
          <w:szCs w:val="18"/>
        </w:rPr>
        <w:t xml:space="preserve">CT sensitivity for small hepatic and peritoneal metastases is limited, and the resectability criteria are deliberately built to favour specificity over sensitivity so that no resectable patient is denied an operation. That design means occult metastatic disease is expected, not surprising.</w:t>
      </w:r>
    </w:p>
    <w:p>
      <w:pPr>
        <w:pBdr>
          <w:bottom w:val="single" w:color="D3DCE4" w:sz="6" w:space="1"/>
        </w:pBdr>
        <w:spacing w:after="80"/>
      </w:pPr>
    </w:p>
    <w:p>
      <w:pPr>
        <w:pStyle w:val="Heading2"/>
        <w:keepNext/>
        <w:pageBreakBefore/>
        <w:spacing w:after="110" w:before="240"/>
      </w:pPr>
      <w:r>
        <w:rPr>
          <w:rFonts w:ascii="Cambria" w:cs="Cambria" w:eastAsia="Cambria" w:hAnsi="Cambria"/>
          <w:b/>
          <w:bCs/>
          <w:color w:val="17365D"/>
          <w:sz w:val="26"/>
          <w:szCs w:val="26"/>
        </w:rPr>
        <w:t xml:space="preserve">1 · Assign the resectability category</w:t>
      </w:r>
    </w:p>
    <w:p>
      <w:pPr>
        <w:spacing w:after="140"/>
      </w:pPr>
      <w:r>
        <w:rPr>
          <w:b/>
          <w:bCs/>
          <w:color w:val="176A87"/>
          <w:sz w:val="19"/>
          <w:szCs w:val="19"/>
        </w:rPr>
        <w:t xml:space="preserve">The question. </w:t>
      </w:r>
      <w:r>
        <w:rPr>
          <w:sz w:val="19"/>
          <w:szCs w:val="19"/>
        </w:rPr>
        <w:t xml:space="preserve">Which of the four boxes is this patient in, and who agreed it?</w:t>
      </w:r>
    </w:p>
    <w:p>
      <w:pPr>
        <w:spacing w:after="60" w:before="160"/>
      </w:pPr>
      <w:r>
        <w:rPr>
          <w:b/>
          <w:bCs/>
          <w:color w:val="176A87"/>
          <w:spacing w:val="24"/>
          <w:sz w:val="15"/>
          <w:szCs w:val="15"/>
        </w:rPr>
        <w:t xml:space="preserve">ALL OF THE FOLLOWING HAVE TO BE IN HAND</w:t>
      </w:r>
    </w:p>
    <w:p>
      <w:pPr>
        <w:pStyle w:val="ListParagraph"/>
        <w:numPr>
          <w:ilvl w:val="0"/>
          <w:numId w:val="2"/>
        </w:numPr>
        <w:spacing w:after="60" w:line="268"/>
      </w:pPr>
      <w:r>
        <w:rPr>
          <w:color w:val="15181F"/>
          <w:sz w:val="18"/>
          <w:szCs w:val="18"/>
        </w:rPr>
        <w:t xml:space="preserve">Arterial contact stated in degrees against the celiac axis, superior mesenteric artery and common hepatic artery</w:t>
      </w:r>
    </w:p>
    <w:p>
      <w:pPr>
        <w:pStyle w:val="ListParagraph"/>
        <w:numPr>
          <w:ilvl w:val="0"/>
          <w:numId w:val="2"/>
        </w:numPr>
        <w:spacing w:after="60" w:line="268"/>
      </w:pPr>
      <w:r>
        <w:rPr>
          <w:color w:val="15181F"/>
          <w:sz w:val="18"/>
          <w:szCs w:val="18"/>
        </w:rPr>
        <w:t xml:space="preserve">Venous contact stated in degrees against the SMV and portal vein, with contour irregularity and thrombosis recorded separately</w:t>
      </w:r>
    </w:p>
    <w:p>
      <w:pPr>
        <w:pStyle w:val="ListParagraph"/>
        <w:numPr>
          <w:ilvl w:val="0"/>
          <w:numId w:val="2"/>
        </w:numPr>
        <w:spacing w:after="60" w:line="268"/>
      </w:pPr>
      <w:r>
        <w:rPr>
          <w:color w:val="15181F"/>
          <w:sz w:val="18"/>
          <w:szCs w:val="18"/>
        </w:rPr>
        <w:t xml:space="preserve">Variant arterial anatomy named, with the degree of contact if present</w:t>
      </w:r>
    </w:p>
    <w:p>
      <w:pPr>
        <w:pStyle w:val="ListParagraph"/>
        <w:numPr>
          <w:ilvl w:val="0"/>
          <w:numId w:val="2"/>
        </w:numPr>
        <w:spacing w:after="60" w:line="268"/>
      </w:pPr>
      <w:r>
        <w:rPr>
          <w:color w:val="15181F"/>
          <w:sz w:val="18"/>
          <w:szCs w:val="18"/>
        </w:rPr>
        <w:t xml:space="preserve">No distant metastasis, including non-regional nodal metastasis</w:t>
      </w:r>
    </w:p>
    <w:p>
      <w:pPr>
        <w:pStyle w:val="ListParagraph"/>
        <w:numPr>
          <w:ilvl w:val="0"/>
          <w:numId w:val="2"/>
        </w:numPr>
        <w:spacing w:after="60" w:line="268"/>
      </w:pPr>
      <w:r>
        <w:rPr>
          <w:color w:val="15181F"/>
          <w:sz w:val="18"/>
          <w:szCs w:val="18"/>
        </w:rPr>
        <w:t xml:space="preserve">The category agreed by consensus at a multidisciplinary meeting, not assigned by one reader</w:t>
      </w:r>
    </w:p>
    <w:p>
      <w:pPr>
        <w:pStyle w:val="ListParagraph"/>
        <w:numPr>
          <w:ilvl w:val="0"/>
          <w:numId w:val="2"/>
        </w:numPr>
        <w:spacing w:after="60" w:line="268"/>
      </w:pPr>
      <w:r>
        <w:rPr>
          <w:color w:val="15181F"/>
          <w:sz w:val="18"/>
          <w:szCs w:val="18"/>
        </w:rPr>
        <w:t xml:space="preserve">Someone has asked whether this scan would survive a central review, because roughly a third of patients called resectable by their own centres do not</w:t>
      </w:r>
    </w:p>
    <w:p>
      <w:pPr>
        <w:spacing w:after="80" w:line="276"/>
      </w:pPr>
      <w:r>
        <w:rPr>
          <w:color w:val="15181F"/>
          <w:sz w:val="20"/>
          <w:szCs w:val="20"/>
        </w:rPr>
        <w:t xml:space="preserve"/>
      </w:r>
    </w:p>
    <w:p>
      <w:pPr>
        <w:spacing w:after="60" w:before="180"/>
      </w:pPr>
      <w:r>
        <w:rPr>
          <w:b/>
          <w:bCs/>
          <w:color w:val="17365D"/>
          <w:spacing w:val="16"/>
          <w:sz w:val="16"/>
          <w:szCs w:val="16"/>
        </w:rPr>
        <w:t xml:space="preserve">STANDARD</w:t>
      </w:r>
      <w:r>
        <w:rPr>
          <w:color w:val="5A6069"/>
          <w:sz w:val="16"/>
          <w:szCs w:val="16"/>
        </w:rPr>
        <w:t xml:space="preserve">   grade D</w:t>
      </w:r>
    </w:p>
    <w:p>
      <w:pPr>
        <w:spacing w:after="60" w:line="276"/>
      </w:pPr>
      <w:r>
        <w:rPr>
          <w:color w:val="15181F"/>
          <w:sz w:val="19"/>
          <w:szCs w:val="19"/>
        </w:rPr>
        <w:t xml:space="preserve">Place the patient in exactly one of resectable, borderline resectable, locally advanced or metastatic, by consensus at a multidisciplinary meeting, using the stated degrees of contact.</w:t>
      </w:r>
    </w:p>
    <w:p>
      <w:pPr>
        <w:spacing w:after="50" w:line="276"/>
        <w:ind w:left="240"/>
      </w:pPr>
      <w:r>
        <w:rPr>
          <w:color w:val="15181F"/>
          <w:sz w:val="18"/>
          <w:szCs w:val="18"/>
        </w:rPr>
        <w:t xml:space="preserve">Every non-metastatic patient, before any treatment is offered, because every later gate on this page hangs off which box was ticked. The thresholds are in the quick reference. NCCN is explicit that decisions about resectability status should be made in consensus at multidisciplinary meetings, and ESMO's 2023 guideline asks for the anatomical NCCN criteria to be read alongside the biological and conditional features of the International Association of Pancreatology consensus [III, B], with board discussion in an expert centre [III, A].</w:t>
      </w:r>
    </w:p>
    <w:p>
      <w:pPr>
        <w:spacing w:after="50"/>
        <w:ind w:left="240"/>
      </w:pPr>
      <w:r>
        <w:rPr>
          <w:b/>
          <w:bCs/>
          <w:color w:val="8C2F26"/>
          <w:sz w:val="18"/>
          <w:szCs w:val="18"/>
        </w:rPr>
        <w:t xml:space="preserve">Caveat. </w:t>
      </w:r>
      <w:r>
        <w:rPr>
          <w:color w:val="15181F"/>
          <w:sz w:val="18"/>
          <w:szCs w:val="18"/>
        </w:rPr>
        <w:t xml:space="preserve">Do not treat the thresholds as biologically derived. The 180-degree cut-point was adopted into the Society of Abdominal Radiology and American Pancreatic Association consensus reporting statement from the NCCN criteria of the time rather than derived or validated in it, no outcome study derived it, no inter-reader reproducibility data for measuring circumferential contact were presented with it, and the criteria for resectable disease were deliberately written to favour specificity over sensitivity so that a potentially resectable patient is not denied an operation. They are a shared language, not a prognostic model.</w:t>
      </w:r>
    </w:p>
    <w:p>
      <w:pPr>
        <w:spacing w:after="50" w:line="276"/>
        <w:ind w:left="240"/>
      </w:pPr>
      <w:r>
        <w:rPr>
          <w:i/>
          <w:iCs/>
          <w:color w:val="5A6069"/>
          <w:sz w:val="17"/>
          <w:szCs w:val="17"/>
        </w:rPr>
        <w:t xml:space="preserve">Downgraded to D: the category is assigned against a consensus threshold nobody derived. It is also assigned less reliably than the page previously implied. In SWOG S1505, which required formal surgical consultation plus a resectability checklist at 20-plus experienced US centres, central radiology review found 43 of 146 patients (29%) did not meet the trial's resectability criteria — 22 (51%) had arterial interface, 15 (35%) venous interface of 180 degrees or more and 28 (65%) suspicion of distant disease — and all of them had already started protocol therapy. After neoadjuvant therapy, solid tumour contact may be replaced by increased hazy density or stranding around the peripancreatic vessels; NCCN asks for this to be reported on both the staging and the follow-up scans so that the two are comparable.</w:t>
      </w:r>
    </w:p>
    <w:p>
      <w:pPr>
        <w:spacing w:after="60" w:line="276"/>
        <w:ind w:left="240"/>
      </w:pPr>
      <w:r>
        <w:rPr>
          <w:color w:val="5A6069"/>
          <w:sz w:val="16"/>
          <w:szCs w:val="16"/>
        </w:rPr>
        <w:t xml:space="preserve">Sources: SAR/APA template; SWOG S1505; ESMO 2023 pancreatic</w:t>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A distant metastasis, including a non-regional nodal metastasis, takes upfront resection off the table regardless of how favourable the local anatomy is.</w:t>
      </w:r>
    </w:p>
    <w:p>
      <w:pPr>
        <w:spacing w:after="50" w:line="276"/>
        <w:ind w:left="240"/>
      </w:pPr>
      <w:r>
        <w:rPr>
          <w:color w:val="15181F"/>
          <w:sz w:val="18"/>
          <w:szCs w:val="18"/>
        </w:rPr>
        <w:t xml:space="preserve">State this at the board before the anatomy is discussed, so the discussion does not drift into an operative plan for a stage IV patient.</w:t>
      </w:r>
    </w:p>
    <w:p>
      <w:pPr>
        <w:spacing w:after="50"/>
        <w:ind w:left="240"/>
      </w:pPr>
      <w:r>
        <w:rPr>
          <w:b/>
          <w:bCs/>
          <w:color w:val="8C2F26"/>
          <w:sz w:val="18"/>
          <w:szCs w:val="18"/>
        </w:rPr>
        <w:t xml:space="preserve">Caveat. </w:t>
      </w:r>
      <w:r>
        <w:rPr>
          <w:color w:val="15181F"/>
          <w:sz w:val="18"/>
          <w:szCs w:val="18"/>
        </w:rPr>
        <w:t xml:space="preserve">Do not let a technically beautiful local picture pull a metastatic patient toward resection. NCCN's footnote is unambiguous: distant metastasis, regardless of anatomic resectability, implies disease that should not be treated with upfront resection.</w:t>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Positive cytology from washings taken at laparoscopy or laparotomy is equivalent to M1 disease — and if a resection has already been done, the patient is treated for M1 disease.</w:t>
      </w:r>
    </w:p>
    <w:p>
      <w:pPr>
        <w:spacing w:after="50" w:line="276"/>
        <w:ind w:left="240"/>
      </w:pPr>
      <w:r>
        <w:rPr>
          <w:color w:val="15181F"/>
          <w:sz w:val="18"/>
          <w:szCs w:val="18"/>
        </w:rPr>
        <w:t xml:space="preserve">Send washings whenever the abdomen is entered for staging or resection, and record the result in the operative note so the oncologist does not have to ask for it.</w:t>
      </w:r>
    </w:p>
    <w:p>
      <w:pPr>
        <w:spacing w:after="50"/>
        <w:ind w:left="240"/>
      </w:pPr>
      <w:r>
        <w:rPr>
          <w:b/>
          <w:bCs/>
          <w:color w:val="8C2F26"/>
          <w:sz w:val="18"/>
          <w:szCs w:val="18"/>
        </w:rPr>
        <w:t xml:space="preserve">Caveat. </w:t>
      </w:r>
      <w:r>
        <w:rPr>
          <w:color w:val="15181F"/>
          <w:sz w:val="18"/>
          <w:szCs w:val="18"/>
        </w:rPr>
        <w:t xml:space="preserve">Do not treat a positive washing as a technical curiosity in an otherwise successful resection. It changes the postoperative pathway from adjuvant to metastatic.</w:t>
      </w:r>
    </w:p>
    <w:p>
      <w:pPr>
        <w:spacing w:after="60" w:before="180"/>
      </w:pPr>
      <w:r>
        <w:rPr>
          <w:b/>
          <w:bCs/>
          <w:color w:val="176A87"/>
          <w:spacing w:val="16"/>
          <w:sz w:val="16"/>
          <w:szCs w:val="16"/>
        </w:rPr>
        <w:t xml:space="preserve">REASONABLE</w:t>
      </w:r>
      <w:r>
        <w:rPr>
          <w:color w:val="5A6069"/>
          <w:sz w:val="16"/>
          <w:szCs w:val="16"/>
        </w:rPr>
        <w:t xml:space="preserve">   grade C</w:t>
      </w:r>
    </w:p>
    <w:p>
      <w:pPr>
        <w:spacing w:after="60" w:line="276"/>
      </w:pPr>
      <w:r>
        <w:rPr>
          <w:color w:val="15181F"/>
          <w:sz w:val="19"/>
          <w:szCs w:val="19"/>
        </w:rPr>
        <w:t xml:space="preserve">Selective staging laparoscopy, with intraoperative ultrasound as an adjunct, where occult metastatic disease is suspected on imaging or clinical grounds.</w:t>
      </w:r>
    </w:p>
    <w:p>
      <w:pPr>
        <w:spacing w:after="50" w:line="276"/>
        <w:ind w:left="240"/>
      </w:pPr>
      <w:r>
        <w:rPr>
          <w:color w:val="15181F"/>
          <w:sz w:val="18"/>
          <w:szCs w:val="18"/>
        </w:rPr>
        <w:t xml:space="preserve">Body and tail lesions, equivocal peritoneal or hepatic findings, markedly elevated CA 19-9, and before committing a patient to a long neoadjuvant course. Avoiding an unnecessary laparotomy is achievable in an estimated 23% of patients planned for curative-intent surgery. In a prospective review of 838 patients judged resectable on imaging, 14% were unresectable at laparoscopy — 21% when only pancreatic adenocarcinoma was counted. Preoperative CA 19-9 above 100 U/mL, or above 215 U/mL, is associated with a greater likelihood of a positive finding.</w:t>
      </w:r>
    </w:p>
    <w:p>
      <w:pPr>
        <w:spacing w:after="50"/>
        <w:ind w:left="240"/>
      </w:pPr>
      <w:r>
        <w:rPr>
          <w:b/>
          <w:bCs/>
          <w:color w:val="8C2F26"/>
          <w:sz w:val="18"/>
          <w:szCs w:val="18"/>
        </w:rPr>
        <w:t xml:space="preserve">Caveat. </w:t>
      </w:r>
      <w:r>
        <w:rPr>
          <w:color w:val="15181F"/>
          <w:sz w:val="18"/>
          <w:szCs w:val="18"/>
        </w:rPr>
        <w:t xml:space="preserve">NCCN does not regard staging laparoscopy as a substitute for poor-quality preoperative imaging, and routine use remains controversial. Its yield depends entirely on how good the CT was and how likely metastatic disease is in that patient.</w:t>
      </w:r>
    </w:p>
    <w:p>
      <w:pPr>
        <w:spacing w:after="50" w:line="276"/>
        <w:ind w:left="240"/>
      </w:pPr>
      <w:r>
        <w:rPr>
          <w:i/>
          <w:iCs/>
          <w:color w:val="5A6069"/>
          <w:sz w:val="17"/>
          <w:szCs w:val="17"/>
        </w:rPr>
        <w:t xml:space="preserve">The concern that laparoscopy promotes trocar-site recurrence and peritoneal progression rests on clinical observation and on animal and in vitro data; the one retrospective study addressing it (n=235) found no significant association with poor outcomes. That is weak evidence in both directions. Laparoscopy can be repeated after neoadjuvant chemotherapy, before planned chemoradiation or surgery. Note that in PREOPANC staging laparoscopy was mandatory in the neoadjuvant arm (114 of 119) and discretionary in the surgery arm, and 13 of the 28 patients who never started neoadjuvant treatment were found metastatic at that laparoscopy — which is both a demonstration of its yield and the reason that trial's R0 and nodal comparisons are not symmetrical. [EXPERTISE]</w:t>
      </w:r>
    </w:p>
    <w:p>
      <w:pPr>
        <w:spacing w:after="60" w:line="276"/>
        <w:ind w:left="240"/>
      </w:pPr>
      <w:r>
        <w:rPr>
          <w:color w:val="5A6069"/>
          <w:sz w:val="16"/>
          <w:szCs w:val="16"/>
        </w:rPr>
        <w:t xml:space="preserve">Sources: PREOPANC long-term</w:t>
      </w:r>
    </w:p>
    <w:p>
      <w:pPr>
        <w:spacing w:after="60" w:before="180"/>
      </w:pPr>
      <w:r>
        <w:rPr>
          <w:b/>
          <w:bCs/>
          <w:color w:val="176A87"/>
          <w:spacing w:val="16"/>
          <w:sz w:val="16"/>
          <w:szCs w:val="16"/>
        </w:rPr>
        <w:t xml:space="preserve">REASONABLE</w:t>
      </w:r>
      <w:r>
        <w:rPr>
          <w:color w:val="5A6069"/>
          <w:sz w:val="16"/>
          <w:szCs w:val="16"/>
        </w:rPr>
        <w:t xml:space="preserve">   grade D</w:t>
      </w:r>
    </w:p>
    <w:p>
      <w:pPr>
        <w:spacing w:after="60" w:line="276"/>
      </w:pPr>
      <w:r>
        <w:rPr>
          <w:color w:val="15181F"/>
          <w:sz w:val="19"/>
          <w:szCs w:val="19"/>
        </w:rPr>
        <w:t xml:space="preserve">Use the term </w:t>
      </w:r>
      <w:r>
        <w:rPr>
          <w:i/>
          <w:iCs/>
          <w:color w:val="15181F"/>
          <w:sz w:val="19"/>
          <w:szCs w:val="19"/>
        </w:rPr>
        <w:t xml:space="preserve">locally advanced</w:t>
      </w:r>
      <w:r>
        <w:rPr>
          <w:color w:val="15181F"/>
          <w:sz w:val="19"/>
          <w:szCs w:val="19"/>
        </w:rPr>
        <w:t xml:space="preserve"> only at the time of initial diagnosis, and say so when you use it.</w:t>
      </w:r>
    </w:p>
    <w:p>
      <w:pPr>
        <w:spacing w:after="50" w:line="276"/>
        <w:ind w:left="240"/>
      </w:pPr>
      <w:r>
        <w:rPr>
          <w:color w:val="15181F"/>
          <w:sz w:val="18"/>
          <w:szCs w:val="18"/>
        </w:rPr>
        <w:t xml:space="preserve">NCCN states the term should only be used at diagnosis, that locally advanced does not imply unresectable tumour, and that once any neoadjuvant therapy has been delivered the criteria for resection should be based on the biological response to treatment.</w:t>
      </w:r>
    </w:p>
    <w:p>
      <w:pPr>
        <w:spacing w:after="50"/>
        <w:ind w:left="240"/>
      </w:pPr>
      <w:r>
        <w:rPr>
          <w:b/>
          <w:bCs/>
          <w:color w:val="8C2F26"/>
          <w:sz w:val="18"/>
          <w:szCs w:val="18"/>
        </w:rPr>
        <w:t xml:space="preserve">Caveat. </w:t>
      </w:r>
      <w:r>
        <w:rPr>
          <w:color w:val="15181F"/>
          <w:sz w:val="18"/>
          <w:szCs w:val="18"/>
        </w:rPr>
        <w:t xml:space="preserve">A label applied at diagnosis and never revisited is the commonest way a patient who could have been operated on is not. Where there is a response, a second opinion at a centre with expertise in vascular resection and reconstruction is recommended even if the tumour is still called technically unresectable.</w:t>
      </w:r>
    </w:p>
    <w:p>
      <w:pPr>
        <w:spacing w:after="60" w:before="180"/>
      </w:pPr>
      <w:r>
        <w:rPr>
          <w:b/>
          <w:bCs/>
          <w:color w:val="8C2F26"/>
          <w:spacing w:val="16"/>
          <w:sz w:val="16"/>
          <w:szCs w:val="16"/>
        </w:rPr>
        <w:t xml:space="preserve">AVOID</w:t>
      </w:r>
      <w:r>
        <w:rPr>
          <w:color w:val="5A6069"/>
          <w:sz w:val="16"/>
          <w:szCs w:val="16"/>
        </w:rPr>
        <w:t xml:space="preserve">   grade D</w:t>
      </w:r>
    </w:p>
    <w:p>
      <w:pPr>
        <w:spacing w:after="60" w:line="276"/>
      </w:pPr>
      <w:r>
        <w:rPr>
          <w:color w:val="15181F"/>
          <w:sz w:val="19"/>
          <w:szCs w:val="19"/>
        </w:rPr>
        <w:t xml:space="preserve">Do not close the case on one radiologist's word </w:t>
      </w:r>
      <w:r>
        <w:rPr>
          <w:i/>
          <w:iCs/>
          <w:color w:val="15181F"/>
          <w:sz w:val="19"/>
          <w:szCs w:val="19"/>
        </w:rPr>
        <w:t xml:space="preserve">unresectable</w:t>
      </w:r>
      <w:r>
        <w:rPr>
          <w:color w:val="15181F"/>
          <w:sz w:val="19"/>
          <w:szCs w:val="19"/>
        </w:rPr>
        <w:t xml:space="preserve">.</w:t>
      </w:r>
    </w:p>
    <w:p>
      <w:pPr>
        <w:spacing w:after="50" w:line="276"/>
        <w:ind w:left="240"/>
      </w:pPr>
      <w:r>
        <w:rPr>
          <w:color w:val="15181F"/>
          <w:sz w:val="18"/>
          <w:szCs w:val="18"/>
        </w:rPr>
        <w:t xml:space="preserve">Send it to the board with the degrees of contact, and record who agreed the category and on what date.</w:t>
      </w:r>
    </w:p>
    <w:p>
      <w:pPr>
        <w:spacing w:after="50"/>
        <w:ind w:left="240"/>
      </w:pPr>
      <w:r>
        <w:rPr>
          <w:b/>
          <w:bCs/>
          <w:color w:val="8C2F26"/>
          <w:sz w:val="18"/>
          <w:szCs w:val="18"/>
        </w:rPr>
        <w:t xml:space="preserve">Caveat. </w:t>
      </w:r>
      <w:r>
        <w:rPr>
          <w:color w:val="15181F"/>
          <w:sz w:val="18"/>
          <w:szCs w:val="18"/>
        </w:rPr>
        <w:t xml:space="preserve">This is a sequence and governance error rather than a judgement call: the guideline requires multidisciplinary consensus, and a single-reader determination removes the patient from every curative gate without one.</w:t>
      </w:r>
    </w:p>
    <w:p>
      <w:pPr>
        <w:spacing w:after="60" w:before="180"/>
      </w:pPr>
      <w:r>
        <w:rPr>
          <w:b/>
          <w:bCs/>
          <w:color w:val="8C2F26"/>
          <w:spacing w:val="16"/>
          <w:sz w:val="16"/>
          <w:szCs w:val="16"/>
        </w:rPr>
        <w:t xml:space="preserve">AVOID</w:t>
      </w:r>
      <w:r>
        <w:rPr>
          <w:color w:val="5A6069"/>
          <w:sz w:val="16"/>
          <w:szCs w:val="16"/>
        </w:rPr>
        <w:t xml:space="preserve">   grade C</w:t>
      </w:r>
    </w:p>
    <w:p>
      <w:pPr>
        <w:spacing w:after="60" w:line="276"/>
      </w:pPr>
      <w:r>
        <w:rPr>
          <w:color w:val="15181F"/>
          <w:sz w:val="19"/>
          <w:szCs w:val="19"/>
        </w:rPr>
        <w:t xml:space="preserve">Do not re-stage off a post-neoadjuvant scan alone and declare the operation off.</w:t>
      </w:r>
    </w:p>
    <w:p>
      <w:pPr>
        <w:spacing w:after="50" w:line="276"/>
        <w:ind w:left="240"/>
      </w:pPr>
      <w:r>
        <w:rPr>
          <w:color w:val="15181F"/>
          <w:sz w:val="18"/>
          <w:szCs w:val="18"/>
        </w:rPr>
        <w:t xml:space="preserve">Judge response on at least two of three metrics — radiologic, biochemical, metabolic — and explore if there is no extrapancreatic progression.</w:t>
      </w:r>
    </w:p>
    <w:p>
      <w:pPr>
        <w:spacing w:after="50"/>
        <w:ind w:left="240"/>
      </w:pPr>
      <w:r>
        <w:rPr>
          <w:b/>
          <w:bCs/>
          <w:color w:val="8C2F26"/>
          <w:sz w:val="18"/>
          <w:szCs w:val="18"/>
        </w:rPr>
        <w:t xml:space="preserve">Caveat. </w:t>
      </w:r>
      <w:r>
        <w:rPr>
          <w:color w:val="15181F"/>
          <w:sz w:val="18"/>
          <w:szCs w:val="18"/>
        </w:rPr>
        <w:t xml:space="preserve">Retrospective studies show that radiographic response does not correlate with pathologic response or with margin-negative resection in borderline resectable disease, and that imaging characteristics are an unreliable indicator of resectability after neoadjuvant therapy. NCCN's own instruction is that if no apparent tumour shrinkage is seen and there is no extrapancreatic progression, surgery should still be attempted.</w:t>
      </w:r>
    </w:p>
    <w:p>
      <w:pPr>
        <w:pBdr>
          <w:bottom w:val="single" w:color="D3DCE4" w:sz="6" w:space="1"/>
        </w:pBdr>
        <w:spacing w:after="80"/>
      </w:pPr>
    </w:p>
    <w:p>
      <w:pPr>
        <w:pStyle w:val="Heading2"/>
        <w:keepNext/>
        <w:pageBreakBefore/>
        <w:spacing w:after="110" w:before="240"/>
      </w:pPr>
      <w:r>
        <w:rPr>
          <w:rFonts w:ascii="Cambria" w:cs="Cambria" w:eastAsia="Cambria" w:hAnsi="Cambria"/>
          <w:b/>
          <w:bCs/>
          <w:color w:val="17365D"/>
          <w:sz w:val="26"/>
          <w:szCs w:val="26"/>
        </w:rPr>
        <w:t xml:space="preserve">2 · Tissue and drainage, in one anaesthetic</w:t>
      </w:r>
    </w:p>
    <w:p>
      <w:pPr>
        <w:spacing w:after="140"/>
      </w:pPr>
      <w:r>
        <w:rPr>
          <w:b/>
          <w:bCs/>
          <w:color w:val="176A87"/>
          <w:sz w:val="19"/>
          <w:szCs w:val="19"/>
        </w:rPr>
        <w:t xml:space="preserve">The question. </w:t>
      </w:r>
      <w:r>
        <w:rPr>
          <w:sz w:val="19"/>
          <w:szCs w:val="19"/>
        </w:rPr>
        <w:t xml:space="preserve">Does this patient need tissue before I operate, and if they need a stent, which stent and for how long?</w:t>
      </w:r>
    </w:p>
    <w:p>
      <w:pPr>
        <w:spacing w:after="60" w:before="160"/>
      </w:pPr>
      <w:r>
        <w:rPr>
          <w:b/>
          <w:bCs/>
          <w:color w:val="176A87"/>
          <w:spacing w:val="24"/>
          <w:sz w:val="15"/>
          <w:szCs w:val="15"/>
        </w:rPr>
        <w:t xml:space="preserve">ANY ONE OF THE FOLLOWING HAS TO BE IN HAND</w:t>
      </w:r>
    </w:p>
    <w:p>
      <w:pPr>
        <w:pStyle w:val="ListParagraph"/>
        <w:numPr>
          <w:ilvl w:val="0"/>
          <w:numId w:val="2"/>
        </w:numPr>
        <w:spacing w:after="60" w:line="268"/>
      </w:pPr>
      <w:r>
        <w:rPr>
          <w:color w:val="15181F"/>
          <w:sz w:val="18"/>
          <w:szCs w:val="18"/>
        </w:rPr>
        <w:t xml:space="preserve">Obstructive jaundice with cholangitis, fever, or intense pruritus</w:t>
      </w:r>
    </w:p>
    <w:p>
      <w:pPr>
        <w:pStyle w:val="ListParagraph"/>
        <w:numPr>
          <w:ilvl w:val="0"/>
          <w:numId w:val="2"/>
        </w:numPr>
        <w:spacing w:after="60" w:line="268"/>
      </w:pPr>
      <w:r>
        <w:rPr>
          <w:color w:val="15181F"/>
          <w:sz w:val="18"/>
          <w:szCs w:val="18"/>
        </w:rPr>
        <w:t xml:space="preserve">Neoadjuvant therapy planned, or the operation delayed for any reason</w:t>
      </w:r>
    </w:p>
    <w:p>
      <w:pPr>
        <w:pStyle w:val="ListParagraph"/>
        <w:numPr>
          <w:ilvl w:val="0"/>
          <w:numId w:val="2"/>
        </w:numPr>
        <w:spacing w:after="60" w:line="268"/>
      </w:pPr>
      <w:r>
        <w:rPr>
          <w:color w:val="15181F"/>
          <w:sz w:val="18"/>
          <w:szCs w:val="18"/>
        </w:rPr>
        <w:t xml:space="preserve">A tissue diagnosis is required because the next treatment is not an operation</w:t>
      </w:r>
    </w:p>
    <w:p>
      <w:pPr>
        <w:pStyle w:val="ListParagraph"/>
        <w:numPr>
          <w:ilvl w:val="0"/>
          <w:numId w:val="2"/>
        </w:numPr>
        <w:spacing w:after="60" w:line="268"/>
      </w:pPr>
      <w:r>
        <w:rPr>
          <w:color w:val="15181F"/>
          <w:sz w:val="18"/>
          <w:szCs w:val="18"/>
        </w:rPr>
        <w:t xml:space="preserve">The diagnosis is uncertain and a removable stent would preserve the option of re-biopsy</w:t>
      </w:r>
    </w:p>
    <w:p>
      <w:pPr>
        <w:pStyle w:val="ListParagraph"/>
        <w:numPr>
          <w:ilvl w:val="0"/>
          <w:numId w:val="2"/>
        </w:numPr>
        <w:spacing w:after="60" w:line="268"/>
      </w:pPr>
      <w:r>
        <w:rPr>
          <w:color w:val="15181F"/>
          <w:sz w:val="18"/>
          <w:szCs w:val="18"/>
        </w:rPr>
        <w:t xml:space="preserve">Metastatic disease, where enough tissue for next-generation sequencing is itself an indication</w:t>
      </w:r>
    </w:p>
    <w:p>
      <w:pPr>
        <w:spacing w:after="80" w:line="276"/>
      </w:pPr>
      <w:r>
        <w:rPr>
          <w:color w:val="15181F"/>
          <w:sz w:val="20"/>
          <w:szCs w:val="20"/>
        </w:rPr>
        <w:t xml:space="preserve"/>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In a patient going straight to resection with a high clinical suspicion, do not wait for tissue — biopsy proof of malignancy is not required before resection, and a non-diagnostic biopsy should not delay it.</w:t>
      </w:r>
    </w:p>
    <w:p>
      <w:pPr>
        <w:spacing w:after="50" w:line="276"/>
        <w:ind w:left="240"/>
      </w:pPr>
      <w:r>
        <w:rPr>
          <w:color w:val="15181F"/>
          <w:sz w:val="18"/>
          <w:szCs w:val="18"/>
        </w:rPr>
        <w:t xml:space="preserve">A pancreas-protocol CT showing a resectable mass with no alternative explanation, in a fit patient, where the operative plan would not change whatever the needle showed.</w:t>
      </w:r>
    </w:p>
    <w:p>
      <w:pPr>
        <w:spacing w:after="50"/>
        <w:ind w:left="240"/>
      </w:pPr>
      <w:r>
        <w:rPr>
          <w:b/>
          <w:bCs/>
          <w:color w:val="8C2F26"/>
          <w:sz w:val="18"/>
          <w:szCs w:val="18"/>
        </w:rPr>
        <w:t xml:space="preserve">Caveat. </w:t>
      </w:r>
      <w:r>
        <w:rPr>
          <w:color w:val="15181F"/>
          <w:sz w:val="18"/>
          <w:szCs w:val="18"/>
        </w:rPr>
        <w:t xml:space="preserve">Do not carry this permission into any other setting. A pathologic diagnosis is necessary before neoadjuvant therapy, and for locally advanced, borderline resectable and metastatic disease — which is to say for almost everybody who is not going directly to theatre.</w:t>
      </w:r>
    </w:p>
    <w:p>
      <w:pPr>
        <w:spacing w:after="50" w:line="276"/>
        <w:ind w:left="240"/>
      </w:pPr>
      <w:r>
        <w:rPr>
          <w:i/>
          <w:iCs/>
          <w:color w:val="5A6069"/>
          <w:sz w:val="17"/>
          <w:szCs w:val="17"/>
        </w:rPr>
        <w:t xml:space="preserve">Treated as a licence to skip tissue in a borderline resectable patient, this becomes the error that starts chemotherapy without a diagnosis.</w:t>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EUS-guided needle biopsy with a latest-generation core needle is the preferred route, and the extra passes are taken at the same sitting and banked.</w:t>
      </w:r>
    </w:p>
    <w:p>
      <w:pPr>
        <w:spacing w:after="50" w:line="276"/>
        <w:ind w:left="240"/>
      </w:pPr>
      <w:r>
        <w:rPr>
          <w:color w:val="15181F"/>
          <w:sz w:val="18"/>
          <w:szCs w:val="18"/>
        </w:rPr>
        <w:t xml:space="preserve">Every patient who needs tissue and has non-metastatic disease. NCCN prefers EUS over CT-guided biopsy for better diagnostic yield, better safety, and potentially lower risk of peritoneal seeding than the percutaneous approach. Two extra needle passes beyond the diagnostic passes should be taken where safe and feasible and stored for future next-generation sequencing.</w:t>
      </w:r>
    </w:p>
    <w:p>
      <w:pPr>
        <w:spacing w:after="50"/>
        <w:ind w:left="240"/>
      </w:pPr>
      <w:r>
        <w:rPr>
          <w:b/>
          <w:bCs/>
          <w:color w:val="8C2F26"/>
          <w:sz w:val="18"/>
          <w:szCs w:val="18"/>
        </w:rPr>
        <w:t xml:space="preserve">Caveat. </w:t>
      </w:r>
      <w:r>
        <w:rPr>
          <w:color w:val="15181F"/>
          <w:sz w:val="18"/>
          <w:szCs w:val="18"/>
        </w:rPr>
        <w:t xml:space="preserve">Biopsy the lesion that will give the highest stage — a liver deposit, not the primary, if both are there — and use image-guided biopsy rather than EUS for liver lesions suspicious for metastasis. Sampling only the primary in a patient with a liver lesion wastes the procedure.</w:t>
      </w:r>
    </w:p>
    <w:p>
      <w:pPr>
        <w:spacing w:after="50" w:line="276"/>
        <w:ind w:left="240"/>
      </w:pPr>
      <w:r>
        <w:rPr>
          <w:i/>
          <w:iCs/>
          <w:color w:val="5A6069"/>
          <w:sz w:val="17"/>
          <w:szCs w:val="17"/>
        </w:rPr>
        <w:t xml:space="preserve">In metastatic disease, obtaining enough tissue for sequencing is part of the indication, not an afterthought. The seeding argument for EUS over the percutaneous route is NCCN's wording — </w:t>
      </w:r>
      <w:r>
        <w:rPr>
          <w:i/>
          <w:iCs/>
          <w:color w:val="5A6069"/>
          <w:sz w:val="17"/>
          <w:szCs w:val="17"/>
        </w:rPr>
        <w:t xml:space="preserve">potentially lower risk</w:t>
      </w:r>
      <w:r>
        <w:rPr>
          <w:i/>
          <w:iCs/>
          <w:color w:val="5A6069"/>
          <w:sz w:val="17"/>
          <w:szCs w:val="17"/>
        </w:rPr>
        <w:t xml:space="preserve"> — and is not a measured rate. [EXPERTISE]</w:t>
      </w:r>
    </w:p>
    <w:p>
      <w:pPr>
        <w:spacing w:after="60" w:before="180"/>
      </w:pPr>
      <w:r>
        <w:rPr>
          <w:b/>
          <w:bCs/>
          <w:color w:val="17365D"/>
          <w:spacing w:val="16"/>
          <w:sz w:val="16"/>
          <w:szCs w:val="16"/>
        </w:rPr>
        <w:t xml:space="preserve">STANDARD</w:t>
      </w:r>
      <w:r>
        <w:rPr>
          <w:color w:val="5A6069"/>
          <w:sz w:val="16"/>
          <w:szCs w:val="16"/>
        </w:rPr>
        <w:t xml:space="preserve">   grade D</w:t>
      </w:r>
    </w:p>
    <w:p>
      <w:pPr>
        <w:spacing w:after="60" w:line="276"/>
      </w:pPr>
      <w:r>
        <w:rPr>
          <w:color w:val="15181F"/>
          <w:sz w:val="19"/>
          <w:szCs w:val="19"/>
        </w:rPr>
        <w:t xml:space="preserve">Where the patient is jaundiced and needs tissue, do the EUS needle biopsy and the ERCP for drainage in the same anaesthesia session.</w:t>
      </w:r>
    </w:p>
    <w:p>
      <w:pPr>
        <w:spacing w:after="50" w:line="276"/>
        <w:ind w:left="240"/>
      </w:pPr>
      <w:r>
        <w:rPr>
          <w:color w:val="15181F"/>
          <w:sz w:val="18"/>
          <w:szCs w:val="18"/>
        </w:rPr>
        <w:t xml:space="preserve">Best practice per NCCN in obstructive jaundice. It saves a procedure, a sedation and usually a week.</w:t>
      </w:r>
    </w:p>
    <w:p>
      <w:pPr>
        <w:spacing w:after="50"/>
        <w:ind w:left="240"/>
      </w:pPr>
      <w:r>
        <w:rPr>
          <w:b/>
          <w:bCs/>
          <w:color w:val="8C2F26"/>
          <w:sz w:val="18"/>
          <w:szCs w:val="18"/>
        </w:rPr>
        <w:t xml:space="preserve">Caveat. </w:t>
      </w:r>
      <w:r>
        <w:rPr>
          <w:color w:val="15181F"/>
          <w:sz w:val="18"/>
          <w:szCs w:val="18"/>
        </w:rPr>
        <w:t xml:space="preserve">Do not split them between services and dates by default; that is how patients accumulate procedures and lose weeks before any treatment starts.</w:t>
      </w:r>
    </w:p>
    <w:p>
      <w:pPr>
        <w:spacing w:after="60" w:before="180"/>
      </w:pPr>
      <w:r>
        <w:rPr>
          <w:b/>
          <w:bCs/>
          <w:color w:val="17365D"/>
          <w:spacing w:val="16"/>
          <w:sz w:val="16"/>
          <w:szCs w:val="16"/>
        </w:rPr>
        <w:t xml:space="preserve">STANDARD</w:t>
      </w:r>
      <w:r>
        <w:rPr>
          <w:color w:val="5A6069"/>
          <w:sz w:val="16"/>
          <w:szCs w:val="16"/>
        </w:rPr>
        <w:t xml:space="preserve">   grade B</w:t>
      </w:r>
    </w:p>
    <w:p>
      <w:pPr>
        <w:spacing w:after="60" w:line="276"/>
      </w:pPr>
      <w:r>
        <w:rPr>
          <w:color w:val="15181F"/>
          <w:sz w:val="19"/>
          <w:szCs w:val="19"/>
        </w:rPr>
        <w:t xml:space="preserve">Biliary drainage is not routinely recommended before an operation that is about to happen — drain for cholangitis or fever, for severely symptomatic jaundice, or because surgery is being delayed, including for neoadjuvant therapy.</w:t>
      </w:r>
    </w:p>
    <w:p>
      <w:pPr>
        <w:spacing w:after="50" w:line="276"/>
        <w:ind w:left="240"/>
      </w:pPr>
      <w:r>
        <w:rPr>
          <w:color w:val="15181F"/>
          <w:sz w:val="18"/>
          <w:szCs w:val="18"/>
        </w:rPr>
        <w:t xml:space="preserve">Where drainage is indicated it is best accomplished with an endoscopically placed stent. For a jaundiced patient going on to neoadjuvant therapy, decompression is necessary before therapy starts; NCCN describes it as well tolerated with minimal increase in perioperative morbidity, and ESMO recommends endoscopic drainage where bilirubin exceeds 250 micromol/L in patients with cholangitis, those planned for neoadjuvant treatment, or those whose surgery will be delayed beyond 2 weeks [I, B].</w:t>
      </w:r>
    </w:p>
    <w:p>
      <w:pPr>
        <w:spacing w:after="50"/>
        <w:ind w:left="240"/>
      </w:pPr>
      <w:r>
        <w:rPr>
          <w:b/>
          <w:bCs/>
          <w:color w:val="8C2F26"/>
          <w:sz w:val="18"/>
          <w:szCs w:val="18"/>
        </w:rPr>
        <w:t xml:space="preserve">Caveat. </w:t>
      </w:r>
      <w:r>
        <w:rPr>
          <w:color w:val="15181F"/>
          <w:sz w:val="18"/>
          <w:szCs w:val="18"/>
        </w:rPr>
        <w:t xml:space="preserve">Routine drainage before an imminent operation causes harm: in a multicentre randomised trial of 202 patients with obstructive jaundice from pancreatic head cancer, serious complications within 120 days occurred in 75 of 102 (74%) of the stented group versus 37 of 94 (39%) with surgery alone, relative risk for surgery alone 0.54 (95% CI 0.41–0.71), P&lt;0.001. Complications attributable to drainage occurred in 47 of 102 (46%) versus 2 of 94 (2%) — cholangitis in 27 (26%), stent exchange needed in 31 (30%), occlusion in 15 (15%), pancreatitis in 7 (7%).</w:t>
      </w:r>
    </w:p>
    <w:p>
      <w:pPr>
        <w:spacing w:after="50" w:line="276"/>
        <w:ind w:left="240"/>
      </w:pPr>
      <w:r>
        <w:rPr>
          <w:i/>
          <w:iCs/>
          <w:color w:val="5A6069"/>
          <w:sz w:val="17"/>
          <w:szCs w:val="17"/>
        </w:rPr>
        <w:t xml:space="preserve">Both halves of that trial matter, and so do its boundaries. Surgical complications did </w:t>
      </w:r>
      <w:r>
        <w:rPr>
          <w:b/>
          <w:bCs/>
          <w:i/>
          <w:iCs/>
          <w:color w:val="5A6069"/>
          <w:sz w:val="17"/>
          <w:szCs w:val="17"/>
        </w:rPr>
        <w:t xml:space="preserve">not</w:t>
      </w:r>
      <w:r>
        <w:rPr>
          <w:i/>
          <w:iCs/>
          <w:color w:val="5A6069"/>
          <w:sz w:val="17"/>
          <w:szCs w:val="17"/>
        </w:rPr>
        <w:t xml:space="preserve"> differ significantly (35 of 94 [37%] versus 48 of 102 [47%], RR 0.79, 95% CI 0.57–1.11), nor did mortality from a protocol-specified complication (4 [4%] versus 9 [9%], RR 0.48, 0.15–1.51) or resection rate (67% versus 56%, P=0.11) — so the excess was in drainage-related events and readmissions rather than in the operation, and the trial does not show that drainage makes a pancreatoduodenectomy safer or less safe. Three limits decide how far it travels. It used </w:t>
      </w:r>
      <w:r>
        <w:rPr>
          <w:b/>
          <w:bCs/>
          <w:i/>
          <w:iCs/>
          <w:color w:val="5A6069"/>
          <w:sz w:val="17"/>
          <w:szCs w:val="17"/>
        </w:rPr>
        <w:t xml:space="preserve">plastic</w:t>
      </w:r>
      <w:r>
        <w:rPr>
          <w:i/>
          <w:iCs/>
          <w:color w:val="5A6069"/>
          <w:sz w:val="17"/>
          <w:szCs w:val="17"/>
        </w:rPr>
        <w:t xml:space="preserve"> stents left for 4 to 6 weeks, which is where the cholangitis and exchange rates come from; bilirubin was capped at 250 micromol/L, excluding the most deeply jaundiced; and neoadjuvant chemotherapy was an </w:t>
      </w:r>
      <w:r>
        <w:rPr>
          <w:b/>
          <w:bCs/>
          <w:i/>
          <w:iCs/>
          <w:color w:val="5A6069"/>
          <w:sz w:val="17"/>
          <w:szCs w:val="17"/>
        </w:rPr>
        <w:t xml:space="preserve">exclusion criterion</w:t>
      </w:r>
      <w:r>
        <w:rPr>
          <w:i/>
          <w:iCs/>
          <w:color w:val="5A6069"/>
          <w:sz w:val="17"/>
          <w:szCs w:val="17"/>
        </w:rPr>
        <w:t xml:space="preserve">, so the trial says nothing about bridging a patient through months of preoperative treatment, which is now the commonest reason to stent. Its control arm also required an operation within one week of diagnosis, guaranteed by dedicated theatre capacity at all 13 hospitals — a unit that cannot deliver that has not got the comparator the trial tested, and delay without drainage is not what was studied. Overall mortality in the trial was 7%, at centres required to perform only 10 resections a year, and 15 of 196 patients (8%) did not have adenocarcinoma on final pathology.</w:t>
      </w:r>
    </w:p>
    <w:p>
      <w:pPr>
        <w:spacing w:after="60" w:line="276"/>
        <w:ind w:left="240"/>
      </w:pPr>
      <w:r>
        <w:rPr>
          <w:color w:val="5A6069"/>
          <w:sz w:val="16"/>
          <w:szCs w:val="16"/>
        </w:rPr>
        <w:t xml:space="preserve">Sources: Preoperative drainage RCT; ESMO 2023 pancreatic</w:t>
      </w:r>
    </w:p>
    <w:p>
      <w:pPr>
        <w:spacing w:after="60" w:before="180"/>
      </w:pPr>
      <w:r>
        <w:rPr>
          <w:b/>
          <w:bCs/>
          <w:color w:val="17365D"/>
          <w:spacing w:val="16"/>
          <w:sz w:val="16"/>
          <w:szCs w:val="16"/>
        </w:rPr>
        <w:t xml:space="preserve">STANDARD</w:t>
      </w:r>
      <w:r>
        <w:rPr>
          <w:color w:val="5A6069"/>
          <w:sz w:val="16"/>
          <w:szCs w:val="16"/>
        </w:rPr>
        <w:t xml:space="preserve">   grade D</w:t>
      </w:r>
    </w:p>
    <w:p>
      <w:pPr>
        <w:spacing w:after="60" w:line="276"/>
      </w:pPr>
      <w:r>
        <w:rPr>
          <w:color w:val="15181F"/>
          <w:sz w:val="19"/>
          <w:szCs w:val="19"/>
        </w:rPr>
        <w:t xml:space="preserve">Choose the stent for the diagnostic state the patient is in, and keep it as short as feasible.</w:t>
      </w:r>
    </w:p>
    <w:p>
      <w:pPr>
        <w:spacing w:after="50" w:line="276"/>
        <w:ind w:left="240"/>
      </w:pPr>
      <w:r>
        <w:rPr>
          <w:color w:val="15181F"/>
          <w:sz w:val="18"/>
          <w:szCs w:val="18"/>
        </w:rPr>
        <w:t xml:space="preserve">Self-expanding metal stents are preferable to plastic. If the tissue diagnosis is not certain, use a fully covered SEMS, because it can be removed or exchanged — and it can be removed for better EUS visualisation if the biopsy has to be repeated, then replaced. Once the diagnosis is confirmed, a non-removable partially covered or bare SEMS may be used, since migration is less frequent.</w:t>
      </w:r>
    </w:p>
    <w:p>
      <w:pPr>
        <w:spacing w:after="50"/>
        <w:ind w:left="240"/>
      </w:pPr>
      <w:r>
        <w:rPr>
          <w:b/>
          <w:bCs/>
          <w:color w:val="8C2F26"/>
          <w:sz w:val="18"/>
          <w:szCs w:val="18"/>
        </w:rPr>
        <w:t xml:space="preserve">Caveat. </w:t>
      </w:r>
      <w:r>
        <w:rPr>
          <w:color w:val="15181F"/>
          <w:sz w:val="18"/>
          <w:szCs w:val="18"/>
        </w:rPr>
        <w:t xml:space="preserve">Plastic stents are for palliation in patients with a predicted survival of less than 3 months. A long stent, or an uncovered metal stent placed before the diagnosis is settled, removes options for no gain.</w:t>
      </w:r>
    </w:p>
    <w:p>
      <w:pPr>
        <w:spacing w:after="50" w:line="276"/>
        <w:ind w:left="240"/>
      </w:pPr>
      <w:r>
        <w:rPr>
          <w:i/>
          <w:iCs/>
          <w:color w:val="5A6069"/>
          <w:sz w:val="17"/>
          <w:szCs w:val="17"/>
        </w:rPr>
        <w:t xml:space="preserve">Downgraded to D: no comparative trial supports any of this. NCCN notes stents are an evolving technology, that any stent can occlude, that covered stents may give more durable patency because they prevent tumour ingrowth but may migrate, and that there are </w:t>
      </w:r>
      <w:r>
        <w:rPr>
          <w:b/>
          <w:bCs/>
          <w:i/>
          <w:iCs/>
          <w:color w:val="5A6069"/>
          <w:sz w:val="17"/>
          <w:szCs w:val="17"/>
        </w:rPr>
        <w:t xml:space="preserve">no obvious differences</w:t>
      </w:r>
      <w:r>
        <w:rPr>
          <w:i/>
          <w:iCs/>
          <w:color w:val="5A6069"/>
          <w:sz w:val="17"/>
          <w:szCs w:val="17"/>
        </w:rPr>
        <w:t xml:space="preserve"> between covered and uncovered stents. Partially covered stents were introduced for this reason and still migrate in a substantial number of patients. The one randomised trial of preoperative drainage in this depot used plastic stents only, so the preference for metal rests on practice rather than on a comparison.</w:t>
      </w:r>
    </w:p>
    <w:p>
      <w:pPr>
        <w:spacing w:after="60" w:before="180"/>
      </w:pPr>
      <w:r>
        <w:rPr>
          <w:b/>
          <w:bCs/>
          <w:color w:val="176A87"/>
          <w:spacing w:val="16"/>
          <w:sz w:val="16"/>
          <w:szCs w:val="16"/>
        </w:rPr>
        <w:t xml:space="preserve">REASONABLE</w:t>
      </w:r>
      <w:r>
        <w:rPr>
          <w:color w:val="5A6069"/>
          <w:sz w:val="16"/>
          <w:szCs w:val="16"/>
        </w:rPr>
        <w:t xml:space="preserve">   grade D</w:t>
      </w:r>
    </w:p>
    <w:p>
      <w:pPr>
        <w:spacing w:after="60" w:line="276"/>
      </w:pPr>
      <w:r>
        <w:rPr>
          <w:color w:val="15181F"/>
          <w:sz w:val="19"/>
          <w:szCs w:val="19"/>
        </w:rPr>
        <w:t xml:space="preserve">CT-guided biopsy where EUS-guided biopsy is not feasible.</w:t>
      </w:r>
    </w:p>
    <w:p>
      <w:pPr>
        <w:spacing w:after="50" w:line="276"/>
        <w:ind w:left="240"/>
      </w:pPr>
      <w:r>
        <w:rPr>
          <w:color w:val="15181F"/>
          <w:sz w:val="18"/>
          <w:szCs w:val="18"/>
        </w:rPr>
        <w:t xml:space="preserve">A patient who cannot have EUS, or in whom the target is not reachable endosonographically.</w:t>
      </w:r>
    </w:p>
    <w:p>
      <w:pPr>
        <w:spacing w:after="50"/>
        <w:ind w:left="240"/>
      </w:pPr>
      <w:r>
        <w:rPr>
          <w:b/>
          <w:bCs/>
          <w:color w:val="8C2F26"/>
          <w:sz w:val="18"/>
          <w:szCs w:val="18"/>
        </w:rPr>
        <w:t xml:space="preserve">Caveat. </w:t>
      </w:r>
      <w:r>
        <w:rPr>
          <w:color w:val="15181F"/>
          <w:sz w:val="18"/>
          <w:szCs w:val="18"/>
        </w:rPr>
        <w:t xml:space="preserve">It is second choice in non-metastatic disease on yield, safety and the seeding question, so do not reach for it first out of scheduling convenience.</w:t>
      </w:r>
    </w:p>
    <w:p>
      <w:pPr>
        <w:spacing w:after="60" w:before="180"/>
      </w:pPr>
      <w:r>
        <w:rPr>
          <w:b/>
          <w:bCs/>
          <w:color w:val="176A87"/>
          <w:spacing w:val="16"/>
          <w:sz w:val="16"/>
          <w:szCs w:val="16"/>
        </w:rPr>
        <w:t xml:space="preserve">REASONABLE</w:t>
      </w:r>
      <w:r>
        <w:rPr>
          <w:color w:val="5A6069"/>
          <w:sz w:val="16"/>
          <w:szCs w:val="16"/>
        </w:rPr>
        <w:t xml:space="preserve">   grade D</w:t>
      </w:r>
    </w:p>
    <w:p>
      <w:pPr>
        <w:spacing w:after="60" w:line="276"/>
      </w:pPr>
      <w:r>
        <w:rPr>
          <w:color w:val="15181F"/>
          <w:sz w:val="19"/>
          <w:szCs w:val="19"/>
        </w:rPr>
        <w:t xml:space="preserve">Percutaneous biliary drainage, or EUS-guided biliary drainage at a high-volume centre, after a failed ERCP.</w:t>
      </w:r>
    </w:p>
    <w:p>
      <w:pPr>
        <w:spacing w:after="50" w:line="276"/>
        <w:ind w:left="240"/>
      </w:pPr>
      <w:r>
        <w:rPr>
          <w:color w:val="15181F"/>
          <w:sz w:val="18"/>
          <w:szCs w:val="18"/>
        </w:rPr>
        <w:t xml:space="preserve">NCCN's sequence is to reattempt ERCP at a high-volume centre first, then consider a percutaneous drain, with EUS-guided drainage as an alternative at a high-volume centre.</w:t>
      </w:r>
    </w:p>
    <w:p>
      <w:pPr>
        <w:spacing w:after="50"/>
        <w:ind w:left="240"/>
      </w:pPr>
      <w:r>
        <w:rPr>
          <w:b/>
          <w:bCs/>
          <w:color w:val="8C2F26"/>
          <w:sz w:val="18"/>
          <w:szCs w:val="18"/>
        </w:rPr>
        <w:t xml:space="preserve">Caveat. </w:t>
      </w:r>
      <w:r>
        <w:rPr>
          <w:color w:val="15181F"/>
          <w:sz w:val="18"/>
          <w:szCs w:val="18"/>
        </w:rPr>
        <w:t xml:space="preserve">Do not move straight to a percutaneous drain after one failed attempt at a low-volume unit. [EXPERTISE]</w:t>
      </w:r>
    </w:p>
    <w:p>
      <w:pPr>
        <w:spacing w:after="60" w:before="180"/>
      </w:pPr>
      <w:r>
        <w:rPr>
          <w:b/>
          <w:bCs/>
          <w:color w:val="176A87"/>
          <w:spacing w:val="16"/>
          <w:sz w:val="16"/>
          <w:szCs w:val="16"/>
        </w:rPr>
        <w:t xml:space="preserve">REASONABLE</w:t>
      </w:r>
      <w:r>
        <w:rPr>
          <w:color w:val="5A6069"/>
          <w:sz w:val="16"/>
          <w:szCs w:val="16"/>
        </w:rPr>
        <w:t xml:space="preserve">   grade D</w:t>
      </w:r>
    </w:p>
    <w:p>
      <w:pPr>
        <w:spacing w:after="60" w:line="276"/>
      </w:pPr>
      <w:r>
        <w:rPr>
          <w:color w:val="15181F"/>
          <w:sz w:val="19"/>
          <w:szCs w:val="19"/>
        </w:rPr>
        <w:t xml:space="preserve">A pancreatic duct stent, in the specific circumstance of persistent pancreatitis from pancreatic duct obstruction that is preventing other therapy.</w:t>
      </w:r>
    </w:p>
    <w:p>
      <w:pPr>
        <w:spacing w:after="50" w:line="276"/>
        <w:ind w:left="240"/>
      </w:pPr>
      <w:r>
        <w:rPr>
          <w:color w:val="15181F"/>
          <w:sz w:val="18"/>
          <w:szCs w:val="18"/>
        </w:rPr>
        <w:t xml:space="preserve">NCCN lists this as indicated in special circumstances only.</w:t>
      </w:r>
    </w:p>
    <w:p>
      <w:pPr>
        <w:spacing w:after="50"/>
        <w:ind w:left="240"/>
      </w:pPr>
      <w:r>
        <w:rPr>
          <w:b/>
          <w:bCs/>
          <w:color w:val="8C2F26"/>
          <w:sz w:val="18"/>
          <w:szCs w:val="18"/>
        </w:rPr>
        <w:t xml:space="preserve">Caveat. </w:t>
      </w:r>
      <w:r>
        <w:rPr>
          <w:color w:val="15181F"/>
          <w:sz w:val="18"/>
          <w:szCs w:val="18"/>
        </w:rPr>
        <w:t xml:space="preserve">Not part of routine preoperative preparation, and not a treatment for pain.</w:t>
      </w:r>
    </w:p>
    <w:p>
      <w:pPr>
        <w:spacing w:after="60" w:before="180"/>
      </w:pPr>
      <w:r>
        <w:rPr>
          <w:b/>
          <w:bCs/>
          <w:color w:val="8C2F26"/>
          <w:spacing w:val="16"/>
          <w:sz w:val="16"/>
          <w:szCs w:val="16"/>
        </w:rPr>
        <w:t xml:space="preserve">AVOID</w:t>
      </w:r>
      <w:r>
        <w:rPr>
          <w:color w:val="5A6069"/>
          <w:sz w:val="16"/>
          <w:szCs w:val="16"/>
        </w:rPr>
        <w:t xml:space="preserve">   grade C</w:t>
      </w:r>
    </w:p>
    <w:p>
      <w:pPr>
        <w:spacing w:after="60" w:line="276"/>
      </w:pPr>
      <w:r>
        <w:rPr>
          <w:color w:val="15181F"/>
          <w:sz w:val="19"/>
          <w:szCs w:val="19"/>
        </w:rPr>
        <w:t xml:space="preserve">Do not draw the baseline CA 19-9 in a jaundiced patient and then use it prognostically.</w:t>
      </w:r>
    </w:p>
    <w:p>
      <w:pPr>
        <w:spacing w:after="50" w:line="276"/>
        <w:ind w:left="240"/>
      </w:pPr>
      <w:r>
        <w:rPr>
          <w:color w:val="15181F"/>
          <w:sz w:val="18"/>
          <w:szCs w:val="18"/>
        </w:rPr>
        <w:t xml:space="preserve">Draw it after adequate biliary drainage, with liver function tests, and record the bilirubin beside it.</w:t>
      </w:r>
    </w:p>
    <w:p>
      <w:pPr>
        <w:spacing w:after="50"/>
        <w:ind w:left="240"/>
      </w:pPr>
      <w:r>
        <w:rPr>
          <w:b/>
          <w:bCs/>
          <w:color w:val="8C2F26"/>
          <w:sz w:val="18"/>
          <w:szCs w:val="18"/>
        </w:rPr>
        <w:t xml:space="preserve">Caveat. </w:t>
      </w:r>
      <w:r>
        <w:rPr>
          <w:color w:val="15181F"/>
          <w:sz w:val="18"/>
          <w:szCs w:val="18"/>
        </w:rPr>
        <w:t xml:space="preserve">Biliary obstruction and cholangitis both raise CA 19-9, so a pre-drainage value cannot be compared with a post-treatment value or used to triage toward staging laparoscopy. This matters more than it used to, because the response assessment that decides on an operation after neoadjuvant therapy uses CA 19-9 as one of its three metrics and is interpretable only against a baseline drawn in a decompressed patient.</w:t>
      </w:r>
    </w:p>
    <w:p>
      <w:pPr>
        <w:spacing w:after="60" w:before="180"/>
      </w:pPr>
      <w:r>
        <w:rPr>
          <w:b/>
          <w:bCs/>
          <w:color w:val="8C2F26"/>
          <w:spacing w:val="16"/>
          <w:sz w:val="16"/>
          <w:szCs w:val="16"/>
        </w:rPr>
        <w:t xml:space="preserve">AVOID</w:t>
      </w:r>
      <w:r>
        <w:rPr>
          <w:color w:val="5A6069"/>
          <w:sz w:val="16"/>
          <w:szCs w:val="16"/>
        </w:rPr>
        <w:t xml:space="preserve">   grade D</w:t>
      </w:r>
    </w:p>
    <w:p>
      <w:pPr>
        <w:spacing w:after="60" w:line="276"/>
      </w:pPr>
      <w:r>
        <w:rPr>
          <w:color w:val="15181F"/>
          <w:sz w:val="19"/>
          <w:szCs w:val="19"/>
        </w:rPr>
        <w:t xml:space="preserve">Do not keep re-biopsying a resectable mass you intend to resect.</w:t>
      </w:r>
    </w:p>
    <w:p>
      <w:pPr>
        <w:spacing w:after="50" w:line="276"/>
        <w:ind w:left="240"/>
      </w:pPr>
      <w:r>
        <w:rPr>
          <w:color w:val="15181F"/>
          <w:sz w:val="18"/>
          <w:szCs w:val="18"/>
        </w:rPr>
        <w:t xml:space="preserve">Decide in advance what a negative result would change. If the answer is nothing, the patient needs a theatre date, not another needle.</w:t>
      </w:r>
    </w:p>
    <w:p>
      <w:pPr>
        <w:spacing w:after="50"/>
        <w:ind w:left="240"/>
      </w:pPr>
      <w:r>
        <w:rPr>
          <w:b/>
          <w:bCs/>
          <w:color w:val="8C2F26"/>
          <w:sz w:val="18"/>
          <w:szCs w:val="18"/>
        </w:rPr>
        <w:t xml:space="preserve">Caveat. </w:t>
      </w:r>
      <w:r>
        <w:rPr>
          <w:color w:val="15181F"/>
          <w:sz w:val="18"/>
          <w:szCs w:val="18"/>
        </w:rPr>
        <w:t xml:space="preserve">Each attempt costs a procedure, a delay and the currency of the 4-week staging scan, and NCCN explicitly says a non-diagnostic biopsy should not delay resection when suspicion is high.</w:t>
      </w:r>
    </w:p>
    <w:p>
      <w:pPr>
        <w:pBdr>
          <w:bottom w:val="single" w:color="D3DCE4" w:sz="6" w:space="1"/>
        </w:pBdr>
        <w:spacing w:after="80"/>
      </w:pPr>
    </w:p>
    <w:p>
      <w:pPr>
        <w:pStyle w:val="Heading2"/>
        <w:keepNext/>
        <w:pageBreakBefore/>
        <w:spacing w:after="110" w:before="240"/>
      </w:pPr>
      <w:r>
        <w:rPr>
          <w:rFonts w:ascii="Cambria" w:cs="Cambria" w:eastAsia="Cambria" w:hAnsi="Cambria"/>
          <w:b/>
          <w:bCs/>
          <w:color w:val="17365D"/>
          <w:sz w:val="26"/>
          <w:szCs w:val="26"/>
        </w:rPr>
        <w:t xml:space="preserve">3 · Resectable — upfront resection or chemotherapy first</w:t>
      </w:r>
    </w:p>
    <w:p>
      <w:pPr>
        <w:spacing w:after="140"/>
      </w:pPr>
      <w:r>
        <w:rPr>
          <w:b/>
          <w:bCs/>
          <w:color w:val="176A87"/>
          <w:sz w:val="19"/>
          <w:szCs w:val="19"/>
        </w:rPr>
        <w:t xml:space="preserve">The question. </w:t>
      </w:r>
      <w:r>
        <w:rPr>
          <w:sz w:val="19"/>
          <w:szCs w:val="19"/>
        </w:rPr>
        <w:t xml:space="preserve">Does this patient go to theatre first or to chemotherapy first — and can I say honestly what the five trials show?</w:t>
      </w:r>
    </w:p>
    <w:p>
      <w:pPr>
        <w:spacing w:after="60" w:before="160"/>
      </w:pPr>
      <w:r>
        <w:rPr>
          <w:b/>
          <w:bCs/>
          <w:color w:val="176A87"/>
          <w:spacing w:val="24"/>
          <w:sz w:val="15"/>
          <w:szCs w:val="15"/>
        </w:rPr>
        <w:t xml:space="preserve">ALL OF THE FOLLOWING HAVE TO BE IN HAND</w:t>
      </w:r>
    </w:p>
    <w:p>
      <w:pPr>
        <w:pStyle w:val="ListParagraph"/>
        <w:numPr>
          <w:ilvl w:val="0"/>
          <w:numId w:val="2"/>
        </w:numPr>
        <w:spacing w:after="60" w:line="268"/>
      </w:pPr>
      <w:r>
        <w:rPr>
          <w:color w:val="15181F"/>
          <w:sz w:val="18"/>
          <w:szCs w:val="18"/>
        </w:rPr>
        <w:t xml:space="preserve">No arterial tumour contact with the celiac axis, superior mesenteric artery or common hepatic artery</w:t>
      </w:r>
    </w:p>
    <w:p>
      <w:pPr>
        <w:pStyle w:val="ListParagraph"/>
        <w:numPr>
          <w:ilvl w:val="0"/>
          <w:numId w:val="2"/>
        </w:numPr>
        <w:spacing w:after="60" w:line="268"/>
      </w:pPr>
      <w:r>
        <w:rPr>
          <w:color w:val="15181F"/>
          <w:sz w:val="18"/>
          <w:szCs w:val="18"/>
        </w:rPr>
        <w:t xml:space="preserve">No SMV or portal vein contact, or contact of ≤180° without vein contour irregularity</w:t>
      </w:r>
    </w:p>
    <w:p>
      <w:pPr>
        <w:pStyle w:val="ListParagraph"/>
        <w:numPr>
          <w:ilvl w:val="0"/>
          <w:numId w:val="2"/>
        </w:numPr>
        <w:spacing w:after="60" w:line="268"/>
      </w:pPr>
      <w:r>
        <w:rPr>
          <w:color w:val="15181F"/>
          <w:sz w:val="18"/>
          <w:szCs w:val="18"/>
        </w:rPr>
        <w:t xml:space="preserve">No distant metastasis, including non-regional nodes</w:t>
      </w:r>
    </w:p>
    <w:p>
      <w:pPr>
        <w:pStyle w:val="ListParagraph"/>
        <w:numPr>
          <w:ilvl w:val="0"/>
          <w:numId w:val="2"/>
        </w:numPr>
        <w:spacing w:after="60" w:line="268"/>
      </w:pPr>
      <w:r>
        <w:rPr>
          <w:color w:val="15181F"/>
          <w:sz w:val="18"/>
          <w:szCs w:val="18"/>
        </w:rPr>
        <w:t xml:space="preserve">Fit for pancreatoduodenectomy or distal pancreatectomy at a high-volume centre</w:t>
      </w:r>
    </w:p>
    <w:p>
      <w:pPr>
        <w:pStyle w:val="ListParagraph"/>
        <w:numPr>
          <w:ilvl w:val="0"/>
          <w:numId w:val="2"/>
        </w:numPr>
        <w:spacing w:after="60" w:line="268"/>
      </w:pPr>
      <w:r>
        <w:rPr>
          <w:color w:val="15181F"/>
          <w:sz w:val="18"/>
          <w:szCs w:val="18"/>
        </w:rPr>
        <w:t xml:space="preserve">High-risk features either absent, or present and named in the note</w:t>
      </w:r>
    </w:p>
    <w:p>
      <w:pPr>
        <w:spacing w:after="80" w:line="276"/>
      </w:pPr>
      <w:r>
        <w:rPr>
          <w:color w:val="15181F"/>
          <w:sz w:val="20"/>
          <w:szCs w:val="20"/>
        </w:rPr>
        <w:t xml:space="preserve"/>
      </w:r>
    </w:p>
    <w:p>
      <w:pPr>
        <w:spacing w:after="60" w:before="180"/>
      </w:pPr>
      <w:r>
        <w:rPr>
          <w:b/>
          <w:bCs/>
          <w:color w:val="17365D"/>
          <w:spacing w:val="16"/>
          <w:sz w:val="16"/>
          <w:szCs w:val="16"/>
        </w:rPr>
        <w:t xml:space="preserve">STANDARD</w:t>
      </w:r>
      <w:r>
        <w:rPr>
          <w:color w:val="5A6069"/>
          <w:sz w:val="16"/>
          <w:szCs w:val="16"/>
        </w:rPr>
        <w:t xml:space="preserve">   grade B</w:t>
      </w:r>
    </w:p>
    <w:p>
      <w:pPr>
        <w:spacing w:after="100" w:line="276"/>
      </w:pPr>
      <w:r>
        <w:rPr>
          <w:i/>
          <w:iCs/>
          <w:color w:val="5A6069"/>
          <w:sz w:val="17"/>
          <w:szCs w:val="17"/>
        </w:rPr>
        <w:t xml:space="preserve">Ordered by what the randomised evidence actually supports in </w:t>
      </w:r>
      <w:r>
        <w:rPr>
          <w:b/>
          <w:bCs/>
          <w:i/>
          <w:iCs/>
          <w:color w:val="5A6069"/>
          <w:sz w:val="17"/>
          <w:szCs w:val="17"/>
        </w:rPr>
        <w:t xml:space="preserve">anatomically resectable</w:t>
      </w:r>
      <w:r>
        <w:rPr>
          <w:i/>
          <w:iCs/>
          <w:color w:val="5A6069"/>
          <w:sz w:val="17"/>
          <w:szCs w:val="17"/>
        </w:rPr>
        <w:t xml:space="preserve"> disease, which is upfront resection with adjuvant mFOLFIRINOX — not by effect size. The full-text read strengthens that ordering and weakens the page's confidence in everything behind it. ESMO's 2023 guideline recommends against neoadjuvant therapy in resectable disease at [II, E]. The only trial restricted to this population that compared the two sequences directly, NORPACT-1, had a primary endpoint significant in favour of upfront surgery, though at a two-sided alpha of 0.15, non-significant per protocol, and with 21% of the neoadjuvant arm never receiving the drug and going straight to resection. The decisive structural fact is the comparator: </w:t>
      </w:r>
      <w:r>
        <w:rPr>
          <w:b/>
          <w:bCs/>
          <w:i/>
          <w:iCs/>
          <w:color w:val="5A6069"/>
          <w:sz w:val="17"/>
          <w:szCs w:val="17"/>
        </w:rPr>
        <w:t xml:space="preserve">no neoadjuvant trial in this depot gave its control arm modern adjuvant therapy except NORPACT-1, and there only 19 of 44 resected control patients (43%) received adjuvant mFOLFIRINOX</w:t>
      </w:r>
      <w:r>
        <w:rPr>
          <w:i/>
          <w:iCs/>
          <w:color w:val="5A6069"/>
          <w:sz w:val="17"/>
          <w:szCs w:val="17"/>
        </w:rPr>
        <w:t xml:space="preserve">. PREOPANC's control arm received adjuvant gemcitabine monotherapy and only 51% of it received any chemotherapy; PREOPANC-2 has no upfront-surgery arm at all and gave its FOLFIRINOX arm no adjuvant treatment; ESPAC5's adjuvant therapy was gemcitabine-based in 41 of 43 patients; S1505 and A021501 had no randomised control. So PREOPANC's long-term hazard ratio of 0.73 was obtained in a mixed population against a comparator no pathway would now offer, PREOPANC-2 showed two neoadjuvant regimens to be indistinguishable rather than either to beat surgery first, and NORPACT-1 pointed the other way in a phase 2 trial with a 38.5-month control-arm median that no other trial matches. Pooled across nine randomised trials the resectable subgroup shows no benefit (HR 0.90, 0.63–1.28), the borderline resectable subgroup does (HR 0.60, 0.38–0.96), and the test for a difference between them is not significant (p=0.081). Neoadjuvant treatment lowers the resection rate (72.6% versus 80.6%, RR 0.94, 0.89–0.99) while raising the R0 rate (43.8% versus 33.0% of the R0 denominator, RR 1.35, 1.16–1.57) and the N0 rate (30.9% versus 15.0%, RR 2.03, 1.50–2.74), neither of which translated into survival in any individual trial, and roughly doubles serious adverse events (56.1% versus 27.0%). It does not raise the proportion of patients who start adjuvant therapy (57.7% versus 55.6%, p=0.353), which was the mechanism the whole strategy was built on.</w:t>
      </w:r>
    </w:p>
    <w:p>
      <w:pPr>
        <w:spacing w:after="50" w:before="120"/>
        <w:ind w:left="240"/>
      </w:pPr>
      <w:r>
        <w:rPr>
          <w:b/>
          <w:bCs/>
          <w:color w:val="15181F"/>
          <w:sz w:val="19"/>
          <w:szCs w:val="19"/>
        </w:rPr>
        <w:t xml:space="preserve">Upfront resection, then adjuvant mFOLFIRINOX</w:t>
      </w:r>
      <w:r>
        <w:rPr>
          <w:color w:val="5A6069"/>
          <w:sz w:val="15"/>
          <w:szCs w:val="15"/>
        </w:rPr>
        <w:t xml:space="preserve">   grade B</w:t>
      </w:r>
      <w:r>
        <w:rPr>
          <w:b/>
          <w:bCs/>
          <w:color w:val="8E5008"/>
          <w:spacing w:val="12"/>
          <w:sz w:val="14"/>
          <w:szCs w:val="14"/>
        </w:rPr>
        <w:t xml:space="preserve">   EXPERTISE</w:t>
      </w:r>
    </w:p>
    <w:p>
      <w:pPr>
        <w:spacing w:after="50" w:line="276"/>
        <w:ind w:left="240"/>
      </w:pPr>
      <w:r>
        <w:rPr>
          <w:color w:val="15181F"/>
          <w:sz w:val="18"/>
          <w:szCs w:val="18"/>
        </w:rPr>
        <w:t xml:space="preserve">NCCN's stated standard approach in resectable disease has been upfront surgery followed by postoperative treatment, and ESMO's 2023 guideline goes further: </w:t>
      </w:r>
      <w:r>
        <w:rPr>
          <w:i/>
          <w:iCs/>
          <w:color w:val="15181F"/>
          <w:sz w:val="18"/>
          <w:szCs w:val="18"/>
        </w:rPr>
        <w:t xml:space="preserve">neoadjuvant therapy is not recommended for resectable PC due to limited phase III evidence, except in the context of clinical trials</w:t>
      </w:r>
      <w:r>
        <w:rPr>
          <w:color w:val="15181F"/>
          <w:sz w:val="18"/>
          <w:szCs w:val="18"/>
        </w:rPr>
        <w:t xml:space="preserve"> — graded [II, E], a recommendation </w:t>
      </w:r>
      <w:r>
        <w:rPr>
          <w:b/>
          <w:bCs/>
          <w:color w:val="15181F"/>
          <w:sz w:val="18"/>
          <w:szCs w:val="18"/>
        </w:rPr>
        <w:t xml:space="preserve">against</w:t>
      </w:r>
      <w:r>
        <w:rPr>
          <w:color w:val="15181F"/>
          <w:sz w:val="18"/>
          <w:szCs w:val="18"/>
        </w:rPr>
        <w:t xml:space="preserve">. No randomised trial has shown a neoadjuvant strategy to be superior in anatomically resectable disease.</w:t>
      </w:r>
    </w:p>
    <w:p>
      <w:pPr>
        <w:spacing w:after="50" w:line="276"/>
        <w:ind w:left="240"/>
      </w:pPr>
      <w:r>
        <w:rPr>
          <w:color w:val="15181F"/>
          <w:sz w:val="18"/>
          <w:szCs w:val="18"/>
        </w:rPr>
        <w:t xml:space="preserve">A fit patient with resectable anatomy and no high-risk features, where adjuvant chemotherapy can realistically be delivered. The meta-analysis of nine randomised trials (1,194 patients) found no overall survival benefit for neoadjuvant treatment in the resectable subgroup, hazard ratio 0.90 (95% CI 0.63–1.28), while finding one in the borderline resectable subgroup, 0.60 (0.38–0.96) — but the test for a difference between those subgroups was </w:t>
      </w:r>
      <w:r>
        <w:rPr>
          <w:b/>
          <w:bCs/>
          <w:color w:val="15181F"/>
          <w:sz w:val="18"/>
          <w:szCs w:val="18"/>
        </w:rPr>
        <w:t xml:space="preserve">not</w:t>
      </w:r>
      <w:r>
        <w:rPr>
          <w:color w:val="15181F"/>
          <w:sz w:val="18"/>
          <w:szCs w:val="18"/>
        </w:rPr>
        <w:t xml:space="preserve"> significant (p=0.081), so the split this page is organised around is a hypothesis rather than a demonstrated effect. On mature 5-year data the adjuvant arm of this strategy delivers median overall survival 53.5 months (95% CI 43.5–58.4) against 35.5 months (30.1–40.3) for gemcitabine, hazard ratio 0.68 (0.54–0.85), P=.001.</w:t>
      </w:r>
    </w:p>
    <w:p>
      <w:pPr>
        <w:spacing w:after="50"/>
        <w:ind w:left="240"/>
      </w:pPr>
      <w:r>
        <w:rPr>
          <w:b/>
          <w:bCs/>
          <w:color w:val="8C2F26"/>
          <w:sz w:val="18"/>
          <w:szCs w:val="18"/>
        </w:rPr>
        <w:t xml:space="preserve">Caveat. </w:t>
      </w:r>
      <w:r>
        <w:rPr>
          <w:color w:val="15181F"/>
          <w:sz w:val="18"/>
          <w:szCs w:val="18"/>
        </w:rPr>
        <w:t xml:space="preserve">Do not read </w:t>
      </w:r>
      <w:r>
        <w:rPr>
          <w:i/>
          <w:iCs/>
          <w:color w:val="15181F"/>
          <w:sz w:val="18"/>
          <w:szCs w:val="18"/>
        </w:rPr>
        <w:t xml:space="preserve">upfront surgery</w:t>
      </w:r>
      <w:r>
        <w:rPr>
          <w:color w:val="15181F"/>
          <w:sz w:val="18"/>
          <w:szCs w:val="18"/>
        </w:rPr>
        <w:t xml:space="preserve"> as </w:t>
      </w:r>
      <w:r>
        <w:rPr>
          <w:i/>
          <w:iCs/>
          <w:color w:val="15181F"/>
          <w:sz w:val="18"/>
          <w:szCs w:val="18"/>
        </w:rPr>
        <w:t xml:space="preserve">surgery alone</w:t>
      </w:r>
      <w:r>
        <w:rPr>
          <w:color w:val="15181F"/>
          <w:sz w:val="18"/>
          <w:szCs w:val="18"/>
        </w:rPr>
        <w:t xml:space="preserve">, and do not overstate the attrition argument. NCCN and PRODIGE-24's own authors put the proportion of resected patients who never receive adjuvant chemotherapy at up to 30%, and that is the strongest argument for the other sequence — but the randomised data do not show that neoadjuvant sequencing fixes it: pooled across the nine trials, the proportion starting adjuvant therapy was no different (57.7% versus 55.6%, RR 0.92, 95% CI 0.76–1.12, p=0.353). Committing to this option still means committing to a named plan for who delivers chemotherapy and when.</w:t>
      </w:r>
    </w:p>
    <w:p>
      <w:pPr>
        <w:spacing w:after="60" w:line="276"/>
        <w:ind w:left="240"/>
      </w:pPr>
      <w:r>
        <w:rPr>
          <w:color w:val="5A6069"/>
          <w:sz w:val="16"/>
          <w:szCs w:val="16"/>
        </w:rPr>
        <w:t xml:space="preserve">Sources: PRODIGE 24; PRODIGE 24 five-year; Neoadjuvant meta-analysis; NORPACT-1; ESMO 2023 pancreatic</w:t>
      </w:r>
    </w:p>
    <w:p>
      <w:pPr>
        <w:spacing w:after="50" w:before="120"/>
        <w:ind w:left="240"/>
      </w:pPr>
      <w:r>
        <w:rPr>
          <w:b/>
          <w:bCs/>
          <w:color w:val="15181F"/>
          <w:sz w:val="19"/>
          <w:szCs w:val="19"/>
        </w:rPr>
        <w:t xml:space="preserve">Neoadjuvant FOLFIRINOX, then surgery</w:t>
      </w:r>
      <w:r>
        <w:rPr>
          <w:color w:val="5A6069"/>
          <w:sz w:val="15"/>
          <w:szCs w:val="15"/>
        </w:rPr>
        <w:t xml:space="preserve">   grade B</w:t>
      </w:r>
    </w:p>
    <w:p>
      <w:pPr>
        <w:spacing w:after="50" w:line="276"/>
        <w:ind w:left="240"/>
      </w:pPr>
      <w:r>
        <w:rPr>
          <w:color w:val="15181F"/>
          <w:sz w:val="18"/>
          <w:szCs w:val="18"/>
        </w:rPr>
        <w:t xml:space="preserve">PREOPANC-2 (n=369 modified intention to treat, 19 Dutch centres) compared eight cycles of full-dose neoadjuvant FOLFIRINOX followed by surgery and </w:t>
      </w:r>
      <w:r>
        <w:rPr>
          <w:b/>
          <w:bCs/>
          <w:color w:val="15181F"/>
          <w:sz w:val="18"/>
          <w:szCs w:val="18"/>
        </w:rPr>
        <w:t xml:space="preserve">no adjuvant treatment</w:t>
      </w:r>
      <w:r>
        <w:rPr>
          <w:color w:val="15181F"/>
          <w:sz w:val="18"/>
          <w:szCs w:val="18"/>
        </w:rPr>
        <w:t xml:space="preserve"> against the PREOPANC chemoradiotherapy regimen followed by four cycles of adjuvant gemcitabine: median overall survival 21.9 months (95% CI 17.7–27.0) versus 21.3 months (16.8–25.5), hazard ratio 0.88 (0.69–1.13), p=0.32. The trial's conclusion, and NCCN's, is that either regimen may be considered in resectable or borderline resectable disease.</w:t>
      </w:r>
    </w:p>
    <w:p>
      <w:pPr>
        <w:spacing w:after="50" w:line="276"/>
        <w:ind w:left="240"/>
      </w:pPr>
      <w:r>
        <w:rPr>
          <w:color w:val="15181F"/>
          <w:sz w:val="18"/>
          <w:szCs w:val="18"/>
        </w:rPr>
        <w:t xml:space="preserve">A fit patient with high-risk features, or one in whom the board judges that selecting out occult metastatic disease before a major operation is worth the resection-rate cost — occult metastatic disease was found at surgery in 12 of 156 (8%) after FOLFIRINOX versus 25 of 166 (15%) after chemoradiotherapy, a post hoc comparison. PREOPANC-2 is the trial that justifies using FOLFIRINOX rather than chemoradiotherapy if a neoadjuvant route is chosen, and it is a failed superiority trial, not a win and not a demonstration of equivalence: the confidence interval reaches 1.13, so a 12% relative benefit for FOLFIRINOX is not excluded, and the one significant secondary endpoint went the other way (ypN0 58% versus 47%, p=0.0073, with ypN2 in 20% versus 7%).</w:t>
      </w:r>
    </w:p>
    <w:p>
      <w:pPr>
        <w:spacing w:after="50"/>
        <w:ind w:left="240"/>
      </w:pPr>
      <w:r>
        <w:rPr>
          <w:b/>
          <w:bCs/>
          <w:color w:val="8C2F26"/>
          <w:sz w:val="18"/>
          <w:szCs w:val="18"/>
        </w:rPr>
        <w:t xml:space="preserve">Caveat. </w:t>
      </w:r>
      <w:r>
        <w:rPr>
          <w:color w:val="15181F"/>
          <w:sz w:val="18"/>
          <w:szCs w:val="18"/>
        </w:rPr>
        <w:t xml:space="preserve">NORPACT-1 is the only randomised trial of neoadjuvant FOLFIRINOX against upfront surgery restricted to resectable pancreatic head cancer, and its primary endpoint was significant in favour of </w:t>
      </w:r>
      <w:r>
        <w:rPr>
          <w:b/>
          <w:bCs/>
          <w:color w:val="15181F"/>
          <w:sz w:val="18"/>
          <w:szCs w:val="18"/>
        </w:rPr>
        <w:t xml:space="preserve">upfront surgery</w:t>
      </w:r>
      <w:r>
        <w:rPr>
          <w:color w:val="15181F"/>
          <w:sz w:val="18"/>
          <w:szCs w:val="18"/>
        </w:rPr>
        <w:t xml:space="preserve">: 18-month survival 60% (95% CI 49–71) versus 73% (62–84), p=0.032, with median overall survival 25.1 months (17.2–34.9) versus 38.5 months (27.6–not reached), hazard ratio 1.52 (1.00–2.33), log-rank p=0.050 by intention to treat. Grade 3 or worse events occurred in 42 of 73 (58%) versus 19 of 47 (40%). Read it as a failure to show benefit, not as evidence of harm: it is a phase 2 trial designed at a two-sided alpha of </w:t>
      </w:r>
      <w:r>
        <w:rPr>
          <w:b/>
          <w:bCs/>
          <w:color w:val="15181F"/>
          <w:sz w:val="18"/>
          <w:szCs w:val="18"/>
        </w:rPr>
        <w:t xml:space="preserve">0.15</w:t>
      </w:r>
      <w:r>
        <w:rPr>
          <w:color w:val="15181F"/>
          <w:sz w:val="18"/>
          <w:szCs w:val="18"/>
        </w:rPr>
        <w:t xml:space="preserve">, nothing is significant per protocol (18-month p=0.14; hazard ratio 1.46, 0.99–2.17, p=0.058), and its delivery failed — 16 of 77 (21%) allocated to neoadjuvant FOLFIRINOX never received it and </w:t>
      </w:r>
      <w:r>
        <w:rPr>
          <w:b/>
          <w:bCs/>
          <w:color w:val="15181F"/>
          <w:sz w:val="18"/>
          <w:szCs w:val="18"/>
        </w:rPr>
        <w:t xml:space="preserve">all 16 went straight to resection</w:t>
      </w:r>
      <w:r>
        <w:rPr>
          <w:color w:val="15181F"/>
          <w:sz w:val="18"/>
          <w:szCs w:val="18"/>
        </w:rPr>
        <w:t xml:space="preserve">, only 37 of the 61 who started (61%) completed four cycles, and 16 (26%) received one or two.</w:t>
      </w:r>
    </w:p>
    <w:p>
      <w:pPr>
        <w:spacing w:after="60" w:line="276"/>
        <w:ind w:left="240"/>
      </w:pPr>
      <w:r>
        <w:rPr>
          <w:color w:val="5A6069"/>
          <w:sz w:val="16"/>
          <w:szCs w:val="16"/>
        </w:rPr>
        <w:t xml:space="preserve">Sources: PREOPANC-2; NORPACT-1</w:t>
      </w:r>
    </w:p>
    <w:p>
      <w:pPr>
        <w:spacing w:after="50" w:before="120"/>
        <w:ind w:left="240"/>
      </w:pPr>
      <w:r>
        <w:rPr>
          <w:b/>
          <w:bCs/>
          <w:color w:val="15181F"/>
          <w:sz w:val="19"/>
          <w:szCs w:val="19"/>
        </w:rPr>
        <w:t xml:space="preserve">Neoadjuvant gemcitabine-based chemoradiotherapy, then surgery, then adjuvant gemcitabine</w:t>
      </w:r>
      <w:r>
        <w:rPr>
          <w:color w:val="5A6069"/>
          <w:sz w:val="15"/>
          <w:szCs w:val="15"/>
        </w:rPr>
        <w:t xml:space="preserve">   grade B</w:t>
      </w:r>
    </w:p>
    <w:p>
      <w:pPr>
        <w:spacing w:after="50" w:line="276"/>
        <w:ind w:left="240"/>
      </w:pPr>
      <w:r>
        <w:rPr>
          <w:color w:val="15181F"/>
          <w:sz w:val="18"/>
          <w:szCs w:val="18"/>
        </w:rPr>
        <w:t xml:space="preserve">The PREOPANC regimen: three cycles of gemcitabine with 36 Gy in 15 fractions during the second cycle, surgery, then four cycles of adjuvant gemcitabine. The long-term analysis of PREOPANC (n=246, median follow-up 59 months, 210 of 246 patients dead) gave an overall survival hazard ratio of 0.73 (95% CI 0.56–0.96), p=0.025, in resectable and borderline resectable disease combined.</w:t>
      </w:r>
    </w:p>
    <w:p>
      <w:pPr>
        <w:spacing w:after="50" w:line="276"/>
        <w:ind w:left="240"/>
      </w:pPr>
      <w:r>
        <w:rPr>
          <w:color w:val="15181F"/>
          <w:sz w:val="18"/>
          <w:szCs w:val="18"/>
        </w:rPr>
        <w:t xml:space="preserve">Where the board has decided on a neoadjuvant route and wants the regimen with a positive randomised comparison against upfront surgery. PREOPANC-2 found no survival difference between this and FOLFIRINOX, so either is defensible, and this is the regimen to prefer where FOLFIRINOX is not tolerable.</w:t>
      </w:r>
    </w:p>
    <w:p>
      <w:pPr>
        <w:spacing w:after="50"/>
        <w:ind w:left="240"/>
      </w:pPr>
      <w:r>
        <w:rPr>
          <w:b/>
          <w:bCs/>
          <w:color w:val="8C2F26"/>
          <w:sz w:val="18"/>
          <w:szCs w:val="18"/>
        </w:rPr>
        <w:t xml:space="preserve">Caveat. </w:t>
      </w:r>
      <w:r>
        <w:rPr>
          <w:color w:val="15181F"/>
          <w:sz w:val="18"/>
          <w:szCs w:val="18"/>
        </w:rPr>
        <w:t xml:space="preserve">Read both reports and note what the comparator was. The initial primary analysis was </w:t>
      </w:r>
      <w:r>
        <w:rPr>
          <w:b/>
          <w:bCs/>
          <w:color w:val="15181F"/>
          <w:sz w:val="18"/>
          <w:szCs w:val="18"/>
        </w:rPr>
        <w:t xml:space="preserve">not</w:t>
      </w:r>
      <w:r>
        <w:rPr>
          <w:color w:val="15181F"/>
          <w:sz w:val="18"/>
          <w:szCs w:val="18"/>
        </w:rPr>
        <w:t xml:space="preserve"> significant — median overall survival 16.0 versus 14.3 months, hazard ratio 0.78 (0.58–1.05), p=0.096 — and the resection rate was lower, 61% versus 72%, p=0.058. The difference in medians in the long-term analysis is 1.4 months (15.7 versus 14.3); what separates is the tail, with 5-year survival 20.5% (14.2–29.8) versus 6.5% (3.1–13.7). The adjuvant comparator in both arms was gemcitabine monotherapy, and in the upfront-surgery arm only 65 of 127 patients (51%) received any chemotherapy at all — so the trial compares a front-loaded strategy with a control arm half of which was never treated systemically, and it does not answer today's question.</w:t>
      </w:r>
    </w:p>
    <w:p>
      <w:pPr>
        <w:spacing w:after="60" w:line="276"/>
        <w:ind w:left="240"/>
      </w:pPr>
      <w:r>
        <w:rPr>
          <w:color w:val="5A6069"/>
          <w:sz w:val="16"/>
          <w:szCs w:val="16"/>
        </w:rPr>
        <w:t xml:space="preserve">Sources: PREOPANC; PREOPANC long-term; PREOPANC-2</w:t>
      </w:r>
    </w:p>
    <w:p>
      <w:pPr>
        <w:spacing w:after="50" w:before="120"/>
        <w:ind w:left="240"/>
      </w:pPr>
      <w:r>
        <w:rPr>
          <w:b/>
          <w:bCs/>
          <w:color w:val="15181F"/>
          <w:sz w:val="19"/>
          <w:szCs w:val="19"/>
        </w:rPr>
        <w:t xml:space="preserve">Enrolment in Alliance A021806, or another randomised trial</w:t>
      </w:r>
      <w:r>
        <w:rPr>
          <w:color w:val="5A6069"/>
          <w:sz w:val="15"/>
          <w:szCs w:val="15"/>
        </w:rPr>
        <w:t xml:space="preserve">   grade D</w:t>
      </w:r>
      <w:r>
        <w:rPr>
          <w:b/>
          <w:bCs/>
          <w:color w:val="8E5008"/>
          <w:spacing w:val="12"/>
          <w:sz w:val="14"/>
          <w:szCs w:val="14"/>
        </w:rPr>
        <w:t xml:space="preserve">   REGISTRY</w:t>
      </w:r>
    </w:p>
    <w:p>
      <w:pPr>
        <w:spacing w:after="50" w:line="276"/>
        <w:ind w:left="240"/>
      </w:pPr>
      <w:r>
        <w:rPr>
          <w:color w:val="15181F"/>
          <w:sz w:val="18"/>
          <w:szCs w:val="18"/>
        </w:rPr>
        <w:t xml:space="preserve">A021806 is the phase 3 trial that asks this exact question in resectable disease — perioperative versus adjuvant mFOLFIRINOX, enrolment 358, primary endpoint overall survival from randomisation. As of 6 October 2026 its registry record (NCT04340141) shows it active and not recruiting, with primary completion scheduled for December 2028 and no results posted.</w:t>
      </w:r>
    </w:p>
    <w:p>
      <w:pPr>
        <w:spacing w:after="50" w:line="276"/>
        <w:ind w:left="240"/>
      </w:pPr>
      <w:r>
        <w:rPr>
          <w:color w:val="15181F"/>
          <w:sz w:val="18"/>
          <w:szCs w:val="18"/>
        </w:rPr>
        <w:t xml:space="preserve">The honest position in resectable disease is that the sequencing question is open, so offer a trial wherever one is available.</w:t>
      </w:r>
    </w:p>
    <w:p>
      <w:pPr>
        <w:spacing w:after="50"/>
        <w:ind w:left="240"/>
      </w:pPr>
      <w:r>
        <w:rPr>
          <w:b/>
          <w:bCs/>
          <w:color w:val="8C2F26"/>
          <w:sz w:val="18"/>
          <w:szCs w:val="18"/>
        </w:rPr>
        <w:t xml:space="preserve">Caveat. </w:t>
      </w:r>
      <w:r>
        <w:rPr>
          <w:color w:val="15181F"/>
          <w:sz w:val="18"/>
          <w:szCs w:val="18"/>
        </w:rPr>
        <w:t xml:space="preserve">Do not cite A021806 as evidence for either sequence, in either direction. Nothing has been published; what is known of it comes from a trials-in-progress abstract and the registry entry. A page that lists it among the trials that </w:t>
      </w:r>
      <w:r>
        <w:rPr>
          <w:i/>
          <w:iCs/>
          <w:color w:val="15181F"/>
          <w:sz w:val="18"/>
          <w:szCs w:val="18"/>
        </w:rPr>
        <w:t xml:space="preserve">showed</w:t>
      </w:r>
      <w:r>
        <w:rPr>
          <w:color w:val="15181F"/>
          <w:sz w:val="18"/>
          <w:szCs w:val="18"/>
        </w:rPr>
        <w:t xml:space="preserve"> something is wrong.</w:t>
      </w:r>
    </w:p>
    <w:p>
      <w:pPr>
        <w:spacing w:after="60" w:line="276"/>
        <w:ind w:left="240"/>
      </w:pPr>
      <w:r>
        <w:rPr>
          <w:i/>
          <w:iCs/>
          <w:color w:val="5A6069"/>
          <w:sz w:val="16"/>
          <w:szCs w:val="16"/>
        </w:rPr>
        <w:t xml:space="preserve">Ratification item 1, and the live choice on this page. The trials genuinely disagree and the page does not resolve them. PREOPANC is positive on long-term overall survival after a negative primary analysis, in a mixed population, against adjuvant gemcitabine monotherapy half of whose arm received no chemotherapy; PREOPANC-2 is a failed superiority trial between two neoadjuvant regimens with no upfront-surgery arm; NORPACT-1's primary endpoint favours upfront surgery in exactly the population at issue but at alpha 0.15, with 21% non-receipt and a control arm that outperforms every comparator in the literature; ESPAC5 favours short-course neoadjuvant chemotherapy on a secondary endpoint after failing both primary endpoints, in 86 analysed patients with 12 months of follow-up; ESMO recommends against neoadjuvant therapy in resectable disease at [II, E]; and A021806 has not reported. The group must decide whether the local default for an anatomically resectable tumour without high-risk features is upfront resection, and if it is not, which neoadjuvant regimen and on what grounds — knowing that no trial has compared a neoadjuvant strategy with upfront surgery followed by adjuvant mFOLFIRINOX delivered to everyone who can take it. Audit: resectability category at diagnosis, sequence chosen, resection rate, R0 rate with millimetre clearance, time from diagnosis to first treatment, and the proportion of resected patients who never start adjuvant therapy.</w:t>
      </w:r>
    </w:p>
    <w:p>
      <w:pPr>
        <w:spacing w:after="60" w:before="180"/>
      </w:pPr>
      <w:r>
        <w:rPr>
          <w:b/>
          <w:bCs/>
          <w:color w:val="17365D"/>
          <w:spacing w:val="16"/>
          <w:sz w:val="16"/>
          <w:szCs w:val="16"/>
        </w:rPr>
        <w:t xml:space="preserve">STANDARD</w:t>
      </w:r>
      <w:r>
        <w:rPr>
          <w:color w:val="5A6069"/>
          <w:sz w:val="16"/>
          <w:szCs w:val="16"/>
        </w:rPr>
        <w:t xml:space="preserve">   grade D</w:t>
      </w:r>
    </w:p>
    <w:p>
      <w:pPr>
        <w:spacing w:after="60" w:line="276"/>
      </w:pPr>
      <w:r>
        <w:rPr>
          <w:color w:val="15181F"/>
          <w:sz w:val="19"/>
          <w:szCs w:val="19"/>
        </w:rPr>
        <w:t xml:space="preserve">Whichever sequence is chosen, write down before the operation who delivers the chemotherapy, when it starts, and who restages before it does.</w:t>
      </w:r>
    </w:p>
    <w:p>
      <w:pPr>
        <w:spacing w:after="50" w:line="276"/>
        <w:ind w:left="240"/>
      </w:pPr>
      <w:r>
        <w:rPr>
          <w:color w:val="15181F"/>
          <w:sz w:val="18"/>
          <w:szCs w:val="18"/>
        </w:rPr>
        <w:t xml:space="preserve">Every resectable patient. The one claim both camps accept is that a substantial minority of resected patients never get timely adjuvant therapy at the intended dose — NCCN and PRODIGE-24's authors put it at up to 30% — which is a system failure rather than a biological one and is fixable by naming an owner. What the trials do not show is that giving chemotherapy first solves it: across the nine randomised trials the proportion starting adjuvant therapy was the same either way (57.7% versus 55.6%, p=0.353).</w:t>
      </w:r>
    </w:p>
    <w:p>
      <w:pPr>
        <w:spacing w:after="50"/>
        <w:ind w:left="240"/>
      </w:pPr>
      <w:r>
        <w:rPr>
          <w:b/>
          <w:bCs/>
          <w:color w:val="8C2F26"/>
          <w:sz w:val="18"/>
          <w:szCs w:val="18"/>
        </w:rPr>
        <w:t xml:space="preserve">Caveat. </w:t>
      </w:r>
      <w:r>
        <w:rPr>
          <w:color w:val="15181F"/>
          <w:sz w:val="18"/>
          <w:szCs w:val="18"/>
        </w:rPr>
        <w:t xml:space="preserve">An operative note that ends at the skin, with the oncology referral left to be made after discharge.</w:t>
      </w:r>
    </w:p>
    <w:p>
      <w:pPr>
        <w:spacing w:after="60" w:line="276"/>
        <w:ind w:left="240"/>
      </w:pPr>
      <w:r>
        <w:rPr>
          <w:color w:val="5A6069"/>
          <w:sz w:val="16"/>
          <w:szCs w:val="16"/>
        </w:rPr>
        <w:t xml:space="preserve">Sources: Neoadjuvant meta-analysis; PRODIGE 24 five-year</w:t>
      </w:r>
    </w:p>
    <w:p>
      <w:pPr>
        <w:spacing w:after="60" w:before="180"/>
      </w:pPr>
      <w:r>
        <w:rPr>
          <w:b/>
          <w:bCs/>
          <w:color w:val="176A87"/>
          <w:spacing w:val="16"/>
          <w:sz w:val="16"/>
          <w:szCs w:val="16"/>
        </w:rPr>
        <w:t xml:space="preserve">REASONABLE</w:t>
      </w:r>
      <w:r>
        <w:rPr>
          <w:color w:val="5A6069"/>
          <w:sz w:val="16"/>
          <w:szCs w:val="16"/>
        </w:rPr>
        <w:t xml:space="preserve">   grade D</w:t>
      </w:r>
    </w:p>
    <w:p>
      <w:pPr>
        <w:spacing w:after="60" w:line="276"/>
      </w:pPr>
      <w:r>
        <w:rPr>
          <w:color w:val="15181F"/>
          <w:sz w:val="19"/>
          <w:szCs w:val="19"/>
        </w:rPr>
        <w:t xml:space="preserve">Neoadjuvant chemotherapy for a resectable tumour that has high-risk features, named in the note.</w:t>
      </w:r>
    </w:p>
    <w:p>
      <w:pPr>
        <w:spacing w:after="50" w:line="276"/>
        <w:ind w:left="240"/>
      </w:pPr>
      <w:r>
        <w:rPr>
          <w:color w:val="15181F"/>
          <w:sz w:val="18"/>
          <w:szCs w:val="18"/>
        </w:rPr>
        <w:t xml:space="preserve">NCCN allows neoadjuvant therapy in resectable disease, especially with high-risk features, which it defines as equivocal or indeterminate imaging findings, markedly elevated CA 19-9, a large primary tumour, or large regional lymph nodes. The rationale is selection: treating micrometastatic disease earlier, and identifying surgical futility before an operation rather than after it.</w:t>
      </w:r>
    </w:p>
    <w:p>
      <w:pPr>
        <w:spacing w:after="50"/>
        <w:ind w:left="240"/>
      </w:pPr>
      <w:r>
        <w:rPr>
          <w:b/>
          <w:bCs/>
          <w:color w:val="8C2F26"/>
          <w:sz w:val="18"/>
          <w:szCs w:val="18"/>
        </w:rPr>
        <w:t xml:space="preserve">Caveat. </w:t>
      </w:r>
      <w:r>
        <w:rPr>
          <w:color w:val="15181F"/>
          <w:sz w:val="18"/>
          <w:szCs w:val="18"/>
        </w:rPr>
        <w:t xml:space="preserve">Do not present it as evidence based in this group. The pooled resectable subgroup shows no overall survival benefit (HR 0.90, 95% CI 0.63–1.28), none of the randomised trials was restricted to high-risk resectable disease, ESMO recommends against neoadjuvant therapy in resectable disease outside a trial at [II, E], and NCCN itself says there is limited evidence to recommend specific neoadjuvant regimens outside a clinical trial and that panel practice varies.</w:t>
      </w:r>
    </w:p>
    <w:p>
      <w:pPr>
        <w:spacing w:after="50" w:line="276"/>
        <w:ind w:left="240"/>
      </w:pPr>
      <w:r>
        <w:rPr>
          <w:i/>
          <w:iCs/>
          <w:color w:val="5A6069"/>
          <w:sz w:val="17"/>
          <w:szCs w:val="17"/>
        </w:rPr>
        <w:t xml:space="preserve">Downgraded to D on the full-text read: this is a guideline permission with no trial behind it in the population named. Two numbers set the price. Pooled across the nine trials, neoadjuvant treatment lowered the resection rate (72.6% versus 80.6%, RR 0.94, 0.89–0.99) and roughly doubled serious adverse events (56.1% versus 27.0%) — though the published risk ratio for that harm, 1.92 with a reported 95% CI of 1.28 to 1.89, does not contain its own point estimate in either the abstract or the table, so the magnitude as published cannot be relied on even though its direction is clear. If this route is taken, tissue is mandatory first, and the response assessment in the borderline resectable gate applies — including the rule that a patient with no shrinkage but no extrapancreatic progression is still explored.</w:t>
      </w:r>
    </w:p>
    <w:p>
      <w:pPr>
        <w:spacing w:after="60" w:line="276"/>
        <w:ind w:left="240"/>
      </w:pPr>
      <w:r>
        <w:rPr>
          <w:color w:val="5A6069"/>
          <w:sz w:val="16"/>
          <w:szCs w:val="16"/>
        </w:rPr>
        <w:t xml:space="preserve">Sources: Neoadjuvant meta-analysis; ESMO 2023 pancreatic</w:t>
      </w:r>
    </w:p>
    <w:p>
      <w:pPr>
        <w:spacing w:after="60" w:before="180"/>
      </w:pPr>
      <w:r>
        <w:rPr>
          <w:b/>
          <w:bCs/>
          <w:color w:val="176A87"/>
          <w:spacing w:val="16"/>
          <w:sz w:val="16"/>
          <w:szCs w:val="16"/>
        </w:rPr>
        <w:t xml:space="preserve">REASONABLE</w:t>
      </w:r>
      <w:r>
        <w:rPr>
          <w:color w:val="5A6069"/>
          <w:sz w:val="16"/>
          <w:szCs w:val="16"/>
        </w:rPr>
        <w:t xml:space="preserve">   grade C</w:t>
      </w:r>
    </w:p>
    <w:p>
      <w:pPr>
        <w:spacing w:after="60" w:line="276"/>
      </w:pPr>
      <w:r>
        <w:rPr>
          <w:color w:val="15181F"/>
          <w:sz w:val="19"/>
          <w:szCs w:val="19"/>
        </w:rPr>
        <w:t xml:space="preserve">Perioperative chemotherapy as studied in SWOG S1505 — mFOLFIRINOX or nab-paclitaxel with gemcitabine, given before and after resection — only with its result stated.</w:t>
      </w:r>
    </w:p>
    <w:p>
      <w:pPr>
        <w:spacing w:after="50" w:line="276"/>
        <w:ind w:left="240"/>
      </w:pPr>
      <w:r>
        <w:rPr>
          <w:color w:val="15181F"/>
          <w:sz w:val="18"/>
          <w:szCs w:val="18"/>
        </w:rPr>
        <w:t xml:space="preserve">A randomised phase 2 pick-the-winner trial in resectable disease, designed to select a regimen for further study, with 147 patients enrolled and 102 eligible and evaluable after central radiology review. Preoperative chemotherapy was started by 96% of each arm and completed by 84% and 85%; 40 of 55 (73%) and 33 of 47 (70%) underwent resection; R0 was achieved in 34 of 40 (85%) and 28 of 33 (85%) of those resected.</w:t>
      </w:r>
    </w:p>
    <w:p>
      <w:pPr>
        <w:spacing w:after="50"/>
        <w:ind w:left="240"/>
      </w:pPr>
      <w:r>
        <w:rPr>
          <w:b/>
          <w:bCs/>
          <w:color w:val="8C2F26"/>
          <w:sz w:val="18"/>
          <w:szCs w:val="18"/>
        </w:rPr>
        <w:t xml:space="preserve">Caveat. </w:t>
      </w:r>
      <w:r>
        <w:rPr>
          <w:color w:val="15181F"/>
          <w:sz w:val="18"/>
          <w:szCs w:val="18"/>
        </w:rPr>
        <w:t xml:space="preserve">It selected no winner and cleared no bar. </w:t>
      </w:r>
      <w:r>
        <w:rPr>
          <w:b/>
          <w:bCs/>
          <w:color w:val="15181F"/>
          <w:sz w:val="18"/>
          <w:szCs w:val="18"/>
        </w:rPr>
        <w:t xml:space="preserve">Both arms missed the primary endpoint</w:t>
      </w:r>
      <w:r>
        <w:rPr>
          <w:color w:val="15181F"/>
          <w:sz w:val="18"/>
          <w:szCs w:val="18"/>
        </w:rPr>
        <w:t xml:space="preserve">: 2-year overall survival 47% (95% CI 31–61), P=.15 with mFOLFIRINOX and 48% (31–63), P=.14 with nab-paclitaxel and gemcitabine, against a prespecified historical threshold of 40%, so the between-arm comparison was never performed. Median overall survival was 23.2 and 23.6 months. Do not quote the completion figure the way this page previously did: only 31 of 40 (78% of those resected, 56% of eligible patients) and 26 of 33 (79%, 55%) started postoperative chemotherapy, and all treatment was completed by 49% and 40% — 16 of the 73 patients who had surgery (22%) could not start adjuvant chemotherapy at all. Pathologic complete or major response was 10 of 40 (25%) and 14 of 33 (42%), in resected-only denominators.</w:t>
      </w:r>
    </w:p>
    <w:p>
      <w:pPr>
        <w:spacing w:after="50" w:line="276"/>
        <w:ind w:left="240"/>
      </w:pPr>
      <w:r>
        <w:rPr>
          <w:i/>
          <w:iCs/>
          <w:color w:val="5A6069"/>
          <w:sz w:val="17"/>
          <w:szCs w:val="17"/>
        </w:rPr>
        <w:t xml:space="preserve">Downgraded from B to C. There is no randomised control arm: both arms were tested against a historical 2-year survival of 40% drawn from adjuvant trials, whose populations were selected after surviving surgery and recovering, so the comparison is biased against a strategy randomised at diagnosis and the failure to beat 40% is not evidence that perioperative chemotherapy is worse. Nobody in the trial received upfront surgery followed by adjuvant mFOLFIRINOX. Forty-five of 147 randomised patients (31%) were removed from the analysed population, 43 of them for failing central radiology review, after they had already received protocol therapy. Age was capped at 75 and performance status at Zubrod 0–1. Its most durable contribution is the misclassification finding in the resectability gate, not a survival result.</w:t>
      </w:r>
    </w:p>
    <w:p>
      <w:pPr>
        <w:spacing w:after="60" w:line="276"/>
        <w:ind w:left="240"/>
      </w:pPr>
      <w:r>
        <w:rPr>
          <w:color w:val="5A6069"/>
          <w:sz w:val="16"/>
          <w:szCs w:val="16"/>
        </w:rPr>
        <w:t xml:space="preserve">Sources: SWOG S1505</w:t>
      </w:r>
    </w:p>
    <w:p>
      <w:pPr>
        <w:spacing w:after="60" w:before="180"/>
      </w:pPr>
      <w:r>
        <w:rPr>
          <w:b/>
          <w:bCs/>
          <w:color w:val="176A87"/>
          <w:spacing w:val="16"/>
          <w:sz w:val="16"/>
          <w:szCs w:val="16"/>
        </w:rPr>
        <w:t xml:space="preserve">REASONABLE</w:t>
      </w:r>
      <w:r>
        <w:rPr>
          <w:color w:val="5A6069"/>
          <w:sz w:val="16"/>
          <w:szCs w:val="16"/>
        </w:rPr>
        <w:t xml:space="preserve">   grade B</w:t>
      </w:r>
    </w:p>
    <w:p>
      <w:pPr>
        <w:spacing w:after="60" w:line="276"/>
      </w:pPr>
      <w:r>
        <w:rPr>
          <w:color w:val="15181F"/>
          <w:sz w:val="19"/>
          <w:szCs w:val="19"/>
        </w:rPr>
        <w:t xml:space="preserve">PAXG — cisplatin, nab-paclitaxel, capecitabine and gemcitabine — as a neoadjuvant option in certain circumstances only.</w:t>
      </w:r>
    </w:p>
    <w:p>
      <w:pPr>
        <w:spacing w:after="50" w:line="276"/>
        <w:ind w:left="240"/>
      </w:pPr>
      <w:r>
        <w:rPr>
          <w:color w:val="15181F"/>
          <w:sz w:val="18"/>
          <w:szCs w:val="18"/>
        </w:rPr>
        <w:t xml:space="preserve">A randomised phase 3 trial across 17 Italian academic hospitals (n=260) in pathologically confirmed resectable or borderline resectable disease found median event-free survival 16.0 versus 10.2 months against mFOLFIRINOX, hazard ratio 0.63 (0.47–0.84), p=0.0018.</w:t>
      </w:r>
    </w:p>
    <w:p>
      <w:pPr>
        <w:spacing w:after="50"/>
        <w:ind w:left="240"/>
      </w:pPr>
      <w:r>
        <w:rPr>
          <w:b/>
          <w:bCs/>
          <w:color w:val="8C2F26"/>
          <w:sz w:val="18"/>
          <w:szCs w:val="18"/>
        </w:rPr>
        <w:t xml:space="preserve">Caveat. </w:t>
      </w:r>
      <w:r>
        <w:rPr>
          <w:color w:val="15181F"/>
          <w:sz w:val="18"/>
          <w:szCs w:val="18"/>
        </w:rPr>
        <w:t xml:space="preserve">The endpoint was event-free survival, not overall survival, and NCCN added it as </w:t>
      </w:r>
      <w:r>
        <w:rPr>
          <w:i/>
          <w:iCs/>
          <w:color w:val="15181F"/>
          <w:sz w:val="18"/>
          <w:szCs w:val="18"/>
        </w:rPr>
        <w:t xml:space="preserve">useful in certain circumstances</w:t>
      </w:r>
      <w:r>
        <w:rPr>
          <w:color w:val="15181F"/>
          <w:sz w:val="18"/>
          <w:szCs w:val="18"/>
        </w:rPr>
        <w:t xml:space="preserve"> specifically because not all centres have experience with the regimen. Do not adopt a four-drug regimen on an event-free survival result at a centre that has never given it.</w:t>
      </w:r>
    </w:p>
    <w:p>
      <w:pPr>
        <w:spacing w:after="50" w:line="276"/>
        <w:ind w:left="240"/>
      </w:pPr>
      <w:r>
        <w:rPr>
          <w:i/>
          <w:iCs/>
          <w:color w:val="5A6069"/>
          <w:sz w:val="17"/>
          <w:szCs w:val="17"/>
        </w:rPr>
        <w:t xml:space="preserve">The citation for this trial is carried only in the NCCN discussion text supplied to this page; the primary report was not retrieved for this depot and was not read in full, so neither the event-free survival figure nor the hazard ratio has been checked against the published paper. Read it before the regimen is used.</w:t>
      </w:r>
    </w:p>
    <w:p>
      <w:pPr>
        <w:spacing w:after="60" w:before="180"/>
      </w:pPr>
      <w:r>
        <w:rPr>
          <w:b/>
          <w:bCs/>
          <w:color w:val="8C2F26"/>
          <w:spacing w:val="16"/>
          <w:sz w:val="16"/>
          <w:szCs w:val="16"/>
        </w:rPr>
        <w:t xml:space="preserve">AVOID</w:t>
      </w:r>
      <w:r>
        <w:rPr>
          <w:color w:val="5A6069"/>
          <w:sz w:val="16"/>
          <w:szCs w:val="16"/>
        </w:rPr>
        <w:t xml:space="preserve">   grade C</w:t>
      </w:r>
    </w:p>
    <w:p>
      <w:pPr>
        <w:spacing w:after="60" w:line="276"/>
      </w:pPr>
      <w:r>
        <w:rPr>
          <w:color w:val="15181F"/>
          <w:sz w:val="19"/>
          <w:szCs w:val="19"/>
        </w:rPr>
        <w:t xml:space="preserve">Do not use chemoradiotherapy as the primary neoadjuvant modality in place of multiagent chemotherapy — but do not overstate what the trials show about it either.</w:t>
      </w:r>
    </w:p>
    <w:p>
      <w:pPr>
        <w:spacing w:after="50" w:line="276"/>
        <w:ind w:left="240"/>
      </w:pPr>
      <w:r>
        <w:rPr>
          <w:color w:val="15181F"/>
          <w:sz w:val="18"/>
          <w:szCs w:val="18"/>
        </w:rPr>
        <w:t xml:space="preserve">Multiagent systemic chemotherapy remains the initial choice in the neoadjuvant setting per NCCN. Chemoradiation is sometimes added after chemotherapy, and its role and necessity remain poorly defined.</w:t>
      </w:r>
    </w:p>
    <w:p>
      <w:pPr>
        <w:spacing w:after="50"/>
        <w:ind w:left="240"/>
      </w:pPr>
      <w:r>
        <w:rPr>
          <w:b/>
          <w:bCs/>
          <w:color w:val="8C2F26"/>
          <w:sz w:val="18"/>
          <w:szCs w:val="18"/>
        </w:rPr>
        <w:t xml:space="preserve">Caveat. </w:t>
      </w:r>
      <w:r>
        <w:rPr>
          <w:color w:val="15181F"/>
          <w:sz w:val="18"/>
          <w:szCs w:val="18"/>
        </w:rPr>
        <w:t xml:space="preserve">Alliance A021501, in borderline resectable disease, closed its mFOLFIRINOX-plus-hypofractionated-radiotherapy arm </w:t>
      </w:r>
      <w:r>
        <w:rPr>
          <w:b/>
          <w:bCs/>
          <w:color w:val="15181F"/>
          <w:sz w:val="18"/>
          <w:szCs w:val="18"/>
        </w:rPr>
        <w:t xml:space="preserve">early for futility</w:t>
      </w:r>
      <w:r>
        <w:rPr>
          <w:color w:val="15181F"/>
          <w:sz w:val="18"/>
          <w:szCs w:val="18"/>
        </w:rPr>
        <w:t xml:space="preserve"> when only 10 of the first 30 evaluable patients (33%) achieved R0 resection against a threshold of 12, versus 17 of 30 (57%) with mFOLFIRINOX alone. The mFOLFIRINOX arm met its primary endpoint against a historical benchmark (18-month survival 66.7%, 95% CI 56.1–79.4, median overall survival 29.8 months, 21.1–36.6) and the radiotherapy arm did not (47.3%, 35.8–62.5; median 17.1 months, 12.8–24.4). Retrospective comparisons suggest radiation may improve local control with no survival difference — that is the most that can be claimed for it.</w:t>
      </w:r>
    </w:p>
    <w:p>
      <w:pPr>
        <w:spacing w:after="50" w:line="276"/>
        <w:ind w:left="240"/>
      </w:pPr>
      <w:r>
        <w:rPr>
          <w:i/>
          <w:iCs/>
          <w:color w:val="5A6069"/>
          <w:sz w:val="17"/>
          <w:szCs w:val="17"/>
        </w:rPr>
        <w:t xml:space="preserve">Downgraded from B to C, because A021501's design forbids the comparison this item rests on. Each arm was tested against a historical 18-month survival rate of 50% assembled by the investigators from series published 2004–2015, at a one-sided alpha of 0.07; the protocol permitted a between-arm comparison only if both arms were promising, and arm 2 was not, so every arm-versus-arm figure is descriptive and the radiotherapy arm was stopped on a surrogate before its survival data matured. The denominators of 65 and 55 are evaluable patients who initiated treatment, not the 70 and 56 randomised; 16 of arm 1's 70 patients were registered sequentially </w:t>
      </w:r>
      <w:r>
        <w:rPr>
          <w:b/>
          <w:bCs/>
          <w:i/>
          <w:iCs/>
          <w:color w:val="5A6069"/>
          <w:sz w:val="17"/>
          <w:szCs w:val="17"/>
        </w:rPr>
        <w:t xml:space="preserve">without randomisation</w:t>
      </w:r>
      <w:r>
        <w:rPr>
          <w:i/>
          <w:iCs/>
          <w:color w:val="5A6069"/>
          <w:sz w:val="17"/>
          <w:szCs w:val="17"/>
        </w:rPr>
        <w:t xml:space="preserve"> after arm 2 closed; and 15 of 55 arm 2 patients (27%) never received the radiotherapy that defines their arm. Pancreatectomy was completed in only 32 of 65 (49%) and 19 of 55 (35%). PREOPANC-2 cuts directly against a strong version of this recommendation: it found neoadjuvant gemcitabine-based chemoradiotherapy and neoadjuvant FOLFIRINOX indistinguishable on overall survival (21.3 versus 21.9 months, HR 0.88, p=0.32). Doses studied for neoadjuvant chemoradiation are 36 Gy in 2.4 Gy fractions, 45–56 Gy in 1.8–2.2 Gy fractions, and 33–50 Gy in 5 fractions. SBRT after modern multiagent chemotherapy appears feasible without excess surgical complications in experienced centres, but NCCN states further study is needed before it is recommended in borderline resectable disease.</w:t>
      </w:r>
    </w:p>
    <w:p>
      <w:pPr>
        <w:spacing w:after="60" w:line="276"/>
        <w:ind w:left="240"/>
      </w:pPr>
      <w:r>
        <w:rPr>
          <w:color w:val="5A6069"/>
          <w:sz w:val="16"/>
          <w:szCs w:val="16"/>
        </w:rPr>
        <w:t xml:space="preserve">Sources: Alliance A021501; PREOPANC-2</w:t>
      </w:r>
    </w:p>
    <w:p>
      <w:pPr>
        <w:spacing w:after="60" w:before="180"/>
      </w:pPr>
      <w:r>
        <w:rPr>
          <w:b/>
          <w:bCs/>
          <w:color w:val="8C2F26"/>
          <w:spacing w:val="16"/>
          <w:sz w:val="16"/>
          <w:szCs w:val="16"/>
        </w:rPr>
        <w:t xml:space="preserve">AVOID</w:t>
      </w:r>
      <w:r>
        <w:rPr>
          <w:color w:val="5A6069"/>
          <w:sz w:val="16"/>
          <w:szCs w:val="16"/>
        </w:rPr>
        <w:t xml:space="preserve">   grade D</w:t>
      </w:r>
    </w:p>
    <w:p>
      <w:pPr>
        <w:spacing w:after="60" w:line="276"/>
      </w:pPr>
      <w:r>
        <w:rPr>
          <w:color w:val="15181F"/>
          <w:sz w:val="19"/>
          <w:szCs w:val="19"/>
        </w:rPr>
        <w:t xml:space="preserve">Do not start neoadjuvant therapy without a tissue diagnosis.</w:t>
      </w:r>
    </w:p>
    <w:p>
      <w:pPr>
        <w:spacing w:after="50" w:line="276"/>
        <w:ind w:left="240"/>
      </w:pPr>
      <w:r>
        <w:rPr>
          <w:color w:val="15181F"/>
          <w:sz w:val="18"/>
          <w:szCs w:val="18"/>
        </w:rPr>
        <w:t xml:space="preserve">Tissue first, in the same anaesthetic as the drainage if the patient is jaundiced.</w:t>
      </w:r>
    </w:p>
    <w:p>
      <w:pPr>
        <w:spacing w:after="50"/>
        <w:ind w:left="240"/>
      </w:pPr>
      <w:r>
        <w:rPr>
          <w:b/>
          <w:bCs/>
          <w:color w:val="8C2F26"/>
          <w:sz w:val="18"/>
          <w:szCs w:val="18"/>
        </w:rPr>
        <w:t xml:space="preserve">Caveat. </w:t>
      </w:r>
      <w:r>
        <w:rPr>
          <w:color w:val="15181F"/>
          <w:sz w:val="18"/>
          <w:szCs w:val="18"/>
        </w:rPr>
        <w:t xml:space="preserve">The permission to operate without tissue applies only to going directly to resection. Once a patient is given chemotherapy, a wrong diagnosis is treated for months before anyone notices.</w:t>
      </w:r>
    </w:p>
    <w:p>
      <w:pPr>
        <w:spacing w:after="60" w:before="180"/>
      </w:pPr>
      <w:r>
        <w:rPr>
          <w:b/>
          <w:bCs/>
          <w:color w:val="8C2F26"/>
          <w:spacing w:val="16"/>
          <w:sz w:val="16"/>
          <w:szCs w:val="16"/>
        </w:rPr>
        <w:t xml:space="preserve">AVOID</w:t>
      </w:r>
      <w:r>
        <w:rPr>
          <w:color w:val="5A6069"/>
          <w:sz w:val="16"/>
          <w:szCs w:val="16"/>
        </w:rPr>
        <w:t xml:space="preserve">   grade D</w:t>
      </w:r>
    </w:p>
    <w:p>
      <w:pPr>
        <w:spacing w:after="60" w:line="276"/>
      </w:pPr>
      <w:r>
        <w:rPr>
          <w:color w:val="15181F"/>
          <w:sz w:val="19"/>
          <w:szCs w:val="19"/>
        </w:rPr>
        <w:t xml:space="preserve">Do not deliver a neoadjuvant course that is not coordinated with the centre that will do the operation.</w:t>
      </w:r>
    </w:p>
    <w:p>
      <w:pPr>
        <w:spacing w:after="50" w:line="276"/>
        <w:ind w:left="240"/>
      </w:pPr>
      <w:r>
        <w:rPr>
          <w:color w:val="15181F"/>
          <w:sz w:val="18"/>
          <w:szCs w:val="18"/>
        </w:rPr>
        <w:t xml:space="preserve">NCCN's wording is that when feasible, treatment should be performed at or coordinated through a high-volume centre, and that determinations of resectability after neoadjuvant therapy should be made individually in a multidisciplinary setting.</w:t>
      </w:r>
    </w:p>
    <w:p>
      <w:pPr>
        <w:spacing w:after="50"/>
        <w:ind w:left="240"/>
      </w:pPr>
      <w:r>
        <w:rPr>
          <w:b/>
          <w:bCs/>
          <w:color w:val="8C2F26"/>
          <w:sz w:val="18"/>
          <w:szCs w:val="18"/>
        </w:rPr>
        <w:t xml:space="preserve">Caveat. </w:t>
      </w:r>
      <w:r>
        <w:rPr>
          <w:color w:val="15181F"/>
          <w:sz w:val="18"/>
          <w:szCs w:val="18"/>
        </w:rPr>
        <w:t xml:space="preserve">A patient who completes chemotherapy locally and is only then referred arrives with a scan that is weeks old, no baseline PET, and a CA 19-9 drawn while jaundiced — which makes the response assessment impossible to do properly. [EXPERTISE]</w:t>
      </w:r>
    </w:p>
    <w:p>
      <w:pPr>
        <w:pBdr>
          <w:bottom w:val="single" w:color="D3DCE4" w:sz="6" w:space="1"/>
        </w:pBdr>
        <w:spacing w:after="80"/>
      </w:pPr>
    </w:p>
    <w:p>
      <w:pPr>
        <w:pStyle w:val="Heading2"/>
        <w:keepNext/>
        <w:pageBreakBefore/>
        <w:spacing w:after="110" w:before="240"/>
      </w:pPr>
      <w:r>
        <w:rPr>
          <w:rFonts w:ascii="Cambria" w:cs="Cambria" w:eastAsia="Cambria" w:hAnsi="Cambria"/>
          <w:b/>
          <w:bCs/>
          <w:color w:val="17365D"/>
          <w:sz w:val="26"/>
          <w:szCs w:val="26"/>
        </w:rPr>
        <w:t xml:space="preserve">4 · Borderline resectable — treat, then re-ask the question</w:t>
      </w:r>
    </w:p>
    <w:p>
      <w:pPr>
        <w:spacing w:after="140"/>
      </w:pPr>
      <w:r>
        <w:rPr>
          <w:b/>
          <w:bCs/>
          <w:color w:val="176A87"/>
          <w:sz w:val="19"/>
          <w:szCs w:val="19"/>
        </w:rPr>
        <w:t xml:space="preserve">The question. </w:t>
      </w:r>
      <w:r>
        <w:rPr>
          <w:sz w:val="19"/>
          <w:szCs w:val="19"/>
        </w:rPr>
        <w:t xml:space="preserve">Has this patient responded enough to justify the operation their anatomy is going to require?</w:t>
      </w:r>
    </w:p>
    <w:p>
      <w:pPr>
        <w:spacing w:after="60" w:before="160"/>
      </w:pPr>
      <w:r>
        <w:rPr>
          <w:b/>
          <w:bCs/>
          <w:color w:val="176A87"/>
          <w:spacing w:val="24"/>
          <w:sz w:val="15"/>
          <w:szCs w:val="15"/>
        </w:rPr>
        <w:t xml:space="preserve">ANY ONE OF THE FOLLOWING HAS TO BE IN HAND</w:t>
      </w:r>
    </w:p>
    <w:p>
      <w:pPr>
        <w:pStyle w:val="ListParagraph"/>
        <w:numPr>
          <w:ilvl w:val="0"/>
          <w:numId w:val="2"/>
        </w:numPr>
        <w:spacing w:after="60" w:line="268"/>
      </w:pPr>
      <w:r>
        <w:rPr>
          <w:color w:val="15181F"/>
          <w:sz w:val="18"/>
          <w:szCs w:val="18"/>
        </w:rPr>
        <w:t xml:space="preserve">Head or uncinate: solid tumour contact with the SMA of ≤180°, or with the common hepatic artery without extension to the celiac axis or hepatic artery bifurcation</w:t>
      </w:r>
    </w:p>
    <w:p>
      <w:pPr>
        <w:pStyle w:val="ListParagraph"/>
        <w:numPr>
          <w:ilvl w:val="0"/>
          <w:numId w:val="2"/>
        </w:numPr>
        <w:spacing w:after="60" w:line="268"/>
      </w:pPr>
      <w:r>
        <w:rPr>
          <w:color w:val="15181F"/>
          <w:sz w:val="18"/>
          <w:szCs w:val="18"/>
        </w:rPr>
        <w:t xml:space="preserve">Body or tail: solid tumour contact with the celiac axis of ≤180°</w:t>
      </w:r>
    </w:p>
    <w:p>
      <w:pPr>
        <w:pStyle w:val="ListParagraph"/>
        <w:numPr>
          <w:ilvl w:val="0"/>
          <w:numId w:val="2"/>
        </w:numPr>
        <w:spacing w:after="60" w:line="268"/>
      </w:pPr>
      <w:r>
        <w:rPr>
          <w:color w:val="15181F"/>
          <w:sz w:val="18"/>
          <w:szCs w:val="18"/>
        </w:rPr>
        <w:t xml:space="preserve">SMV or portal vein contact of &gt;180°, or ≤180° with contour irregularity, or vein thrombosis with suitable vessel above and below for reconstruction</w:t>
      </w:r>
    </w:p>
    <w:p>
      <w:pPr>
        <w:pStyle w:val="ListParagraph"/>
        <w:numPr>
          <w:ilvl w:val="0"/>
          <w:numId w:val="2"/>
        </w:numPr>
        <w:spacing w:after="60" w:line="268"/>
      </w:pPr>
      <w:r>
        <w:rPr>
          <w:color w:val="15181F"/>
          <w:sz w:val="18"/>
          <w:szCs w:val="18"/>
        </w:rPr>
        <w:t xml:space="preserve">Solid tumour contact with the inferior vena cava</w:t>
      </w:r>
    </w:p>
    <w:p>
      <w:pPr>
        <w:pStyle w:val="ListParagraph"/>
        <w:numPr>
          <w:ilvl w:val="0"/>
          <w:numId w:val="2"/>
        </w:numPr>
        <w:spacing w:after="60" w:line="268"/>
      </w:pPr>
      <w:r>
        <w:rPr>
          <w:color w:val="15181F"/>
          <w:sz w:val="18"/>
          <w:szCs w:val="18"/>
        </w:rPr>
        <w:t xml:space="preserve">Solid tumour contact with variant arterial anatomy, with the degree of contact recorded</w:t>
      </w:r>
    </w:p>
    <w:p>
      <w:pPr>
        <w:spacing w:after="80" w:line="276"/>
      </w:pPr>
      <w:r>
        <w:rPr>
          <w:color w:val="15181F"/>
          <w:sz w:val="20"/>
          <w:szCs w:val="20"/>
        </w:rPr>
        <w:t xml:space="preserve"/>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Multiagent neoadjuvant chemotherapy first, then restage and re-ask the resectability question — this is where the randomised evidence for the neoadjuvant route is strongest.</w:t>
      </w:r>
    </w:p>
    <w:p>
      <w:pPr>
        <w:spacing w:after="50" w:line="276"/>
        <w:ind w:left="240"/>
      </w:pPr>
      <w:r>
        <w:rPr>
          <w:color w:val="15181F"/>
          <w:sz w:val="18"/>
          <w:szCs w:val="18"/>
        </w:rPr>
        <w:t xml:space="preserve">A fit borderline resectable patient with a tissue diagnosis. In the pooled analysis of nine randomised trials, the borderline resectable subgroup showed an overall survival benefit for neoadjuvant treatment, hazard ratio 0.60 (95% CI 0.38–0.96), against none in the resectable subgroup, 0.90 (0.63–1.28). In the long-term PREOPANC analysis the borderline resectable subgroup was the only significant one, hazard ratio 0.67 (0.45–0.99), P=.045. In ESPAC5, 1-year overall survival was 39% (95% CI 24–61) with immediate surgery, 78% (60–100) with gemcitabine plus capecitabine, 84% (70–100) with FOLFIRINOX and 60% (37–97) with capecitabine-based chemoradiotherapy, p=0.0028, with pooled neoadjuvant versus surgery hazard ratio 0.29 (0.14–0.60), p=0.0052.</w:t>
      </w:r>
    </w:p>
    <w:p>
      <w:pPr>
        <w:spacing w:after="50"/>
        <w:ind w:left="240"/>
      </w:pPr>
      <w:r>
        <w:rPr>
          <w:b/>
          <w:bCs/>
          <w:color w:val="8C2F26"/>
          <w:sz w:val="18"/>
          <w:szCs w:val="18"/>
        </w:rPr>
        <w:t xml:space="preserve">Caveat. </w:t>
      </w:r>
      <w:r>
        <w:rPr>
          <w:color w:val="15181F"/>
          <w:sz w:val="18"/>
          <w:szCs w:val="18"/>
        </w:rPr>
        <w:t xml:space="preserve">State the limits in the same breath, because they are large. ESPAC5 randomised 90 patients against a target of 100 and analysed 86; its primary endpoints were recruitment rate and resection rate and </w:t>
      </w:r>
      <w:r>
        <w:rPr>
          <w:b/>
          <w:bCs/>
          <w:color w:val="15181F"/>
          <w:sz w:val="18"/>
          <w:szCs w:val="18"/>
        </w:rPr>
        <w:t xml:space="preserve">both were negative</w:t>
      </w:r>
      <w:r>
        <w:rPr>
          <w:color w:val="15181F"/>
          <w:sz w:val="18"/>
          <w:szCs w:val="18"/>
        </w:rPr>
        <w:t xml:space="preserve"> — recruitment ran at 2.16 patients per month across 16 sites, and resection occurred in 21 of 31 (68%) after immediate surgery versus 30 of 55 (55%) after neoadjuvant therapy, p=0.33, numerically favouring immediate surgery, with R0 resection in 3 of 21 (14%) versus 7 of 30 (23%), p=0.49. Follow-up was capped at 12 months and there were 31 deaths in the whole trial. The control arm's median CA 19-9 was 802 kU/L against 322 to 623 kU/L in the neoadjuvant arms, an unadjusted and strongly prognostic imbalance in a trial with 16 to 31 patients per arm. Of the 43 patients who received adjuvant therapy anywhere in the trial, 41 (95%) got gemcitabine or gemcitabine plus capecitabine and only 2 (5%) got modified FOLFIRINOX.</w:t>
      </w:r>
    </w:p>
    <w:p>
      <w:pPr>
        <w:spacing w:after="50" w:line="276"/>
        <w:ind w:left="240"/>
      </w:pPr>
      <w:r>
        <w:rPr>
          <w:i/>
          <w:iCs/>
          <w:color w:val="5A6069"/>
          <w:sz w:val="17"/>
          <w:szCs w:val="17"/>
        </w:rPr>
        <w:t xml:space="preserve">Downgraded from B to C on the full-text read. The resectable-versus-borderline split that this gate depends on is not statistically established: the between-subgroup test in the pooled analysis was not significant (p=0.081), PREOPANC's interaction test was not significant in either report, and PREOPANC-2 found no treatment-effect heterogeneity in any subgroup (all interaction p at or above 0.23). The pooled estimate is also unstable — it depends on post hoc removal of NORPACT-1 and the pooled ESPAC5 chemotherapy comparison as outliers, which drops the only trial whose control arm partly resembles current practice and collapses heterogeneity from I² 55.8% to 0% by construction. ESPAC5's own internals cut against its mechanism: the chemoradiotherapy arm had the best pathology (37% R0, 25% node positive) and the worst neoadjuvant survival, and the authors note the survival benefit was unrelated to the resection rate. Disease-free survival from surgery was 33% (19–58) after immediate surgery and 59% (46–74) after the combined neoadjuvant arms, hazard ratio 0.53 (0.28–0.98), reported as p=0.016 in the abstract and p=0.043 in the results text. Grade 3 or worse adverse events occurred in 2 of 28 (7%) after immediate surgery and 17 of 50 (34%) after neoadjuvant therapy.</w:t>
      </w:r>
    </w:p>
    <w:p>
      <w:pPr>
        <w:spacing w:after="60" w:line="276"/>
        <w:ind w:left="240"/>
      </w:pPr>
      <w:r>
        <w:rPr>
          <w:color w:val="5A6069"/>
          <w:sz w:val="16"/>
          <w:szCs w:val="16"/>
        </w:rPr>
        <w:t xml:space="preserve">Sources: Neoadjuvant meta-analysis; ESPAC5; PREOPANC long-term</w:t>
      </w:r>
    </w:p>
    <w:p>
      <w:pPr>
        <w:spacing w:after="60" w:before="180"/>
      </w:pPr>
      <w:r>
        <w:rPr>
          <w:b/>
          <w:bCs/>
          <w:color w:val="17365D"/>
          <w:spacing w:val="16"/>
          <w:sz w:val="16"/>
          <w:szCs w:val="16"/>
        </w:rPr>
        <w:t xml:space="preserve">STANDARD</w:t>
      </w:r>
      <w:r>
        <w:rPr>
          <w:color w:val="5A6069"/>
          <w:sz w:val="16"/>
          <w:szCs w:val="16"/>
        </w:rPr>
        <w:t xml:space="preserve">   grade D</w:t>
      </w:r>
    </w:p>
    <w:p>
      <w:pPr>
        <w:spacing w:after="60" w:line="276"/>
      </w:pPr>
      <w:r>
        <w:rPr>
          <w:color w:val="15181F"/>
          <w:sz w:val="19"/>
          <w:szCs w:val="19"/>
        </w:rPr>
        <w:t xml:space="preserve">Restage with pancreas-protocol CT or MRI of the abdomen plus chest and pelvis CT after neoadjuvant therapy, and judge response on two of three metrics.</w:t>
      </w:r>
    </w:p>
    <w:p>
      <w:pPr>
        <w:spacing w:after="50" w:line="276"/>
        <w:ind w:left="240"/>
      </w:pPr>
      <w:r>
        <w:rPr>
          <w:color w:val="15181F"/>
          <w:sz w:val="18"/>
          <w:szCs w:val="18"/>
        </w:rPr>
        <w:t xml:space="preserve">Every patient at the end of neoadjuvant therapy. The three metrics are radiologic (RECIST change on high-quality triple-phase CT or contrast-enhanced MRI), biochemical (CA 19-9 or CEA, interpretable only if the baseline was elevated and liver function has normalised) and metabolic (FDG-PET SUV or metabolic tumour volume against a baseline treatment-naive avid scan). Where the metrics conflict — tumour smaller on CT but CA 19-9 rising — NCCN asks for a third metric and a board discussion, deciding on two of three. The biochemical metric is the one with the most supporting data: ESMO cites a pooled analysis of 17 studies and 2,242 patients in which a CA 19-9 fall of more than 50% or normalisation after neoadjuvant treatment was associated with better overall survival (P&lt;0.0001).</w:t>
      </w:r>
    </w:p>
    <w:p>
      <w:pPr>
        <w:spacing w:after="50"/>
        <w:ind w:left="240"/>
      </w:pPr>
      <w:r>
        <w:rPr>
          <w:b/>
          <w:bCs/>
          <w:color w:val="8C2F26"/>
          <w:sz w:val="18"/>
          <w:szCs w:val="18"/>
        </w:rPr>
        <w:t xml:space="preserve">Caveat. </w:t>
      </w:r>
      <w:r>
        <w:rPr>
          <w:color w:val="15181F"/>
          <w:sz w:val="18"/>
          <w:szCs w:val="18"/>
        </w:rPr>
        <w:t xml:space="preserve">Do not read mild increases in perivascular soft tissue as progression; NCCN states this alone does not represent progression, ESMO states that persistent perivascular soft tissue is not synonymous with residual tumour, and after neoadjuvant therapy solid contact is often replaced by hazy density or stranding.</w:t>
      </w:r>
    </w:p>
    <w:p>
      <w:pPr>
        <w:spacing w:after="50" w:line="276"/>
        <w:ind w:left="240"/>
      </w:pPr>
      <w:r>
        <w:rPr>
          <w:i/>
          <w:iCs/>
          <w:color w:val="5A6069"/>
          <w:sz w:val="17"/>
          <w:szCs w:val="17"/>
        </w:rPr>
        <w:t xml:space="preserve">Examples of an optimal response given by NCCN are CA 19-9 normalisation, or near-normalisation, or at least a 50% decrease, and a complete or near-complete metabolic response on PET. The degree of </w:t>
      </w:r>
      <w:r>
        <w:rPr>
          <w:i/>
          <w:iCs/>
          <w:color w:val="5A6069"/>
          <w:sz w:val="17"/>
          <w:szCs w:val="17"/>
        </w:rPr>
        <w:t xml:space="preserve">significance</w:t>
      </w:r>
      <w:r>
        <w:rPr>
          <w:i/>
          <w:iCs/>
          <w:color w:val="5A6069"/>
          <w:sz w:val="17"/>
          <w:szCs w:val="17"/>
        </w:rPr>
        <w:t xml:space="preserve"> is explicitly left to the local treatment team, which makes it a ratification item. ESMO adds the relevant caveat about the radiologic metric: imaging performance for restaging after chemotherapy or chemoradiotherapy is lower than in treatment-naive settings. The trials bear that out — pathologic and nodal response in PREOPANC-2 and NORPACT-1 moved substantially without survival moving at all.</w:t>
      </w:r>
    </w:p>
    <w:p>
      <w:pPr>
        <w:spacing w:after="60" w:line="276"/>
        <w:ind w:left="240"/>
      </w:pPr>
      <w:r>
        <w:rPr>
          <w:color w:val="5A6069"/>
          <w:sz w:val="16"/>
          <w:szCs w:val="16"/>
        </w:rPr>
        <w:t xml:space="preserve">Sources: ESMO 2023 pancreatic; PREOPANC-2; NORPACT-1</w:t>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Operate 4 to 8 weeks after completing neoadjuvant therapy, and only where there is a high likelihood of achieving R0 while avoiding R2.</w:t>
      </w:r>
    </w:p>
    <w:p>
      <w:pPr>
        <w:spacing w:after="50" w:line="276"/>
        <w:ind w:left="240"/>
      </w:pPr>
      <w:r>
        <w:rPr>
          <w:color w:val="15181F"/>
          <w:sz w:val="18"/>
          <w:szCs w:val="18"/>
        </w:rPr>
        <w:t xml:space="preserve">The surgical principles NCCN sets for an anatomically advanced tumour that has responded are en bloc resection of the tumour and at-risk tissue to a negative margin, re-establishment of end-organ arterial inflow and venous outflow, restoration of gastrointestinal continuity, and biliary drainage. Much of this is assessed intraoperatively, because cross-sectional imaging distinguishes viable tumour from scar poorly.</w:t>
      </w:r>
    </w:p>
    <w:p>
      <w:pPr>
        <w:spacing w:after="50"/>
        <w:ind w:left="240"/>
      </w:pPr>
      <w:r>
        <w:rPr>
          <w:b/>
          <w:bCs/>
          <w:color w:val="8C2F26"/>
          <w:sz w:val="18"/>
          <w:szCs w:val="18"/>
        </w:rPr>
        <w:t xml:space="preserve">Caveat. </w:t>
      </w:r>
      <w:r>
        <w:rPr>
          <w:color w:val="15181F"/>
          <w:sz w:val="18"/>
          <w:szCs w:val="18"/>
        </w:rPr>
        <w:t xml:space="preserve">Do not attempt a resection whose likely outcome is R2. And do not abandon one because the vessel contact looks unchanged — if there is no apparent shrinkage and no extrapancreatic progression, NCCN's instruction is that surgery should still be attempted.</w:t>
      </w:r>
    </w:p>
    <w:p>
      <w:pPr>
        <w:spacing w:after="60" w:before="180"/>
      </w:pPr>
      <w:r>
        <w:rPr>
          <w:b/>
          <w:bCs/>
          <w:color w:val="176A87"/>
          <w:spacing w:val="16"/>
          <w:sz w:val="16"/>
          <w:szCs w:val="16"/>
        </w:rPr>
        <w:t xml:space="preserve">REASONABLE</w:t>
      </w:r>
      <w:r>
        <w:rPr>
          <w:color w:val="5A6069"/>
          <w:sz w:val="16"/>
          <w:szCs w:val="16"/>
        </w:rPr>
        <w:t xml:space="preserve">   grade C</w:t>
      </w:r>
    </w:p>
    <w:p>
      <w:pPr>
        <w:spacing w:after="100" w:line="276"/>
      </w:pPr>
      <w:r>
        <w:rPr>
          <w:i/>
          <w:iCs/>
          <w:color w:val="5A6069"/>
          <w:sz w:val="17"/>
          <w:szCs w:val="17"/>
        </w:rPr>
        <w:t xml:space="preserve">Ordered by how well the guideline supports each, not by survival data — there is no randomised comparison of any of these three in borderline resectable disease, and the one randomised trial that tested adding radiotherapy to neoadjuvant chemotherapy in this population stopped that arm for futility. Venous resection is the only one NCCN says is supported by evidence; consolidative chemoradiation is a </w:t>
      </w:r>
      <w:r>
        <w:rPr>
          <w:i/>
          <w:iCs/>
          <w:color w:val="5A6069"/>
          <w:sz w:val="17"/>
          <w:szCs w:val="17"/>
        </w:rPr>
        <w:t xml:space="preserve">may be considered</w:t>
      </w:r>
      <w:r>
        <w:rPr>
          <w:i/>
          <w:iCs/>
          <w:color w:val="5A6069"/>
          <w:sz w:val="17"/>
          <w:szCs w:val="17"/>
        </w:rPr>
        <w:t xml:space="preserve"> whose necessity the guideline calls poorly defined; arterial resection is a highly selected salvage at specialist centres with an explicitly unknown long-term benefit.</w:t>
      </w:r>
    </w:p>
    <w:p>
      <w:pPr>
        <w:spacing w:after="50" w:before="120"/>
        <w:ind w:left="240"/>
      </w:pPr>
      <w:r>
        <w:rPr>
          <w:b/>
          <w:bCs/>
          <w:color w:val="15181F"/>
          <w:sz w:val="19"/>
          <w:szCs w:val="19"/>
        </w:rPr>
        <w:t xml:space="preserve">Venous (portal vein / SMV) resection and reconstruction</w:t>
      </w:r>
      <w:r>
        <w:rPr>
          <w:color w:val="5A6069"/>
          <w:sz w:val="15"/>
          <w:szCs w:val="15"/>
        </w:rPr>
        <w:t xml:space="preserve">   grade C</w:t>
      </w:r>
      <w:r>
        <w:rPr>
          <w:b/>
          <w:bCs/>
          <w:color w:val="8E5008"/>
          <w:spacing w:val="12"/>
          <w:sz w:val="14"/>
          <w:szCs w:val="14"/>
        </w:rPr>
        <w:t xml:space="preserve">   EXPERTISE</w:t>
      </w:r>
    </w:p>
    <w:p>
      <w:pPr>
        <w:spacing w:after="50" w:line="276"/>
        <w:ind w:left="240"/>
      </w:pPr>
      <w:r>
        <w:rPr>
          <w:color w:val="15181F"/>
          <w:sz w:val="18"/>
          <w:szCs w:val="18"/>
        </w:rPr>
        <w:t xml:space="preserve">NCCN states venous resection of the portal/SMV axis is supported by evidence if complete tumour excision to R0 is technically feasible with reasonably limited risks.</w:t>
      </w:r>
    </w:p>
    <w:p>
      <w:pPr>
        <w:spacing w:after="50" w:line="276"/>
        <w:ind w:left="240"/>
      </w:pPr>
      <w:r>
        <w:rPr>
          <w:color w:val="15181F"/>
          <w:sz w:val="18"/>
          <w:szCs w:val="18"/>
        </w:rPr>
        <w:t xml:space="preserve">A responder whose only barrier to R0 is a reconstructable venous segment, at a centre that does these routinely, with suitable vessel proximal and distal to the involved site.</w:t>
      </w:r>
    </w:p>
    <w:p>
      <w:pPr>
        <w:spacing w:after="50"/>
        <w:ind w:left="240"/>
      </w:pPr>
      <w:r>
        <w:rPr>
          <w:b/>
          <w:bCs/>
          <w:color w:val="8C2F26"/>
          <w:sz w:val="18"/>
          <w:szCs w:val="18"/>
        </w:rPr>
        <w:t xml:space="preserve">Caveat. </w:t>
      </w:r>
      <w:r>
        <w:rPr>
          <w:color w:val="15181F"/>
          <w:sz w:val="18"/>
          <w:szCs w:val="18"/>
        </w:rPr>
        <w:t xml:space="preserve">It is associated with higher complexity, greater potential blood loss, increased postoperative morbidity and mortality, and a higher likelihood of a positive margin. A vein resection done to convert an R2 into an R1 is not a gain.</w:t>
      </w:r>
    </w:p>
    <w:p>
      <w:pPr>
        <w:spacing w:after="50" w:before="120"/>
        <w:ind w:left="240"/>
      </w:pPr>
      <w:r>
        <w:rPr>
          <w:b/>
          <w:bCs/>
          <w:color w:val="15181F"/>
          <w:sz w:val="19"/>
          <w:szCs w:val="19"/>
        </w:rPr>
        <w:t xml:space="preserve">Consolidative chemoradiation before surgery</w:t>
      </w:r>
      <w:r>
        <w:rPr>
          <w:color w:val="5A6069"/>
          <w:sz w:val="15"/>
          <w:szCs w:val="15"/>
        </w:rPr>
        <w:t xml:space="preserve">   grade C</w:t>
      </w:r>
      <w:r>
        <w:rPr>
          <w:b/>
          <w:bCs/>
          <w:color w:val="8E5008"/>
          <w:spacing w:val="12"/>
          <w:sz w:val="14"/>
          <w:szCs w:val="14"/>
        </w:rPr>
        <w:t xml:space="preserve">   EXPERTISE</w:t>
      </w:r>
    </w:p>
    <w:p>
      <w:pPr>
        <w:spacing w:after="50" w:line="276"/>
        <w:ind w:left="240"/>
      </w:pPr>
      <w:r>
        <w:rPr>
          <w:color w:val="15181F"/>
          <w:sz w:val="18"/>
          <w:szCs w:val="18"/>
        </w:rPr>
        <w:t xml:space="preserve">NCCN says consolidative chemoradiation may be considered after chemotherapy and before surgical resection where the response is significant, and may be considered where the response is minimal as an alternative to switching regimens.</w:t>
      </w:r>
    </w:p>
    <w:p>
      <w:pPr>
        <w:spacing w:after="50" w:line="276"/>
        <w:ind w:left="240"/>
      </w:pPr>
      <w:r>
        <w:rPr>
          <w:color w:val="15181F"/>
          <w:sz w:val="18"/>
          <w:szCs w:val="18"/>
        </w:rPr>
        <w:t xml:space="preserve">Where the board wants to improve the chance of a clear margin in a tumour whose anatomy makes R0 marginal.</w:t>
      </w:r>
    </w:p>
    <w:p>
      <w:pPr>
        <w:spacing w:after="50"/>
        <w:ind w:left="240"/>
      </w:pPr>
      <w:r>
        <w:rPr>
          <w:b/>
          <w:bCs/>
          <w:color w:val="8C2F26"/>
          <w:sz w:val="18"/>
          <w:szCs w:val="18"/>
        </w:rPr>
        <w:t xml:space="preserve">Caveat. </w:t>
      </w:r>
      <w:r>
        <w:rPr>
          <w:color w:val="15181F"/>
          <w:sz w:val="18"/>
          <w:szCs w:val="18"/>
        </w:rPr>
        <w:t xml:space="preserve">Its role and necessity remain poorly defined. A021501 closed its radiotherapy arm early for futility on R0 rate in the first 30 evaluable patients (10 of 30 versus 17 of 30) and its arms are by design not comparable, so the descriptive difference in median overall survival (17.1 versus 29.8 months) cannot be read as harm from radiotherapy — but nothing in the trial supports adding it, and 15 of 55 patients allocated to it never received it.</w:t>
      </w:r>
    </w:p>
    <w:p>
      <w:pPr>
        <w:spacing w:after="60" w:line="276"/>
        <w:ind w:left="240"/>
      </w:pPr>
      <w:r>
        <w:rPr>
          <w:color w:val="5A6069"/>
          <w:sz w:val="16"/>
          <w:szCs w:val="16"/>
        </w:rPr>
        <w:t xml:space="preserve">Sources: Alliance A021501; PREOPANC-2</w:t>
      </w:r>
    </w:p>
    <w:p>
      <w:pPr>
        <w:spacing w:after="50" w:before="120"/>
        <w:ind w:left="240"/>
      </w:pPr>
      <w:r>
        <w:rPr>
          <w:b/>
          <w:bCs/>
          <w:color w:val="15181F"/>
          <w:sz w:val="19"/>
          <w:szCs w:val="19"/>
        </w:rPr>
        <w:t xml:space="preserve">Arterial resection (hepatic artery, celiac axis, SMA)</w:t>
      </w:r>
      <w:r>
        <w:rPr>
          <w:color w:val="5A6069"/>
          <w:sz w:val="15"/>
          <w:szCs w:val="15"/>
        </w:rPr>
        <w:t xml:space="preserve">   grade D</w:t>
      </w:r>
      <w:r>
        <w:rPr>
          <w:b/>
          <w:bCs/>
          <w:color w:val="8E5008"/>
          <w:spacing w:val="12"/>
          <w:sz w:val="14"/>
          <w:szCs w:val="14"/>
        </w:rPr>
        <w:t xml:space="preserve">   EXPERTISE</w:t>
      </w:r>
    </w:p>
    <w:p>
      <w:pPr>
        <w:spacing w:after="50" w:line="276"/>
        <w:ind w:left="240"/>
      </w:pPr>
      <w:r>
        <w:rPr>
          <w:color w:val="15181F"/>
          <w:sz w:val="18"/>
          <w:szCs w:val="18"/>
        </w:rPr>
        <w:t xml:space="preserve">NCCN restricts it to centres with proven experience in pancreatectomy with vascular resection and reconstruction, and to highly selected patients after extensive neoadjuvant therapy with objective responses.</w:t>
      </w:r>
    </w:p>
    <w:p>
      <w:pPr>
        <w:spacing w:after="50" w:line="276"/>
        <w:ind w:left="240"/>
      </w:pPr>
      <w:r>
        <w:rPr>
          <w:color w:val="15181F"/>
          <w:sz w:val="18"/>
          <w:szCs w:val="18"/>
        </w:rPr>
        <w:t xml:space="preserve">Almost nobody. Where it is contemplated, NCCN requires that the patient be counselled about the operative morbidity and mortality risk, the potential effect on quality of life, and that the long-term benefit — the chance of cure — is currently unknown.</w:t>
      </w:r>
    </w:p>
    <w:p>
      <w:pPr>
        <w:spacing w:after="50"/>
        <w:ind w:left="240"/>
      </w:pPr>
      <w:r>
        <w:rPr>
          <w:b/>
          <w:bCs/>
          <w:color w:val="8C2F26"/>
          <w:sz w:val="18"/>
          <w:szCs w:val="18"/>
        </w:rPr>
        <w:t xml:space="preserve">Caveat. </w:t>
      </w:r>
      <w:r>
        <w:rPr>
          <w:color w:val="15181F"/>
          <w:sz w:val="18"/>
          <w:szCs w:val="18"/>
        </w:rPr>
        <w:t xml:space="preserve">It is often part of a multivisceral resection with significantly greater morbidity and mortality. Do not offer it for a minimal response: NCCN's governing rule is that the more complex and risky the resection, the greater the objective response needed to justify it.</w:t>
      </w:r>
    </w:p>
    <w:p>
      <w:pPr>
        <w:spacing w:after="60" w:line="276"/>
        <w:ind w:left="240"/>
      </w:pPr>
      <w:r>
        <w:rPr>
          <w:i/>
          <w:iCs/>
          <w:color w:val="5A6069"/>
          <w:sz w:val="16"/>
          <w:szCs w:val="16"/>
        </w:rPr>
        <w:t xml:space="preserve">Ratification item 2: does this programme offer arterial resection or arterial divestment for PDAC at all, and if so under what minimum volume, which surgeons, and with what consent document? NCCN leaves the decision to centres with proven experience and requires explicit counselling that the chance of cure is unknown — that is a governance decision, not a case-by-case one. Ratification item 3: what counts locally as a </w:t>
      </w:r>
      <w:r>
        <w:rPr>
          <w:i/>
          <w:iCs/>
          <w:color w:val="5A6069"/>
          <w:sz w:val="16"/>
          <w:szCs w:val="16"/>
        </w:rPr>
        <w:t xml:space="preserve">significant</w:t>
      </w:r>
      <w:r>
        <w:rPr>
          <w:i/>
          <w:iCs/>
          <w:color w:val="5A6069"/>
          <w:sz w:val="16"/>
          <w:szCs w:val="16"/>
        </w:rPr>
        <w:t xml:space="preserve"> response, since NCCN hands the definition to the local treatment team. Audit: response category recorded, resection attempted, R0 rate and 90-day mortality, by vascular resection type.</w:t>
      </w:r>
    </w:p>
    <w:p>
      <w:pPr>
        <w:spacing w:after="60" w:before="180"/>
      </w:pPr>
      <w:r>
        <w:rPr>
          <w:b/>
          <w:bCs/>
          <w:color w:val="176A87"/>
          <w:spacing w:val="16"/>
          <w:sz w:val="16"/>
          <w:szCs w:val="16"/>
        </w:rPr>
        <w:t xml:space="preserve">REASONABLE</w:t>
      </w:r>
      <w:r>
        <w:rPr>
          <w:color w:val="5A6069"/>
          <w:sz w:val="16"/>
          <w:szCs w:val="16"/>
        </w:rPr>
        <w:t xml:space="preserve">   grade D</w:t>
      </w:r>
    </w:p>
    <w:p>
      <w:pPr>
        <w:spacing w:after="60" w:line="276"/>
      </w:pPr>
      <w:r>
        <w:rPr>
          <w:color w:val="15181F"/>
          <w:sz w:val="19"/>
          <w:szCs w:val="19"/>
        </w:rPr>
        <w:t xml:space="preserve">Switch to a different regimen and reassess, rather than operating, where the response is minimal or there has been local progression without metastases.</w:t>
      </w:r>
    </w:p>
    <w:p>
      <w:pPr>
        <w:spacing w:after="50" w:line="276"/>
        <w:ind w:left="240"/>
      </w:pPr>
      <w:r>
        <w:rPr>
          <w:color w:val="15181F"/>
          <w:sz w:val="18"/>
          <w:szCs w:val="18"/>
        </w:rPr>
        <w:t xml:space="preserve">NCCN's response table: with a minimal response, resection is considered in selected tumours without or with limited vascular involvement and no significant increase in surgical risk, and otherwise a different neoadjuvant therapy is considered with reassessment after second-line chemotherapy. With local progression and no metastatic progression, switching regimen is recommended, and resection may then be considered if there is no further progression and R0 is technically feasible — for a tumour with vascular involvement, only after a significant response to the second regimen.</w:t>
      </w:r>
    </w:p>
    <w:p>
      <w:pPr>
        <w:spacing w:after="50"/>
        <w:ind w:left="240"/>
      </w:pPr>
      <w:r>
        <w:rPr>
          <w:b/>
          <w:bCs/>
          <w:color w:val="8C2F26"/>
          <w:sz w:val="18"/>
          <w:szCs w:val="18"/>
        </w:rPr>
        <w:t xml:space="preserve">Caveat. </w:t>
      </w:r>
      <w:r>
        <w:rPr>
          <w:color w:val="15181F"/>
          <w:sz w:val="18"/>
          <w:szCs w:val="18"/>
        </w:rPr>
        <w:t xml:space="preserve">Do not interpret </w:t>
      </w:r>
      <w:r>
        <w:rPr>
          <w:i/>
          <w:iCs/>
          <w:color w:val="15181F"/>
          <w:sz w:val="18"/>
          <w:szCs w:val="18"/>
        </w:rPr>
        <w:t xml:space="preserve">switch and reassess</w:t>
      </w:r>
      <w:r>
        <w:rPr>
          <w:color w:val="15181F"/>
          <w:sz w:val="18"/>
          <w:szCs w:val="18"/>
        </w:rPr>
        <w:t xml:space="preserve"> as indefinite therapy. Set the reassessment date when the switch is made.</w:t>
      </w:r>
    </w:p>
    <w:p>
      <w:pPr>
        <w:spacing w:after="60" w:before="180"/>
      </w:pPr>
      <w:r>
        <w:rPr>
          <w:b/>
          <w:bCs/>
          <w:color w:val="176A87"/>
          <w:spacing w:val="16"/>
          <w:sz w:val="16"/>
          <w:szCs w:val="16"/>
        </w:rPr>
        <w:t xml:space="preserve">REASONABLE</w:t>
      </w:r>
      <w:r>
        <w:rPr>
          <w:color w:val="5A6069"/>
          <w:sz w:val="16"/>
          <w:szCs w:val="16"/>
        </w:rPr>
        <w:t xml:space="preserve">   grade D</w:t>
      </w:r>
    </w:p>
    <w:p>
      <w:pPr>
        <w:spacing w:after="60" w:line="276"/>
      </w:pPr>
      <w:r>
        <w:rPr>
          <w:color w:val="15181F"/>
          <w:sz w:val="19"/>
          <w:szCs w:val="19"/>
        </w:rPr>
        <w:t xml:space="preserve">Where the response warrants resection but the operation is not technically feasible locally, get a second opinion at a centre with expertise in vascular resection.</w:t>
      </w:r>
    </w:p>
    <w:p>
      <w:pPr>
        <w:spacing w:after="50" w:line="276"/>
        <w:ind w:left="240"/>
      </w:pPr>
      <w:r>
        <w:rPr>
          <w:color w:val="15181F"/>
          <w:sz w:val="18"/>
          <w:szCs w:val="18"/>
        </w:rPr>
        <w:t xml:space="preserve">NCCN recommends this explicitly at every response category in its table. It is the step most often skipped.</w:t>
      </w:r>
    </w:p>
    <w:p>
      <w:pPr>
        <w:spacing w:after="50"/>
        <w:ind w:left="240"/>
      </w:pPr>
      <w:r>
        <w:rPr>
          <w:b/>
          <w:bCs/>
          <w:color w:val="8C2F26"/>
          <w:sz w:val="18"/>
          <w:szCs w:val="18"/>
        </w:rPr>
        <w:t xml:space="preserve">Caveat. </w:t>
      </w:r>
      <w:r>
        <w:rPr>
          <w:color w:val="15181F"/>
          <w:sz w:val="18"/>
          <w:szCs w:val="18"/>
        </w:rPr>
        <w:t xml:space="preserve">Do not record </w:t>
      </w:r>
      <w:r>
        <w:rPr>
          <w:i/>
          <w:iCs/>
          <w:color w:val="15181F"/>
          <w:sz w:val="18"/>
          <w:szCs w:val="18"/>
        </w:rPr>
        <w:t xml:space="preserve">not resectable here</w:t>
      </w:r>
      <w:r>
        <w:rPr>
          <w:color w:val="15181F"/>
          <w:sz w:val="18"/>
          <w:szCs w:val="18"/>
        </w:rPr>
        <w:t xml:space="preserve"> as </w:t>
      </w:r>
      <w:r>
        <w:rPr>
          <w:i/>
          <w:iCs/>
          <w:color w:val="15181F"/>
          <w:sz w:val="18"/>
          <w:szCs w:val="18"/>
        </w:rPr>
        <w:t xml:space="preserve">not resectable</w:t>
      </w:r>
      <w:r>
        <w:rPr>
          <w:color w:val="15181F"/>
          <w:sz w:val="18"/>
          <w:szCs w:val="18"/>
        </w:rPr>
        <w:t xml:space="preserve">. [EXPERTISE]</w:t>
      </w:r>
    </w:p>
    <w:p>
      <w:pPr>
        <w:spacing w:after="60" w:before="180"/>
      </w:pPr>
      <w:r>
        <w:rPr>
          <w:b/>
          <w:bCs/>
          <w:color w:val="8C2F26"/>
          <w:spacing w:val="16"/>
          <w:sz w:val="16"/>
          <w:szCs w:val="16"/>
        </w:rPr>
        <w:t xml:space="preserve">AVOID</w:t>
      </w:r>
      <w:r>
        <w:rPr>
          <w:color w:val="5A6069"/>
          <w:sz w:val="16"/>
          <w:szCs w:val="16"/>
        </w:rPr>
        <w:t xml:space="preserve">   grade C</w:t>
      </w:r>
    </w:p>
    <w:p>
      <w:pPr>
        <w:spacing w:after="60" w:line="276"/>
      </w:pPr>
      <w:r>
        <w:rPr>
          <w:color w:val="15181F"/>
          <w:sz w:val="19"/>
          <w:szCs w:val="19"/>
        </w:rPr>
        <w:t xml:space="preserve">Do not abandon the operation because the degree of vessel contact has not changed.</w:t>
      </w:r>
    </w:p>
    <w:p>
      <w:pPr>
        <w:spacing w:after="50" w:line="276"/>
        <w:ind w:left="240"/>
      </w:pPr>
      <w:r>
        <w:rPr>
          <w:color w:val="15181F"/>
          <w:sz w:val="18"/>
          <w:szCs w:val="18"/>
        </w:rPr>
        <w:t xml:space="preserve">Judge the response on the three metrics and the clinical picture — performance status, pain, satiety, weight and nutrition, diabetes control are all listed by NCCN as possible metrics of response.</w:t>
      </w:r>
    </w:p>
    <w:p>
      <w:pPr>
        <w:spacing w:after="50"/>
        <w:ind w:left="240"/>
      </w:pPr>
      <w:r>
        <w:rPr>
          <w:b/>
          <w:bCs/>
          <w:color w:val="8C2F26"/>
          <w:sz w:val="18"/>
          <w:szCs w:val="18"/>
        </w:rPr>
        <w:t xml:space="preserve">Caveat. </w:t>
      </w:r>
      <w:r>
        <w:rPr>
          <w:color w:val="15181F"/>
          <w:sz w:val="18"/>
          <w:szCs w:val="18"/>
        </w:rPr>
        <w:t xml:space="preserve">NCCN's significant-response row states that resection is recommended in the majority of cases </w:t>
      </w:r>
      <w:r>
        <w:rPr>
          <w:b/>
          <w:bCs/>
          <w:color w:val="15181F"/>
          <w:sz w:val="18"/>
          <w:szCs w:val="18"/>
        </w:rPr>
        <w:t xml:space="preserve">independent of the degree of vascular involvement</w:t>
      </w:r>
      <w:r>
        <w:rPr>
          <w:color w:val="15181F"/>
          <w:sz w:val="18"/>
          <w:szCs w:val="18"/>
        </w:rPr>
        <w:t xml:space="preserve"> if R0 is technically feasible. Radiographic vascular contact after chemotherapy frequently represents fibrosis, imaging cannot tell the two apart, and ESMO states that imaging performance after chemotherapy is lower than in treatment-naive settings. Note also that less vascular work was needed after neoadjuvant therapy in the trials that counted it — concomitant venous resection in 14% versus 29% in NORPACT-1 (p=0.0034) and vascular resection in 16.5% versus 21.4% in the pooled analysis — so unchanged contact on the scan is a poor guide to what the operation will require.</w:t>
      </w:r>
    </w:p>
    <w:p>
      <w:pPr>
        <w:spacing w:after="60" w:line="276"/>
        <w:ind w:left="240"/>
      </w:pPr>
      <w:r>
        <w:rPr>
          <w:color w:val="5A6069"/>
          <w:sz w:val="16"/>
          <w:szCs w:val="16"/>
        </w:rPr>
        <w:t xml:space="preserve">Sources: NORPACT-1; Neoadjuvant meta-analysis; ESMO 2023 pancreatic</w:t>
      </w:r>
    </w:p>
    <w:p>
      <w:pPr>
        <w:spacing w:after="60" w:before="180"/>
      </w:pPr>
      <w:r>
        <w:rPr>
          <w:b/>
          <w:bCs/>
          <w:color w:val="8C2F26"/>
          <w:spacing w:val="16"/>
          <w:sz w:val="16"/>
          <w:szCs w:val="16"/>
        </w:rPr>
        <w:t xml:space="preserve">AVOID</w:t>
      </w:r>
      <w:r>
        <w:rPr>
          <w:color w:val="5A6069"/>
          <w:sz w:val="16"/>
          <w:szCs w:val="16"/>
        </w:rPr>
        <w:t xml:space="preserve">   grade D</w:t>
      </w:r>
    </w:p>
    <w:p>
      <w:pPr>
        <w:spacing w:after="60" w:line="276"/>
      </w:pPr>
      <w:r>
        <w:rPr>
          <w:color w:val="15181F"/>
          <w:sz w:val="19"/>
          <w:szCs w:val="19"/>
        </w:rPr>
        <w:t xml:space="preserve">Do not operate for a minimal response when the operation required is an arterial resection.</w:t>
      </w:r>
    </w:p>
    <w:p>
      <w:pPr>
        <w:spacing w:after="50" w:line="276"/>
        <w:ind w:left="240"/>
      </w:pPr>
      <w:r>
        <w:rPr>
          <w:color w:val="15181F"/>
          <w:sz w:val="18"/>
          <w:szCs w:val="18"/>
        </w:rPr>
        <w:t xml:space="preserve">Switch regimen, reassess, and only reconsider an arterial resection after a significant response.</w:t>
      </w:r>
    </w:p>
    <w:p>
      <w:pPr>
        <w:spacing w:after="50"/>
        <w:ind w:left="240"/>
      </w:pPr>
      <w:r>
        <w:rPr>
          <w:b/>
          <w:bCs/>
          <w:color w:val="8C2F26"/>
          <w:sz w:val="18"/>
          <w:szCs w:val="18"/>
        </w:rPr>
        <w:t xml:space="preserve">Caveat. </w:t>
      </w:r>
      <w:r>
        <w:rPr>
          <w:color w:val="15181F"/>
          <w:sz w:val="18"/>
          <w:szCs w:val="18"/>
        </w:rPr>
        <w:t xml:space="preserve">This inverts NCCN's rule that the risk of the operation sets the threshold for the response needed to justify it, and it is the combination with the worst morbidity and mortality on the page.</w:t>
      </w:r>
    </w:p>
    <w:p>
      <w:pPr>
        <w:spacing w:after="60" w:before="180"/>
      </w:pPr>
      <w:r>
        <w:rPr>
          <w:b/>
          <w:bCs/>
          <w:color w:val="8C2F26"/>
          <w:spacing w:val="16"/>
          <w:sz w:val="16"/>
          <w:szCs w:val="16"/>
        </w:rPr>
        <w:t xml:space="preserve">AVOID</w:t>
      </w:r>
      <w:r>
        <w:rPr>
          <w:color w:val="5A6069"/>
          <w:sz w:val="16"/>
          <w:szCs w:val="16"/>
        </w:rPr>
        <w:t xml:space="preserve">   grade D</w:t>
      </w:r>
    </w:p>
    <w:p>
      <w:pPr>
        <w:spacing w:after="60" w:line="276"/>
      </w:pPr>
      <w:r>
        <w:rPr>
          <w:color w:val="15181F"/>
          <w:sz w:val="19"/>
          <w:szCs w:val="19"/>
        </w:rPr>
        <w:t xml:space="preserve">Do not use the word </w:t>
      </w:r>
      <w:r>
        <w:rPr>
          <w:i/>
          <w:iCs/>
          <w:color w:val="15181F"/>
          <w:sz w:val="19"/>
          <w:szCs w:val="19"/>
        </w:rPr>
        <w:t xml:space="preserve">unresectable</w:t>
      </w:r>
      <w:r>
        <w:rPr>
          <w:color w:val="15181F"/>
          <w:sz w:val="19"/>
          <w:szCs w:val="19"/>
        </w:rPr>
        <w:t xml:space="preserve"> for a patient who has not yet had systemic therapy.</w:t>
      </w:r>
    </w:p>
    <w:p>
      <w:pPr>
        <w:spacing w:after="50" w:line="276"/>
        <w:ind w:left="240"/>
      </w:pPr>
      <w:r>
        <w:rPr>
          <w:color w:val="15181F"/>
          <w:sz w:val="18"/>
          <w:szCs w:val="18"/>
        </w:rPr>
        <w:t xml:space="preserve">Borderline resectable is a treatment category, not a verdict. Say what the barrier to R0 is and what would have to change.</w:t>
      </w:r>
    </w:p>
    <w:p>
      <w:pPr>
        <w:spacing w:after="50"/>
        <w:ind w:left="240"/>
      </w:pPr>
      <w:r>
        <w:rPr>
          <w:b/>
          <w:bCs/>
          <w:color w:val="8C2F26"/>
          <w:sz w:val="18"/>
          <w:szCs w:val="18"/>
        </w:rPr>
        <w:t xml:space="preserve">Caveat. </w:t>
      </w:r>
      <w:r>
        <w:rPr>
          <w:color w:val="15181F"/>
          <w:sz w:val="18"/>
          <w:szCs w:val="18"/>
        </w:rPr>
        <w:t xml:space="preserve">A patient told at diagnosis that they are inoperable rarely gets re-asked the question, which is how a responder is lost.</w:t>
      </w:r>
    </w:p>
    <w:p>
      <w:pPr>
        <w:pBdr>
          <w:bottom w:val="single" w:color="D3DCE4" w:sz="6" w:space="1"/>
        </w:pBdr>
        <w:spacing w:after="80"/>
      </w:pPr>
    </w:p>
    <w:p>
      <w:pPr>
        <w:pStyle w:val="Heading2"/>
        <w:keepNext/>
        <w:pageBreakBefore/>
        <w:spacing w:after="110" w:before="240"/>
      </w:pPr>
      <w:r>
        <w:rPr>
          <w:rFonts w:ascii="Cambria" w:cs="Cambria" w:eastAsia="Cambria" w:hAnsi="Cambria"/>
          <w:b/>
          <w:bCs/>
          <w:color w:val="17365D"/>
          <w:sz w:val="26"/>
          <w:szCs w:val="26"/>
        </w:rPr>
        <w:t xml:space="preserve">5 · The operation, and what R0 actually means</w:t>
      </w:r>
    </w:p>
    <w:p>
      <w:pPr>
        <w:spacing w:after="140"/>
      </w:pPr>
      <w:r>
        <w:rPr>
          <w:b/>
          <w:bCs/>
          <w:color w:val="176A87"/>
          <w:sz w:val="19"/>
          <w:szCs w:val="19"/>
        </w:rPr>
        <w:t xml:space="preserve">The question. </w:t>
      </w:r>
      <w:r>
        <w:rPr>
          <w:sz w:val="19"/>
          <w:szCs w:val="19"/>
        </w:rPr>
        <w:t xml:space="preserve">Did I take the right nodes, and will the pathologist be able to tell me the margin in millimetres?</w:t>
      </w:r>
    </w:p>
    <w:p>
      <w:pPr>
        <w:spacing w:after="60" w:before="160"/>
      </w:pPr>
      <w:r>
        <w:rPr>
          <w:b/>
          <w:bCs/>
          <w:color w:val="176A87"/>
          <w:spacing w:val="24"/>
          <w:sz w:val="15"/>
          <w:szCs w:val="15"/>
        </w:rPr>
        <w:t xml:space="preserve">ALL OF THE FOLLOWING HAVE TO BE IN HAND</w:t>
      </w:r>
    </w:p>
    <w:p>
      <w:pPr>
        <w:pStyle w:val="ListParagraph"/>
        <w:numPr>
          <w:ilvl w:val="0"/>
          <w:numId w:val="2"/>
        </w:numPr>
        <w:spacing w:after="60" w:line="268"/>
      </w:pPr>
      <w:r>
        <w:rPr>
          <w:color w:val="15181F"/>
          <w:sz w:val="18"/>
          <w:szCs w:val="18"/>
        </w:rPr>
        <w:t xml:space="preserve">Pancreatoduodenectomy for head and uncinate tumours; distal pancreatectomy for body and tail</w:t>
      </w:r>
    </w:p>
    <w:p>
      <w:pPr>
        <w:pStyle w:val="ListParagraph"/>
        <w:numPr>
          <w:ilvl w:val="0"/>
          <w:numId w:val="2"/>
        </w:numPr>
        <w:spacing w:after="60" w:line="268"/>
      </w:pPr>
      <w:r>
        <w:rPr>
          <w:color w:val="15181F"/>
          <w:sz w:val="18"/>
          <w:szCs w:val="18"/>
        </w:rPr>
        <w:t xml:space="preserve">Standard, not extended, lymphadenectomy</w:t>
      </w:r>
    </w:p>
    <w:p>
      <w:pPr>
        <w:pStyle w:val="ListParagraph"/>
        <w:numPr>
          <w:ilvl w:val="0"/>
          <w:numId w:val="2"/>
        </w:numPr>
        <w:spacing w:after="60" w:line="268"/>
      </w:pPr>
      <w:r>
        <w:rPr>
          <w:color w:val="15181F"/>
          <w:sz w:val="18"/>
          <w:szCs w:val="18"/>
        </w:rPr>
        <w:t xml:space="preserve">Peritoneal washings sent, and the result recorded in the operative note</w:t>
      </w:r>
    </w:p>
    <w:p>
      <w:pPr>
        <w:pStyle w:val="ListParagraph"/>
        <w:numPr>
          <w:ilvl w:val="0"/>
          <w:numId w:val="2"/>
        </w:numPr>
        <w:spacing w:after="60" w:line="268"/>
      </w:pPr>
      <w:r>
        <w:rPr>
          <w:color w:val="15181F"/>
          <w:sz w:val="18"/>
          <w:szCs w:val="18"/>
        </w:rPr>
        <w:t xml:space="preserve">Specimen inked and sliced to a protocol that allows millimetre reporting of every margin</w:t>
      </w:r>
    </w:p>
    <w:p>
      <w:pPr>
        <w:pStyle w:val="ListParagraph"/>
        <w:numPr>
          <w:ilvl w:val="0"/>
          <w:numId w:val="2"/>
        </w:numPr>
        <w:spacing w:after="60" w:line="268"/>
      </w:pPr>
      <w:r>
        <w:rPr>
          <w:color w:val="15181F"/>
          <w:sz w:val="18"/>
          <w:szCs w:val="18"/>
        </w:rPr>
        <w:t xml:space="preserve">Done at a high-volume centre, by a surgeon who does them</w:t>
      </w:r>
    </w:p>
    <w:p>
      <w:pPr>
        <w:spacing w:after="80" w:line="276"/>
      </w:pPr>
      <w:r>
        <w:rPr>
          <w:color w:val="15181F"/>
          <w:sz w:val="20"/>
          <w:szCs w:val="20"/>
        </w:rPr>
        <w:t xml:space="preserve"/>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Standard lymphadenectomy, to the stations the International Study Group on Pancreatic Surgery names — extended lymphadenectomy gives no survival benefit.</w:t>
      </w:r>
    </w:p>
    <w:p>
      <w:pPr>
        <w:spacing w:after="50" w:line="276"/>
        <w:ind w:left="240"/>
      </w:pPr>
      <w:r>
        <w:rPr>
          <w:color w:val="15181F"/>
          <w:sz w:val="18"/>
          <w:szCs w:val="18"/>
        </w:rPr>
        <w:t xml:space="preserve">For pancreatoduodenectomy the ISGPS consensus is to resect stations 5, 6, 8a, 12b1, 12b2, 12c, 13a, 13b, 14a, 14b, 17a and 17b, using Japanese Pancreas Society nomenclature. For cancers of the body and tail, removal of stations 10, 11 and 18 is standard. Lymphadenectomy also matters for adequate nodal staging, which drives the adjuvant discussion.</w:t>
      </w:r>
    </w:p>
    <w:p>
      <w:pPr>
        <w:spacing w:after="50"/>
        <w:ind w:left="240"/>
      </w:pPr>
      <w:r>
        <w:rPr>
          <w:b/>
          <w:bCs/>
          <w:color w:val="8C2F26"/>
          <w:sz w:val="18"/>
          <w:szCs w:val="18"/>
        </w:rPr>
        <w:t xml:space="preserve">Caveat. </w:t>
      </w:r>
      <w:r>
        <w:rPr>
          <w:color w:val="15181F"/>
          <w:sz w:val="18"/>
          <w:szCs w:val="18"/>
        </w:rPr>
        <w:t xml:space="preserve">Extended lymphadenectomy — nodes along the left side of the SMA and around the celiac trunk, splenic artery or left gastric artery — showed no survival benefit over standard lymphadenectomy in the trials the consensus summarises and cannot be recommended. There was no level I evidence on the prognostic impact of positive para-aortic nodes.</w:t>
      </w:r>
    </w:p>
    <w:p>
      <w:pPr>
        <w:spacing w:after="50" w:line="276"/>
        <w:ind w:left="240"/>
      </w:pPr>
      <w:r>
        <w:rPr>
          <w:i/>
          <w:iCs/>
          <w:color w:val="5A6069"/>
          <w:sz w:val="17"/>
          <w:szCs w:val="17"/>
        </w:rPr>
        <w:t xml:space="preserve">Downgraded from B to C, and flagged for provenance: </w:t>
      </w:r>
      <w:r>
        <w:rPr>
          <w:b/>
          <w:bCs/>
          <w:i/>
          <w:iCs/>
          <w:color w:val="5A6069"/>
          <w:sz w:val="17"/>
          <w:szCs w:val="17"/>
        </w:rPr>
        <w:t xml:space="preserve">this consensus statement is cited from its abstract only.</w:t>
      </w:r>
      <w:r>
        <w:rPr>
          <w:i/>
          <w:iCs/>
          <w:color w:val="5A6069"/>
          <w:sz w:val="17"/>
          <w:szCs w:val="17"/>
        </w:rPr>
        <w:t xml:space="preserve"> No new papers were obtained for this depot and the full text was not retrieved, so the station list and the no-benefit claim have not been checked against the published trials the consensus relies on, and neither has the strength of agreement behind either. ISGPS reached consensus on selectively removing suspected nodes outside the resection area for frozen section, but </w:t>
      </w:r>
      <w:r>
        <w:rPr>
          <w:b/>
          <w:bCs/>
          <w:i/>
          <w:iCs/>
          <w:color w:val="5A6069"/>
          <w:sz w:val="17"/>
          <w:szCs w:val="17"/>
        </w:rPr>
        <w:t xml:space="preserve">no consensus</w:t>
      </w:r>
      <w:r>
        <w:rPr>
          <w:i/>
          <w:iCs/>
          <w:color w:val="5A6069"/>
          <w:sz w:val="17"/>
          <w:szCs w:val="17"/>
        </w:rPr>
        <w:t xml:space="preserve"> on whether to continue or terminate the resection when those nodes are positive — so that is a local decision made in advance, not in the room. Both pancreatic resection in a relatively fit patient and non-resectional palliative treatment were accepted as reasonable in that situation. [EXPERTISE]</w:t>
      </w:r>
    </w:p>
    <w:p>
      <w:pPr>
        <w:spacing w:after="60" w:line="276"/>
        <w:ind w:left="240"/>
      </w:pPr>
      <w:r>
        <w:rPr>
          <w:color w:val="5A6069"/>
          <w:sz w:val="16"/>
          <w:szCs w:val="16"/>
        </w:rPr>
        <w:t xml:space="preserve">Sources: ISGPS lymphadenectomy</w:t>
      </w:r>
    </w:p>
    <w:p>
      <w:pPr>
        <w:spacing w:after="60" w:before="180"/>
      </w:pPr>
      <w:r>
        <w:rPr>
          <w:b/>
          <w:bCs/>
          <w:color w:val="17365D"/>
          <w:spacing w:val="16"/>
          <w:sz w:val="16"/>
          <w:szCs w:val="16"/>
        </w:rPr>
        <w:t xml:space="preserve">STANDARD</w:t>
      </w:r>
      <w:r>
        <w:rPr>
          <w:color w:val="5A6069"/>
          <w:sz w:val="16"/>
          <w:szCs w:val="16"/>
        </w:rPr>
        <w:t xml:space="preserve">   grade D</w:t>
      </w:r>
    </w:p>
    <w:p>
      <w:pPr>
        <w:spacing w:after="60" w:line="276"/>
      </w:pPr>
      <w:r>
        <w:rPr>
          <w:color w:val="15181F"/>
          <w:sz w:val="19"/>
          <w:szCs w:val="19"/>
        </w:rPr>
        <w:t xml:space="preserve">R0 in this disease means more than 1 mm of clearance — report the distance in millimetres for every margin within 1.0 cm of tumour.</w:t>
      </w:r>
    </w:p>
    <w:p>
      <w:pPr>
        <w:spacing w:after="50" w:line="276"/>
        <w:ind w:left="240"/>
      </w:pPr>
      <w:r>
        <w:rPr>
          <w:color w:val="15181F"/>
          <w:sz w:val="18"/>
          <w:szCs w:val="18"/>
        </w:rPr>
        <w:t xml:space="preserve">Every specimen. Per the current College of American Pathologists protocol, tumour at or within 1 mm of a resection margin constitutes a positive margin, and ESMO's 2023 guideline uses the same definition. NCCN asks for clearance reported with millimetre accuracy for all margins where tumour is within 1.0 cm, and with centimetre accuracy beyond that, so that the data accumulate for future analysis.</w:t>
      </w:r>
    </w:p>
    <w:p>
      <w:pPr>
        <w:spacing w:after="50"/>
        <w:ind w:left="240"/>
      </w:pPr>
      <w:r>
        <w:rPr>
          <w:b/>
          <w:bCs/>
          <w:color w:val="8C2F26"/>
          <w:sz w:val="18"/>
          <w:szCs w:val="18"/>
        </w:rPr>
        <w:t xml:space="preserve">Caveat. </w:t>
      </w:r>
      <w:r>
        <w:rPr>
          <w:color w:val="15181F"/>
          <w:sz w:val="18"/>
          <w:szCs w:val="18"/>
        </w:rPr>
        <w:t xml:space="preserve">Do not present the 1 mm rule as established in pancreatic cancer. NCCN states that the recommendation is based primarily on extrapolation from data on rectal adenocarcinoma and that there is currently a lack of definitive evidence for what constitutes an adequate margin in pancreatic resection specimens. A standardised definition does not yet exist.</w:t>
      </w:r>
    </w:p>
    <w:p>
      <w:pPr>
        <w:spacing w:after="50" w:line="276"/>
        <w:ind w:left="240"/>
      </w:pPr>
      <w:r>
        <w:rPr>
          <w:i/>
          <w:iCs/>
          <w:color w:val="5A6069"/>
          <w:sz w:val="17"/>
          <w:szCs w:val="17"/>
        </w:rPr>
        <w:t xml:space="preserve">Downgraded from C to D on the full-text read: this is a threshold nobody derived. The single study that supplied the clinical argument for it, 163 consecutive pancreatoduodenectomies at one centre, answered its own question in the null — median survival 15.4 months (95% CI 11.3–18.2) for </w:t>
      </w:r>
      <w:r>
        <w:rPr>
          <w:i/>
          <w:iCs/>
          <w:color w:val="5A6069"/>
          <w:sz w:val="17"/>
          <w:szCs w:val="17"/>
        </w:rPr>
        <w:t xml:space="preserve">equivocal</w:t>
      </w:r>
      <w:r>
        <w:rPr>
          <w:i/>
          <w:iCs/>
          <w:color w:val="5A6069"/>
          <w:sz w:val="17"/>
          <w:szCs w:val="17"/>
        </w:rPr>
        <w:t xml:space="preserve"> R1, tumour within 1 mm but not reaching the margin, against 12.6 months (9.2–14.3) for unequivocal R1, log-rank P=0.102 — and concluded the two should be treated as one category on the strength of a non-significant test. Equivocal R1 versus R0 was also non-significant (P=0.114), so the study cannot separate the intermediate group from either neighbour. R0 (n=35) gave median survival 25.4 months with a 95% CI of 10.5 to 40.8 months, and margin status did </w:t>
      </w:r>
      <w:r>
        <w:rPr>
          <w:b/>
          <w:bCs/>
          <w:i/>
          <w:iCs/>
          <w:color w:val="5A6069"/>
          <w:sz w:val="17"/>
          <w:szCs w:val="17"/>
        </w:rPr>
        <w:t xml:space="preserve">not</w:t>
      </w:r>
      <w:r>
        <w:rPr>
          <w:i/>
          <w:iCs/>
          <w:color w:val="5A6069"/>
          <w:sz w:val="17"/>
          <w:szCs w:val="17"/>
        </w:rPr>
        <w:t xml:space="preserve"> survive multivariable adjustment (univariate HR 1.747, 1.117–2.734, P=0.015; adjusted HR 1.443, 0.896–2.324, P=0.132), where lymph node ratio, tumour size and adjuvant chemotherapy did. Only 27% of that cohort received adjuvant chemotherapy, in 1997–2007. The practical consequence matters more than the prognostic one: applying the rule moved the R1 rate at that centre from 44% to 79%, which means R0 rates are substantially a function of local pathology protocol and the R0 figures quoted across the trials on this page — PREOPANC 71% of resected, ESPAC5 14% to 23%, NORPACT-1 56% versus 39%, APACT 76% with no central pathology review — are not comparable with one another. The 16-versus-14-month and 35-month margin-clearance figures carried in the NCCN discussion text supplied to this page come from a different review, appear in a sentence that inverts them, and were not retrieved for this depot; confirm the direction against the published discussion before quoting them.</w:t>
      </w:r>
    </w:p>
    <w:p>
      <w:pPr>
        <w:spacing w:after="60" w:line="276"/>
        <w:ind w:left="240"/>
      </w:pPr>
      <w:r>
        <w:rPr>
          <w:color w:val="5A6069"/>
          <w:sz w:val="16"/>
          <w:szCs w:val="16"/>
        </w:rPr>
        <w:t xml:space="preserve">Sources: Campbell 1 mm rule; ESMO 2023 pancreatic</w:t>
      </w:r>
    </w:p>
    <w:p>
      <w:pPr>
        <w:spacing w:after="60" w:before="180"/>
      </w:pPr>
      <w:r>
        <w:rPr>
          <w:b/>
          <w:bCs/>
          <w:color w:val="17365D"/>
          <w:spacing w:val="16"/>
          <w:sz w:val="16"/>
          <w:szCs w:val="16"/>
        </w:rPr>
        <w:t xml:space="preserve">STANDARD</w:t>
      </w:r>
      <w:r>
        <w:rPr>
          <w:color w:val="5A6069"/>
          <w:sz w:val="16"/>
          <w:szCs w:val="16"/>
        </w:rPr>
        <w:t xml:space="preserve">   grade D</w:t>
      </w:r>
    </w:p>
    <w:p>
      <w:pPr>
        <w:spacing w:after="60" w:line="276"/>
      </w:pPr>
      <w:r>
        <w:rPr>
          <w:color w:val="15181F"/>
          <w:sz w:val="19"/>
          <w:szCs w:val="19"/>
        </w:rPr>
        <w:t xml:space="preserve">Dissect the specimen to a stated protocol — axial or bivalve — and accept that there is no single correct method.</w:t>
      </w:r>
    </w:p>
    <w:p>
      <w:pPr>
        <w:spacing w:after="50" w:line="276"/>
        <w:ind w:left="240"/>
      </w:pPr>
      <w:r>
        <w:rPr>
          <w:color w:val="15181F"/>
          <w:sz w:val="18"/>
          <w:szCs w:val="18"/>
        </w:rPr>
        <w:t xml:space="preserve">Axial slicing, perpendicular to the long axis at regular intervals, preserves spatial relationships and is useful for radiologic-pathologic correlation. The bivalve method, bisecting along probes in the bile and pancreatic ducts, is better for localising small lesions near the ampulla or ducts and for assessing ductal involvement and margins. Knowing the clinically suspected lesion is what should pick the method.</w:t>
      </w:r>
    </w:p>
    <w:p>
      <w:pPr>
        <w:spacing w:after="50"/>
        <w:ind w:left="240"/>
      </w:pPr>
      <w:r>
        <w:rPr>
          <w:b/>
          <w:bCs/>
          <w:color w:val="8C2F26"/>
          <w:sz w:val="18"/>
          <w:szCs w:val="18"/>
        </w:rPr>
        <w:t xml:space="preserve">Caveat. </w:t>
      </w:r>
      <w:r>
        <w:rPr>
          <w:color w:val="15181F"/>
          <w:sz w:val="18"/>
          <w:szCs w:val="18"/>
        </w:rPr>
        <w:t xml:space="preserve">What is not optional is clear and accurate assessment of the margins, tumour size, and the relationship to pancreatic surfaces, margins, bile duct, main pancreatic duct and duodenum. Organs resected en bloc need serial sectioning to assess both direct extension and separate metastatic deposits, with at least one section demonstrating each.</w:t>
      </w:r>
    </w:p>
    <w:p>
      <w:pPr>
        <w:spacing w:after="50" w:line="276"/>
        <w:ind w:left="240"/>
      </w:pPr>
      <w:r>
        <w:rPr>
          <w:i/>
          <w:iCs/>
          <w:color w:val="5A6069"/>
          <w:sz w:val="17"/>
          <w:szCs w:val="17"/>
        </w:rPr>
        <w:t xml:space="preserve">In distal pancreatectomy, assess the peripancreatic soft-tissue surfaces and the pancreatic neck, document splenic vessel involvement and splenic invasion, and consider shaving and submitting the splenic artery and vein margins. Frozen section of the pancreatic neck is a recommended option. Direct tumour invasion of the spleen is pT3.</w:t>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Send peritoneal washings whenever the abdomen is open, and act on a positive result.</w:t>
      </w:r>
    </w:p>
    <w:p>
      <w:pPr>
        <w:spacing w:after="50" w:line="276"/>
        <w:ind w:left="240"/>
      </w:pPr>
      <w:r>
        <w:rPr>
          <w:color w:val="15181F"/>
          <w:sz w:val="18"/>
          <w:szCs w:val="18"/>
        </w:rPr>
        <w:t xml:space="preserve">At staging laparoscopy and at resection. Intraoperative ultrasound can be used as an adjunct to further evaluate the liver, the tumour and vascular involvement. The yield is real: in PREOPANC, 13 of the 28 patients allocated to neoadjuvant therapy who never started it were found metastatic at the mandatory staging laparoscopy.</w:t>
      </w:r>
    </w:p>
    <w:p>
      <w:pPr>
        <w:spacing w:after="50"/>
        <w:ind w:left="240"/>
      </w:pPr>
      <w:r>
        <w:rPr>
          <w:b/>
          <w:bCs/>
          <w:color w:val="8C2F26"/>
          <w:sz w:val="18"/>
          <w:szCs w:val="18"/>
        </w:rPr>
        <w:t xml:space="preserve">Caveat. </w:t>
      </w:r>
      <w:r>
        <w:rPr>
          <w:color w:val="15181F"/>
          <w:sz w:val="18"/>
          <w:szCs w:val="18"/>
        </w:rPr>
        <w:t xml:space="preserve">Positive cytology is equivalent to M1 disease. If a resection has already been performed in such a patient, they are treated for M1 disease — so the result has to reach the oncologist, not sit in the chart.</w:t>
      </w:r>
    </w:p>
    <w:p>
      <w:pPr>
        <w:spacing w:after="60" w:line="276"/>
        <w:ind w:left="240"/>
      </w:pPr>
      <w:r>
        <w:rPr>
          <w:color w:val="5A6069"/>
          <w:sz w:val="16"/>
          <w:szCs w:val="16"/>
        </w:rPr>
        <w:t xml:space="preserve">Sources: PREOPANC long-term</w:t>
      </w:r>
    </w:p>
    <w:p>
      <w:pPr>
        <w:spacing w:after="60" w:before="180"/>
      </w:pPr>
      <w:r>
        <w:rPr>
          <w:b/>
          <w:bCs/>
          <w:color w:val="176A87"/>
          <w:spacing w:val="16"/>
          <w:sz w:val="16"/>
          <w:szCs w:val="16"/>
        </w:rPr>
        <w:t xml:space="preserve">REASONABLE</w:t>
      </w:r>
      <w:r>
        <w:rPr>
          <w:color w:val="5A6069"/>
          <w:sz w:val="16"/>
          <w:szCs w:val="16"/>
        </w:rPr>
        <w:t xml:space="preserve">   grade D</w:t>
      </w:r>
    </w:p>
    <w:p>
      <w:pPr>
        <w:spacing w:after="60" w:line="276"/>
      </w:pPr>
      <w:r>
        <w:rPr>
          <w:color w:val="15181F"/>
          <w:sz w:val="19"/>
          <w:szCs w:val="19"/>
        </w:rPr>
        <w:t xml:space="preserve">A written minimum annual volume for pancreatoduodenectomy at this centre, with a textbook-outcome audit behind it.</w:t>
      </w:r>
    </w:p>
    <w:p>
      <w:pPr>
        <w:spacing w:after="50" w:line="276"/>
        <w:ind w:left="240"/>
      </w:pPr>
      <w:r>
        <w:rPr>
          <w:color w:val="15181F"/>
          <w:sz w:val="18"/>
          <w:szCs w:val="18"/>
        </w:rPr>
        <w:t xml:space="preserve">NCCN's opening line in this guideline is that decisions about diagnosis, resectability and management should involve multidisciplinary consultation at a high-volume centre, and it repeats </w:t>
      </w:r>
      <w:r>
        <w:rPr>
          <w:i/>
          <w:iCs/>
          <w:color w:val="15181F"/>
          <w:sz w:val="18"/>
          <w:szCs w:val="18"/>
        </w:rPr>
        <w:t xml:space="preserve">high-volume centre</w:t>
      </w:r>
      <w:r>
        <w:rPr>
          <w:color w:val="15181F"/>
          <w:sz w:val="18"/>
          <w:szCs w:val="18"/>
        </w:rPr>
        <w:t xml:space="preserve"> at the drainage, vascular resection, recurrence and gastric outlet gates. A threshold that is written down makes the referral decision auditable.</w:t>
      </w:r>
    </w:p>
    <w:p>
      <w:pPr>
        <w:spacing w:after="50"/>
        <w:ind w:left="240"/>
      </w:pPr>
      <w:r>
        <w:rPr>
          <w:b/>
          <w:bCs/>
          <w:color w:val="8C2F26"/>
          <w:sz w:val="18"/>
          <w:szCs w:val="18"/>
        </w:rPr>
        <w:t xml:space="preserve">Caveat. </w:t>
      </w:r>
      <w:r>
        <w:rPr>
          <w:color w:val="15181F"/>
          <w:sz w:val="18"/>
          <w:szCs w:val="18"/>
        </w:rPr>
        <w:t xml:space="preserve">The guideline never states a number, and no number here is evidence based. Volume-outcome relationships in pancreatic surgery are observational and consistent; the threshold itself is a governance choice. [EXPERTISE]</w:t>
      </w:r>
    </w:p>
    <w:p>
      <w:pPr>
        <w:spacing w:after="50" w:line="276"/>
        <w:ind w:left="240"/>
      </w:pPr>
      <w:r>
        <w:rPr>
          <w:i/>
          <w:iCs/>
          <w:color w:val="5A6069"/>
          <w:sz w:val="17"/>
          <w:szCs w:val="17"/>
        </w:rPr>
        <w:t xml:space="preserve">NCCN never states a number, and no number here is evidence based. Volume-outcome relationships in pancreatic surgery are observational and consistent; the threshold itself is a governance choice. The one randomised dataset in this depot that looked at it found centre volume associated with survival in a post hoc multivariable model (10 or more patients enrolled, HR 0.77, 95% CI 0.61–0.98, P=.03, in PRODIGE-24's 77 hospitals) — a finding confounded with case mix, surgical quality, access to relapse therapy and country, and selected by a stepwise procedure with no multiplicity correction. Do not cite it as a derived threshold. [EXPERTISE]</w:t>
      </w:r>
    </w:p>
    <w:p>
      <w:pPr>
        <w:spacing w:after="60" w:line="276"/>
        <w:ind w:left="240"/>
      </w:pPr>
      <w:r>
        <w:rPr>
          <w:color w:val="5A6069"/>
          <w:sz w:val="16"/>
          <w:szCs w:val="16"/>
        </w:rPr>
        <w:t xml:space="preserve">Sources: PRODIGE 24 five-year</w:t>
      </w:r>
    </w:p>
    <w:p>
      <w:pPr>
        <w:spacing w:after="60" w:before="180"/>
      </w:pPr>
      <w:r>
        <w:rPr>
          <w:b/>
          <w:bCs/>
          <w:color w:val="176A87"/>
          <w:spacing w:val="16"/>
          <w:sz w:val="16"/>
          <w:szCs w:val="16"/>
        </w:rPr>
        <w:t xml:space="preserve">REASONABLE</w:t>
      </w:r>
      <w:r>
        <w:rPr>
          <w:color w:val="5A6069"/>
          <w:sz w:val="16"/>
          <w:szCs w:val="16"/>
        </w:rPr>
        <w:t xml:space="preserve">   grade C</w:t>
      </w:r>
    </w:p>
    <w:p>
      <w:pPr>
        <w:spacing w:after="60" w:line="276"/>
      </w:pPr>
      <w:r>
        <w:rPr>
          <w:color w:val="15181F"/>
          <w:sz w:val="19"/>
          <w:szCs w:val="19"/>
        </w:rPr>
        <w:t xml:space="preserve">Resection of a local recurrence, in a carefully restaged patient, as part of a multimodal plan rather than as an isolated operation.</w:t>
      </w:r>
    </w:p>
    <w:p>
      <w:pPr>
        <w:spacing w:after="50" w:line="276"/>
        <w:ind w:left="240"/>
      </w:pPr>
      <w:r>
        <w:rPr>
          <w:color w:val="15181F"/>
          <w:sz w:val="18"/>
          <w:szCs w:val="18"/>
        </w:rPr>
        <w:t xml:space="preserve">In a pooled analysis of 55 patients from 19 studies who underwent pancreatectomy for recurrent pancreatic cancer, 1-, 3- and 5-year survival were 82.2%, 49.2% and 40.6%. NCCN asks for careful evaluation in a multidisciplinary clinic with detailed restaging, and a plan that may include neoadjuvant chemotherapy with or without radiotherapy and then resection.</w:t>
      </w:r>
    </w:p>
    <w:p>
      <w:pPr>
        <w:spacing w:after="50"/>
        <w:ind w:left="240"/>
      </w:pPr>
      <w:r>
        <w:rPr>
          <w:b/>
          <w:bCs/>
          <w:color w:val="8C2F26"/>
          <w:sz w:val="18"/>
          <w:szCs w:val="18"/>
        </w:rPr>
        <w:t xml:space="preserve">Caveat. </w:t>
      </w:r>
      <w:r>
        <w:rPr>
          <w:color w:val="15181F"/>
          <w:sz w:val="18"/>
          <w:szCs w:val="18"/>
        </w:rPr>
        <w:t xml:space="preserve">Fifty-five patients across nineteen studies is a selected series of selected series. Chemoradiation can be considered for local recurrence if radiation was not given before, but NCCN notes limited data to support specific radiotherapy recommendations in this setting. Where there is metastatic disease with or without local recurrence, this is a systemic problem — see the metastatic gate.</w:t>
      </w:r>
    </w:p>
    <w:p>
      <w:pPr>
        <w:spacing w:after="60" w:before="180"/>
      </w:pPr>
      <w:r>
        <w:rPr>
          <w:b/>
          <w:bCs/>
          <w:color w:val="176A87"/>
          <w:spacing w:val="16"/>
          <w:sz w:val="16"/>
          <w:szCs w:val="16"/>
        </w:rPr>
        <w:t xml:space="preserve">REASONABLE</w:t>
      </w:r>
      <w:r>
        <w:rPr>
          <w:color w:val="5A6069"/>
          <w:sz w:val="16"/>
          <w:szCs w:val="16"/>
        </w:rPr>
        <w:t xml:space="preserve">   grade C</w:t>
      </w:r>
    </w:p>
    <w:p>
      <w:pPr>
        <w:spacing w:after="60" w:line="276"/>
      </w:pPr>
      <w:r>
        <w:rPr>
          <w:color w:val="15181F"/>
          <w:sz w:val="19"/>
          <w:szCs w:val="19"/>
        </w:rPr>
        <w:t xml:space="preserve">Resection of limited pulmonary-only metastases after resection, in a selected patient.</w:t>
      </w:r>
    </w:p>
    <w:p>
      <w:pPr>
        <w:spacing w:after="50" w:line="276"/>
        <w:ind w:left="240"/>
      </w:pPr>
      <w:r>
        <w:rPr>
          <w:color w:val="15181F"/>
          <w:sz w:val="18"/>
          <w:szCs w:val="18"/>
        </w:rPr>
        <w:t xml:space="preserve">The lung is a common site of recurrence after pancreatic resection, and NCCN states resection may be considered for those with limited pulmonary-only metastases.</w:t>
      </w:r>
    </w:p>
    <w:p>
      <w:pPr>
        <w:spacing w:after="50"/>
        <w:ind w:left="240"/>
      </w:pPr>
      <w:r>
        <w:rPr>
          <w:b/>
          <w:bCs/>
          <w:color w:val="8C2F26"/>
          <w:sz w:val="18"/>
          <w:szCs w:val="18"/>
        </w:rPr>
        <w:t xml:space="preserve">Caveat. </w:t>
      </w:r>
      <w:r>
        <w:rPr>
          <w:color w:val="15181F"/>
          <w:sz w:val="18"/>
          <w:szCs w:val="18"/>
        </w:rPr>
        <w:t xml:space="preserve">NCCN also states that more data are needed before recommendations can be made about managing pulmonary metastases, so this is a case-by-case board decision and not a pathway.</w:t>
      </w:r>
    </w:p>
    <w:p>
      <w:pPr>
        <w:spacing w:after="60" w:before="180"/>
      </w:pPr>
      <w:r>
        <w:rPr>
          <w:b/>
          <w:bCs/>
          <w:color w:val="8C2F26"/>
          <w:spacing w:val="16"/>
          <w:sz w:val="16"/>
          <w:szCs w:val="16"/>
        </w:rPr>
        <w:t xml:space="preserve">AVOID</w:t>
      </w:r>
      <w:r>
        <w:rPr>
          <w:color w:val="5A6069"/>
          <w:sz w:val="16"/>
          <w:szCs w:val="16"/>
        </w:rPr>
        <w:t xml:space="preserve">   grade C</w:t>
      </w:r>
    </w:p>
    <w:p>
      <w:pPr>
        <w:spacing w:after="60" w:line="276"/>
      </w:pPr>
      <w:r>
        <w:rPr>
          <w:color w:val="15181F"/>
          <w:sz w:val="19"/>
          <w:szCs w:val="19"/>
        </w:rPr>
        <w:t xml:space="preserve">Extended lymphadenectomy.</w:t>
      </w:r>
    </w:p>
    <w:p>
      <w:pPr>
        <w:spacing w:after="50" w:line="276"/>
        <w:ind w:left="240"/>
      </w:pPr>
      <w:r>
        <w:rPr>
          <w:color w:val="15181F"/>
          <w:sz w:val="18"/>
          <w:szCs w:val="18"/>
        </w:rPr>
        <w:t xml:space="preserve">Standard lymphadenectomy to the ISGPS stations.</w:t>
      </w:r>
    </w:p>
    <w:p>
      <w:pPr>
        <w:spacing w:after="50"/>
        <w:ind w:left="240"/>
      </w:pPr>
      <w:r>
        <w:rPr>
          <w:b/>
          <w:bCs/>
          <w:color w:val="8C2F26"/>
          <w:sz w:val="18"/>
          <w:szCs w:val="18"/>
        </w:rPr>
        <w:t xml:space="preserve">Caveat. </w:t>
      </w:r>
      <w:r>
        <w:rPr>
          <w:color w:val="15181F"/>
          <w:sz w:val="18"/>
          <w:szCs w:val="18"/>
        </w:rPr>
        <w:t xml:space="preserve">Extending the dissection to the left side of the SMA and around the celiac trunk, splenic artery or left gastric artery showed no survival benefit in the trials the ISGPS consensus summarises, and the consensus is that extended lymphadenectomy cannot be recommended. The consensus statement is cited from its abstract only; the full text was not retrieved for this depot.</w:t>
      </w:r>
    </w:p>
    <w:p>
      <w:pPr>
        <w:spacing w:after="60" w:line="276"/>
        <w:ind w:left="240"/>
      </w:pPr>
      <w:r>
        <w:rPr>
          <w:color w:val="5A6069"/>
          <w:sz w:val="16"/>
          <w:szCs w:val="16"/>
        </w:rPr>
        <w:t xml:space="preserve">Sources: ISGPS lymphadenectomy</w:t>
      </w:r>
    </w:p>
    <w:p>
      <w:pPr>
        <w:spacing w:after="60" w:before="180"/>
      </w:pPr>
      <w:r>
        <w:rPr>
          <w:b/>
          <w:bCs/>
          <w:color w:val="8C2F26"/>
          <w:spacing w:val="16"/>
          <w:sz w:val="16"/>
          <w:szCs w:val="16"/>
        </w:rPr>
        <w:t xml:space="preserve">AVOID</w:t>
      </w:r>
      <w:r>
        <w:rPr>
          <w:color w:val="5A6069"/>
          <w:sz w:val="16"/>
          <w:szCs w:val="16"/>
        </w:rPr>
        <w:t xml:space="preserve">   grade D</w:t>
      </w:r>
    </w:p>
    <w:p>
      <w:pPr>
        <w:spacing w:after="60" w:line="276"/>
      </w:pPr>
      <w:r>
        <w:rPr>
          <w:color w:val="15181F"/>
          <w:sz w:val="19"/>
          <w:szCs w:val="19"/>
        </w:rPr>
        <w:t xml:space="preserve">A pathology report that says </w:t>
      </w:r>
      <w:r>
        <w:rPr>
          <w:i/>
          <w:iCs/>
          <w:color w:val="15181F"/>
          <w:sz w:val="19"/>
          <w:szCs w:val="19"/>
        </w:rPr>
        <w:t xml:space="preserve">margins negative</w:t>
      </w:r>
      <w:r>
        <w:rPr>
          <w:color w:val="15181F"/>
          <w:sz w:val="19"/>
          <w:szCs w:val="19"/>
        </w:rPr>
        <w:t xml:space="preserve"> without millimetres.</w:t>
      </w:r>
    </w:p>
    <w:p>
      <w:pPr>
        <w:spacing w:after="50" w:line="276"/>
        <w:ind w:left="240"/>
      </w:pPr>
      <w:r>
        <w:rPr>
          <w:color w:val="15181F"/>
          <w:sz w:val="18"/>
          <w:szCs w:val="18"/>
        </w:rPr>
        <w:t xml:space="preserve">Agree the reporting format with pathology once, in writing, including which margins are inked, which are shaved and which are taken perpendicular.</w:t>
      </w:r>
    </w:p>
    <w:p>
      <w:pPr>
        <w:spacing w:after="50"/>
        <w:ind w:left="240"/>
      </w:pPr>
      <w:r>
        <w:rPr>
          <w:b/>
          <w:bCs/>
          <w:color w:val="8C2F26"/>
          <w:sz w:val="18"/>
          <w:szCs w:val="18"/>
        </w:rPr>
        <w:t xml:space="preserve">Caveat. </w:t>
      </w:r>
      <w:r>
        <w:rPr>
          <w:color w:val="15181F"/>
          <w:sz w:val="18"/>
          <w:szCs w:val="18"/>
        </w:rPr>
        <w:t xml:space="preserve">Without millimetre clearance the adjuvant radiation discussion cannot be had, and the data NCCN asks the field to accumulate are not accumulated. The guideline's own argument is that if under 1 mm clearance proves to carry an unacceptably high local recurrence rate, then postoperative radiotherapy would deserve strong consideration in exactly those patients — which is unanswerable without the number.</w:t>
      </w:r>
    </w:p>
    <w:p>
      <w:pPr>
        <w:spacing w:after="60" w:before="180"/>
      </w:pPr>
      <w:r>
        <w:rPr>
          <w:b/>
          <w:bCs/>
          <w:color w:val="8C2F26"/>
          <w:spacing w:val="16"/>
          <w:sz w:val="16"/>
          <w:szCs w:val="16"/>
        </w:rPr>
        <w:t xml:space="preserve">AVOID</w:t>
      </w:r>
      <w:r>
        <w:rPr>
          <w:color w:val="5A6069"/>
          <w:sz w:val="16"/>
          <w:szCs w:val="16"/>
        </w:rPr>
        <w:t xml:space="preserve">   grade C</w:t>
      </w:r>
    </w:p>
    <w:p>
      <w:pPr>
        <w:spacing w:after="60" w:line="276"/>
      </w:pPr>
      <w:r>
        <w:rPr>
          <w:color w:val="15181F"/>
          <w:sz w:val="19"/>
          <w:szCs w:val="19"/>
        </w:rPr>
        <w:t xml:space="preserve">Attempting a resection whose likely outcome is R2.</w:t>
      </w:r>
    </w:p>
    <w:p>
      <w:pPr>
        <w:spacing w:after="50" w:line="276"/>
        <w:ind w:left="240"/>
      </w:pPr>
      <w:r>
        <w:rPr>
          <w:color w:val="15181F"/>
          <w:sz w:val="18"/>
          <w:szCs w:val="18"/>
        </w:rPr>
        <w:t xml:space="preserve">NCCN's instruction is that resection should only be attempted if there is a high likelihood of achieving R0 while avoiding an R2 resection.</w:t>
      </w:r>
    </w:p>
    <w:p>
      <w:pPr>
        <w:spacing w:after="50"/>
        <w:ind w:left="240"/>
      </w:pPr>
      <w:r>
        <w:rPr>
          <w:b/>
          <w:bCs/>
          <w:color w:val="8C2F26"/>
          <w:sz w:val="18"/>
          <w:szCs w:val="18"/>
        </w:rPr>
        <w:t xml:space="preserve">Caveat. </w:t>
      </w:r>
      <w:r>
        <w:rPr>
          <w:color w:val="15181F"/>
          <w:sz w:val="18"/>
          <w:szCs w:val="18"/>
        </w:rPr>
        <w:t xml:space="preserve">An R2 resection in this disease delivers the morbidity of a major pancreatectomy with none of the oncologic benefit, and it delays systemic therapy.</w:t>
      </w:r>
    </w:p>
    <w:p>
      <w:pPr>
        <w:pBdr>
          <w:bottom w:val="single" w:color="D3DCE4" w:sz="6" w:space="1"/>
        </w:pBdr>
        <w:spacing w:after="80"/>
      </w:pPr>
    </w:p>
    <w:p>
      <w:pPr>
        <w:pStyle w:val="Heading2"/>
        <w:keepNext/>
        <w:pageBreakBefore/>
        <w:spacing w:after="110" w:before="240"/>
      </w:pPr>
      <w:r>
        <w:rPr>
          <w:rFonts w:ascii="Cambria" w:cs="Cambria" w:eastAsia="Cambria" w:hAnsi="Cambria"/>
          <w:b/>
          <w:bCs/>
          <w:color w:val="17365D"/>
          <w:sz w:val="26"/>
          <w:szCs w:val="26"/>
        </w:rPr>
        <w:t xml:space="preserve">6 · Adjuvant therapy, and what surveillance is actually for</w:t>
      </w:r>
    </w:p>
    <w:p>
      <w:pPr>
        <w:spacing w:after="140"/>
      </w:pPr>
      <w:r>
        <w:rPr>
          <w:b/>
          <w:bCs/>
          <w:color w:val="176A87"/>
          <w:sz w:val="19"/>
          <w:szCs w:val="19"/>
        </w:rPr>
        <w:t xml:space="preserve">The question. </w:t>
      </w:r>
      <w:r>
        <w:rPr>
          <w:sz w:val="19"/>
          <w:szCs w:val="19"/>
        </w:rPr>
        <w:t xml:space="preserve">Which regimen, when does it start, and does this patient still have resected-stage disease at all?</w:t>
      </w:r>
    </w:p>
    <w:p>
      <w:pPr>
        <w:spacing w:after="60" w:before="160"/>
      </w:pPr>
      <w:r>
        <w:rPr>
          <w:b/>
          <w:bCs/>
          <w:color w:val="176A87"/>
          <w:spacing w:val="24"/>
          <w:sz w:val="15"/>
          <w:szCs w:val="15"/>
        </w:rPr>
        <w:t xml:space="preserve">ANY ONE OF THE FOLLOWING HAS TO BE IN HAND</w:t>
      </w:r>
    </w:p>
    <w:p>
      <w:pPr>
        <w:pStyle w:val="ListParagraph"/>
        <w:numPr>
          <w:ilvl w:val="0"/>
          <w:numId w:val="2"/>
        </w:numPr>
        <w:spacing w:after="60" w:line="268"/>
      </w:pPr>
      <w:r>
        <w:rPr>
          <w:color w:val="15181F"/>
          <w:sz w:val="18"/>
          <w:szCs w:val="18"/>
        </w:rPr>
        <w:t xml:space="preserve">A macroscopically complete resection has been performed</w:t>
      </w:r>
    </w:p>
    <w:p>
      <w:pPr>
        <w:pStyle w:val="ListParagraph"/>
        <w:numPr>
          <w:ilvl w:val="0"/>
          <w:numId w:val="2"/>
        </w:numPr>
        <w:spacing w:after="60" w:line="268"/>
      </w:pPr>
      <w:r>
        <w:rPr>
          <w:color w:val="15181F"/>
          <w:sz w:val="18"/>
          <w:szCs w:val="18"/>
        </w:rPr>
        <w:t xml:space="preserve">Restaging before adjuvant therapy shows no recurrence</w:t>
      </w:r>
    </w:p>
    <w:p>
      <w:pPr>
        <w:pStyle w:val="ListParagraph"/>
        <w:numPr>
          <w:ilvl w:val="0"/>
          <w:numId w:val="2"/>
        </w:numPr>
        <w:spacing w:after="60" w:line="268"/>
      </w:pPr>
      <w:r>
        <w:rPr>
          <w:color w:val="15181F"/>
          <w:sz w:val="18"/>
          <w:szCs w:val="18"/>
        </w:rPr>
        <w:t xml:space="preserve">Performance status and recovery allow a multiagent regimen, or do not</w:t>
      </w:r>
    </w:p>
    <w:p>
      <w:pPr>
        <w:pStyle w:val="ListParagraph"/>
        <w:numPr>
          <w:ilvl w:val="0"/>
          <w:numId w:val="2"/>
        </w:numPr>
        <w:spacing w:after="60" w:line="268"/>
      </w:pPr>
      <w:r>
        <w:rPr>
          <w:color w:val="15181F"/>
          <w:sz w:val="18"/>
          <w:szCs w:val="18"/>
        </w:rPr>
        <w:t xml:space="preserve">No neoadjuvant therapy was given — or it was, and the response is known</w:t>
      </w:r>
    </w:p>
    <w:p>
      <w:pPr>
        <w:pStyle w:val="ListParagraph"/>
        <w:numPr>
          <w:ilvl w:val="0"/>
          <w:numId w:val="2"/>
        </w:numPr>
        <w:spacing w:after="60" w:line="268"/>
      </w:pPr>
      <w:r>
        <w:rPr>
          <w:color w:val="15181F"/>
          <w:sz w:val="18"/>
          <w:szCs w:val="18"/>
        </w:rPr>
        <w:t xml:space="preserve">Germline and somatic results are back, or have been chased</w:t>
      </w:r>
    </w:p>
    <w:p>
      <w:pPr>
        <w:spacing w:after="80" w:line="276"/>
      </w:pPr>
      <w:r>
        <w:rPr>
          <w:color w:val="15181F"/>
          <w:sz w:val="20"/>
          <w:szCs w:val="20"/>
        </w:rPr>
        <w:t xml:space="preserve"/>
      </w:r>
    </w:p>
    <w:p>
      <w:pPr>
        <w:spacing w:after="60" w:before="180"/>
      </w:pPr>
      <w:r>
        <w:rPr>
          <w:b/>
          <w:bCs/>
          <w:color w:val="17365D"/>
          <w:spacing w:val="16"/>
          <w:sz w:val="16"/>
          <w:szCs w:val="16"/>
        </w:rPr>
        <w:t xml:space="preserve">STANDARD</w:t>
      </w:r>
      <w:r>
        <w:rPr>
          <w:color w:val="5A6069"/>
          <w:sz w:val="16"/>
          <w:szCs w:val="16"/>
        </w:rPr>
        <w:t xml:space="preserve">   grade A</w:t>
      </w:r>
    </w:p>
    <w:p>
      <w:pPr>
        <w:spacing w:after="100" w:line="276"/>
      </w:pPr>
      <w:r>
        <w:rPr>
          <w:i/>
          <w:iCs/>
          <w:color w:val="5A6069"/>
          <w:sz w:val="17"/>
          <w:szCs w:val="17"/>
        </w:rPr>
        <w:t xml:space="preserve">Ordered by the size and quality of the randomised comparison each regimen won, which is a real ranking here — unusually for this page — but a narrower one than the medians suggest. PRODIGE 24 is the only adjuvant trial to put an 18-month difference in median overall survival on the table, and it did so against the then-standard, in a population restricted to age under 80, no cardiac disease, WHO performance status 0 or 1, full surgical recovery and postoperative CA 19-9 below 180 U/mL; nothing in it describes what to do for a patient who has not recovered from a pancreatoduodenectomy, and its 5-year disease-free survival advantage is 7.1 percentage points. Every comparator in this list is adjuvant gemcitabine monotherapy or observation, so the ordering is a chain of comparisons against regimens no pathway would now offer a fit patient, and the two preferred options have never been compared with each other. NCCN also notes how similar the single-agent arms of the older trials were to one another — 22.8 months in the gemcitabine arm of CONKO-001, 20.5 in the gemcitabine-containing arm of RTOG 9704, 20.1 in the bolus fluorouracil arm of ESPAC-1, and 23.6 and 23.0 in the two arms of ESPAC-3 — which is a useful reminder of how small the single-agent era's differences were, and a reminder that those arms were selected very differently on CA 19-9 and age.</w:t>
      </w:r>
    </w:p>
    <w:p>
      <w:pPr>
        <w:spacing w:after="50" w:before="120"/>
        <w:ind w:left="240"/>
      </w:pPr>
      <w:r>
        <w:rPr>
          <w:b/>
          <w:bCs/>
          <w:color w:val="15181F"/>
          <w:sz w:val="19"/>
          <w:szCs w:val="19"/>
        </w:rPr>
        <w:t xml:space="preserve">mFOLFIRINOX for 24 weeks</w:t>
      </w:r>
      <w:r>
        <w:rPr>
          <w:color w:val="5A6069"/>
          <w:sz w:val="15"/>
          <w:szCs w:val="15"/>
        </w:rPr>
        <w:t xml:space="preserve">   grade A</w:t>
      </w:r>
    </w:p>
    <w:p>
      <w:pPr>
        <w:spacing w:after="50" w:line="276"/>
        <w:ind w:left="240"/>
      </w:pPr>
      <w:r>
        <w:rPr>
          <w:color w:val="15181F"/>
          <w:sz w:val="18"/>
          <w:szCs w:val="18"/>
        </w:rPr>
        <w:t xml:space="preserve">PRODIGE 24 / CCTG PA.6 (n=493) is the strongest adjuvant result in this disease and NCCN lists mFOLFIRINOX as a preferred adjuvant option for patients who had no neoadjuvant therapy. ESMO's 2023 guideline takes the same position for fit patients at [I, A], and recommends completing 6 months of adjuvant chemotherapy at [I, A].</w:t>
      </w:r>
    </w:p>
    <w:p>
      <w:pPr>
        <w:spacing w:after="50" w:line="276"/>
        <w:ind w:left="240"/>
      </w:pPr>
      <w:r>
        <w:rPr>
          <w:color w:val="15181F"/>
          <w:sz w:val="18"/>
          <w:szCs w:val="18"/>
        </w:rPr>
        <w:t xml:space="preserve">A recovered patient with good performance status. On the mature 5-year analysis, median disease-free survival 21.4 months (95% CI 17.5–26.7) versus 12.8 months (11.6–15.2) against gemcitabine, hazard ratio 0.66 (0.54–0.82), P&lt;.001; median overall survival 53.5 months (43.5–58.4) versus 35.5 months (30.1–40.3), hazard ratio 0.68 (0.54–0.85), P=.001; 5-year overall survival 43.2% (36.5–49.7) versus 31.4% (25.5–37.5); metastasis-free survival 29.4 versus 17.7 months.</w:t>
      </w:r>
    </w:p>
    <w:p>
      <w:pPr>
        <w:spacing w:after="50"/>
        <w:ind w:left="240"/>
      </w:pPr>
      <w:r>
        <w:rPr>
          <w:b/>
          <w:bCs/>
          <w:color w:val="8C2F26"/>
          <w:sz w:val="18"/>
          <w:szCs w:val="18"/>
        </w:rPr>
        <w:t xml:space="preserve">Caveat. </w:t>
      </w:r>
      <w:r>
        <w:rPr>
          <w:color w:val="15181F"/>
          <w:sz w:val="18"/>
          <w:szCs w:val="18"/>
        </w:rPr>
        <w:t xml:space="preserve">The toxicity is the whole of the trade-off and must be said out loud: grade 3 or 4 adverse events in 180 of 237 (75.9%) versus 128 of 242 (52.9%), with the one treatment-related death in the </w:t>
      </w:r>
      <w:r>
        <w:rPr>
          <w:b/>
          <w:bCs/>
          <w:color w:val="15181F"/>
          <w:sz w:val="18"/>
          <w:szCs w:val="18"/>
        </w:rPr>
        <w:t xml:space="preserve">gemcitabine</w:t>
      </w:r>
      <w:r>
        <w:rPr>
          <w:color w:val="15181F"/>
          <w:sz w:val="18"/>
          <w:szCs w:val="18"/>
        </w:rPr>
        <w:t xml:space="preserve"> arm. Delivery was poor — 67.2% completed all 12 cycles, only 33.6% achieved a relative dose intensity of 0.80 or more, and 55% discontinued oxaliplatin at least once — so adjuvant mFOLFIRINOX in practice means a dose-attenuated, incompletely delivered regimen. Eligibility was restricted to age 18 to 79, no coronary disease, WHO performance status 0 or 1, full recovery from surgery, a clear postoperative scan and a postoperative CA 19-9 below 180 U/mL, so these figures do not transfer to a patient who has not recovered from a pancreatoduodenectomy, and they are not the expectation for resected PDAC in general.</w:t>
      </w:r>
    </w:p>
    <w:p>
      <w:pPr>
        <w:spacing w:after="60" w:line="276"/>
        <w:ind w:left="240"/>
      </w:pPr>
      <w:r>
        <w:rPr>
          <w:color w:val="5A6069"/>
          <w:sz w:val="16"/>
          <w:szCs w:val="16"/>
        </w:rPr>
        <w:t xml:space="preserve">Sources: PRODIGE 24; PRODIGE 24 five-year; ESMO 2023 pancreatic</w:t>
      </w:r>
    </w:p>
    <w:p>
      <w:pPr>
        <w:spacing w:after="50" w:before="120"/>
        <w:ind w:left="240"/>
      </w:pPr>
      <w:r>
        <w:rPr>
          <w:b/>
          <w:bCs/>
          <w:color w:val="15181F"/>
          <w:sz w:val="19"/>
          <w:szCs w:val="19"/>
        </w:rPr>
        <w:t xml:space="preserve">Gemcitabine with capecitabine</w:t>
      </w:r>
      <w:r>
        <w:rPr>
          <w:color w:val="5A6069"/>
          <w:sz w:val="15"/>
          <w:szCs w:val="15"/>
        </w:rPr>
        <w:t xml:space="preserve">   grade A</w:t>
      </w:r>
    </w:p>
    <w:p>
      <w:pPr>
        <w:spacing w:after="50" w:line="276"/>
        <w:ind w:left="240"/>
      </w:pPr>
      <w:r>
        <w:rPr>
          <w:color w:val="15181F"/>
          <w:sz w:val="18"/>
          <w:szCs w:val="18"/>
        </w:rPr>
        <w:t xml:space="preserve">NCCN's other preferred adjuvant option for patients who had no neoadjuvant therapy, and ESMO's alternative for patients over 75, ECOG performance status 2 or a contraindication to mFOLFIRINOX at [I, B]. ESPAC-4 (n=730 analysed) gave median overall survival 28.0 months (95% CI 23.5–31.5) versus 25.5 months (22.7–27.9) against gemcitabine monotherapy, hazard ratio 0.82 (0.68–0.98), stratified log-rank p=0.032.</w:t>
      </w:r>
    </w:p>
    <w:p>
      <w:pPr>
        <w:spacing w:after="50" w:line="276"/>
        <w:ind w:left="240"/>
      </w:pPr>
      <w:r>
        <w:rPr>
          <w:color w:val="15181F"/>
          <w:sz w:val="18"/>
          <w:szCs w:val="18"/>
        </w:rPr>
        <w:t xml:space="preserve">A patient who wants adjuvant treatment but cannot take a triplet — poorer performance status, neuropathy, a slow recovery, or a preference against irinotecan and oxaliplatin. Its population is the least selected in the adjuvant literature: WHO performance status up to 2, R1 margins allowed and </w:t>
      </w:r>
      <w:r>
        <w:rPr>
          <w:b/>
          <w:bCs/>
          <w:color w:val="15181F"/>
          <w:sz w:val="18"/>
          <w:szCs w:val="18"/>
        </w:rPr>
        <w:t xml:space="preserve">no ceiling on postoperative CA 19-9</w:t>
      </w:r>
      <w:r>
        <w:rPr>
          <w:color w:val="15181F"/>
          <w:sz w:val="18"/>
          <w:szCs w:val="18"/>
        </w:rPr>
        <w:t xml:space="preserve">, which is why its medians sit below PRODIGE-24's and CONKO-001's.</w:t>
      </w:r>
    </w:p>
    <w:p>
      <w:pPr>
        <w:spacing w:after="50"/>
        <w:ind w:left="240"/>
      </w:pPr>
      <w:r>
        <w:rPr>
          <w:b/>
          <w:bCs/>
          <w:color w:val="8C2F26"/>
          <w:sz w:val="18"/>
          <w:szCs w:val="18"/>
        </w:rPr>
        <w:t xml:space="preserve">Caveat. </w:t>
      </w:r>
      <w:r>
        <w:rPr>
          <w:color w:val="15181F"/>
          <w:sz w:val="18"/>
          <w:szCs w:val="18"/>
        </w:rPr>
        <w:t xml:space="preserve">Do not offer it as equivalent to mFOLFIRINOX, and state both halves. The comparator was gemcitabine alone, the two combinations have never been compared directly, and the difference in medians bought over gemcitabine was 2.5 months. The relapse-free survival endpoint was </w:t>
      </w:r>
      <w:r>
        <w:rPr>
          <w:b/>
          <w:bCs/>
          <w:color w:val="15181F"/>
          <w:sz w:val="18"/>
          <w:szCs w:val="18"/>
        </w:rPr>
        <w:t xml:space="preserve">negative</w:t>
      </w:r>
      <w:r>
        <w:rPr>
          <w:color w:val="15181F"/>
          <w:sz w:val="18"/>
          <w:szCs w:val="18"/>
        </w:rPr>
        <w:t xml:space="preserve"> (13.9 versus 13.1 months, hazard ratio 0.86, 95% CI 0.73–1.02, p=0.082), the trial was stopped and published early at 458 of 480 target deaths on a signal of efficacy, and the widely quoted 5-year figures (28.8% versus 16.3%) are estimates extrapolated well past the bulk of the data at 43.2 months median follow-up. Grade 3–4 events occurred in 226 of 359 (63%) versus 196 of 366 (54%), with neutropenia 38% versus 24% and hand-foot syndrome 7% versus 0%, and 169 of 364 combination patients (46%) did not complete all six cycles.</w:t>
      </w:r>
    </w:p>
    <w:p>
      <w:pPr>
        <w:spacing w:after="60" w:line="276"/>
        <w:ind w:left="240"/>
      </w:pPr>
      <w:r>
        <w:rPr>
          <w:color w:val="5A6069"/>
          <w:sz w:val="16"/>
          <w:szCs w:val="16"/>
        </w:rPr>
        <w:t xml:space="preserve">Sources: ESPAC-4; ESMO 2023 pancreatic</w:t>
      </w:r>
    </w:p>
    <w:p>
      <w:pPr>
        <w:spacing w:after="50" w:before="120"/>
        <w:ind w:left="240"/>
      </w:pPr>
      <w:r>
        <w:rPr>
          <w:b/>
          <w:bCs/>
          <w:color w:val="15181F"/>
          <w:sz w:val="19"/>
          <w:szCs w:val="19"/>
        </w:rPr>
        <w:t xml:space="preserve">Gemcitabine alone</w:t>
      </w:r>
      <w:r>
        <w:rPr>
          <w:color w:val="5A6069"/>
          <w:sz w:val="15"/>
          <w:szCs w:val="15"/>
        </w:rPr>
        <w:t xml:space="preserve">   grade B</w:t>
      </w:r>
    </w:p>
    <w:p>
      <w:pPr>
        <w:spacing w:after="50" w:line="276"/>
        <w:ind w:left="240"/>
      </w:pPr>
      <w:r>
        <w:rPr>
          <w:color w:val="15181F"/>
          <w:sz w:val="18"/>
          <w:szCs w:val="18"/>
        </w:rPr>
        <w:t xml:space="preserve">An </w:t>
      </w:r>
      <w:r>
        <w:rPr>
          <w:i/>
          <w:iCs/>
          <w:color w:val="15181F"/>
          <w:sz w:val="18"/>
          <w:szCs w:val="18"/>
        </w:rPr>
        <w:t xml:space="preserve">other recommended</w:t>
      </w:r>
      <w:r>
        <w:rPr>
          <w:color w:val="15181F"/>
          <w:sz w:val="18"/>
          <w:szCs w:val="18"/>
        </w:rPr>
        <w:t xml:space="preserve"> option in NCCN. CONKO-001 (n=354 analysed) established that adjuvant therapy beats observation: median disease-free survival 13.4 months (95% CI 11.6–15.3) versus 6.7 months (6.0–7.5), HR 0.55 (0.44–0.69), P&lt;.001, and final median overall survival 22.8 versus 20.2 months, hazard ratio 0.76 (0.61–0.95), P=.01, with 5-year survival 20.7% (14.7–26.6) versus 10.4% (5.9–15.0) and 10-year 12.2% versus 7.7% at a median follow-up of 136 months.</w:t>
      </w:r>
    </w:p>
    <w:p>
      <w:pPr>
        <w:spacing w:after="50" w:line="276"/>
        <w:ind w:left="240"/>
      </w:pPr>
      <w:r>
        <w:rPr>
          <w:color w:val="15181F"/>
          <w:sz w:val="18"/>
          <w:szCs w:val="18"/>
        </w:rPr>
        <w:t xml:space="preserve">A frail patient in whom the choice is between single-agent treatment and none.</w:t>
      </w:r>
    </w:p>
    <w:p>
      <w:pPr>
        <w:spacing w:after="50"/>
        <w:ind w:left="240"/>
      </w:pPr>
      <w:r>
        <w:rPr>
          <w:b/>
          <w:bCs/>
          <w:color w:val="8C2F26"/>
          <w:sz w:val="18"/>
          <w:szCs w:val="18"/>
        </w:rPr>
        <w:t xml:space="preserve">Caveat. </w:t>
      </w:r>
      <w:r>
        <w:rPr>
          <w:color w:val="15181F"/>
          <w:sz w:val="18"/>
          <w:szCs w:val="18"/>
        </w:rPr>
        <w:t xml:space="preserve">The median overall survival gain over observation was 2.6 months; the durable difference is in the 5- and 10-year rates. Eligibility required postoperative CEA and CA 19-9 both below 2.5 times the upper limit of normal — about 92.5 kU/L for CA 19-9 — which ESPAC-4 later showed silently removes the 17% of resected patients whose median survival is 13.1 months, so the curves describe a favourably selected population.</w:t>
      </w:r>
    </w:p>
    <w:p>
      <w:pPr>
        <w:spacing w:after="60" w:line="276"/>
        <w:ind w:left="240"/>
      </w:pPr>
      <w:r>
        <w:rPr>
          <w:color w:val="5A6069"/>
          <w:sz w:val="16"/>
          <w:szCs w:val="16"/>
        </w:rPr>
        <w:t xml:space="preserve">Sources: CONKO-001</w:t>
      </w:r>
    </w:p>
    <w:p>
      <w:pPr>
        <w:spacing w:after="50" w:before="120"/>
        <w:ind w:left="240"/>
      </w:pPr>
      <w:r>
        <w:rPr>
          <w:b/>
          <w:bCs/>
          <w:color w:val="15181F"/>
          <w:sz w:val="19"/>
          <w:szCs w:val="19"/>
        </w:rPr>
        <w:t xml:space="preserve">A fluoropyrimidine alone</w:t>
      </w:r>
      <w:r>
        <w:rPr>
          <w:color w:val="5A6069"/>
          <w:sz w:val="15"/>
          <w:szCs w:val="15"/>
        </w:rPr>
        <w:t xml:space="preserve">   grade D</w:t>
      </w:r>
    </w:p>
    <w:p>
      <w:pPr>
        <w:spacing w:after="50" w:line="276"/>
        <w:ind w:left="240"/>
      </w:pPr>
      <w:r>
        <w:rPr>
          <w:color w:val="15181F"/>
          <w:sz w:val="18"/>
          <w:szCs w:val="18"/>
        </w:rPr>
        <w:t xml:space="preserve">NCCN lists fluorouracil with leucovorin and continuous-infusion fluorouracil as other recommended adjuvant options, and capecitabine monotherapy as a treatment option.</w:t>
      </w:r>
    </w:p>
    <w:p>
      <w:pPr>
        <w:spacing w:after="50" w:line="276"/>
        <w:ind w:left="240"/>
      </w:pPr>
      <w:r>
        <w:rPr>
          <w:color w:val="15181F"/>
          <w:sz w:val="18"/>
          <w:szCs w:val="18"/>
        </w:rPr>
        <w:t xml:space="preserve">Where gemcitabine is contraindicated or the patient will not tolerate it.</w:t>
      </w:r>
    </w:p>
    <w:p>
      <w:pPr>
        <w:spacing w:after="50"/>
        <w:ind w:left="240"/>
      </w:pPr>
      <w:r>
        <w:rPr>
          <w:b/>
          <w:bCs/>
          <w:color w:val="8C2F26"/>
          <w:sz w:val="18"/>
          <w:szCs w:val="18"/>
        </w:rPr>
        <w:t xml:space="preserve">Caveat. </w:t>
      </w:r>
      <w:r>
        <w:rPr>
          <w:color w:val="15181F"/>
          <w:sz w:val="18"/>
          <w:szCs w:val="18"/>
        </w:rPr>
        <w:t xml:space="preserve">No trial establishes a fluoropyrimidine alone as equivalent to the combinations above. The arms that support it sit inside ESPAC-1 and ESPAC-3, neither of which was retrieved or read in full for this depot; their medians (20.1 and 23.0 months) are in the same range as every other single-agent arm from that era, and NCCN notes scepticism about the efficacy of the fluorouracil and folinic acid regimens used in those trials.</w:t>
      </w:r>
    </w:p>
    <w:p>
      <w:pPr>
        <w:spacing w:after="60" w:line="276"/>
        <w:ind w:left="240"/>
      </w:pPr>
      <w:r>
        <w:rPr>
          <w:i/>
          <w:iCs/>
          <w:color w:val="5A6069"/>
          <w:sz w:val="16"/>
          <w:szCs w:val="16"/>
        </w:rPr>
        <w:t xml:space="preserve">Ratification item 4: is mFOLFIRINOX the local default for every recovered good-performance-status patient who had no neoadjuvant therapy, given 75.9% grade 3–4 toxicity, a relative dose intensity of 0.80 or more in only 33.6% of patients, no significant benefit in the 101 patients aged 70 or older (HR 0.86, 0.53–1.39) and post-relapse survival numerically worse than in the gemcitabine arm — and what performance-status or recovery threshold moves a patient to gemcitabine with capecitabine? Ratification item 5: what is the local rule for adjuvant therapy </w:t>
      </w:r>
      <w:r>
        <w:rPr>
          <w:b/>
          <w:bCs/>
          <w:i/>
          <w:iCs/>
          <w:color w:val="5A6069"/>
          <w:sz w:val="16"/>
          <w:szCs w:val="16"/>
        </w:rPr>
        <w:t xml:space="preserve">after</w:t>
      </w:r>
      <w:r>
        <w:rPr>
          <w:i/>
          <w:iCs/>
          <w:color w:val="5A6069"/>
          <w:sz w:val="16"/>
          <w:szCs w:val="16"/>
        </w:rPr>
        <w:t xml:space="preserve"> neoadjuvant therapy? NCCN says only that the options depend on the response to neoadjuvant therapy and other clinical factors, and ESMO states plainly that the benefit of adjuvant chemotherapy following neoadjuvant therapy and pancreatectomy remains to be established with randomised data lacking. No trial defines total duration, whether to continue the same regimen or switch, or what to do after a complete pathologic response — and PREOPANC-2's FOLFIRINOX arm gave no adjuvant treatment at all. Audit: regimen, cycles completed, dose intensity, time from surgery to first cycle, and grade 3–4 toxicity.</w:t>
      </w:r>
    </w:p>
    <w:p>
      <w:pPr>
        <w:spacing w:after="60" w:before="180"/>
      </w:pPr>
      <w:r>
        <w:rPr>
          <w:b/>
          <w:bCs/>
          <w:color w:val="17365D"/>
          <w:spacing w:val="16"/>
          <w:sz w:val="16"/>
          <w:szCs w:val="16"/>
        </w:rPr>
        <w:t xml:space="preserve">STANDARD</w:t>
      </w:r>
      <w:r>
        <w:rPr>
          <w:color w:val="5A6069"/>
          <w:sz w:val="16"/>
          <w:szCs w:val="16"/>
        </w:rPr>
        <w:t xml:space="preserve">   grade D</w:t>
      </w:r>
    </w:p>
    <w:p>
      <w:pPr>
        <w:spacing w:after="60" w:line="276"/>
      </w:pPr>
      <w:r>
        <w:rPr>
          <w:color w:val="15181F"/>
          <w:sz w:val="19"/>
          <w:szCs w:val="19"/>
        </w:rPr>
        <w:t xml:space="preserve">Restage before the first cycle — a proportion of patients have already relapsed.</w:t>
      </w:r>
    </w:p>
    <w:p>
      <w:pPr>
        <w:spacing w:after="50" w:line="276"/>
        <w:ind w:left="240"/>
      </w:pPr>
      <w:r>
        <w:rPr>
          <w:color w:val="15181F"/>
          <w:sz w:val="18"/>
          <w:szCs w:val="18"/>
        </w:rPr>
        <w:t xml:space="preserve">Every patient. NCCN states it is important to evaluate for disease recurrence before initiating adjuvant therapy because of the risk of early relapse. A patient who has relapsed is on the metastatic gate, not this one.</w:t>
      </w:r>
    </w:p>
    <w:p>
      <w:pPr>
        <w:spacing w:after="50"/>
        <w:ind w:left="240"/>
      </w:pPr>
      <w:r>
        <w:rPr>
          <w:b/>
          <w:bCs/>
          <w:color w:val="8C2F26"/>
          <w:sz w:val="18"/>
          <w:szCs w:val="18"/>
        </w:rPr>
        <w:t xml:space="preserve">Caveat. </w:t>
      </w:r>
      <w:r>
        <w:rPr>
          <w:color w:val="15181F"/>
          <w:sz w:val="18"/>
          <w:szCs w:val="18"/>
        </w:rPr>
        <w:t xml:space="preserve">Do not start a 24-week adjuvant course on the assumption that the postoperative scan will be clean.</w:t>
      </w:r>
    </w:p>
    <w:p>
      <w:pPr>
        <w:spacing w:after="60" w:before="180"/>
      </w:pPr>
      <w:r>
        <w:rPr>
          <w:b/>
          <w:bCs/>
          <w:color w:val="17365D"/>
          <w:spacing w:val="16"/>
          <w:sz w:val="16"/>
          <w:szCs w:val="16"/>
        </w:rPr>
        <w:t xml:space="preserve">STANDARD</w:t>
      </w:r>
      <w:r>
        <w:rPr>
          <w:color w:val="5A6069"/>
          <w:sz w:val="16"/>
          <w:szCs w:val="16"/>
        </w:rPr>
        <w:t xml:space="preserve">   grade D</w:t>
      </w:r>
    </w:p>
    <w:p>
      <w:pPr>
        <w:spacing w:after="60" w:line="276"/>
      </w:pPr>
      <w:r>
        <w:rPr>
          <w:color w:val="15181F"/>
          <w:sz w:val="19"/>
          <w:szCs w:val="19"/>
        </w:rPr>
        <w:t xml:space="preserve">Prioritise completing the course over starting it quickly.</w:t>
      </w:r>
    </w:p>
    <w:p>
      <w:pPr>
        <w:spacing w:after="50" w:line="276"/>
        <w:ind w:left="240"/>
      </w:pPr>
      <w:r>
        <w:rPr>
          <w:color w:val="15181F"/>
          <w:sz w:val="18"/>
          <w:szCs w:val="18"/>
        </w:rPr>
        <w:t xml:space="preserve">A retrospective analysis of ESPAC-3 found that completion of the six-course chemotherapy, but </w:t>
      </w:r>
      <w:r>
        <w:rPr>
          <w:b/>
          <w:bCs/>
          <w:color w:val="15181F"/>
          <w:sz w:val="18"/>
          <w:szCs w:val="18"/>
        </w:rPr>
        <w:t xml:space="preserve">not</w:t>
      </w:r>
      <w:r>
        <w:rPr>
          <w:color w:val="15181F"/>
          <w:sz w:val="18"/>
          <w:szCs w:val="18"/>
        </w:rPr>
        <w:t xml:space="preserve"> the time to initiate it, was an independent prognostic factor for survival. NCCN's inference is that delaying until the patient has fully recovered from surgery may allow completion of the full course and improve outcomes.</w:t>
      </w:r>
    </w:p>
    <w:p>
      <w:pPr>
        <w:spacing w:after="50"/>
        <w:ind w:left="240"/>
      </w:pPr>
      <w:r>
        <w:rPr>
          <w:b/>
          <w:bCs/>
          <w:color w:val="8C2F26"/>
          <w:sz w:val="18"/>
          <w:szCs w:val="18"/>
        </w:rPr>
        <w:t xml:space="preserve">Caveat. </w:t>
      </w:r>
      <w:r>
        <w:rPr>
          <w:color w:val="15181F"/>
          <w:sz w:val="18"/>
          <w:szCs w:val="18"/>
        </w:rPr>
        <w:t xml:space="preserve">This is a retrospective analysis of a randomised trial, not a randomised comparison of timing, and it is vulnerable to the obvious confounder — patients who complete treatment are patients who were well enough to complete it. Do not use it to justify an open-ended delay. The same confounding appears in PRODIGE-24's own mature report, where completing all cycles predicted survival (HR 0.64, 95% CI 0.49–0.84, P=.002; 5-year overall survival 41.9% versus 27.4%) in a landmark analysis while achieving a relative dose intensity of 0.80 or more did </w:t>
      </w:r>
      <w:r>
        <w:rPr>
          <w:b/>
          <w:bCs/>
          <w:color w:val="15181F"/>
          <w:sz w:val="18"/>
          <w:szCs w:val="18"/>
        </w:rPr>
        <w:t xml:space="preserve">not</w:t>
      </w:r>
      <w:r>
        <w:rPr>
          <w:color w:val="15181F"/>
          <w:sz w:val="18"/>
          <w:szCs w:val="18"/>
        </w:rPr>
        <w:t xml:space="preserve"> (HR 1.01, 0.80–1.28, P=.93) — which is the clue that completion marks patient fitness rather than drug effect, and that pushing a patient through all 12 cycles is not what the finding supports.</w:t>
      </w:r>
    </w:p>
    <w:p>
      <w:pPr>
        <w:spacing w:after="50" w:line="276"/>
        <w:ind w:left="240"/>
      </w:pPr>
      <w:r>
        <w:rPr>
          <w:i/>
          <w:iCs/>
          <w:color w:val="5A6069"/>
          <w:sz w:val="17"/>
          <w:szCs w:val="17"/>
        </w:rPr>
        <w:t xml:space="preserve">Downgraded from C to D. The primary report for the ESPAC-3 analysis is carried only in the NCCN discussion text supplied to this page; it was not retrieved or read in full for this depot, so none of its figures has been checked. The PRODIGE-24 landmark analysis quoted above is post hoc, with variables selected by stepwise procedures and no multiplicity correction.</w:t>
      </w:r>
    </w:p>
    <w:p>
      <w:pPr>
        <w:spacing w:after="60" w:line="276"/>
        <w:ind w:left="240"/>
      </w:pPr>
      <w:r>
        <w:rPr>
          <w:color w:val="5A6069"/>
          <w:sz w:val="16"/>
          <w:szCs w:val="16"/>
        </w:rPr>
        <w:t xml:space="preserve">Sources: PRODIGE 24 five-year</w:t>
      </w:r>
    </w:p>
    <w:p>
      <w:pPr>
        <w:spacing w:after="60" w:before="180"/>
      </w:pPr>
      <w:r>
        <w:rPr>
          <w:b/>
          <w:bCs/>
          <w:color w:val="176A87"/>
          <w:spacing w:val="16"/>
          <w:sz w:val="16"/>
          <w:szCs w:val="16"/>
        </w:rPr>
        <w:t xml:space="preserve">REASONABLE</w:t>
      </w:r>
      <w:r>
        <w:rPr>
          <w:color w:val="5A6069"/>
          <w:sz w:val="16"/>
          <w:szCs w:val="16"/>
        </w:rPr>
        <w:t xml:space="preserve">   grade C</w:t>
      </w:r>
    </w:p>
    <w:p>
      <w:pPr>
        <w:spacing w:after="60" w:line="276"/>
      </w:pPr>
      <w:r>
        <w:rPr>
          <w:color w:val="15181F"/>
          <w:sz w:val="19"/>
          <w:szCs w:val="19"/>
        </w:rPr>
        <w:t xml:space="preserve">Adjuvant nab-paclitaxel with gemcitabine — only if both halves of APACT are stated.</w:t>
      </w:r>
    </w:p>
    <w:p>
      <w:pPr>
        <w:spacing w:after="50" w:line="276"/>
        <w:ind w:left="240"/>
      </w:pPr>
      <w:r>
        <w:rPr>
          <w:color w:val="15181F"/>
          <w:sz w:val="18"/>
          <w:szCs w:val="18"/>
        </w:rPr>
        <w:t xml:space="preserve">A patient who cannot take mFOLFIRINOX and in whom a taxane doublet is preferred to gemcitabine with capecitabine. At the 5-year cutoff, with 88% data maturity, median overall survival was 41.8 versus 37.7 months against gemcitabine, hazard ratio 0.80 (95% CI 0.678–0.947), P=.0091, with 5-year overall survival 38% versus 31%.</w:t>
      </w:r>
    </w:p>
    <w:p>
      <w:pPr>
        <w:spacing w:after="50"/>
        <w:ind w:left="240"/>
      </w:pPr>
      <w:r>
        <w:rPr>
          <w:b/>
          <w:bCs/>
          <w:color w:val="8C2F26"/>
          <w:sz w:val="18"/>
          <w:szCs w:val="18"/>
        </w:rPr>
        <w:t xml:space="preserve">Caveat. </w:t>
      </w:r>
      <w:r>
        <w:rPr>
          <w:color w:val="15181F"/>
          <w:sz w:val="18"/>
          <w:szCs w:val="18"/>
        </w:rPr>
        <w:t xml:space="preserve">APACT (n=866) </w:t>
      </w:r>
      <w:r>
        <w:rPr>
          <w:b/>
          <w:bCs/>
          <w:color w:val="15181F"/>
          <w:sz w:val="18"/>
          <w:szCs w:val="18"/>
        </w:rPr>
        <w:t xml:space="preserve">missed its primary endpoint</w:t>
      </w:r>
      <w:r>
        <w:rPr>
          <w:color w:val="15181F"/>
          <w:sz w:val="18"/>
          <w:szCs w:val="18"/>
        </w:rPr>
        <w:t xml:space="preserve">: independently assessed disease-free survival 19.4 months (95% CI 16.62–21.91) versus 18.8 months (13.83–20.30), hazard ratio 0.88 (0.729–1.063), P=.18. The trial's own statement is that because the primary endpoint was not met, all other comparisons are descriptive, and the journal's relevance note calls it a negative phase 3 study that fails to change the standard of care. The overall survival figure comes from the </w:t>
      </w:r>
      <w:r>
        <w:rPr>
          <w:b/>
          <w:bCs/>
          <w:color w:val="15181F"/>
          <w:sz w:val="18"/>
          <w:szCs w:val="18"/>
        </w:rPr>
        <w:t xml:space="preserve">third of three successive cutoffs</w:t>
      </w:r>
      <w:r>
        <w:rPr>
          <w:color w:val="15181F"/>
          <w:sz w:val="18"/>
          <w:szCs w:val="18"/>
        </w:rPr>
        <w:t xml:space="preserve">, with the P value improving from .045 to .0232 to .0091 across December 2018, April 2020 and April 2021 with no prespecified plan for repeated testing and no multiplicity adjustment anywhere. Grade 3 or worse treatment-emergent events occurred in 371 of 429 (86%) versus 286 of 423 (68%), serious events in 41% versus 23%, and two treatment-emergent deaths occurred in each arm.</w:t>
      </w:r>
    </w:p>
    <w:p>
      <w:pPr>
        <w:spacing w:after="50" w:line="276"/>
        <w:ind w:left="240"/>
      </w:pPr>
      <w:r>
        <w:rPr>
          <w:i/>
          <w:iCs/>
          <w:color w:val="5A6069"/>
          <w:sz w:val="17"/>
          <w:szCs w:val="17"/>
        </w:rPr>
        <w:t xml:space="preserve">Downgraded from B to C. The unpriced cost is neurological: grade 3 or worse peripheral neuropathy in 15% of the combination arm and </w:t>
      </w:r>
      <w:r>
        <w:rPr>
          <w:b/>
          <w:bCs/>
          <w:i/>
          <w:iCs/>
          <w:color w:val="5A6069"/>
          <w:sz w:val="17"/>
          <w:szCs w:val="17"/>
        </w:rPr>
        <w:t xml:space="preserve">0%</w:t>
      </w:r>
      <w:r>
        <w:rPr>
          <w:i/>
          <w:iCs/>
          <w:color w:val="5A6069"/>
          <w:sz w:val="17"/>
          <w:szCs w:val="17"/>
        </w:rPr>
        <w:t xml:space="preserve"> of the gemcitabine arm, with 84% of those affected not improved to grade 1 or less at the primary cutoff and a median 195 days to improve by one grade — in a trial that collected no quality-of-life data at all. Only 287 of 432 patients completed six cycles against 310 of 434 on gemcitabine, 64% needed a dose reduction, and the population is the most selected in the adjuvant literature: CA 19-9 below 100 U/mL with a median of 13.6 U/mL, a clear screening scan, ECOG 0–1, and 1,226 patients screened to randomise 866, which is why the gemcitabine arm reached 37.7 months. The trial's most durable contribution has nothing to do with the regimen: in the same gemcitabine arm, blinded independent review gave a median disease-free survival of 18.8 months and the unblinded investigators gave 13.7 months, with 77% concordance and 48% to 51% of patients censored. Every other adjuvant trial on this page used unblinded investigator-assessed disease-free survival and reported 12.8 to 13.4 months, so disease-free survival differences in open-label adjuvant trials are partly a detection artefact.</w:t>
      </w:r>
    </w:p>
    <w:p>
      <w:pPr>
        <w:spacing w:after="60" w:line="276"/>
        <w:ind w:left="240"/>
      </w:pPr>
      <w:r>
        <w:rPr>
          <w:color w:val="5A6069"/>
          <w:sz w:val="16"/>
          <w:szCs w:val="16"/>
        </w:rPr>
        <w:t xml:space="preserve">Sources: APACT</w:t>
      </w:r>
    </w:p>
    <w:p>
      <w:pPr>
        <w:spacing w:after="60" w:before="180"/>
      </w:pPr>
      <w:r>
        <w:rPr>
          <w:b/>
          <w:bCs/>
          <w:color w:val="176A87"/>
          <w:spacing w:val="16"/>
          <w:sz w:val="16"/>
          <w:szCs w:val="16"/>
        </w:rPr>
        <w:t xml:space="preserve">REASONABLE</w:t>
      </w:r>
      <w:r>
        <w:rPr>
          <w:color w:val="5A6069"/>
          <w:sz w:val="16"/>
          <w:szCs w:val="16"/>
        </w:rPr>
        <w:t xml:space="preserve">   grade D</w:t>
      </w:r>
    </w:p>
    <w:p>
      <w:pPr>
        <w:spacing w:after="60" w:line="276"/>
      </w:pPr>
      <w:r>
        <w:rPr>
          <w:color w:val="15181F"/>
          <w:sz w:val="19"/>
          <w:szCs w:val="19"/>
        </w:rPr>
        <w:t xml:space="preserve">Adjuvant chemoradiation after chemotherapy, in a node-negative patient, as a discussion rather than a recommendation.</w:t>
      </w:r>
    </w:p>
    <w:p>
      <w:pPr>
        <w:spacing w:after="50" w:line="276"/>
        <w:ind w:left="240"/>
      </w:pPr>
      <w:r>
        <w:rPr>
          <w:color w:val="15181F"/>
          <w:sz w:val="18"/>
          <w:szCs w:val="18"/>
        </w:rPr>
        <w:t xml:space="preserve">RTOG 0848 randomised the addition of fluoropyrimidine-based chemoradiation after adjuvant gemcitabine-based chemotherapy in resected pancreatic head cancer. Patients with node-negative disease had longer overall and disease-free survival with the addition; patients with node-positive disease did not.</w:t>
      </w:r>
    </w:p>
    <w:p>
      <w:pPr>
        <w:spacing w:after="50"/>
        <w:ind w:left="240"/>
      </w:pPr>
      <w:r>
        <w:rPr>
          <w:b/>
          <w:bCs/>
          <w:color w:val="8C2F26"/>
          <w:sz w:val="18"/>
          <w:szCs w:val="18"/>
        </w:rPr>
        <w:t xml:space="preserve">Caveat. </w:t>
      </w:r>
      <w:r>
        <w:rPr>
          <w:color w:val="15181F"/>
          <w:sz w:val="18"/>
          <w:szCs w:val="18"/>
        </w:rPr>
        <w:t xml:space="preserve">Do not extend this to node-positive disease — in RTOG 0848 chemoradiation did not improve overall or disease-free survival in that group, which is the opposite of the intuition. The benefit was seen in patients who received </w:t>
      </w:r>
      <w:r>
        <w:rPr>
          <w:b/>
          <w:bCs/>
          <w:color w:val="15181F"/>
          <w:sz w:val="18"/>
          <w:szCs w:val="18"/>
        </w:rPr>
        <w:t xml:space="preserve">single-agent gemcitabine</w:t>
      </w:r>
      <w:r>
        <w:rPr>
          <w:color w:val="15181F"/>
          <w:sz w:val="18"/>
          <w:szCs w:val="18"/>
        </w:rPr>
        <w:t xml:space="preserve"> as their systemic therapy, so it does not transfer to a patient who had mFOLFIRINOX, and no study has shown superiority of chemoradiation before versus after chemotherapy in the adjuvant setting.</w:t>
      </w:r>
    </w:p>
    <w:p>
      <w:pPr>
        <w:spacing w:after="50" w:line="276"/>
        <w:ind w:left="240"/>
      </w:pPr>
      <w:r>
        <w:rPr>
          <w:i/>
          <w:iCs/>
          <w:color w:val="5A6069"/>
          <w:sz w:val="17"/>
          <w:szCs w:val="17"/>
        </w:rPr>
        <w:t xml:space="preserve">Downgraded from C to D: the RTOG 0848 primary publication was not retrieved or read in full for this depot, and the result is carried only in the NCCN discussion text supplied to this page. Adjuvant chemoradiation remains a controversial topic in resected pancreatic cancer, and NCCN warns that RTOG 9704 cannot be compared directly with CONKO-001, ESPAC-1 or ESPAC-3 because of differences in design, imaging timing and patient characteristics. The margin-status subset analyses are retrospective and carried in the same extraction: pooled analyses report benefit in both R0 and R1 subsets, with a relative risk of 0.52 (95% CI 0.36–0.74, P&lt;.001) in one R1 analysis and a non-significant hazard ratio of 0.72 (0.47–1.10) in a four-study meta-analysis. None of these figures has been checked against a primary report.</w:t>
      </w:r>
    </w:p>
    <w:p>
      <w:pPr>
        <w:spacing w:after="60" w:before="180"/>
      </w:pPr>
      <w:r>
        <w:rPr>
          <w:b/>
          <w:bCs/>
          <w:color w:val="176A87"/>
          <w:spacing w:val="16"/>
          <w:sz w:val="16"/>
          <w:szCs w:val="16"/>
        </w:rPr>
        <w:t xml:space="preserve">REASONABLE</w:t>
      </w:r>
      <w:r>
        <w:rPr>
          <w:color w:val="5A6069"/>
          <w:sz w:val="16"/>
          <w:szCs w:val="16"/>
        </w:rPr>
        <w:t xml:space="preserve">   grade D</w:t>
      </w:r>
    </w:p>
    <w:p>
      <w:pPr>
        <w:spacing w:after="60" w:line="276"/>
      </w:pPr>
      <w:r>
        <w:rPr>
          <w:color w:val="15181F"/>
          <w:sz w:val="19"/>
          <w:szCs w:val="19"/>
        </w:rPr>
        <w:t xml:space="preserve">Surveillance after resection — history and examination, CA 19-9 and contrast CT of the abdomen and pelvis — offered with an explicit statement of what it is for.</w:t>
      </w:r>
    </w:p>
    <w:p>
      <w:pPr>
        <w:spacing w:after="50" w:line="276"/>
        <w:ind w:left="240"/>
      </w:pPr>
      <w:r>
        <w:rPr>
          <w:color w:val="15181F"/>
          <w:sz w:val="18"/>
          <w:szCs w:val="18"/>
        </w:rPr>
        <w:t xml:space="preserve">NCCN's stated rationale is consensus-based: earlier identification of recurrence may allow enrolment in investigational studies or other treatment. CA 19-9 is listed as category 2B.</w:t>
      </w:r>
    </w:p>
    <w:p>
      <w:pPr>
        <w:spacing w:after="50"/>
        <w:ind w:left="240"/>
      </w:pPr>
      <w:r>
        <w:rPr>
          <w:b/>
          <w:bCs/>
          <w:color w:val="8C2F26"/>
          <w:sz w:val="18"/>
          <w:szCs w:val="18"/>
        </w:rPr>
        <w:t xml:space="preserve">Caveat. </w:t>
      </w:r>
      <w:r>
        <w:rPr>
          <w:color w:val="15181F"/>
          <w:sz w:val="18"/>
          <w:szCs w:val="18"/>
        </w:rPr>
        <w:t xml:space="preserve">Say what is known. A SEER-Medicare analysis showed no significant survival benefit for patients who received regular surveillance CT scans. There are no data that a rising tumour marker leads to earlier intervention and better outcomes, and no evidence that serial ctDNA monitoring improves outcomes.</w:t>
      </w:r>
    </w:p>
    <w:p>
      <w:pPr>
        <w:spacing w:after="50" w:line="276"/>
        <w:ind w:left="240"/>
      </w:pPr>
      <w:r>
        <w:rPr>
          <w:i/>
          <w:iCs/>
          <w:color w:val="5A6069"/>
          <w:sz w:val="17"/>
          <w:szCs w:val="17"/>
        </w:rPr>
        <w:t xml:space="preserve">Downgraded from C to D: the rationale is consensus and the only outcome data quoted are negative. The surveillance </w:t>
      </w:r>
      <w:r>
        <w:rPr>
          <w:b/>
          <w:bCs/>
          <w:i/>
          <w:iCs/>
          <w:color w:val="5A6069"/>
          <w:sz w:val="17"/>
          <w:szCs w:val="17"/>
        </w:rPr>
        <w:t xml:space="preserve">interval</w:t>
      </w:r>
      <w:r>
        <w:rPr>
          <w:i/>
          <w:iCs/>
          <w:color w:val="5A6069"/>
          <w:sz w:val="17"/>
          <w:szCs w:val="17"/>
        </w:rPr>
        <w:t xml:space="preserve"> is a local decision on this page. The guideline footnote that defines it did not survive the machine extraction supplied to the programme, so no interval is quoted here; confirm it against the current published guideline before publication and record which version was used. [PAYER]</w:t>
      </w:r>
    </w:p>
    <w:p>
      <w:pPr>
        <w:spacing w:after="60" w:before="180"/>
      </w:pPr>
      <w:r>
        <w:rPr>
          <w:b/>
          <w:bCs/>
          <w:color w:val="8C2F26"/>
          <w:spacing w:val="16"/>
          <w:sz w:val="16"/>
          <w:szCs w:val="16"/>
        </w:rPr>
        <w:t xml:space="preserve">AVOID</w:t>
      </w:r>
      <w:r>
        <w:rPr>
          <w:color w:val="5A6069"/>
          <w:sz w:val="16"/>
          <w:szCs w:val="16"/>
        </w:rPr>
        <w:t xml:space="preserve">   grade D</w:t>
      </w:r>
    </w:p>
    <w:p>
      <w:pPr>
        <w:spacing w:after="60" w:line="276"/>
      </w:pPr>
      <w:r>
        <w:rPr>
          <w:color w:val="15181F"/>
          <w:sz w:val="19"/>
          <w:szCs w:val="19"/>
        </w:rPr>
        <w:t xml:space="preserve">Do not start adjuvant therapy without restaging.</w:t>
      </w:r>
    </w:p>
    <w:p>
      <w:pPr>
        <w:spacing w:after="50" w:line="276"/>
        <w:ind w:left="240"/>
      </w:pPr>
      <w:r>
        <w:rPr>
          <w:color w:val="15181F"/>
          <w:sz w:val="18"/>
          <w:szCs w:val="18"/>
        </w:rPr>
        <w:t xml:space="preserve">Scan, then start.</w:t>
      </w:r>
    </w:p>
    <w:p>
      <w:pPr>
        <w:spacing w:after="50"/>
        <w:ind w:left="240"/>
      </w:pPr>
      <w:r>
        <w:rPr>
          <w:b/>
          <w:bCs/>
          <w:color w:val="8C2F26"/>
          <w:sz w:val="18"/>
          <w:szCs w:val="18"/>
        </w:rPr>
        <w:t xml:space="preserve">Caveat. </w:t>
      </w:r>
      <w:r>
        <w:rPr>
          <w:color w:val="15181F"/>
          <w:sz w:val="18"/>
          <w:szCs w:val="18"/>
        </w:rPr>
        <w:t xml:space="preserve">This is a sequence error rather than a judgement call: a patient with radiologic recurrence is on a different pathway and a different conversation.</w:t>
      </w:r>
    </w:p>
    <w:p>
      <w:pPr>
        <w:spacing w:after="60" w:before="180"/>
      </w:pPr>
      <w:r>
        <w:rPr>
          <w:b/>
          <w:bCs/>
          <w:color w:val="8C2F26"/>
          <w:spacing w:val="16"/>
          <w:sz w:val="16"/>
          <w:szCs w:val="16"/>
        </w:rPr>
        <w:t xml:space="preserve">AVOID</w:t>
      </w:r>
      <w:r>
        <w:rPr>
          <w:color w:val="5A6069"/>
          <w:sz w:val="16"/>
          <w:szCs w:val="16"/>
        </w:rPr>
        <w:t xml:space="preserve">   grade D</w:t>
      </w:r>
    </w:p>
    <w:p>
      <w:pPr>
        <w:spacing w:after="60" w:line="276"/>
      </w:pPr>
      <w:r>
        <w:rPr>
          <w:color w:val="15181F"/>
          <w:sz w:val="19"/>
          <w:szCs w:val="19"/>
        </w:rPr>
        <w:t xml:space="preserve">Do not give adjuvant chemoradiation to a node-positive patient on the strength of RTOG 0848.</w:t>
      </w:r>
    </w:p>
    <w:p>
      <w:pPr>
        <w:spacing w:after="50" w:line="276"/>
        <w:ind w:left="240"/>
      </w:pPr>
      <w:r>
        <w:rPr>
          <w:color w:val="15181F"/>
          <w:sz w:val="18"/>
          <w:szCs w:val="18"/>
        </w:rPr>
        <w:t xml:space="preserve">Where the discussion is being had at all, have it in node-negative disease, after chemotherapy, with radiation oncology review.</w:t>
      </w:r>
    </w:p>
    <w:p>
      <w:pPr>
        <w:spacing w:after="50"/>
        <w:ind w:left="240"/>
      </w:pPr>
      <w:r>
        <w:rPr>
          <w:b/>
          <w:bCs/>
          <w:color w:val="8C2F26"/>
          <w:sz w:val="18"/>
          <w:szCs w:val="18"/>
        </w:rPr>
        <w:t xml:space="preserve">Caveat. </w:t>
      </w:r>
      <w:r>
        <w:rPr>
          <w:color w:val="15181F"/>
          <w:sz w:val="18"/>
          <w:szCs w:val="18"/>
        </w:rPr>
        <w:t xml:space="preserve">The trial's node-positive subgroup showed no improvement in overall or disease-free survival. Extending a subgroup result to the subgroup it excluded is the specific error here — and the subgroup result itself is carried only in the NCCN discussion text supplied to this page, with no primary report read for this depot.</w:t>
      </w:r>
    </w:p>
    <w:p>
      <w:pPr>
        <w:spacing w:after="60" w:before="180"/>
      </w:pPr>
      <w:r>
        <w:rPr>
          <w:b/>
          <w:bCs/>
          <w:color w:val="8C2F26"/>
          <w:spacing w:val="16"/>
          <w:sz w:val="16"/>
          <w:szCs w:val="16"/>
        </w:rPr>
        <w:t xml:space="preserve">AVOID</w:t>
      </w:r>
      <w:r>
        <w:rPr>
          <w:color w:val="5A6069"/>
          <w:sz w:val="16"/>
          <w:szCs w:val="16"/>
        </w:rPr>
        <w:t xml:space="preserve">   grade C</w:t>
      </w:r>
    </w:p>
    <w:p>
      <w:pPr>
        <w:spacing w:after="60" w:line="276"/>
      </w:pPr>
      <w:r>
        <w:rPr>
          <w:color w:val="15181F"/>
          <w:sz w:val="19"/>
          <w:szCs w:val="19"/>
        </w:rPr>
        <w:t xml:space="preserve">Do not present adjuvant nab-paclitaxel with gemcitabine as established.</w:t>
      </w:r>
    </w:p>
    <w:p>
      <w:pPr>
        <w:spacing w:after="50" w:line="276"/>
        <w:ind w:left="240"/>
      </w:pPr>
      <w:r>
        <w:rPr>
          <w:color w:val="15181F"/>
          <w:sz w:val="18"/>
          <w:szCs w:val="18"/>
        </w:rPr>
        <w:t xml:space="preserve">Where a doublet is needed, gemcitabine with capecitabine has a positive primary endpoint and NCCN's preferred label; nab-paclitaxel with gemcitabine does not.</w:t>
      </w:r>
    </w:p>
    <w:p>
      <w:pPr>
        <w:spacing w:after="50"/>
        <w:ind w:left="240"/>
      </w:pPr>
      <w:r>
        <w:rPr>
          <w:b/>
          <w:bCs/>
          <w:color w:val="8C2F26"/>
          <w:sz w:val="18"/>
          <w:szCs w:val="18"/>
        </w:rPr>
        <w:t xml:space="preserve">Caveat. </w:t>
      </w:r>
      <w:r>
        <w:rPr>
          <w:color w:val="15181F"/>
          <w:sz w:val="18"/>
          <w:szCs w:val="18"/>
        </w:rPr>
        <w:t xml:space="preserve">APACT's blinded independently assessed primary endpoint was negative, hazard ratio 0.88 (0.729–1.063), P=.18, and the trial states that all other comparisons are therefore descriptive. The overall survival signal that followed came from the third of three successive data cutoffs with no prespecified repeated-testing plan, at the cost of 86% grade 3 or worse treatment-emergent events and 15% grade 3 or worse peripheral neuropathy against 0%, 84% of it unresolved at the primary cutoff, with no quality-of-life data.</w:t>
      </w:r>
    </w:p>
    <w:p>
      <w:pPr>
        <w:spacing w:after="60" w:line="276"/>
        <w:ind w:left="240"/>
      </w:pPr>
      <w:r>
        <w:rPr>
          <w:color w:val="5A6069"/>
          <w:sz w:val="16"/>
          <w:szCs w:val="16"/>
        </w:rPr>
        <w:t xml:space="preserve">Sources: APACT</w:t>
      </w:r>
    </w:p>
    <w:p>
      <w:pPr>
        <w:pBdr>
          <w:bottom w:val="single" w:color="D3DCE4" w:sz="6" w:space="1"/>
        </w:pBdr>
        <w:spacing w:after="80"/>
      </w:pPr>
    </w:p>
    <w:p>
      <w:pPr>
        <w:pStyle w:val="Heading2"/>
        <w:keepNext/>
        <w:pageBreakBefore/>
        <w:spacing w:after="110" w:before="240"/>
      </w:pPr>
      <w:r>
        <w:rPr>
          <w:rFonts w:ascii="Cambria" w:cs="Cambria" w:eastAsia="Cambria" w:hAnsi="Cambria"/>
          <w:b/>
          <w:bCs/>
          <w:color w:val="17365D"/>
          <w:sz w:val="26"/>
          <w:szCs w:val="26"/>
        </w:rPr>
        <w:t xml:space="preserve">7 · Locally advanced — induction therapy and the conversion question</w:t>
      </w:r>
    </w:p>
    <w:p>
      <w:pPr>
        <w:spacing w:after="140"/>
      </w:pPr>
      <w:r>
        <w:rPr>
          <w:b/>
          <w:bCs/>
          <w:color w:val="176A87"/>
          <w:sz w:val="19"/>
          <w:szCs w:val="19"/>
        </w:rPr>
        <w:t xml:space="preserve">The question. </w:t>
      </w:r>
      <w:r>
        <w:rPr>
          <w:sz w:val="19"/>
          <w:szCs w:val="19"/>
        </w:rPr>
        <w:t xml:space="preserve">Can induction therapy turn this into an operation, and does adding radiation help me get there?</w:t>
      </w:r>
    </w:p>
    <w:p>
      <w:pPr>
        <w:spacing w:after="60" w:before="160"/>
      </w:pPr>
      <w:r>
        <w:rPr>
          <w:b/>
          <w:bCs/>
          <w:color w:val="176A87"/>
          <w:spacing w:val="24"/>
          <w:sz w:val="15"/>
          <w:szCs w:val="15"/>
        </w:rPr>
        <w:t xml:space="preserve">ANY ONE OF THE FOLLOWING HAS TO BE IN HAND</w:t>
      </w:r>
    </w:p>
    <w:p>
      <w:pPr>
        <w:pStyle w:val="ListParagraph"/>
        <w:numPr>
          <w:ilvl w:val="0"/>
          <w:numId w:val="2"/>
        </w:numPr>
        <w:spacing w:after="60" w:line="268"/>
      </w:pPr>
      <w:r>
        <w:rPr>
          <w:color w:val="15181F"/>
          <w:sz w:val="18"/>
          <w:szCs w:val="18"/>
        </w:rPr>
        <w:t xml:space="preserve">Head or uncinate: solid tumour contact of &gt;180° with the SMA or celiac axis</w:t>
      </w:r>
    </w:p>
    <w:p>
      <w:pPr>
        <w:pStyle w:val="ListParagraph"/>
        <w:numPr>
          <w:ilvl w:val="0"/>
          <w:numId w:val="2"/>
        </w:numPr>
        <w:spacing w:after="60" w:line="268"/>
      </w:pPr>
      <w:r>
        <w:rPr>
          <w:color w:val="15181F"/>
          <w:sz w:val="18"/>
          <w:szCs w:val="18"/>
        </w:rPr>
        <w:t xml:space="preserve">Body or tail: solid tumour contact of &gt;180° with the SMA or celiac axis, or contact with the celiac axis and aortic involvement</w:t>
      </w:r>
    </w:p>
    <w:p>
      <w:pPr>
        <w:pStyle w:val="ListParagraph"/>
        <w:numPr>
          <w:ilvl w:val="0"/>
          <w:numId w:val="2"/>
        </w:numPr>
        <w:spacing w:after="60" w:line="268"/>
      </w:pPr>
      <w:r>
        <w:rPr>
          <w:color w:val="15181F"/>
          <w:sz w:val="18"/>
          <w:szCs w:val="18"/>
        </w:rPr>
        <w:t xml:space="preserve">Complete occlusion of the SMV or portal vein not amenable to resection and primary reconstruction</w:t>
      </w:r>
    </w:p>
    <w:p>
      <w:pPr>
        <w:pStyle w:val="ListParagraph"/>
        <w:numPr>
          <w:ilvl w:val="0"/>
          <w:numId w:val="2"/>
        </w:numPr>
        <w:spacing w:after="60" w:line="268"/>
      </w:pPr>
      <w:r>
        <w:rPr>
          <w:color w:val="15181F"/>
          <w:sz w:val="18"/>
          <w:szCs w:val="18"/>
        </w:rPr>
        <w:t xml:space="preserve">No distant metastasis</w:t>
      </w:r>
    </w:p>
    <w:p>
      <w:pPr>
        <w:pStyle w:val="ListParagraph"/>
        <w:numPr>
          <w:ilvl w:val="0"/>
          <w:numId w:val="2"/>
        </w:numPr>
        <w:spacing w:after="60" w:line="268"/>
      </w:pPr>
      <w:r>
        <w:rPr>
          <w:color w:val="15181F"/>
          <w:sz w:val="18"/>
          <w:szCs w:val="18"/>
        </w:rPr>
        <w:t xml:space="preserve">Performance status and biliary drainage adequate for multiagent therapy, or not</w:t>
      </w:r>
    </w:p>
    <w:p>
      <w:pPr>
        <w:spacing w:after="80" w:line="276"/>
      </w:pPr>
      <w:r>
        <w:rPr>
          <w:color w:val="15181F"/>
          <w:sz w:val="20"/>
          <w:szCs w:val="20"/>
        </w:rPr>
        <w:t xml:space="preserve"/>
      </w:r>
    </w:p>
    <w:p>
      <w:pPr>
        <w:spacing w:after="60" w:before="180"/>
      </w:pPr>
      <w:r>
        <w:rPr>
          <w:b/>
          <w:bCs/>
          <w:color w:val="17365D"/>
          <w:spacing w:val="16"/>
          <w:sz w:val="16"/>
          <w:szCs w:val="16"/>
        </w:rPr>
        <w:t xml:space="preserve">STANDARD</w:t>
      </w:r>
      <w:r>
        <w:rPr>
          <w:color w:val="5A6069"/>
          <w:sz w:val="16"/>
          <w:szCs w:val="16"/>
        </w:rPr>
        <w:t xml:space="preserve">   grade D</w:t>
      </w:r>
    </w:p>
    <w:p>
      <w:pPr>
        <w:spacing w:after="60" w:line="276"/>
      </w:pPr>
      <w:r>
        <w:rPr>
          <w:color w:val="15181F"/>
          <w:sz w:val="19"/>
          <w:szCs w:val="19"/>
        </w:rPr>
        <w:t xml:space="preserve">Multiagent induction chemotherapy for a patient with adequate performance status, good biliary drainage and adequate nutritional intake — with the reassessment date set when it starts.</w:t>
      </w:r>
    </w:p>
    <w:p>
      <w:pPr>
        <w:spacing w:after="50" w:line="276"/>
        <w:ind w:left="240"/>
      </w:pPr>
      <w:r>
        <w:rPr>
          <w:color w:val="15181F"/>
          <w:sz w:val="18"/>
          <w:szCs w:val="18"/>
        </w:rPr>
        <w:t xml:space="preserve">ECOG 0–1, or ECOG 2 with intermediate performance status, treated per the metastatic first-line options. In the patient-level meta-analysis of FOLFIRINOX in locally advanced disease (13 studies, 689 patients; 11 studies and 315 locally advanced patients with survival data), pooled median overall survival from the start of FOLFIRINOX was 24.2 months (95% CI 21.7–26.8) and median progression-free survival 15.0 months (13.8–16.3), with 1-year survival 79.5% and 2-year survival 50.1%. Resection followed in a pooled 25.9% (20.2–31.9), and 60 of the 81 resected patients with margin data were R0, pooled 78.4% (60.2–92.2).</w:t>
      </w:r>
    </w:p>
    <w:p>
      <w:pPr>
        <w:spacing w:after="50"/>
        <w:ind w:left="240"/>
      </w:pPr>
      <w:r>
        <w:rPr>
          <w:b/>
          <w:bCs/>
          <w:color w:val="8C2F26"/>
          <w:sz w:val="18"/>
          <w:szCs w:val="18"/>
        </w:rPr>
        <w:t xml:space="preserve">Caveat. </w:t>
      </w:r>
      <w:r>
        <w:rPr>
          <w:color w:val="15181F"/>
          <w:sz w:val="18"/>
          <w:szCs w:val="18"/>
        </w:rPr>
        <w:t xml:space="preserve">Every one of those figures comes from single-arm cohorts with no randomised comparator, eleven of thirteen retrospective, and the pooled population is selected — median overall survival across the individual studies ranged from 10.0 to 32.7 months. Survival was measured from the start of FOLFIRINOX, so every patient had to survive diagnosis, staging, biliary drainage and the decision to treat before entering the analysis; LAP07's 7.7-month median for patients who progressed during induction shows how large the invisible group is. A pooled 63.5% of patients also received radiotherapy or chemoradiotherapy (I² 90%, per-study range 31% to 100%), so the resection rate cannot be attributed to chemotherapy alone. The 78.4% R0 figure has a resected-only denominator — 81 of 325 patients, so it describes 19% of the cohort. Grade 3 or 4 events ran at 60.4 per 100 patients, and the report of </w:t>
      </w:r>
      <w:r>
        <w:rPr>
          <w:b/>
          <w:bCs/>
          <w:color w:val="15181F"/>
          <w:sz w:val="18"/>
          <w:szCs w:val="18"/>
        </w:rPr>
        <w:t xml:space="preserve">no</w:t>
      </w:r>
      <w:r>
        <w:rPr>
          <w:color w:val="15181F"/>
          <w:sz w:val="18"/>
          <w:szCs w:val="18"/>
        </w:rPr>
        <w:t xml:space="preserve"> deaths attributed to FOLFIRINOX toxicity across 490 patients is a retrospective-records artefact rather than a safety finding.</w:t>
      </w:r>
    </w:p>
    <w:p>
      <w:pPr>
        <w:spacing w:after="50" w:line="276"/>
        <w:ind w:left="240"/>
      </w:pPr>
      <w:r>
        <w:rPr>
          <w:i/>
          <w:iCs/>
          <w:color w:val="5A6069"/>
          <w:sz w:val="17"/>
          <w:szCs w:val="17"/>
        </w:rPr>
        <w:t xml:space="preserve">Downgraded from C to D on the full-text read. Because patient-level data were pooled into a single Kaplan-Meier curve rather than meta-analysed, no I² or prediction interval is reported for overall survival at all, so the narrow 95% CI of 21.7 to 26.8 months reflects the number of patients and not the three-fold disagreement between studies. The pooled population is not one population: only three of thirteen studies enrolled exclusively locally advanced patients, seven had no formal resectability criteria, and none used staging laparoscopy. Across studies there was no correlation between overall survival and radiotherapy use (p=0.12), resection rate (p=0.39) or number of FOLFIRINOX cycles (p=0.95), so none of the obvious explanations for the 24.2-month figure can be shown to drive it. The comparator the authors offer, 6 to 13 months with gemcitabine, is a narrative historical range and not a synthesis. Their own conclusion is that these results need testing in a randomised controlled trial and that it remains unestablished which patients benefit from radiotherapy or resection afterwards. [EXPERTISE]</w:t>
      </w:r>
    </w:p>
    <w:p>
      <w:pPr>
        <w:spacing w:after="60" w:line="276"/>
        <w:ind w:left="240"/>
      </w:pPr>
      <w:r>
        <w:rPr>
          <w:color w:val="5A6069"/>
          <w:sz w:val="16"/>
          <w:szCs w:val="16"/>
        </w:rPr>
        <w:t xml:space="preserve">Sources: FOLFIRINOX in LAPC</w:t>
      </w:r>
    </w:p>
    <w:p>
      <w:pPr>
        <w:spacing w:after="60" w:before="180"/>
      </w:pPr>
      <w:r>
        <w:rPr>
          <w:b/>
          <w:bCs/>
          <w:color w:val="17365D"/>
          <w:spacing w:val="16"/>
          <w:sz w:val="16"/>
          <w:szCs w:val="16"/>
        </w:rPr>
        <w:t xml:space="preserve">STANDARD</w:t>
      </w:r>
      <w:r>
        <w:rPr>
          <w:color w:val="5A6069"/>
          <w:sz w:val="16"/>
          <w:szCs w:val="16"/>
        </w:rPr>
        <w:t xml:space="preserve">   grade D</w:t>
      </w:r>
    </w:p>
    <w:p>
      <w:pPr>
        <w:spacing w:after="60" w:line="276"/>
      </w:pPr>
      <w:r>
        <w:rPr>
          <w:color w:val="15181F"/>
          <w:sz w:val="19"/>
          <w:szCs w:val="19"/>
        </w:rPr>
        <w:t xml:space="preserve">Re-ask the resectability question on biological response, not on the label the patient arrived with.</w:t>
      </w:r>
    </w:p>
    <w:p>
      <w:pPr>
        <w:spacing w:after="50" w:line="276"/>
        <w:ind w:left="240"/>
      </w:pPr>
      <w:r>
        <w:rPr>
          <w:color w:val="15181F"/>
          <w:sz w:val="18"/>
          <w:szCs w:val="18"/>
        </w:rPr>
        <w:t xml:space="preserve">NCCN states the term </w:t>
      </w:r>
      <w:r>
        <w:rPr>
          <w:i/>
          <w:iCs/>
          <w:color w:val="15181F"/>
          <w:sz w:val="18"/>
          <w:szCs w:val="18"/>
        </w:rPr>
        <w:t xml:space="preserve">locally advanced</w:t>
      </w:r>
      <w:r>
        <w:rPr>
          <w:color w:val="15181F"/>
          <w:sz w:val="18"/>
          <w:szCs w:val="18"/>
        </w:rPr>
        <w:t xml:space="preserve"> should only be used at initial diagnosis, that locally advanced does not imply unresectable tumour, and that once neoadjuvant therapy has been delivered the criteria for resection should be based on the biological response. Where there is a response, a second opinion at a centre with expertise in vascular resection and reconstruction is recommended even if the patient is considered technically unresectable locally.</w:t>
      </w:r>
    </w:p>
    <w:p>
      <w:pPr>
        <w:spacing w:after="50"/>
        <w:ind w:left="240"/>
      </w:pPr>
      <w:r>
        <w:rPr>
          <w:b/>
          <w:bCs/>
          <w:color w:val="8C2F26"/>
          <w:sz w:val="18"/>
          <w:szCs w:val="18"/>
        </w:rPr>
        <w:t xml:space="preserve">Caveat. </w:t>
      </w:r>
      <w:r>
        <w:rPr>
          <w:color w:val="15181F"/>
          <w:sz w:val="18"/>
          <w:szCs w:val="18"/>
        </w:rPr>
        <w:t xml:space="preserve">Do not let the second opinion be the step that is skipped because the first assessment was done by the person who would have to do the operation.</w:t>
      </w:r>
    </w:p>
    <w:p>
      <w:pPr>
        <w:spacing w:after="50" w:line="276"/>
        <w:ind w:left="240"/>
      </w:pPr>
      <w:r>
        <w:rPr>
          <w:i/>
          <w:iCs/>
          <w:color w:val="5A6069"/>
          <w:sz w:val="17"/>
          <w:szCs w:val="17"/>
        </w:rPr>
        <w:t xml:space="preserve">The response assessment and the resection criteria are those in the borderline resectable gate — two of three metrics, and the rule that a riskier operation needs a bigger response to justify it.</w:t>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Offer conversion surgery only where R0 is achievable, and only after an objective response.</w:t>
      </w:r>
    </w:p>
    <w:p>
      <w:pPr>
        <w:spacing w:after="50" w:line="276"/>
        <w:ind w:left="240"/>
      </w:pPr>
      <w:r>
        <w:rPr>
          <w:color w:val="15181F"/>
          <w:sz w:val="18"/>
          <w:szCs w:val="18"/>
        </w:rPr>
        <w:t xml:space="preserve">A responder in whom en bloc resection to a negative margin, re-established arterial inflow and venous outflow, gastrointestinal continuity and biliary drainage are all achievable — assessed partly intraoperatively, because imaging distinguishes viable tumour from scar poorly.</w:t>
      </w:r>
    </w:p>
    <w:p>
      <w:pPr>
        <w:spacing w:after="50"/>
        <w:ind w:left="240"/>
      </w:pPr>
      <w:r>
        <w:rPr>
          <w:b/>
          <w:bCs/>
          <w:color w:val="8C2F26"/>
          <w:sz w:val="18"/>
          <w:szCs w:val="18"/>
        </w:rPr>
        <w:t xml:space="preserve">Caveat. </w:t>
      </w:r>
      <w:r>
        <w:rPr>
          <w:color w:val="15181F"/>
          <w:sz w:val="18"/>
          <w:szCs w:val="18"/>
        </w:rPr>
        <w:t xml:space="preserve">Arterial resection in this group is the highest-risk operation on the page and NCCN restricts it to specialist centres, highly selected patients, extensive neoadjuvant therapy and objective response, with explicit counselling that the chance of cure is unknown.</w:t>
      </w:r>
    </w:p>
    <w:p>
      <w:pPr>
        <w:spacing w:after="50" w:line="276"/>
        <w:ind w:left="240"/>
      </w:pPr>
      <w:r>
        <w:rPr>
          <w:i/>
          <w:iCs/>
          <w:color w:val="5A6069"/>
          <w:sz w:val="17"/>
          <w:szCs w:val="17"/>
        </w:rPr>
        <w:t xml:space="preserve">CONKO-007 gives the one randomised figure on how often conversion actually happens from this starting point, and the one randomised figure on what it costs. Of 336 patients randomised after 3 months of induction chemotherapy without progression, 62 of 169 in the chemoradiotherapy arm and 60 of 167 in the chemotherapy arm underwent surgery — 36% to 37%, with no difference between arms (P=.91) — and R0 was achieved in 43 of 169 (25%) and 30 of 167 (18%). </w:t>
      </w:r>
      <w:r>
        <w:rPr>
          <w:b/>
          <w:bCs/>
          <w:i/>
          <w:iCs/>
          <w:color w:val="5A6069"/>
          <w:sz w:val="17"/>
          <w:szCs w:val="17"/>
        </w:rPr>
        <w:t xml:space="preserve">Thirty-day postoperative mortality was 5 of 60 and 5 of 62, 8% in both arms.</w:t>
      </w:r>
      <w:r>
        <w:rPr>
          <w:i/>
          <w:iCs/>
          <w:color w:val="5A6069"/>
          <w:sz w:val="17"/>
          <w:szCs w:val="17"/>
        </w:rPr>
        <w:t xml:space="preserve"> One operative death in twelve is the number to put in the consent conversation, and the trial's conclusion that conversion surgery did not increase postsurgical mortality means only that it did not differ between the randomised arms. Those 336 patients are also the 64% of enrolled patients who survived and did not progress through 3 months of chemotherapy: the 159 of 495 (32.1%) who progressed during induction had a median survival of 9 months with no 5-year survivors.</w:t>
      </w:r>
    </w:p>
    <w:p>
      <w:pPr>
        <w:spacing w:after="60" w:line="276"/>
        <w:ind w:left="240"/>
      </w:pPr>
      <w:r>
        <w:rPr>
          <w:color w:val="5A6069"/>
          <w:sz w:val="16"/>
          <w:szCs w:val="16"/>
        </w:rPr>
        <w:t xml:space="preserve">Sources: CONKO-007</w:t>
      </w:r>
    </w:p>
    <w:p>
      <w:pPr>
        <w:spacing w:after="60" w:before="180"/>
      </w:pPr>
      <w:r>
        <w:rPr>
          <w:b/>
          <w:bCs/>
          <w:color w:val="176A87"/>
          <w:spacing w:val="16"/>
          <w:sz w:val="16"/>
          <w:szCs w:val="16"/>
        </w:rPr>
        <w:t xml:space="preserve">REASONABLE</w:t>
      </w:r>
      <w:r>
        <w:rPr>
          <w:color w:val="5A6069"/>
          <w:sz w:val="16"/>
          <w:szCs w:val="16"/>
        </w:rPr>
        <w:t xml:space="preserve">   grade B</w:t>
      </w:r>
    </w:p>
    <w:p>
      <w:pPr>
        <w:spacing w:after="100" w:line="276"/>
      </w:pPr>
      <w:r>
        <w:rPr>
          <w:i/>
          <w:iCs/>
          <w:color w:val="5A6069"/>
          <w:sz w:val="17"/>
          <w:szCs w:val="17"/>
        </w:rPr>
        <w:t xml:space="preserve">Ordered by what each option is </w:t>
      </w:r>
      <w:r>
        <w:rPr>
          <w:i/>
          <w:iCs/>
          <w:color w:val="5A6069"/>
          <w:sz w:val="17"/>
          <w:szCs w:val="17"/>
        </w:rPr>
        <w:t xml:space="preserve">for</w:t>
      </w:r>
      <w:r>
        <w:rPr>
          <w:i/>
          <w:iCs/>
          <w:color w:val="5A6069"/>
          <w:sz w:val="17"/>
          <w:szCs w:val="17"/>
        </w:rPr>
        <w:t xml:space="preserve">, not by survival, because no option here improves survival over another: both randomised trials of adding radiation after induction therapy were null for overall survival, and one of them was stopped early for futility while the other failed a primary endpoint it had rewritten mid-trial from its own unblinded interim data. Continuing chemotherapy is first because it is what the negative trials support; chemoradiotherapy is second because its demonstrated gains are local control (CONKO-007 locoregional recurrence HR 0.33, P&lt;.001; LAP07 32% versus 46%, P=.03) and margin quality in the operated subgroup (69.4% versus 50.0%, P=.04), both legitimate objectives and neither of which is survival; upfront radiotherapy without induction is last because it treats the organ and not the disease.</w:t>
      </w:r>
    </w:p>
    <w:p>
      <w:pPr>
        <w:spacing w:after="50" w:before="120"/>
        <w:ind w:left="240"/>
      </w:pPr>
      <w:r>
        <w:rPr>
          <w:b/>
          <w:bCs/>
          <w:color w:val="15181F"/>
          <w:sz w:val="19"/>
          <w:szCs w:val="19"/>
        </w:rPr>
        <w:t xml:space="preserve">Continue chemotherapy alone after induction</w:t>
      </w:r>
      <w:r>
        <w:rPr>
          <w:color w:val="5A6069"/>
          <w:sz w:val="15"/>
          <w:szCs w:val="15"/>
        </w:rPr>
        <w:t xml:space="preserve">   grade B</w:t>
      </w:r>
    </w:p>
    <w:p>
      <w:pPr>
        <w:spacing w:after="50" w:line="276"/>
        <w:ind w:left="240"/>
      </w:pPr>
      <w:r>
        <w:rPr>
          <w:color w:val="15181F"/>
          <w:sz w:val="18"/>
          <w:szCs w:val="18"/>
        </w:rPr>
        <w:t xml:space="preserve">LAP07 (449 enrolled, 442 eligible, 269 randomised after 4 months of gemcitabine-based induction without progression) found no overall survival difference between continuing chemotherapy and adding chemoradiotherapy: median overall survival from first randomisation 16.5 months (95% CI 14.5–18.5) with chemotherapy versus 15.2 months (13.9–17.3) with chemoradiotherapy, hazard ratio 1.03 (0.79–1.34), P=.83. The independent data monitoring committee stopped accrual when the interim analysis crossed the futility boundary at 221 deaths.</w:t>
      </w:r>
    </w:p>
    <w:p>
      <w:pPr>
        <w:spacing w:after="50" w:line="276"/>
        <w:ind w:left="240"/>
      </w:pPr>
      <w:r>
        <w:rPr>
          <w:color w:val="15181F"/>
          <w:sz w:val="18"/>
          <w:szCs w:val="18"/>
        </w:rPr>
        <w:t xml:space="preserve">The default after induction for a patient in whom the objective is survival rather than local control or conversion to resection.</w:t>
      </w:r>
    </w:p>
    <w:p>
      <w:pPr>
        <w:spacing w:after="50"/>
        <w:ind w:left="240"/>
      </w:pPr>
      <w:r>
        <w:rPr>
          <w:b/>
          <w:bCs/>
          <w:color w:val="8C2F26"/>
          <w:sz w:val="18"/>
          <w:szCs w:val="18"/>
        </w:rPr>
        <w:t xml:space="preserve">Caveat. </w:t>
      </w:r>
      <w:r>
        <w:rPr>
          <w:color w:val="15181F"/>
          <w:sz w:val="18"/>
          <w:szCs w:val="18"/>
        </w:rPr>
        <w:t xml:space="preserve">LAP07's chemotherapy backbone was gemcitabine with or without erlotinib, not FOLFIRINOX, so it does not test chemoradiotherapy after a modern triplet; CONKO-007 later did and was also null. Read the null carefully: the trial was stopped at its interim analysis for futility and that analysis was declared final, so it never reached its planned 392 deaths, and a confidence interval of 0.79 to 1.34 cannot exclude a clinically meaningful 20% benefit or harm — this is underpowered, not equivalent. Survival was measured from the </w:t>
      </w:r>
      <w:r>
        <w:rPr>
          <w:b/>
          <w:bCs/>
          <w:color w:val="15181F"/>
          <w:sz w:val="18"/>
          <w:szCs w:val="18"/>
        </w:rPr>
        <w:t xml:space="preserve">first</w:t>
      </w:r>
      <w:r>
        <w:rPr>
          <w:color w:val="15181F"/>
          <w:sz w:val="18"/>
          <w:szCs w:val="18"/>
        </w:rPr>
        <w:t xml:space="preserve"> randomisation while the intervention was allocated at the second, so four months are common to both arms by construction and any true effect is diluted toward the null.</w:t>
      </w:r>
    </w:p>
    <w:p>
      <w:pPr>
        <w:spacing w:after="60" w:line="276"/>
        <w:ind w:left="240"/>
      </w:pPr>
      <w:r>
        <w:rPr>
          <w:color w:val="5A6069"/>
          <w:sz w:val="16"/>
          <w:szCs w:val="16"/>
        </w:rPr>
        <w:t xml:space="preserve">Sources: LAP07</w:t>
      </w:r>
    </w:p>
    <w:p>
      <w:pPr>
        <w:spacing w:after="50" w:before="120"/>
        <w:ind w:left="240"/>
      </w:pPr>
      <w:r>
        <w:rPr>
          <w:b/>
          <w:bCs/>
          <w:color w:val="15181F"/>
          <w:sz w:val="19"/>
          <w:szCs w:val="19"/>
        </w:rPr>
        <w:t xml:space="preserve">Chemoradiotherapy after induction, for local control or to raise the chance of R0</w:t>
      </w:r>
      <w:r>
        <w:rPr>
          <w:color w:val="5A6069"/>
          <w:sz w:val="15"/>
          <w:szCs w:val="15"/>
        </w:rPr>
        <w:t xml:space="preserve">   grade C</w:t>
      </w:r>
    </w:p>
    <w:p>
      <w:pPr>
        <w:spacing w:after="50" w:line="276"/>
        <w:ind w:left="240"/>
      </w:pPr>
      <w:r>
        <w:rPr>
          <w:color w:val="15181F"/>
          <w:sz w:val="18"/>
          <w:szCs w:val="18"/>
        </w:rPr>
        <w:t xml:space="preserve">CONKO-007 (525 enrolled, 495 received induction — 402 FOLFIRINOX, 93 gemcitabine — and 336 randomised without progression at 3 months to continuing chemotherapy or to 50.4 Gy in 28 fractions with concurrent gemcitabine) </w:t>
      </w:r>
      <w:r>
        <w:rPr>
          <w:b/>
          <w:bCs/>
          <w:color w:val="15181F"/>
          <w:sz w:val="18"/>
          <w:szCs w:val="18"/>
        </w:rPr>
        <w:t xml:space="preserve">missed its primary endpoint</w:t>
      </w:r>
      <w:r>
        <w:rPr>
          <w:color w:val="15181F"/>
          <w:sz w:val="18"/>
          <w:szCs w:val="18"/>
        </w:rPr>
        <w:t xml:space="preserve">: overall R0 resection rate 43 of 169 (25%) with chemoradiotherapy versus 30 of 167 (18%) with chemotherapy, P=.113. Among the patients who actually underwent surgery, R0 was 43 of 62 (69.4%) versus 30 of 60 (50.0%), P=.04, and the overall distribution of R0, R1, R2 and no resection also favoured it, P=.02. Median follow-up was 76 months.</w:t>
      </w:r>
    </w:p>
    <w:p>
      <w:pPr>
        <w:spacing w:after="50" w:line="276"/>
        <w:ind w:left="240"/>
      </w:pPr>
      <w:r>
        <w:rPr>
          <w:color w:val="15181F"/>
          <w:sz w:val="18"/>
          <w:szCs w:val="18"/>
        </w:rPr>
        <w:t xml:space="preserve">Where the board's objective is specifically local control, or a clear margin in a patient who has responded and in whom surgery is planned. The local-control effect is the most solid finding in either trial: in CONKO-007, locoregional recurrence as a first event at 5 years was 29.9% versus 40.9%, hazard ratio 0.41 (95% CI 0.227–0.746), P=.004, and all locoregional recurrence 46.9% versus 63.2%, hazard ratio 0.33 (0.206–0.530), P&lt;.001, with distant metastasis identical (82.7% versus 84.7%, P=.52). LAP07 found the same direction (locoregional progression 32% versus 46%, P=.03) and a longer delay to reintroduction of any treatment (6.1 versus 3.7 months, P=.02).</w:t>
      </w:r>
    </w:p>
    <w:p>
      <w:pPr>
        <w:spacing w:after="50"/>
        <w:ind w:left="240"/>
      </w:pPr>
      <w:r>
        <w:rPr>
          <w:b/>
          <w:bCs/>
          <w:color w:val="8C2F26"/>
          <w:sz w:val="18"/>
          <w:szCs w:val="18"/>
        </w:rPr>
        <w:t xml:space="preserve">Caveat. </w:t>
      </w:r>
      <w:r>
        <w:rPr>
          <w:color w:val="15181F"/>
          <w:sz w:val="18"/>
          <w:szCs w:val="18"/>
        </w:rPr>
        <w:t xml:space="preserve">Neither trial shows a survival benefit. CONKO-007 found no overall survival difference, hazard ratio 0.937 (95% CI 0.747–1.174), P=.57, with 151 deaths in each arm, and surgery was performed equally often in the two arms (P=.91). Its 5-year survival claim (10.1% versus 3.8%) is a tail comparison inside a null trial, reported without a p value and with standard errors of 2.5% and 1.8% on 8 and 4 patients at risk. The R0 advantage that did reach significance is conditional on reaching theatre, which was not randomised, and the authors state that physicians' knowledge of the R0 endpoint changed their behaviour — which is exactly the mechanism that produces an R0 difference in the operated subgroup and none in the randomised population. Surgery itself was strongly associated with longer survival (hazard ratio 0.525, 0.408–0.676, P&lt;.001, median 19 versus 13 months), which in a non-randomised comparison of operated against non-operated patients is selection, not treatment effect.</w:t>
      </w:r>
    </w:p>
    <w:p>
      <w:pPr>
        <w:spacing w:after="60" w:line="276"/>
        <w:ind w:left="240"/>
      </w:pPr>
      <w:r>
        <w:rPr>
          <w:color w:val="5A6069"/>
          <w:sz w:val="16"/>
          <w:szCs w:val="16"/>
        </w:rPr>
        <w:t xml:space="preserve">Sources: CONKO-007; LAP07</w:t>
      </w:r>
    </w:p>
    <w:p>
      <w:pPr>
        <w:spacing w:after="50" w:before="120"/>
        <w:ind w:left="240"/>
      </w:pPr>
      <w:r>
        <w:rPr>
          <w:b/>
          <w:bCs/>
          <w:color w:val="15181F"/>
          <w:sz w:val="19"/>
          <w:szCs w:val="19"/>
        </w:rPr>
        <w:t xml:space="preserve">Upfront chemoradiation or SBRT, without induction chemotherapy</w:t>
      </w:r>
      <w:r>
        <w:rPr>
          <w:color w:val="5A6069"/>
          <w:sz w:val="15"/>
          <w:szCs w:val="15"/>
        </w:rPr>
        <w:t xml:space="preserve">   grade D</w:t>
      </w:r>
      <w:r>
        <w:rPr>
          <w:b/>
          <w:bCs/>
          <w:color w:val="8E5008"/>
          <w:spacing w:val="12"/>
          <w:sz w:val="14"/>
          <w:szCs w:val="14"/>
        </w:rPr>
        <w:t xml:space="preserve">   EXPERTISE</w:t>
      </w:r>
    </w:p>
    <w:p>
      <w:pPr>
        <w:spacing w:after="50" w:line="276"/>
        <w:ind w:left="240"/>
      </w:pPr>
      <w:r>
        <w:rPr>
          <w:color w:val="15181F"/>
          <w:sz w:val="18"/>
          <w:szCs w:val="18"/>
        </w:rPr>
        <w:t xml:space="preserve">NCCN permits upfront chemoradiation or SBRT in select patients with locally advanced disease. If disease progresses, the options are a clinical trial (preferred), systemic therapy, or chemoradiation or SBRT if radiation was not previously given and the primary site is the sole site of progression.</w:t>
      </w:r>
    </w:p>
    <w:p>
      <w:pPr>
        <w:spacing w:after="50" w:line="276"/>
        <w:ind w:left="240"/>
      </w:pPr>
      <w:r>
        <w:rPr>
          <w:color w:val="15181F"/>
          <w:sz w:val="18"/>
          <w:szCs w:val="18"/>
        </w:rPr>
        <w:t xml:space="preserve">A narrow group — a patient who cannot have multiagent chemotherapy, or in whom a local problem dominates. SBRT should be delivered at an experienced high-volume centre with image-guided radiotherapy, or in a trial.</w:t>
      </w:r>
    </w:p>
    <w:p>
      <w:pPr>
        <w:spacing w:after="50"/>
        <w:ind w:left="240"/>
      </w:pPr>
      <w:r>
        <w:rPr>
          <w:b/>
          <w:bCs/>
          <w:color w:val="8C2F26"/>
          <w:sz w:val="18"/>
          <w:szCs w:val="18"/>
        </w:rPr>
        <w:t xml:space="preserve">Caveat. </w:t>
      </w:r>
      <w:r>
        <w:rPr>
          <w:color w:val="15181F"/>
          <w:sz w:val="18"/>
          <w:szCs w:val="18"/>
        </w:rPr>
        <w:t xml:space="preserve">Do not use it as the default first treatment for a fit locally advanced patient. Systemic therapy addresses the occult metastatic disease that is the usual cause of death in this group, and NCCN states further studies are needed before SBRT is recommended even in borderline resectable disease.</w:t>
      </w:r>
    </w:p>
    <w:p>
      <w:pPr>
        <w:spacing w:after="60" w:line="276"/>
        <w:ind w:left="240"/>
      </w:pPr>
      <w:r>
        <w:rPr>
          <w:i/>
          <w:iCs/>
          <w:color w:val="5A6069"/>
          <w:sz w:val="16"/>
          <w:szCs w:val="16"/>
        </w:rPr>
        <w:t xml:space="preserve">Ratification item 6: does this programme offer consolidative chemoradiotherapy after induction in locally advanced disease routinely, only where conversion to resection is the explicit objective, or not at all? The two randomised trials are both null for overall survival; CONKO-007's R0 benefit is confined to patients who reached theatre, its primary endpoint was changed mid-trial and powered from its own unblinded interim data, and its radiotherapy was never centrally reviewed; LAP07 was stopped at interim for futility with 18% major radiotherapy protocol deviations. Neither trial tested radiotherapy after a FOLFIRINOX backbone followed by modern surgery with modern adjuvant therapy. Ratification item 14 covers the operation itself: CONKO-007's 30-day postoperative mortality after conversion surgery was 8% in both arms. Audit: induction regimen, proportion reaching exploration, resection rate, R0 rate with millimetre clearance, 30- and 90-day postoperative mortality, local progression, and overall survival from the start of induction.</w:t>
      </w:r>
    </w:p>
    <w:p>
      <w:pPr>
        <w:spacing w:after="60" w:before="180"/>
      </w:pPr>
      <w:r>
        <w:rPr>
          <w:b/>
          <w:bCs/>
          <w:color w:val="176A87"/>
          <w:spacing w:val="16"/>
          <w:sz w:val="16"/>
          <w:szCs w:val="16"/>
        </w:rPr>
        <w:t xml:space="preserve">REASONABLE</w:t>
      </w:r>
      <w:r>
        <w:rPr>
          <w:color w:val="5A6069"/>
          <w:sz w:val="16"/>
          <w:szCs w:val="16"/>
        </w:rPr>
        <w:t xml:space="preserve">   grade D</w:t>
      </w:r>
    </w:p>
    <w:p>
      <w:pPr>
        <w:spacing w:after="60" w:line="276"/>
      </w:pPr>
      <w:r>
        <w:rPr>
          <w:color w:val="15181F"/>
          <w:sz w:val="19"/>
          <w:szCs w:val="19"/>
        </w:rPr>
        <w:t xml:space="preserve">Palliative and best supportive care, single-agent chemotherapy, or palliative radiotherapy, for a patient with poor performance status.</w:t>
      </w:r>
    </w:p>
    <w:p>
      <w:pPr>
        <w:spacing w:after="50" w:line="276"/>
        <w:ind w:left="240"/>
      </w:pPr>
      <w:r>
        <w:rPr>
          <w:color w:val="15181F"/>
          <w:sz w:val="18"/>
          <w:szCs w:val="18"/>
        </w:rPr>
        <w:t xml:space="preserve">NCCN's options for ECOG 3 in locally advanced disease. Select patients with poor performance status may still benefit from single-agent chemotherapy or from targeted therapy based on molecular profiling.</w:t>
      </w:r>
    </w:p>
    <w:p>
      <w:pPr>
        <w:spacing w:after="50"/>
        <w:ind w:left="240"/>
      </w:pPr>
      <w:r>
        <w:rPr>
          <w:b/>
          <w:bCs/>
          <w:color w:val="8C2F26"/>
          <w:sz w:val="18"/>
          <w:szCs w:val="18"/>
        </w:rPr>
        <w:t xml:space="preserve">Caveat. </w:t>
      </w:r>
      <w:r>
        <w:rPr>
          <w:color w:val="15181F"/>
          <w:sz w:val="18"/>
          <w:szCs w:val="18"/>
        </w:rPr>
        <w:t xml:space="preserve">Do not put a patient with ECOG 3 through a triplet to avoid the conversation. Survival benefit from systemic therapy in this disease is largely confined to patients with adequate performance status, good biliary drainage and adequate nutritional intake.</w:t>
      </w:r>
    </w:p>
    <w:p>
      <w:pPr>
        <w:spacing w:after="60" w:before="180"/>
      </w:pPr>
      <w:r>
        <w:rPr>
          <w:b/>
          <w:bCs/>
          <w:color w:val="8C2F26"/>
          <w:spacing w:val="16"/>
          <w:sz w:val="16"/>
          <w:szCs w:val="16"/>
        </w:rPr>
        <w:t xml:space="preserve">AVOID</w:t>
      </w:r>
      <w:r>
        <w:rPr>
          <w:color w:val="5A6069"/>
          <w:sz w:val="16"/>
          <w:szCs w:val="16"/>
        </w:rPr>
        <w:t xml:space="preserve">   grade C</w:t>
      </w:r>
    </w:p>
    <w:p>
      <w:pPr>
        <w:spacing w:after="60" w:line="276"/>
      </w:pPr>
      <w:r>
        <w:rPr>
          <w:color w:val="15181F"/>
          <w:sz w:val="19"/>
          <w:szCs w:val="19"/>
        </w:rPr>
        <w:t xml:space="preserve">Do not promise an operation at the start of induction therapy.</w:t>
      </w:r>
    </w:p>
    <w:p>
      <w:pPr>
        <w:spacing w:after="50" w:line="276"/>
        <w:ind w:left="240"/>
      </w:pPr>
      <w:r>
        <w:rPr>
          <w:color w:val="15181F"/>
          <w:sz w:val="18"/>
          <w:szCs w:val="18"/>
        </w:rPr>
        <w:t xml:space="preserve">Say what the numbers are: about a quarter of locally advanced patients treated with FOLFIRINOX in the pooled single-arm data went on to resection, and in the one randomised trial starting from unresectable disease, 122 of 336 patients randomised after 3 months without progression reached theatre (36% to 37%) and 73 of 336 (22%) achieved R0 — with 30-day postoperative mortality of 8% in both arms. Of the 495 patients who started induction, 159 (32.1%) progressed before randomisation and had a median survival of 9 months.</w:t>
      </w:r>
    </w:p>
    <w:p>
      <w:pPr>
        <w:spacing w:after="50"/>
        <w:ind w:left="240"/>
      </w:pPr>
      <w:r>
        <w:rPr>
          <w:b/>
          <w:bCs/>
          <w:color w:val="8C2F26"/>
          <w:sz w:val="18"/>
          <w:szCs w:val="18"/>
        </w:rPr>
        <w:t xml:space="preserve">Caveat. </w:t>
      </w:r>
      <w:r>
        <w:rPr>
          <w:color w:val="15181F"/>
          <w:sz w:val="18"/>
          <w:szCs w:val="18"/>
        </w:rPr>
        <w:t xml:space="preserve">A patient who was told the chemotherapy was </w:t>
      </w:r>
      <w:r>
        <w:rPr>
          <w:i/>
          <w:iCs/>
          <w:color w:val="15181F"/>
          <w:sz w:val="18"/>
          <w:szCs w:val="18"/>
        </w:rPr>
        <w:t xml:space="preserve">to shrink it so we can operate</w:t>
      </w:r>
      <w:r>
        <w:rPr>
          <w:color w:val="15181F"/>
          <w:sz w:val="18"/>
          <w:szCs w:val="18"/>
        </w:rPr>
        <w:t xml:space="preserve"> and who then does not reach an operation has been given the wrong frame for most of their remaining time.</w:t>
      </w:r>
    </w:p>
    <w:p>
      <w:pPr>
        <w:spacing w:after="60" w:line="276"/>
        <w:ind w:left="240"/>
      </w:pPr>
      <w:r>
        <w:rPr>
          <w:color w:val="5A6069"/>
          <w:sz w:val="16"/>
          <w:szCs w:val="16"/>
        </w:rPr>
        <w:t xml:space="preserve">Sources: FOLFIRINOX in LAPC; CONKO-007</w:t>
      </w:r>
    </w:p>
    <w:p>
      <w:pPr>
        <w:spacing w:after="60" w:before="180"/>
      </w:pPr>
      <w:r>
        <w:rPr>
          <w:b/>
          <w:bCs/>
          <w:color w:val="8C2F26"/>
          <w:spacing w:val="16"/>
          <w:sz w:val="16"/>
          <w:szCs w:val="16"/>
        </w:rPr>
        <w:t xml:space="preserve">AVOID</w:t>
      </w:r>
      <w:r>
        <w:rPr>
          <w:color w:val="5A6069"/>
          <w:sz w:val="16"/>
          <w:szCs w:val="16"/>
        </w:rPr>
        <w:t xml:space="preserve">   grade D</w:t>
      </w:r>
    </w:p>
    <w:p>
      <w:pPr>
        <w:spacing w:after="60" w:line="276"/>
      </w:pPr>
      <w:r>
        <w:rPr>
          <w:color w:val="15181F"/>
          <w:sz w:val="19"/>
          <w:szCs w:val="19"/>
        </w:rPr>
        <w:t xml:space="preserve">Do not treat an unresectable label applied at diagnosis as final.</w:t>
      </w:r>
    </w:p>
    <w:p>
      <w:pPr>
        <w:spacing w:after="50" w:line="276"/>
        <w:ind w:left="240"/>
      </w:pPr>
      <w:r>
        <w:rPr>
          <w:color w:val="15181F"/>
          <w:sz w:val="18"/>
          <w:szCs w:val="18"/>
        </w:rPr>
        <w:t xml:space="preserve">Re-ask on biological response, and send responders for a second opinion at a vascular-resection centre as NCCN recommends.</w:t>
      </w:r>
    </w:p>
    <w:p>
      <w:pPr>
        <w:spacing w:after="50"/>
        <w:ind w:left="240"/>
      </w:pPr>
      <w:r>
        <w:rPr>
          <w:b/>
          <w:bCs/>
          <w:color w:val="8C2F26"/>
          <w:sz w:val="18"/>
          <w:szCs w:val="18"/>
        </w:rPr>
        <w:t xml:space="preserve">Caveat. </w:t>
      </w:r>
      <w:r>
        <w:rPr>
          <w:color w:val="15181F"/>
          <w:sz w:val="18"/>
          <w:szCs w:val="18"/>
        </w:rPr>
        <w:t xml:space="preserve">This is the commonest way a potentially convertible patient is lost, and NCCN addresses it twice — in the instruction that the term should only be used at diagnosis, and in the explicit second-opinion recommendation.</w:t>
      </w:r>
    </w:p>
    <w:p>
      <w:pPr>
        <w:spacing w:after="60" w:before="180"/>
      </w:pPr>
      <w:r>
        <w:rPr>
          <w:b/>
          <w:bCs/>
          <w:color w:val="8C2F26"/>
          <w:spacing w:val="16"/>
          <w:sz w:val="16"/>
          <w:szCs w:val="16"/>
        </w:rPr>
        <w:t xml:space="preserve">AVOID</w:t>
      </w:r>
      <w:r>
        <w:rPr>
          <w:color w:val="5A6069"/>
          <w:sz w:val="16"/>
          <w:szCs w:val="16"/>
        </w:rPr>
        <w:t xml:space="preserve">   grade B</w:t>
      </w:r>
    </w:p>
    <w:p>
      <w:pPr>
        <w:spacing w:after="60" w:line="276"/>
      </w:pPr>
      <w:r>
        <w:rPr>
          <w:color w:val="15181F"/>
          <w:sz w:val="19"/>
          <w:szCs w:val="19"/>
        </w:rPr>
        <w:t xml:space="preserve">Do not offer radiotherapy as a survival-prolonging treatment in locally advanced disease.</w:t>
      </w:r>
    </w:p>
    <w:p>
      <w:pPr>
        <w:spacing w:after="50" w:line="276"/>
        <w:ind w:left="240"/>
      </w:pPr>
      <w:r>
        <w:rPr>
          <w:color w:val="15181F"/>
          <w:sz w:val="18"/>
          <w:szCs w:val="18"/>
        </w:rPr>
        <w:t xml:space="preserve">Offer it, where it is offered, for local control or for margin quality in a patient heading to theatre, and say which. The local-control effect is real and randomised: locoregional recurrence hazard ratio 0.33 (95% CI 0.206–0.530), P&lt;.001, in CONKO-007 and 32% versus 46% locoregional progression in LAP07.</w:t>
      </w:r>
    </w:p>
    <w:p>
      <w:pPr>
        <w:spacing w:after="50"/>
        <w:ind w:left="240"/>
      </w:pPr>
      <w:r>
        <w:rPr>
          <w:b/>
          <w:bCs/>
          <w:color w:val="8C2F26"/>
          <w:sz w:val="18"/>
          <w:szCs w:val="18"/>
        </w:rPr>
        <w:t xml:space="preserve">Caveat. </w:t>
      </w:r>
      <w:r>
        <w:rPr>
          <w:color w:val="15181F"/>
          <w:sz w:val="18"/>
          <w:szCs w:val="18"/>
        </w:rPr>
        <w:t xml:space="preserve">LAP07: hazard ratio 1.03 (0.79–1.34), P=.83, stopped early for futility at its interim analysis, which then became the final one. CONKO-007: hazard ratio 0.937 (0.747–1.174), P=.57, primary endpoint not met. Two randomised trials, both null for overall survival, and neither powered to exclude a clinically meaningful difference.</w:t>
      </w:r>
    </w:p>
    <w:p>
      <w:pPr>
        <w:spacing w:after="60" w:line="276"/>
        <w:ind w:left="240"/>
      </w:pPr>
      <w:r>
        <w:rPr>
          <w:color w:val="5A6069"/>
          <w:sz w:val="16"/>
          <w:szCs w:val="16"/>
        </w:rPr>
        <w:t xml:space="preserve">Sources: LAP07; CONKO-007</w:t>
      </w:r>
    </w:p>
    <w:p>
      <w:pPr>
        <w:pBdr>
          <w:bottom w:val="single" w:color="D3DCE4" w:sz="6" w:space="1"/>
        </w:pBdr>
        <w:spacing w:after="80"/>
      </w:pPr>
    </w:p>
    <w:p>
      <w:pPr>
        <w:pStyle w:val="Heading2"/>
        <w:keepNext/>
        <w:pageBreakBefore/>
        <w:spacing w:after="110" w:before="240"/>
      </w:pPr>
      <w:r>
        <w:rPr>
          <w:rFonts w:ascii="Cambria" w:cs="Cambria" w:eastAsia="Cambria" w:hAnsi="Cambria"/>
          <w:b/>
          <w:bCs/>
          <w:color w:val="17365D"/>
          <w:sz w:val="26"/>
          <w:szCs w:val="26"/>
        </w:rPr>
        <w:t xml:space="preserve">8 · Metastatic disease — the line, and what the molecular report changes</w:t>
      </w:r>
    </w:p>
    <w:p>
      <w:pPr>
        <w:spacing w:after="140"/>
      </w:pPr>
      <w:r>
        <w:rPr>
          <w:b/>
          <w:bCs/>
          <w:color w:val="176A87"/>
          <w:sz w:val="19"/>
          <w:szCs w:val="19"/>
        </w:rPr>
        <w:t xml:space="preserve">The question. </w:t>
      </w:r>
      <w:r>
        <w:rPr>
          <w:sz w:val="19"/>
          <w:szCs w:val="19"/>
        </w:rPr>
        <w:t xml:space="preserve">What is the right first-line regimen for this performance status, and what will the molecular report actually change?</w:t>
      </w:r>
    </w:p>
    <w:p>
      <w:pPr>
        <w:spacing w:after="60" w:before="160"/>
      </w:pPr>
      <w:r>
        <w:rPr>
          <w:b/>
          <w:bCs/>
          <w:color w:val="176A87"/>
          <w:spacing w:val="24"/>
          <w:sz w:val="15"/>
          <w:szCs w:val="15"/>
        </w:rPr>
        <w:t xml:space="preserve">ANY ONE OF THE FOLLOWING HAS TO BE IN HAND</w:t>
      </w:r>
    </w:p>
    <w:p>
      <w:pPr>
        <w:pStyle w:val="ListParagraph"/>
        <w:numPr>
          <w:ilvl w:val="0"/>
          <w:numId w:val="2"/>
        </w:numPr>
        <w:spacing w:after="60" w:line="268"/>
      </w:pPr>
      <w:r>
        <w:rPr>
          <w:color w:val="15181F"/>
          <w:sz w:val="18"/>
          <w:szCs w:val="18"/>
        </w:rPr>
        <w:t xml:space="preserve">Distant metastasis on imaging, or positive peritoneal cytology</w:t>
      </w:r>
    </w:p>
    <w:p>
      <w:pPr>
        <w:pStyle w:val="ListParagraph"/>
        <w:numPr>
          <w:ilvl w:val="0"/>
          <w:numId w:val="2"/>
        </w:numPr>
        <w:spacing w:after="60" w:line="268"/>
      </w:pPr>
      <w:r>
        <w:rPr>
          <w:color w:val="15181F"/>
          <w:sz w:val="18"/>
          <w:szCs w:val="18"/>
        </w:rPr>
        <w:t xml:space="preserve">A tissue diagnosis with enough material banked for next-generation sequencing</w:t>
      </w:r>
    </w:p>
    <w:p>
      <w:pPr>
        <w:pStyle w:val="ListParagraph"/>
        <w:numPr>
          <w:ilvl w:val="0"/>
          <w:numId w:val="2"/>
        </w:numPr>
        <w:spacing w:after="60" w:line="268"/>
      </w:pPr>
      <w:r>
        <w:rPr>
          <w:color w:val="15181F"/>
          <w:sz w:val="18"/>
          <w:szCs w:val="18"/>
        </w:rPr>
        <w:t xml:space="preserve">Performance status graded: ECOG 0–1 with good biliary drainage and nutrition, ECOG 2, or poor</w:t>
      </w:r>
    </w:p>
    <w:p>
      <w:pPr>
        <w:pStyle w:val="ListParagraph"/>
        <w:numPr>
          <w:ilvl w:val="0"/>
          <w:numId w:val="2"/>
        </w:numPr>
        <w:spacing w:after="60" w:line="268"/>
      </w:pPr>
      <w:r>
        <w:rPr>
          <w:color w:val="15181F"/>
          <w:sz w:val="18"/>
          <w:szCs w:val="18"/>
        </w:rPr>
        <w:t xml:space="preserve">Germline testing and comprehensive genomic profiling ordered, with HER2 immunohistochemistry</w:t>
      </w:r>
    </w:p>
    <w:p>
      <w:pPr>
        <w:pStyle w:val="ListParagraph"/>
        <w:numPr>
          <w:ilvl w:val="0"/>
          <w:numId w:val="2"/>
        </w:numPr>
        <w:spacing w:after="60" w:line="268"/>
      </w:pPr>
      <w:r>
        <w:rPr>
          <w:color w:val="15181F"/>
          <w:sz w:val="18"/>
          <w:szCs w:val="18"/>
        </w:rPr>
        <w:t xml:space="preserve">Biliary and gastric outlet patency, pain, nutrition and thrombosis addressed as treatment, not afterthoughts</w:t>
      </w:r>
    </w:p>
    <w:p>
      <w:pPr>
        <w:spacing w:after="80" w:line="276"/>
      </w:pPr>
      <w:r>
        <w:rPr>
          <w:color w:val="15181F"/>
          <w:sz w:val="20"/>
          <w:szCs w:val="20"/>
        </w:rPr>
        <w:t xml:space="preserve"/>
      </w:r>
    </w:p>
    <w:p>
      <w:pPr>
        <w:spacing w:after="60" w:before="180"/>
      </w:pPr>
      <w:r>
        <w:rPr>
          <w:b/>
          <w:bCs/>
          <w:color w:val="17365D"/>
          <w:spacing w:val="16"/>
          <w:sz w:val="16"/>
          <w:szCs w:val="16"/>
        </w:rPr>
        <w:t xml:space="preserve">STANDARD</w:t>
      </w:r>
      <w:r>
        <w:rPr>
          <w:color w:val="5A6069"/>
          <w:sz w:val="16"/>
          <w:szCs w:val="16"/>
        </w:rPr>
        <w:t xml:space="preserve">   grade A</w:t>
      </w:r>
    </w:p>
    <w:p>
      <w:pPr>
        <w:spacing w:after="100" w:line="276"/>
      </w:pPr>
      <w:r>
        <w:rPr>
          <w:i/>
          <w:iCs/>
          <w:color w:val="5A6069"/>
          <w:sz w:val="17"/>
          <w:szCs w:val="17"/>
        </w:rPr>
        <w:t xml:space="preserve">Ordered by performance-status fit and by the comparator each trial beat, not by head-to-head data. There is no randomised comparison of NALIRIFOX with FOLFIRINOX, and NCCN says so; the two triplets sit at the same median (11.1 months) against different comparators in different eras. The sequence down the list tracks declining fitness, which is the variable that actually decides.</w:t>
      </w:r>
    </w:p>
    <w:p>
      <w:pPr>
        <w:spacing w:after="50" w:before="120"/>
        <w:ind w:left="240"/>
      </w:pPr>
      <w:r>
        <w:rPr>
          <w:b/>
          <w:bCs/>
          <w:color w:val="15181F"/>
          <w:sz w:val="19"/>
          <w:szCs w:val="19"/>
        </w:rPr>
        <w:t xml:space="preserve">FOLFIRINOX or mFOLFIRINOX</w:t>
      </w:r>
      <w:r>
        <w:rPr>
          <w:color w:val="5A6069"/>
          <w:sz w:val="15"/>
          <w:szCs w:val="15"/>
        </w:rPr>
        <w:t xml:space="preserve">   grade A</w:t>
      </w:r>
    </w:p>
    <w:p>
      <w:pPr>
        <w:spacing w:after="50" w:line="276"/>
        <w:ind w:left="240"/>
      </w:pPr>
      <w:r>
        <w:rPr>
          <w:color w:val="15181F"/>
          <w:sz w:val="18"/>
          <w:szCs w:val="18"/>
        </w:rPr>
        <w:t xml:space="preserve">PRODIGE 4 / ACCORD 11 (n=342, ECOG 0–1) established the triplet: median overall survival 11.1 months (95% CI 9.0–13.1) versus 6.8 months (5.5–7.6) against gemcitabine, hazard ratio 0.57 (0.45–0.73), P&lt;0.001, with median progression-free survival 6.4 months (5.5–7.2) versus 3.3 months (2.2–3.6), hazard ratio 0.47 (0.37–0.59), and an objective response rate of 31.6% versus 9.4%.</w:t>
      </w:r>
    </w:p>
    <w:p>
      <w:pPr>
        <w:spacing w:after="50" w:line="276"/>
        <w:ind w:left="240"/>
      </w:pPr>
      <w:r>
        <w:rPr>
          <w:color w:val="15181F"/>
          <w:sz w:val="18"/>
          <w:szCs w:val="18"/>
        </w:rPr>
        <w:t xml:space="preserve">A patient with ECOG 0–1, good biliary drainage and adequate nutritional intake. It is the regimen with the largest relative survival effect in this disease and the one whose population is best defined, and it is the only first-line triplet with quality-of-life data: definitive deterioration of global health status at 6 months in 31% versus 66%, hazard ratio 0.47 (0.30–0.70), P&lt;0.001 — a time-to-event measure that a regimen delaying progression by 3.1 months will improve almost mechanically, so read it as consistent with the survival result rather than as independent evidence.</w:t>
      </w:r>
    </w:p>
    <w:p>
      <w:pPr>
        <w:spacing w:after="50"/>
        <w:ind w:left="240"/>
      </w:pPr>
      <w:r>
        <w:rPr>
          <w:b/>
          <w:bCs/>
          <w:color w:val="8C2F26"/>
          <w:sz w:val="18"/>
          <w:szCs w:val="18"/>
        </w:rPr>
        <w:t xml:space="preserve">Caveat. </w:t>
      </w:r>
      <w:r>
        <w:rPr>
          <w:color w:val="15181F"/>
          <w:sz w:val="18"/>
          <w:szCs w:val="18"/>
        </w:rPr>
        <w:t xml:space="preserve">The toxicity excluded ECOG 2 patients for a reason: grade 3–4 neutropenia 45.7% versus 21.0% with filgrastim given to 42.5% versus 5.3%, febrile neutropenia 5.4%, diarrhoea 12.7% versus 1.8%, sensory neuropathy 9.0% versus 0%, with one treatment-related death in each arm. Do not give it to a jaundiced, undrained or malnourished patient — eligibility required bilirubin at or below 1.5 times the upper limit, age under 76, no cardiac disease and measurable disease, and NCCN's definition of good performance status for this disease includes biliary drainage and nutritional intake, not just the ECOG number.</w:t>
      </w:r>
    </w:p>
    <w:p>
      <w:pPr>
        <w:spacing w:after="60" w:line="276"/>
        <w:ind w:left="240"/>
      </w:pPr>
      <w:r>
        <w:rPr>
          <w:color w:val="5A6069"/>
          <w:sz w:val="16"/>
          <w:szCs w:val="16"/>
        </w:rPr>
        <w:t xml:space="preserve">Sources: PRODIGE 4 / ACCORD 11; PREOPANC-2; NORPACT-1</w:t>
      </w:r>
    </w:p>
    <w:p>
      <w:pPr>
        <w:spacing w:after="50" w:before="120"/>
        <w:ind w:left="240"/>
      </w:pPr>
      <w:r>
        <w:rPr>
          <w:b/>
          <w:bCs/>
          <w:color w:val="15181F"/>
          <w:sz w:val="19"/>
          <w:szCs w:val="19"/>
        </w:rPr>
        <w:t xml:space="preserve">NALIRIFOX</w:t>
      </w:r>
      <w:r>
        <w:rPr>
          <w:color w:val="5A6069"/>
          <w:sz w:val="15"/>
          <w:szCs w:val="15"/>
        </w:rPr>
        <w:t xml:space="preserve">   grade A</w:t>
      </w:r>
    </w:p>
    <w:p>
      <w:pPr>
        <w:spacing w:after="50" w:line="276"/>
        <w:ind w:left="240"/>
      </w:pPr>
      <w:r>
        <w:rPr>
          <w:color w:val="15181F"/>
          <w:sz w:val="18"/>
          <w:szCs w:val="18"/>
        </w:rPr>
        <w:t xml:space="preserve">NAPOLI 3 (n=770, 187 sites, 18 countries) gave median overall survival 11.1 months (95% CI 10.0–12.1) versus 9.2 months (8.3–10.6) with nab-paclitaxel and gemcitabine, hazard ratio 0.83 (0.70–0.99), p=0.036, with median progression-free survival 7.4 versus 5.6 months, hazard ratio 0.69 (0.58–0.83), p&lt;0.0001. NCCN recognises high-level evidence supporting NALIRIFOX over nab-paclitaxel with gemcitabine.</w:t>
      </w:r>
    </w:p>
    <w:p>
      <w:pPr>
        <w:spacing w:after="50" w:line="276"/>
        <w:ind w:left="240"/>
      </w:pPr>
      <w:r>
        <w:rPr>
          <w:color w:val="15181F"/>
          <w:sz w:val="18"/>
          <w:szCs w:val="18"/>
        </w:rPr>
        <w:t xml:space="preserve">The same population as FOLFIRINOX, where the liposomal-irinotecan schedule is preferred on toxicity or logistics. Eligibility was deliberately broad, with no upper age limit and no exclusion for clinical ascites, which is the one axis on which it is less selected than PRODIGE 4.</w:t>
      </w:r>
    </w:p>
    <w:p>
      <w:pPr>
        <w:spacing w:after="50"/>
        <w:ind w:left="240"/>
      </w:pPr>
      <w:r>
        <w:rPr>
          <w:b/>
          <w:bCs/>
          <w:color w:val="8C2F26"/>
          <w:sz w:val="18"/>
          <w:szCs w:val="18"/>
        </w:rPr>
        <w:t xml:space="preserve">Caveat. </w:t>
      </w:r>
      <w:r>
        <w:rPr>
          <w:color w:val="15181F"/>
          <w:sz w:val="18"/>
          <w:szCs w:val="18"/>
        </w:rPr>
        <w:t xml:space="preserve">NCCN states plainly that this regimen does not appear to have clear advantages compared with FOLFIRINOX or mFOLFIRINOX, and there is no randomised comparison between them — NALIRIFOX is FOLFIRINOX with liposomal irinotecan substituted and lower oxaliplatin, and PRODIGE 4's median was also 11.1 months. Grade 3 or worse treatment-emergent events occurred in 322 of 370 (87%) versus 326 of 379 (86%), with treatment-related deaths in 2% of each arm — this is not a gentler triplet, though grade 3–4 peripheral neuropathy was lower (3.2% versus 5.8%). The margin is narrow: the design required a hazard ratio below 0.844 at a final-analysis alpha of 0.048, and the point estimate sits just inside it.</w:t>
      </w:r>
    </w:p>
    <w:p>
      <w:pPr>
        <w:spacing w:after="60" w:line="276"/>
        <w:ind w:left="240"/>
      </w:pPr>
      <w:r>
        <w:rPr>
          <w:color w:val="5A6069"/>
          <w:sz w:val="16"/>
          <w:szCs w:val="16"/>
        </w:rPr>
        <w:t xml:space="preserve">Sources: NAPOLI 3; PRODIGE 4 / ACCORD 11</w:t>
      </w:r>
    </w:p>
    <w:p>
      <w:pPr>
        <w:spacing w:after="50" w:before="120"/>
        <w:ind w:left="240"/>
      </w:pPr>
      <w:r>
        <w:rPr>
          <w:b/>
          <w:bCs/>
          <w:color w:val="15181F"/>
          <w:sz w:val="19"/>
          <w:szCs w:val="19"/>
        </w:rPr>
        <w:t xml:space="preserve">Nab-paclitaxel with gemcitabine</w:t>
      </w:r>
      <w:r>
        <w:rPr>
          <w:color w:val="5A6069"/>
          <w:sz w:val="15"/>
          <w:szCs w:val="15"/>
        </w:rPr>
        <w:t xml:space="preserve">   grade A</w:t>
      </w:r>
    </w:p>
    <w:p>
      <w:pPr>
        <w:spacing w:after="50" w:line="276"/>
        <w:ind w:left="240"/>
      </w:pPr>
      <w:r>
        <w:rPr>
          <w:color w:val="15181F"/>
          <w:sz w:val="18"/>
          <w:szCs w:val="18"/>
        </w:rPr>
        <w:t xml:space="preserve">MPACT (n=861) gave median overall survival 8.5 months (95% CI 7.89–9.53) versus 6.7 months (6.01–7.23) against gemcitabine alone, hazard ratio 0.72 (0.62–0.83), P&lt;0.001, with 1-year survival 35% versus 22% and 2-year 9% versus 4%.</w:t>
      </w:r>
    </w:p>
    <w:p>
      <w:pPr>
        <w:spacing w:after="50" w:line="276"/>
        <w:ind w:left="240"/>
      </w:pPr>
      <w:r>
        <w:rPr>
          <w:color w:val="15181F"/>
          <w:sz w:val="18"/>
          <w:szCs w:val="18"/>
        </w:rPr>
        <w:t xml:space="preserve">A patient who cannot take a triplet — ECOG 2 equivalent, significant neuropathy, or a preference against a 46-hour infusion — but who is fit for a doublet. Its floor was a Karnofsky score of 70, so it admits frailer patients than PRODIGE 4, and the largest reductions in risk of death were in patients with worse disease.</w:t>
      </w:r>
    </w:p>
    <w:p>
      <w:pPr>
        <w:spacing w:after="50"/>
        <w:ind w:left="240"/>
      </w:pPr>
      <w:r>
        <w:rPr>
          <w:b/>
          <w:bCs/>
          <w:color w:val="8C2F26"/>
          <w:sz w:val="18"/>
          <w:szCs w:val="18"/>
        </w:rPr>
        <w:t xml:space="preserve">Caveat. </w:t>
      </w:r>
      <w:r>
        <w:rPr>
          <w:color w:val="15181F"/>
          <w:sz w:val="18"/>
          <w:szCs w:val="18"/>
        </w:rPr>
        <w:t xml:space="preserve">It was the comparator NALIRIFOX beat in NAPOLI 3, so do not choose it for a triplet-eligible patient on the grounds of equivalence. State both halves of its own result: a 1.8-month median gain, grade 3 or worse peripheral neuropathy in 17% versus 1% and fatigue in 17% versus 7%, and </w:t>
      </w:r>
      <w:r>
        <w:rPr>
          <w:b/>
          <w:bCs/>
          <w:color w:val="15181F"/>
          <w:sz w:val="18"/>
          <w:szCs w:val="18"/>
        </w:rPr>
        <w:t xml:space="preserve">no quality-of-life data collected at all</w:t>
      </w:r>
      <w:r>
        <w:rPr>
          <w:color w:val="15181F"/>
          <w:sz w:val="18"/>
          <w:szCs w:val="18"/>
        </w:rPr>
        <w:t xml:space="preserve"> — PRODIGE 4, run in the same era, did collect it. The combination arm also received a higher median cumulative gemcitabine dose than the monotherapy arm (11,400 versus 9,000 mg/m²) because patients stayed on treatment longer, so part of the benefit is more gemcitabine and the trial cannot separate the two.</w:t>
      </w:r>
    </w:p>
    <w:p>
      <w:pPr>
        <w:spacing w:after="60" w:line="276"/>
        <w:ind w:left="240"/>
      </w:pPr>
      <w:r>
        <w:rPr>
          <w:color w:val="5A6069"/>
          <w:sz w:val="16"/>
          <w:szCs w:val="16"/>
        </w:rPr>
        <w:t xml:space="preserve">Sources: MPACT; NAPOLI 3; APACT</w:t>
      </w:r>
    </w:p>
    <w:p>
      <w:pPr>
        <w:spacing w:after="50" w:before="120"/>
        <w:ind w:left="240"/>
      </w:pPr>
      <w:r>
        <w:rPr>
          <w:b/>
          <w:bCs/>
          <w:color w:val="15181F"/>
          <w:sz w:val="19"/>
          <w:szCs w:val="19"/>
        </w:rPr>
        <w:t xml:space="preserve">Gemcitabine alone, or palliative and best supportive care</w:t>
      </w:r>
      <w:r>
        <w:rPr>
          <w:color w:val="5A6069"/>
          <w:sz w:val="15"/>
          <w:szCs w:val="15"/>
        </w:rPr>
        <w:t xml:space="preserve">   grade B</w:t>
      </w:r>
    </w:p>
    <w:p>
      <w:pPr>
        <w:spacing w:after="50" w:line="276"/>
        <w:ind w:left="240"/>
      </w:pPr>
      <w:r>
        <w:rPr>
          <w:color w:val="15181F"/>
          <w:sz w:val="18"/>
          <w:szCs w:val="18"/>
        </w:rPr>
        <w:t xml:space="preserve">NCCN recommends systemic therapy for patients with good or intermediate performance status, and makes palliative and best supportive care including palliative radiotherapy the preferred option for poor performance status; patients with ECOG 4 should be supported exclusively by palliative and best supportive care.</w:t>
      </w:r>
    </w:p>
    <w:p>
      <w:pPr>
        <w:spacing w:after="50" w:line="276"/>
        <w:ind w:left="240"/>
      </w:pPr>
      <w:r>
        <w:rPr>
          <w:color w:val="15181F"/>
          <w:sz w:val="18"/>
          <w:szCs w:val="18"/>
        </w:rPr>
        <w:t xml:space="preserve">A frail patient in whom single-agent treatment is the ceiling, or one for whom the honest offer is symptom control. Select patients with poor performance status may still benefit from single-agent chemotherapy or from a targeted agent identified on molecular profiling.</w:t>
      </w:r>
    </w:p>
    <w:p>
      <w:pPr>
        <w:spacing w:after="50"/>
        <w:ind w:left="240"/>
      </w:pPr>
      <w:r>
        <w:rPr>
          <w:b/>
          <w:bCs/>
          <w:color w:val="8C2F26"/>
          <w:sz w:val="18"/>
          <w:szCs w:val="18"/>
        </w:rPr>
        <w:t xml:space="preserve">Caveat. </w:t>
      </w:r>
      <w:r>
        <w:rPr>
          <w:color w:val="15181F"/>
          <w:sz w:val="18"/>
          <w:szCs w:val="18"/>
        </w:rPr>
        <w:t xml:space="preserve">Do not treat a declining patient with a doublet to avoid the conversation. NCCN notes that patients with advanced disease can deteriorate abruptly — bleeding, thromboembolism, escalating pain, stent occlusion, cholangitis — and that new symptoms are often wrongly attributed to chemotherapy when the cause is gastric outlet obstruction or carcinomatosis.</w:t>
      </w:r>
    </w:p>
    <w:p>
      <w:pPr>
        <w:spacing w:after="60" w:line="276"/>
        <w:ind w:left="240"/>
      </w:pPr>
      <w:r>
        <w:rPr>
          <w:i/>
          <w:iCs/>
          <w:color w:val="5A6069"/>
          <w:sz w:val="16"/>
          <w:szCs w:val="16"/>
        </w:rPr>
        <w:t xml:space="preserve">Ratification item 7: which triplet is the local first-line standard — (m)FOLFIRINOX or NALIRIFOX — and on what grounds, given no comparative trial, identical medians (11.1 months) against different comparators in different eras, and a cost difference? The full-text read adds that the cross-trial comparison is not like for like either: PRODIGE 4 capped age at 76 and allowed bilirubin up to 1.5 times normal, MPACT had no age cap but required bilirubin within normal limits, and NAPOLI 3 had neither cap and allowed ascites, so the three populations are selected differently on opposite axes. NAPOLI 3's margin is narrow (HR 0.83, upper bound 0.99, against a design threshold of 0.844) and its hierarchical testing broke at the response-rate step. The group should also decide what counts locally as </w:t>
      </w:r>
      <w:r>
        <w:rPr>
          <w:i/>
          <w:iCs/>
          <w:color w:val="5A6069"/>
          <w:sz w:val="16"/>
          <w:szCs w:val="16"/>
        </w:rPr>
        <w:t xml:space="preserve">good biliary drainage and adequate nutritional intake</w:t>
      </w:r>
      <w:r>
        <w:rPr>
          <w:i/>
          <w:iCs/>
          <w:color w:val="5A6069"/>
          <w:sz w:val="16"/>
          <w:szCs w:val="16"/>
        </w:rPr>
        <w:t xml:space="preserve">, since that phrase, not the ECOG score alone, is NCCN's eligibility definition. Audit: first-line regimen, performance status at start, drainage and nutritional status, dose intensity, cycles delivered, and reason for discontinuation.</w:t>
      </w:r>
    </w:p>
    <w:p>
      <w:pPr>
        <w:spacing w:after="60" w:before="180"/>
      </w:pPr>
      <w:r>
        <w:rPr>
          <w:b/>
          <w:bCs/>
          <w:color w:val="17365D"/>
          <w:spacing w:val="16"/>
          <w:sz w:val="16"/>
          <w:szCs w:val="16"/>
        </w:rPr>
        <w:t xml:space="preserve">STANDARD</w:t>
      </w:r>
      <w:r>
        <w:rPr>
          <w:color w:val="5A6069"/>
          <w:sz w:val="16"/>
          <w:szCs w:val="16"/>
        </w:rPr>
        <w:t xml:space="preserve">   grade B</w:t>
      </w:r>
    </w:p>
    <w:p>
      <w:pPr>
        <w:spacing w:after="60" w:line="276"/>
      </w:pPr>
      <w:r>
        <w:rPr>
          <w:color w:val="15181F"/>
          <w:sz w:val="19"/>
          <w:szCs w:val="19"/>
        </w:rPr>
        <w:t xml:space="preserve">Order comprehensive genomic profiling and germline testing at the first visit, and bank enough tissue for it.</w:t>
      </w:r>
    </w:p>
    <w:p>
      <w:pPr>
        <w:spacing w:after="50" w:line="276"/>
        <w:ind w:left="240"/>
      </w:pPr>
      <w:r>
        <w:rPr>
          <w:color w:val="15181F"/>
          <w:sz w:val="18"/>
          <w:szCs w:val="18"/>
        </w:rPr>
        <w:t xml:space="preserve">Every patient with metastatic disease. NCCN asks for testing for fusions (</w:t>
      </w:r>
      <w:r>
        <w:rPr>
          <w:i/>
          <w:iCs/>
          <w:color w:val="15181F"/>
          <w:sz w:val="18"/>
          <w:szCs w:val="18"/>
        </w:rPr>
        <w:t xml:space="preserve">ALK</w:t>
      </w:r>
      <w:r>
        <w:rPr>
          <w:color w:val="15181F"/>
          <w:sz w:val="18"/>
          <w:szCs w:val="18"/>
        </w:rPr>
        <w:t xml:space="preserve">, </w:t>
      </w:r>
      <w:r>
        <w:rPr>
          <w:i/>
          <w:iCs/>
          <w:color w:val="15181F"/>
          <w:sz w:val="18"/>
          <w:szCs w:val="18"/>
        </w:rPr>
        <w:t xml:space="preserve">NRG1</w:t>
      </w:r>
      <w:r>
        <w:rPr>
          <w:color w:val="15181F"/>
          <w:sz w:val="18"/>
          <w:szCs w:val="18"/>
        </w:rPr>
        <w:t xml:space="preserve">, </w:t>
      </w:r>
      <w:r>
        <w:rPr>
          <w:i/>
          <w:iCs/>
          <w:color w:val="15181F"/>
          <w:sz w:val="18"/>
          <w:szCs w:val="18"/>
        </w:rPr>
        <w:t xml:space="preserve">NTRK</w:t>
      </w:r>
      <w:r>
        <w:rPr>
          <w:color w:val="15181F"/>
          <w:sz w:val="18"/>
          <w:szCs w:val="18"/>
        </w:rPr>
        <w:t xml:space="preserve">, </w:t>
      </w:r>
      <w:r>
        <w:rPr>
          <w:i/>
          <w:iCs/>
          <w:color w:val="15181F"/>
          <w:sz w:val="18"/>
          <w:szCs w:val="18"/>
        </w:rPr>
        <w:t xml:space="preserve">ROS1</w:t>
      </w:r>
      <w:r>
        <w:rPr>
          <w:color w:val="15181F"/>
          <w:sz w:val="18"/>
          <w:szCs w:val="18"/>
        </w:rPr>
        <w:t xml:space="preserve">, </w:t>
      </w:r>
      <w:r>
        <w:rPr>
          <w:i/>
          <w:iCs/>
          <w:color w:val="15181F"/>
          <w:sz w:val="18"/>
          <w:szCs w:val="18"/>
        </w:rPr>
        <w:t xml:space="preserve">FGFR2</w:t>
      </w:r>
      <w:r>
        <w:rPr>
          <w:color w:val="15181F"/>
          <w:sz w:val="18"/>
          <w:szCs w:val="18"/>
        </w:rPr>
        <w:t xml:space="preserve">, </w:t>
      </w:r>
      <w:r>
        <w:rPr>
          <w:i/>
          <w:iCs/>
          <w:color w:val="15181F"/>
          <w:sz w:val="18"/>
          <w:szCs w:val="18"/>
        </w:rPr>
        <w:t xml:space="preserve">RET</w:t>
      </w:r>
      <w:r>
        <w:rPr>
          <w:color w:val="15181F"/>
          <w:sz w:val="18"/>
          <w:szCs w:val="18"/>
        </w:rPr>
        <w:t xml:space="preserve">), mutations (</w:t>
      </w:r>
      <w:r>
        <w:rPr>
          <w:i/>
          <w:iCs/>
          <w:color w:val="15181F"/>
          <w:sz w:val="18"/>
          <w:szCs w:val="18"/>
        </w:rPr>
        <w:t xml:space="preserve">BRAF</w:t>
      </w:r>
      <w:r>
        <w:rPr>
          <w:color w:val="15181F"/>
          <w:sz w:val="18"/>
          <w:szCs w:val="18"/>
        </w:rPr>
        <w:t xml:space="preserve">, </w:t>
      </w:r>
      <w:r>
        <w:rPr>
          <w:i/>
          <w:iCs/>
          <w:color w:val="15181F"/>
          <w:sz w:val="18"/>
          <w:szCs w:val="18"/>
        </w:rPr>
        <w:t xml:space="preserve">BRCA1/2</w:t>
      </w:r>
      <w:r>
        <w:rPr>
          <w:color w:val="15181F"/>
          <w:sz w:val="18"/>
          <w:szCs w:val="18"/>
        </w:rPr>
        <w:t xml:space="preserve">, </w:t>
      </w:r>
      <w:r>
        <w:rPr>
          <w:i/>
          <w:iCs/>
          <w:color w:val="15181F"/>
          <w:sz w:val="18"/>
          <w:szCs w:val="18"/>
        </w:rPr>
        <w:t xml:space="preserve">KRAS</w:t>
      </w:r>
      <w:r>
        <w:rPr>
          <w:color w:val="15181F"/>
          <w:sz w:val="18"/>
          <w:szCs w:val="18"/>
        </w:rPr>
        <w:t xml:space="preserve">, </w:t>
      </w:r>
      <w:r>
        <w:rPr>
          <w:i/>
          <w:iCs/>
          <w:color w:val="15181F"/>
          <w:sz w:val="18"/>
          <w:szCs w:val="18"/>
        </w:rPr>
        <w:t xml:space="preserve">PALB2</w:t>
      </w:r>
      <w:r>
        <w:rPr>
          <w:color w:val="15181F"/>
          <w:sz w:val="18"/>
          <w:szCs w:val="18"/>
        </w:rPr>
        <w:t xml:space="preserve">), amplifications (</w:t>
      </w:r>
      <w:r>
        <w:rPr>
          <w:i/>
          <w:iCs/>
          <w:color w:val="15181F"/>
          <w:sz w:val="18"/>
          <w:szCs w:val="18"/>
        </w:rPr>
        <w:t xml:space="preserve">HER2</w:t>
      </w:r>
      <w:r>
        <w:rPr>
          <w:color w:val="15181F"/>
          <w:sz w:val="18"/>
          <w:szCs w:val="18"/>
        </w:rPr>
        <w:t xml:space="preserve">), microsatellite instability, mismatch repair deficiency and tumour mutational burden, using an FDA-approved or validated NGS assay, plus HER2 by immunohistochemistry with or without FISH. In metastatic disease, enough tissue for sequencing should be obtained at biopsy, with two extra needle passes banked.</w:t>
      </w:r>
    </w:p>
    <w:p>
      <w:pPr>
        <w:spacing w:after="50"/>
        <w:ind w:left="240"/>
      </w:pPr>
      <w:r>
        <w:rPr>
          <w:b/>
          <w:bCs/>
          <w:color w:val="8C2F26"/>
          <w:sz w:val="18"/>
          <w:szCs w:val="18"/>
        </w:rPr>
        <w:t xml:space="preserve">Caveat. </w:t>
      </w:r>
      <w:r>
        <w:rPr>
          <w:color w:val="15181F"/>
          <w:sz w:val="18"/>
          <w:szCs w:val="18"/>
        </w:rPr>
        <w:t xml:space="preserve">Do not wait for the result before starting treatment. NCCN is explicit that if </w:t>
      </w:r>
      <w:r>
        <w:rPr>
          <w:i/>
          <w:iCs/>
          <w:color w:val="15181F"/>
          <w:sz w:val="18"/>
          <w:szCs w:val="18"/>
        </w:rPr>
        <w:t xml:space="preserve">BRCA1/2</w:t>
      </w:r>
      <w:r>
        <w:rPr>
          <w:color w:val="15181F"/>
          <w:sz w:val="18"/>
          <w:szCs w:val="18"/>
        </w:rPr>
        <w:t xml:space="preserve"> status is unknown, the patient is treated with systemic therapy as clinically indicated. The sequencing changes the maintenance and later-line decisions, not usually the first-line one. And do not quote the 5.5% germline figure as the proportion with an actionable result: it is driven mostly by </w:t>
      </w:r>
      <w:r>
        <w:rPr>
          <w:i/>
          <w:iCs/>
          <w:color w:val="15181F"/>
          <w:sz w:val="18"/>
          <w:szCs w:val="18"/>
        </w:rPr>
        <w:t xml:space="preserve">ATM</w:t>
      </w:r>
      <w:r>
        <w:rPr>
          <w:color w:val="15181F"/>
          <w:sz w:val="18"/>
          <w:szCs w:val="18"/>
        </w:rPr>
        <w:t xml:space="preserve"> and </w:t>
      </w:r>
      <w:r>
        <w:rPr>
          <w:i/>
          <w:iCs/>
          <w:color w:val="15181F"/>
          <w:sz w:val="18"/>
          <w:szCs w:val="18"/>
        </w:rPr>
        <w:t xml:space="preserve">BRCA2</w:t>
      </w:r>
      <w:r>
        <w:rPr>
          <w:color w:val="15181F"/>
          <w:sz w:val="18"/>
          <w:szCs w:val="18"/>
        </w:rPr>
        <w:t xml:space="preserve">, and of the six genes it covers only </w:t>
      </w:r>
      <w:r>
        <w:rPr>
          <w:i/>
          <w:iCs/>
          <w:color w:val="15181F"/>
          <w:sz w:val="18"/>
          <w:szCs w:val="18"/>
        </w:rPr>
        <w:t xml:space="preserve">BRCA1/2</w:t>
      </w:r>
      <w:r>
        <w:rPr>
          <w:color w:val="15181F"/>
          <w:sz w:val="18"/>
          <w:szCs w:val="18"/>
        </w:rPr>
        <w:t xml:space="preserve"> has a randomised treatment consequence in this disease.</w:t>
      </w:r>
    </w:p>
    <w:p>
      <w:pPr>
        <w:spacing w:after="50" w:line="276"/>
        <w:ind w:left="240"/>
      </w:pPr>
      <w:r>
        <w:rPr>
          <w:i/>
          <w:iCs/>
          <w:color w:val="5A6069"/>
          <w:sz w:val="17"/>
          <w:szCs w:val="17"/>
        </w:rPr>
        <w:t xml:space="preserve">Downgraded from A to B. The recommendation is NCCN's; the evidence under it is mixed. The germline prevalence estimate comes from a clinic-based case series compared with public sequencing databases rather than a recruited control group, and carriage was not associated with survival (HR 0.86, P=.09). What is randomised is narrower: a phase 3 progression-free survival result in germline </w:t>
      </w:r>
      <w:r>
        <w:rPr>
          <w:i/>
          <w:iCs/>
          <w:color w:val="5A6069"/>
          <w:sz w:val="17"/>
          <w:szCs w:val="17"/>
        </w:rPr>
        <w:t xml:space="preserve">BRCA1/2</w:t>
      </w:r>
      <w:r>
        <w:rPr>
          <w:i/>
          <w:iCs/>
          <w:color w:val="5A6069"/>
          <w:sz w:val="17"/>
          <w:szCs w:val="17"/>
        </w:rPr>
        <w:t xml:space="preserve"> after platinum, and a phase 3 survival result in RAS G12 disease after prior therapy. Everything else on the molecular list is single-arm, in alterations reaching 1% to 2% of the disease or less, with pancreatic subsets of 10 to 40 patients and no screening denominators reported — so the testing is justified by the small number of large effects, not by the length of the panel. Screen for clinical-trial eligibility at the same visit; NCCN strongly encourages enrolment at every stage. [PAYER]</w:t>
      </w:r>
    </w:p>
    <w:p>
      <w:pPr>
        <w:spacing w:after="60" w:line="276"/>
        <w:ind w:left="240"/>
      </w:pPr>
      <w:r>
        <w:rPr>
          <w:color w:val="5A6069"/>
          <w:sz w:val="16"/>
          <w:szCs w:val="16"/>
        </w:rPr>
        <w:t xml:space="preserve">Sources: Hu 2018 germline; POLO; RASolute 302</w:t>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Treat biliary and gastric outlet patency, pain, nutrition and thrombosis as part of the treatment plan, with named owners.</w:t>
      </w:r>
    </w:p>
    <w:p>
      <w:pPr>
        <w:spacing w:after="50" w:line="276"/>
        <w:ind w:left="240"/>
      </w:pPr>
      <w:r>
        <w:rPr>
          <w:color w:val="15181F"/>
          <w:sz w:val="18"/>
          <w:szCs w:val="18"/>
        </w:rPr>
        <w:t xml:space="preserve">For biliary obstruction NCCN prefers an endoscopic biliary metal stent, with percutaneous biliary drainage and subsequent internalisation as the alternative. For gastric outlet obstruction, EUS-guided gastrojejunostomy at a high-volume centre is an option. Exocrine insufficiency, pain and nutrition need active management because NCCN's own definition of a treatable performance status depends on them.</w:t>
      </w:r>
    </w:p>
    <w:p>
      <w:pPr>
        <w:spacing w:after="50"/>
        <w:ind w:left="240"/>
      </w:pPr>
      <w:r>
        <w:rPr>
          <w:b/>
          <w:bCs/>
          <w:color w:val="8C2F26"/>
          <w:sz w:val="18"/>
          <w:szCs w:val="18"/>
        </w:rPr>
        <w:t xml:space="preserve">Caveat. </w:t>
      </w:r>
      <w:r>
        <w:rPr>
          <w:color w:val="15181F"/>
          <w:sz w:val="18"/>
          <w:szCs w:val="18"/>
        </w:rPr>
        <w:t xml:space="preserve">Do not attribute intractable nausea and vomiting to chemotherapy without excluding gastric outlet obstruction, or abdominal bloating and reduced intake without considering peritoneal carcinomatosis — NCCN names both as recognised misattributions.</w:t>
      </w:r>
    </w:p>
    <w:p>
      <w:pPr>
        <w:spacing w:after="50" w:line="276"/>
        <w:ind w:left="240"/>
      </w:pPr>
      <w:r>
        <w:rPr>
          <w:i/>
          <w:iCs/>
          <w:color w:val="5A6069"/>
          <w:sz w:val="17"/>
          <w:szCs w:val="17"/>
        </w:rPr>
        <w:t xml:space="preserve">A short course of radiotherapy may be given to painful metastatic sites such as bone. Plastic biliary stents may be considered for palliation where predicted survival is under 3 months. [EXPERTISE]</w:t>
      </w:r>
    </w:p>
    <w:p>
      <w:pPr>
        <w:spacing w:after="60" w:before="180"/>
      </w:pPr>
      <w:r>
        <w:rPr>
          <w:b/>
          <w:bCs/>
          <w:color w:val="176A87"/>
          <w:spacing w:val="16"/>
          <w:sz w:val="16"/>
          <w:szCs w:val="16"/>
        </w:rPr>
        <w:t xml:space="preserve">REASONABLE</w:t>
      </w:r>
      <w:r>
        <w:rPr>
          <w:color w:val="5A6069"/>
          <w:sz w:val="16"/>
          <w:szCs w:val="16"/>
        </w:rPr>
        <w:t xml:space="preserve">   grade B</w:t>
      </w:r>
    </w:p>
    <w:p>
      <w:pPr>
        <w:spacing w:after="100" w:line="276"/>
      </w:pPr>
      <w:r>
        <w:rPr>
          <w:i/>
          <w:iCs/>
          <w:color w:val="5A6069"/>
          <w:sz w:val="17"/>
          <w:szCs w:val="17"/>
        </w:rPr>
        <w:t xml:space="preserve">Ordered by the strength of the evidence in pancreatic cancer specifically and by how many patients the alteration reaches, not by response rate. Daraxonrasib is first because it is the only randomised phase 3 result here, and the only one with a survival endpoint — but its benefit is established in the RAS </w:t>
      </w:r>
      <w:r>
        <w:rPr>
          <w:b/>
          <w:bCs/>
          <w:i/>
          <w:iCs/>
          <w:color w:val="5A6069"/>
          <w:sz w:val="17"/>
          <w:szCs w:val="17"/>
        </w:rPr>
        <w:t xml:space="preserve">G12</w:t>
      </w:r>
      <w:r>
        <w:rPr>
          <w:i/>
          <w:iCs/>
          <w:color w:val="5A6069"/>
          <w:sz w:val="17"/>
          <w:szCs w:val="17"/>
        </w:rPr>
        <w:t xml:space="preserve"> population that was its primary analysis set, and the non-G12 subgroup points the other way (HR 1.38, 0.60–3.17). Olaparib is second because POLO is randomised and double-blind but in 154 patients found from 3,315 screened, against placebo rather than continued chemotherapy, and positive only for progression-free survival with no overall survival or quality-of-life difference at interim. Everything below is single-arm, in rare alterations, with pancreatic subsets of 21 to 38 patients, no control groups, and in two cases no prespecified efficacy threshold at all.</w:t>
      </w:r>
    </w:p>
    <w:p>
      <w:pPr>
        <w:spacing w:after="50" w:before="120"/>
        <w:ind w:left="240"/>
      </w:pPr>
      <w:r>
        <w:rPr>
          <w:b/>
          <w:bCs/>
          <w:color w:val="15181F"/>
          <w:sz w:val="19"/>
          <w:szCs w:val="19"/>
        </w:rPr>
        <w:t xml:space="preserve">Daraxonrasib, for RAS-mutated disease after prior therapy</w:t>
      </w:r>
      <w:r>
        <w:rPr>
          <w:color w:val="5A6069"/>
          <w:sz w:val="15"/>
          <w:szCs w:val="15"/>
        </w:rPr>
        <w:t xml:space="preserve">   grade A</w:t>
      </w:r>
    </w:p>
    <w:p>
      <w:pPr>
        <w:spacing w:after="50" w:line="276"/>
        <w:ind w:left="240"/>
      </w:pPr>
      <w:r>
        <w:rPr>
          <w:color w:val="15181F"/>
          <w:sz w:val="18"/>
          <w:szCs w:val="18"/>
        </w:rPr>
        <w:t xml:space="preserve">RASolute 302 (phase 3, n=500 randomised, 248 daraxonrasib and 252 investigator's-choice chemotherapy, more than 90% with RAS G12 mutations) had dual primary endpoints in the RAS G12 population and met both: median overall survival 13.2 versus 6.6 months, hazard ratio 0.40, P&lt;0.001, and median progression-free survival by blinded independent central review 7.3 versus 3.5 months, hazard ratio 0.45.</w:t>
      </w:r>
    </w:p>
    <w:p>
      <w:pPr>
        <w:spacing w:after="50" w:line="276"/>
        <w:ind w:left="240"/>
      </w:pPr>
      <w:r>
        <w:rPr>
          <w:color w:val="15181F"/>
          <w:sz w:val="18"/>
          <w:szCs w:val="18"/>
        </w:rPr>
        <w:t xml:space="preserve">A previously treated patient with a documented RAS </w:t>
      </w:r>
      <w:r>
        <w:rPr>
          <w:b/>
          <w:bCs/>
          <w:color w:val="15181F"/>
          <w:sz w:val="18"/>
          <w:szCs w:val="18"/>
        </w:rPr>
        <w:t xml:space="preserve">G12</w:t>
      </w:r>
      <w:r>
        <w:rPr>
          <w:color w:val="15181F"/>
          <w:sz w:val="18"/>
          <w:szCs w:val="18"/>
        </w:rPr>
        <w:t xml:space="preserve"> mutation, which is the population in which benefit is established. Grade 3 or higher adverse events were less frequent than with chemotherapy, 61.8% versus 69.6%, treatment-related discontinuation far less, 1.2% versus 11.2%, and time to deterioration in quality of life and in pain favoured daraxonrasib.</w:t>
      </w:r>
    </w:p>
    <w:p>
      <w:pPr>
        <w:spacing w:after="50"/>
        <w:ind w:left="240"/>
      </w:pPr>
      <w:r>
        <w:rPr>
          <w:b/>
          <w:bCs/>
          <w:color w:val="8C2F26"/>
          <w:sz w:val="18"/>
          <w:szCs w:val="18"/>
        </w:rPr>
        <w:t xml:space="preserve">Caveat. </w:t>
      </w:r>
      <w:r>
        <w:rPr>
          <w:color w:val="15181F"/>
          <w:sz w:val="18"/>
          <w:szCs w:val="18"/>
        </w:rPr>
        <w:t xml:space="preserve">Check availability, regulatory status and coverage before raising it with a patient, and state three limits. The benefit is established only for RAS G12 disease: in patients </w:t>
      </w:r>
      <w:r>
        <w:rPr>
          <w:b/>
          <w:bCs/>
          <w:color w:val="15181F"/>
          <w:sz w:val="18"/>
          <w:szCs w:val="18"/>
        </w:rPr>
        <w:t xml:space="preserve">without</w:t>
      </w:r>
      <w:r>
        <w:rPr>
          <w:color w:val="15181F"/>
          <w:sz w:val="18"/>
          <w:szCs w:val="18"/>
        </w:rPr>
        <w:t xml:space="preserve"> a G12 mutation the hazard ratio was 1.38 (95% CI 0.60–3.17), a point estimate favouring chemotherapy. The effect size is inseparable from the comparator's delivery — 38 of 252 patients (15.1%) assigned to chemotherapy never received it against 7 of 248 (2.8%) assigned daraxonrasib, 29 of them withdrawing, and some no longer met eligibility because ECOG had risen above 1 by the time treatment was due, which an oral agent started the same day does not face. And the result is in the previously treated setting only — it says nothing about first line, about the adjuvant setting, or about use around an operation.</w:t>
      </w:r>
    </w:p>
    <w:p>
      <w:pPr>
        <w:spacing w:after="60" w:line="276"/>
        <w:ind w:left="240"/>
      </w:pPr>
      <w:r>
        <w:rPr>
          <w:color w:val="5A6069"/>
          <w:sz w:val="16"/>
          <w:szCs w:val="16"/>
        </w:rPr>
        <w:t xml:space="preserve">Sources: RASolute 302; Daraxonrasib phase 1–2</w:t>
      </w:r>
    </w:p>
    <w:p>
      <w:pPr>
        <w:spacing w:after="50" w:before="120"/>
        <w:ind w:left="240"/>
      </w:pPr>
      <w:r>
        <w:rPr>
          <w:b/>
          <w:bCs/>
          <w:color w:val="15181F"/>
          <w:sz w:val="19"/>
          <w:szCs w:val="19"/>
        </w:rPr>
        <w:t xml:space="preserve">Olaparib maintenance, for germline BRCA1/2 after platinum</w:t>
      </w:r>
      <w:r>
        <w:rPr>
          <w:color w:val="5A6069"/>
          <w:sz w:val="15"/>
          <w:szCs w:val="15"/>
        </w:rPr>
        <w:t xml:space="preserve">   grade B</w:t>
      </w:r>
    </w:p>
    <w:p>
      <w:pPr>
        <w:spacing w:after="50" w:line="276"/>
        <w:ind w:left="240"/>
      </w:pPr>
      <w:r>
        <w:rPr>
          <w:color w:val="15181F"/>
          <w:sz w:val="18"/>
          <w:szCs w:val="18"/>
        </w:rPr>
        <w:t xml:space="preserve">The POLO trial (n=154 randomised 3:2 from 3,315 screened) randomised patients with metastatic disease and a germline </w:t>
      </w:r>
      <w:r>
        <w:rPr>
          <w:i/>
          <w:iCs/>
          <w:color w:val="15181F"/>
          <w:sz w:val="18"/>
          <w:szCs w:val="18"/>
        </w:rPr>
        <w:t xml:space="preserve">BRCA1/2</w:t>
      </w:r>
      <w:r>
        <w:rPr>
          <w:color w:val="15181F"/>
          <w:sz w:val="18"/>
          <w:szCs w:val="18"/>
        </w:rPr>
        <w:t xml:space="preserve"> mutation who had not progressed after at least 16 weeks of first-line platinum-based therapy to olaparib or placebo. Median progression-free survival by blinded independent central review was 7.4 versus 3.8 months, hazard ratio 0.53 (95% CI 0.35–0.82), P=0.004.</w:t>
      </w:r>
    </w:p>
    <w:p>
      <w:pPr>
        <w:spacing w:after="50" w:line="276"/>
        <w:ind w:left="240"/>
      </w:pPr>
      <w:r>
        <w:rPr>
          <w:color w:val="15181F"/>
          <w:sz w:val="18"/>
          <w:szCs w:val="18"/>
        </w:rPr>
        <w:t xml:space="preserve">Exactly that population: germline </w:t>
      </w:r>
      <w:r>
        <w:rPr>
          <w:i/>
          <w:iCs/>
          <w:color w:val="15181F"/>
          <w:sz w:val="18"/>
          <w:szCs w:val="18"/>
        </w:rPr>
        <w:t xml:space="preserve">BRCA1/2</w:t>
      </w:r>
      <w:r>
        <w:rPr>
          <w:color w:val="15181F"/>
          <w:sz w:val="18"/>
          <w:szCs w:val="18"/>
        </w:rPr>
        <w:t xml:space="preserve">, platinum-exposed, no progression at 16 weeks. This is the clearest reason to have the germline result early.</w:t>
      </w:r>
    </w:p>
    <w:p>
      <w:pPr>
        <w:spacing w:after="50"/>
        <w:ind w:left="240"/>
      </w:pPr>
      <w:r>
        <w:rPr>
          <w:b/>
          <w:bCs/>
          <w:color w:val="8C2F26"/>
          <w:sz w:val="18"/>
          <w:szCs w:val="18"/>
        </w:rPr>
        <w:t xml:space="preserve">Caveat. </w:t>
      </w:r>
      <w:r>
        <w:rPr>
          <w:color w:val="15181F"/>
          <w:sz w:val="18"/>
          <w:szCs w:val="18"/>
        </w:rPr>
        <w:t xml:space="preserve">Say the other half. At the interim analysis, at 46% data maturity against a final analysis planned at 69%, there was </w:t>
      </w:r>
      <w:r>
        <w:rPr>
          <w:b/>
          <w:bCs/>
          <w:color w:val="15181F"/>
          <w:sz w:val="18"/>
          <w:szCs w:val="18"/>
        </w:rPr>
        <w:t xml:space="preserve">no overall survival difference</w:t>
      </w:r>
      <w:r>
        <w:rPr>
          <w:color w:val="15181F"/>
          <w:sz w:val="18"/>
          <w:szCs w:val="18"/>
        </w:rPr>
        <w:t xml:space="preserve"> — 18.9 versus 18.1 months, hazard ratio 0.91 (0.56–1.46), P=0.68 — there was no difference in health-related quality of life (between-group difference in global health status −2.47, 95% CI −7.27 to 2.33), and grade 3 or worse adverse events were more frequent with olaparib, 40% versus 23%. Objective response was 23% versus 12%, and time to second progression was also non-significant (HR 0.76, 0.46–1.23).</w:t>
      </w:r>
    </w:p>
    <w:p>
      <w:pPr>
        <w:spacing w:after="60" w:line="276"/>
        <w:ind w:left="240"/>
      </w:pPr>
      <w:r>
        <w:rPr>
          <w:color w:val="5A6069"/>
          <w:sz w:val="16"/>
          <w:szCs w:val="16"/>
        </w:rPr>
        <w:t xml:space="preserve">Sources: POLO</w:t>
      </w:r>
    </w:p>
    <w:p>
      <w:pPr>
        <w:spacing w:after="50" w:before="120"/>
        <w:ind w:left="240"/>
      </w:pPr>
      <w:r>
        <w:rPr>
          <w:b/>
          <w:bCs/>
          <w:color w:val="15181F"/>
          <w:sz w:val="19"/>
          <w:szCs w:val="19"/>
        </w:rPr>
        <w:t xml:space="preserve">Pembrolizumab or dostarlimab, for MSI-high or dMMR disease</w:t>
      </w:r>
      <w:r>
        <w:rPr>
          <w:color w:val="5A6069"/>
          <w:sz w:val="15"/>
          <w:szCs w:val="15"/>
        </w:rPr>
        <w:t xml:space="preserve">   grade D</w:t>
      </w:r>
    </w:p>
    <w:p>
      <w:pPr>
        <w:spacing w:after="50" w:line="276"/>
        <w:ind w:left="240"/>
      </w:pPr>
      <w:r>
        <w:rPr>
          <w:color w:val="15181F"/>
          <w:sz w:val="18"/>
          <w:szCs w:val="18"/>
        </w:rPr>
        <w:t xml:space="preserve">NCCN lists pembrolizumab for MSI-high, dMMR or TMB-high (≥10 mutations/Mb) disease across lines, and dostarlimab for MSI-high or dMMR as subsequent therapy.</w:t>
      </w:r>
    </w:p>
    <w:p>
      <w:pPr>
        <w:spacing w:after="50" w:line="276"/>
        <w:ind w:left="240"/>
      </w:pPr>
      <w:r>
        <w:rPr>
          <w:color w:val="15181F"/>
          <w:sz w:val="18"/>
          <w:szCs w:val="18"/>
        </w:rPr>
        <w:t xml:space="preserve">The small minority of pancreatic tumours that are MSI-high or mismatch-repair deficient. It is the one alteration on this list that can produce a durable response.</w:t>
      </w:r>
    </w:p>
    <w:p>
      <w:pPr>
        <w:spacing w:after="50"/>
        <w:ind w:left="240"/>
      </w:pPr>
      <w:r>
        <w:rPr>
          <w:b/>
          <w:bCs/>
          <w:color w:val="8C2F26"/>
          <w:sz w:val="18"/>
          <w:szCs w:val="18"/>
        </w:rPr>
        <w:t xml:space="preserve">Caveat. </w:t>
      </w:r>
      <w:r>
        <w:rPr>
          <w:color w:val="15181F"/>
          <w:sz w:val="18"/>
          <w:szCs w:val="18"/>
        </w:rPr>
        <w:t xml:space="preserve">Do not test for it late. A patient who has exhausted chemotherapy before anyone checked mismatch repair status has lost the opportunity, and the frequency in PDAC is low enough that nobody finds it by clinical suspicion. Graded D because no trial in pancreatic cancer supports either agent: both are tumour-agnostic approvals carried here through the NCCN listing, and no primary report was retrieved or read in full for this depot.</w:t>
      </w:r>
    </w:p>
    <w:p>
      <w:pPr>
        <w:spacing w:after="50" w:before="120"/>
        <w:ind w:left="240"/>
      </w:pPr>
      <w:r>
        <w:rPr>
          <w:b/>
          <w:bCs/>
          <w:color w:val="15181F"/>
          <w:sz w:val="19"/>
          <w:szCs w:val="19"/>
        </w:rPr>
        <w:t xml:space="preserve">Sotorasib or adagrasib, for KRAS G12C</w:t>
      </w:r>
      <w:r>
        <w:rPr>
          <w:color w:val="5A6069"/>
          <w:sz w:val="15"/>
          <w:szCs w:val="15"/>
        </w:rPr>
        <w:t xml:space="preserve">   grade D</w:t>
      </w:r>
    </w:p>
    <w:p>
      <w:pPr>
        <w:spacing w:after="50" w:line="276"/>
        <w:ind w:left="240"/>
      </w:pPr>
      <w:r>
        <w:rPr>
          <w:color w:val="15181F"/>
          <w:sz w:val="18"/>
          <w:szCs w:val="18"/>
        </w:rPr>
        <w:t xml:space="preserve">NCCN lists both as subsequent therapy options at any performance status. KRAS p.G12C occurs in approximately 1 to 2% of pancreatic cancers.</w:t>
      </w:r>
    </w:p>
    <w:p>
      <w:pPr>
        <w:spacing w:after="50" w:line="276"/>
        <w:ind w:left="240"/>
      </w:pPr>
      <w:r>
        <w:rPr>
          <w:color w:val="15181F"/>
          <w:sz w:val="18"/>
          <w:szCs w:val="18"/>
        </w:rPr>
        <w:t xml:space="preserve">A previously treated patient with a G12C mutation where daraxonrasib is unavailable. Sotorasib in the pooled phase 1–2 CodeBreaK 100 pancreatic cohort (n=38, all previously treated, about 79% with two or more prior lines): centrally confirmed objective response in 8 of 38 (21%, 95% CI 10–37) with no complete responses, median progression-free survival 4.0 months (2.8–5.6), median overall survival 6.9 months (5.0–9.1). Adagrasib in the KRYSTAL-1 phase 2 non-lung, non-colorectal cohort: objective response in </w:t>
      </w:r>
      <w:r>
        <w:rPr>
          <w:b/>
          <w:bCs/>
          <w:color w:val="15181F"/>
          <w:sz w:val="18"/>
          <w:szCs w:val="18"/>
        </w:rPr>
        <w:t xml:space="preserve">7 of 21</w:t>
      </w:r>
      <w:r>
        <w:rPr>
          <w:color w:val="15181F"/>
          <w:sz w:val="18"/>
          <w:szCs w:val="18"/>
        </w:rPr>
        <w:t xml:space="preserve"> pancreatic patients (33.3%) by blinded central review, median progression-free survival 5.4 months, median overall survival 8.0 months.</w:t>
      </w:r>
    </w:p>
    <w:p>
      <w:pPr>
        <w:spacing w:after="50"/>
        <w:ind w:left="240"/>
      </w:pPr>
      <w:r>
        <w:rPr>
          <w:b/>
          <w:bCs/>
          <w:color w:val="8C2F26"/>
          <w:sz w:val="18"/>
          <w:szCs w:val="18"/>
        </w:rPr>
        <w:t xml:space="preserve">Caveat. </w:t>
      </w:r>
      <w:r>
        <w:rPr>
          <w:color w:val="15181F"/>
          <w:sz w:val="18"/>
          <w:szCs w:val="18"/>
        </w:rPr>
        <w:t xml:space="preserve">Downgraded to D, and correct the denominators: these are single-arm results in 38 and </w:t>
      </w:r>
      <w:r>
        <w:rPr>
          <w:b/>
          <w:bCs/>
          <w:color w:val="15181F"/>
          <w:sz w:val="18"/>
          <w:szCs w:val="18"/>
        </w:rPr>
        <w:t xml:space="preserve">21</w:t>
      </w:r>
      <w:r>
        <w:rPr>
          <w:color w:val="15181F"/>
          <w:sz w:val="18"/>
          <w:szCs w:val="18"/>
        </w:rPr>
        <w:t xml:space="preserve"> pancreatic patients, not in the larger numbers this page previously implied. The sotorasib cohort had </w:t>
      </w:r>
      <w:r>
        <w:rPr>
          <w:b/>
          <w:bCs/>
          <w:color w:val="15181F"/>
          <w:sz w:val="18"/>
          <w:szCs w:val="18"/>
        </w:rPr>
        <w:t xml:space="preserve">no prespecified response benchmark and no hypothesis test at all</w:t>
      </w:r>
      <w:r>
        <w:rPr>
          <w:color w:val="15181F"/>
          <w:sz w:val="18"/>
          <w:szCs w:val="18"/>
        </w:rPr>
        <w:t xml:space="preserve">, so there is no threshold it could have failed, and its 10% to 37% confidence interval is compatible with the under-10% historical second-line benchmark the authors invoke. Adagrasib's prespecified 10% null applies to the pooled tumour-agnostic cohort, not to the pancreatic subgroup, and six patients counted as evaluable by investigators were excluded by central review for having no measurable disease at baseline, moving the denominator in the favourable direction. Median overall survival of 6.9 and 8.0 months in third-line-or-later populations with ECOG 0–1 and a life expectancy requirement is indistinguishable from the natural history of those populations. The allele covers 1% to 2% of the disease, and neither report gives a screening denominator. Do not present them as comparable to the RASolute 302 result.</w:t>
      </w:r>
    </w:p>
    <w:p>
      <w:pPr>
        <w:spacing w:after="60" w:line="276"/>
        <w:ind w:left="240"/>
      </w:pPr>
      <w:r>
        <w:rPr>
          <w:color w:val="5A6069"/>
          <w:sz w:val="16"/>
          <w:szCs w:val="16"/>
        </w:rPr>
        <w:t xml:space="preserve">Sources: Sotorasib CodeBreaK 100; Adagrasib KRYSTAL-1</w:t>
      </w:r>
    </w:p>
    <w:p>
      <w:pPr>
        <w:spacing w:after="50" w:before="120"/>
        <w:ind w:left="240"/>
      </w:pPr>
      <w:r>
        <w:rPr>
          <w:b/>
          <w:bCs/>
          <w:color w:val="15181F"/>
          <w:sz w:val="19"/>
          <w:szCs w:val="19"/>
        </w:rPr>
        <w:t xml:space="preserve">Zenocutuzumab, for NRG1 fusions</w:t>
      </w:r>
      <w:r>
        <w:rPr>
          <w:color w:val="5A6069"/>
          <w:sz w:val="15"/>
          <w:szCs w:val="15"/>
        </w:rPr>
        <w:t xml:space="preserve">   grade D</w:t>
      </w:r>
    </w:p>
    <w:p>
      <w:pPr>
        <w:spacing w:after="50" w:line="276"/>
        <w:ind w:left="240"/>
      </w:pPr>
      <w:r>
        <w:rPr>
          <w:color w:val="15181F"/>
          <w:sz w:val="18"/>
          <w:szCs w:val="18"/>
        </w:rPr>
        <w:t xml:space="preserve">NCCN lists zenocutuzumab-zbco as a subsequent therapy option for NRG1 fusion-positive disease at performance status 0–2. In the eNRGy basket trial, 36 of 158 patients in the primary efficacy population had pancreatic ductal adenocarcinoma, and </w:t>
      </w:r>
      <w:r>
        <w:rPr>
          <w:b/>
          <w:bCs/>
          <w:color w:val="15181F"/>
          <w:sz w:val="18"/>
          <w:szCs w:val="18"/>
        </w:rPr>
        <w:t xml:space="preserve">all 36 were KRAS wild-type</w:t>
      </w:r>
      <w:r>
        <w:rPr>
          <w:color w:val="15181F"/>
          <w:sz w:val="18"/>
          <w:szCs w:val="18"/>
        </w:rPr>
        <w:t xml:space="preserve">: 15 of 36 (42%, 95% CI 25–59) responded by investigator assessment and 16 of 36 (44%, 28–62) by blinded independent central review, with median duration of response 7.4 months (4.0–11.2) investigator-assessed and 9.1 months centrally. Twenty-four of 31 pancreatic patients with baseline data (77%) had a CA 19-9 fall of at least 50%.</w:t>
      </w:r>
    </w:p>
    <w:p>
      <w:pPr>
        <w:spacing w:after="50" w:line="276"/>
        <w:ind w:left="240"/>
      </w:pPr>
      <w:r>
        <w:rPr>
          <w:color w:val="15181F"/>
          <w:sz w:val="18"/>
          <w:szCs w:val="18"/>
        </w:rPr>
        <w:t xml:space="preserve">A patient with KRAS wild-type disease, where NRG1 fusions are enriched — in a single-institution series the median age of 10 patients with a detectable NRG1 fusion was 48.5 years, and KRAS wild-type status is the practical trigger to look.</w:t>
      </w:r>
    </w:p>
    <w:p>
      <w:pPr>
        <w:spacing w:after="50"/>
        <w:ind w:left="240"/>
      </w:pPr>
      <w:r>
        <w:rPr>
          <w:b/>
          <w:bCs/>
          <w:color w:val="8C2F26"/>
          <w:sz w:val="18"/>
          <w:szCs w:val="18"/>
        </w:rPr>
        <w:t xml:space="preserve">Caveat. </w:t>
      </w:r>
      <w:r>
        <w:rPr>
          <w:color w:val="15181F"/>
          <w:sz w:val="18"/>
          <w:szCs w:val="18"/>
        </w:rPr>
        <w:t xml:space="preserve">Downgraded to D. Single-arm, 36 pancreatic patients inside a basket trial sized only for the pooled estimate, with a 95% CI of 25% to 59% that cannot distinguish a major advance from a modest one. </w:t>
      </w:r>
      <w:r>
        <w:rPr>
          <w:b/>
          <w:bCs/>
          <w:color w:val="15181F"/>
          <w:sz w:val="18"/>
          <w:szCs w:val="18"/>
        </w:rPr>
        <w:t xml:space="preserve">No progression-free or overall survival is reported for the pancreatic subgroup</w:t>
      </w:r>
      <w:r>
        <w:rPr>
          <w:color w:val="15181F"/>
          <w:sz w:val="18"/>
          <w:szCs w:val="18"/>
        </w:rPr>
        <w:t xml:space="preserve">, so no survival claim can be derived from it. The primary endpoint was investigator-assessed response in an open-label trial with blinded central review only as a secondary endpoint, and the primary efficacy population is a post-enrolment construct — 204 treated patients become 158 evaluable, with exclusions for short follow-up falling disproportionately on early progressors. Only 9 of 47 responses across the whole trial were ongoing at a median follow-up of 7.1 months. Adverse events were mostly grade 1 or 2 with treatment-related grade 3–4 in 7%, so the risk is low — but NRG1 fusions occur in well under 1% of PDAC, no screening denominator is given, and the sponsor designed the trial, analysed the data and drafted the manuscript.</w:t>
      </w:r>
    </w:p>
    <w:p>
      <w:pPr>
        <w:spacing w:after="60" w:line="276"/>
        <w:ind w:left="240"/>
      </w:pPr>
      <w:r>
        <w:rPr>
          <w:color w:val="5A6069"/>
          <w:sz w:val="16"/>
          <w:szCs w:val="16"/>
        </w:rPr>
        <w:t xml:space="preserve">Sources: eNRGy zenocutuzumab</w:t>
      </w:r>
    </w:p>
    <w:p>
      <w:pPr>
        <w:spacing w:after="50" w:before="120"/>
        <w:ind w:left="240"/>
      </w:pPr>
      <w:r>
        <w:rPr>
          <w:b/>
          <w:bCs/>
          <w:color w:val="15181F"/>
          <w:sz w:val="19"/>
          <w:szCs w:val="19"/>
        </w:rPr>
        <w:t xml:space="preserve">An NTRK, RET, BRAF or FGFR-directed agent, by alteration</w:t>
      </w:r>
      <w:r>
        <w:rPr>
          <w:color w:val="5A6069"/>
          <w:sz w:val="15"/>
          <w:szCs w:val="15"/>
        </w:rPr>
        <w:t xml:space="preserve">   grade D</w:t>
      </w:r>
    </w:p>
    <w:p>
      <w:pPr>
        <w:spacing w:after="50" w:line="276"/>
        <w:ind w:left="240"/>
      </w:pPr>
      <w:r>
        <w:rPr>
          <w:color w:val="15181F"/>
          <w:sz w:val="18"/>
          <w:szCs w:val="18"/>
        </w:rPr>
        <w:t xml:space="preserve">NCCN lists entrectinib, larotrectinib or repotrectinib for NTRK fusion-positive disease; selpercatinib for RET fusions (11 pancreatic patients, at least half with an objective response); dabrafenib with trametinib for BRAF V600E, with ORR 38–47% across the NCI-MATCH subprotocol and the ROAR basket trial; and erdafitinib for FGFR alterations, with response in 10 of 18 pancreatic patients (56%) in RAGNAR.</w:t>
      </w:r>
    </w:p>
    <w:p>
      <w:pPr>
        <w:spacing w:after="50" w:line="276"/>
        <w:ind w:left="240"/>
      </w:pPr>
      <w:r>
        <w:rPr>
          <w:color w:val="15181F"/>
          <w:sz w:val="18"/>
          <w:szCs w:val="18"/>
        </w:rPr>
        <w:t xml:space="preserve">Rare alterations where the alternative is further cytotoxic chemotherapy in a previously treated patient. Each is a basket-trial or subgroup result in single-digit to low-double-digit pancreatic numbers.</w:t>
      </w:r>
    </w:p>
    <w:p>
      <w:pPr>
        <w:spacing w:after="50"/>
        <w:ind w:left="240"/>
      </w:pPr>
      <w:r>
        <w:rPr>
          <w:b/>
          <w:bCs/>
          <w:color w:val="8C2F26"/>
          <w:sz w:val="18"/>
          <w:szCs w:val="18"/>
        </w:rPr>
        <w:t xml:space="preserve">Caveat. </w:t>
      </w:r>
      <w:r>
        <w:rPr>
          <w:color w:val="15181F"/>
          <w:sz w:val="18"/>
          <w:szCs w:val="18"/>
        </w:rPr>
        <w:t xml:space="preserve">Downgraded to D: none of these reports was retrieved or read in full for this depot, and all the figures are carried in the NCCN listing supplied to this page. Do not treat the gene as the target. The pancreatic subsets in these trials are tiny — one patient with pancreatic cancer in the larotrectinib analysis, two of three responders among pancreatic patients in the entrectinib trials — and response rates from mixed-tumour baskets do not transfer cleanly to this disease.</w:t>
      </w:r>
    </w:p>
    <w:p>
      <w:pPr>
        <w:spacing w:after="60" w:line="276"/>
        <w:ind w:left="240"/>
      </w:pPr>
      <w:r>
        <w:rPr>
          <w:i/>
          <w:iCs/>
          <w:color w:val="5A6069"/>
          <w:sz w:val="16"/>
          <w:szCs w:val="16"/>
        </w:rPr>
        <w:t xml:space="preserve">Ratification item 8: what is the local sequence after first-line failure, and where does daraxonrasib sit in it given its availability, cost, the absence of any first-line or perioperative data, and the fact that 15.1% of its comparator arm never received the chemotherapy it was allocated? The group should also agree who owns chasing the molecular report, because the commonest failure in this disease is a result that arrives after the patient is too unwell to act on it. Audit: proportion of metastatic patients with a completed germline result and a completed genomic profile before second line, time from biopsy to report, and proportion of actionable results acted on. [PAYER]</w:t>
      </w:r>
    </w:p>
    <w:p>
      <w:pPr>
        <w:spacing w:after="60" w:before="180"/>
      </w:pPr>
      <w:r>
        <w:rPr>
          <w:b/>
          <w:bCs/>
          <w:color w:val="176A87"/>
          <w:spacing w:val="16"/>
          <w:sz w:val="16"/>
          <w:szCs w:val="16"/>
        </w:rPr>
        <w:t xml:space="preserve">REASONABLE</w:t>
      </w:r>
      <w:r>
        <w:rPr>
          <w:color w:val="5A6069"/>
          <w:sz w:val="16"/>
          <w:szCs w:val="16"/>
        </w:rPr>
        <w:t xml:space="preserve">   grade D</w:t>
      </w:r>
    </w:p>
    <w:p>
      <w:pPr>
        <w:spacing w:after="60" w:line="276"/>
      </w:pPr>
      <w:r>
        <w:rPr>
          <w:color w:val="15181F"/>
          <w:sz w:val="19"/>
          <w:szCs w:val="19"/>
        </w:rPr>
        <w:t xml:space="preserve">A chemotherapy holiday or maintenance therapy for a patient doing well on first-line treatment.</w:t>
      </w:r>
    </w:p>
    <w:p>
      <w:pPr>
        <w:spacing w:after="50" w:line="276"/>
        <w:ind w:left="240"/>
      </w:pPr>
      <w:r>
        <w:rPr>
          <w:color w:val="15181F"/>
          <w:sz w:val="18"/>
          <w:szCs w:val="18"/>
        </w:rPr>
        <w:t xml:space="preserve">NCCN offers either for patients who do well on initial therapy. Set the reassessment interval and the trigger for restarting when the holiday begins.</w:t>
      </w:r>
    </w:p>
    <w:p>
      <w:pPr>
        <w:spacing w:after="50"/>
        <w:ind w:left="240"/>
      </w:pPr>
      <w:r>
        <w:rPr>
          <w:b/>
          <w:bCs/>
          <w:color w:val="8C2F26"/>
          <w:sz w:val="18"/>
          <w:szCs w:val="18"/>
        </w:rPr>
        <w:t xml:space="preserve">Caveat. </w:t>
      </w:r>
      <w:r>
        <w:rPr>
          <w:color w:val="15181F"/>
          <w:sz w:val="18"/>
          <w:szCs w:val="18"/>
        </w:rPr>
        <w:t xml:space="preserve">Do not drift into a holiday without a date for the next scan.</w:t>
      </w:r>
    </w:p>
    <w:p>
      <w:pPr>
        <w:spacing w:after="60" w:before="180"/>
      </w:pPr>
      <w:r>
        <w:rPr>
          <w:b/>
          <w:bCs/>
          <w:color w:val="176A87"/>
          <w:spacing w:val="16"/>
          <w:sz w:val="16"/>
          <w:szCs w:val="16"/>
        </w:rPr>
        <w:t xml:space="preserve">REASONABLE</w:t>
      </w:r>
      <w:r>
        <w:rPr>
          <w:color w:val="5A6069"/>
          <w:sz w:val="16"/>
          <w:szCs w:val="16"/>
        </w:rPr>
        <w:t xml:space="preserve">   grade D</w:t>
      </w:r>
    </w:p>
    <w:p>
      <w:pPr>
        <w:spacing w:after="60" w:line="276"/>
      </w:pPr>
      <w:r>
        <w:rPr>
          <w:color w:val="15181F"/>
          <w:sz w:val="19"/>
          <w:szCs w:val="19"/>
        </w:rPr>
        <w:t xml:space="preserve">Rucaparib maintenance for germline or somatic BRCA1, BRCA2 or PALB2 variants, as a second option after platinum.</w:t>
      </w:r>
    </w:p>
    <w:p>
      <w:pPr>
        <w:spacing w:after="50" w:line="276"/>
        <w:ind w:left="240"/>
      </w:pPr>
      <w:r>
        <w:rPr>
          <w:color w:val="15181F"/>
          <w:sz w:val="18"/>
          <w:szCs w:val="18"/>
        </w:rPr>
        <w:t xml:space="preserve">A phase 2 trial of maintenance rucaparib after at least 16 weeks of platinum-based chemotherapy in advanced disease with germline or somatic pathogenic variants in </w:t>
      </w:r>
      <w:r>
        <w:rPr>
          <w:i/>
          <w:iCs/>
          <w:color w:val="15181F"/>
          <w:sz w:val="18"/>
          <w:szCs w:val="18"/>
        </w:rPr>
        <w:t xml:space="preserve">BRCA1</w:t>
      </w:r>
      <w:r>
        <w:rPr>
          <w:color w:val="15181F"/>
          <w:sz w:val="18"/>
          <w:szCs w:val="18"/>
        </w:rPr>
        <w:t xml:space="preserve">, </w:t>
      </w:r>
      <w:r>
        <w:rPr>
          <w:i/>
          <w:iCs/>
          <w:color w:val="15181F"/>
          <w:sz w:val="18"/>
          <w:szCs w:val="18"/>
        </w:rPr>
        <w:t xml:space="preserve">BRCA2</w:t>
      </w:r>
      <w:r>
        <w:rPr>
          <w:color w:val="15181F"/>
          <w:sz w:val="18"/>
          <w:szCs w:val="18"/>
        </w:rPr>
        <w:t xml:space="preserve"> or </w:t>
      </w:r>
      <w:r>
        <w:rPr>
          <w:i/>
          <w:iCs/>
          <w:color w:val="15181F"/>
          <w:sz w:val="18"/>
          <w:szCs w:val="18"/>
        </w:rPr>
        <w:t xml:space="preserve">PALB2</w:t>
      </w:r>
      <w:r>
        <w:rPr>
          <w:color w:val="15181F"/>
          <w:sz w:val="18"/>
          <w:szCs w:val="18"/>
        </w:rPr>
        <w:t xml:space="preserve"> reported median progression-free survival of 13.1 months and median duration of response 17.3 months, with no new safety signal.</w:t>
      </w:r>
    </w:p>
    <w:p>
      <w:pPr>
        <w:spacing w:after="50"/>
        <w:ind w:left="240"/>
      </w:pPr>
      <w:r>
        <w:rPr>
          <w:b/>
          <w:bCs/>
          <w:color w:val="8C2F26"/>
          <w:sz w:val="18"/>
          <w:szCs w:val="18"/>
        </w:rPr>
        <w:t xml:space="preserve">Caveat. </w:t>
      </w:r>
      <w:r>
        <w:rPr>
          <w:color w:val="15181F"/>
          <w:sz w:val="18"/>
          <w:szCs w:val="18"/>
        </w:rPr>
        <w:t xml:space="preserve">Downgraded to D: single-arm phase 2 with no control, and the primary report was not retrieved or read in full for this depot — the figures are carried in the NCCN discussion text supplied to this page. The 13.1-month progression-free survival figure cannot be compared with POLO's 7.4 months. Its one advantage over the POLO population is that it included somatic as well as germline variants and </w:t>
      </w:r>
      <w:r>
        <w:rPr>
          <w:i/>
          <w:iCs/>
          <w:color w:val="15181F"/>
          <w:sz w:val="18"/>
          <w:szCs w:val="18"/>
        </w:rPr>
        <w:t xml:space="preserve">PALB2</w:t>
      </w:r>
      <w:r>
        <w:rPr>
          <w:color w:val="15181F"/>
          <w:sz w:val="18"/>
          <w:szCs w:val="18"/>
        </w:rPr>
        <w:t xml:space="preserve">.</w:t>
      </w:r>
    </w:p>
    <w:p>
      <w:pPr>
        <w:spacing w:after="60" w:before="180"/>
      </w:pPr>
      <w:r>
        <w:rPr>
          <w:b/>
          <w:bCs/>
          <w:color w:val="8C2F26"/>
          <w:spacing w:val="16"/>
          <w:sz w:val="16"/>
          <w:szCs w:val="16"/>
        </w:rPr>
        <w:t xml:space="preserve">AVOID</w:t>
      </w:r>
      <w:r>
        <w:rPr>
          <w:color w:val="5A6069"/>
          <w:sz w:val="16"/>
          <w:szCs w:val="16"/>
        </w:rPr>
        <w:t xml:space="preserve">   grade D</w:t>
      </w:r>
    </w:p>
    <w:p>
      <w:pPr>
        <w:spacing w:after="60" w:line="276"/>
      </w:pPr>
      <w:r>
        <w:rPr>
          <w:color w:val="15181F"/>
          <w:sz w:val="19"/>
          <w:szCs w:val="19"/>
        </w:rPr>
        <w:t xml:space="preserve">Do not treat metastatic pancreatic cancer without a tissue diagnosis.</w:t>
      </w:r>
    </w:p>
    <w:p>
      <w:pPr>
        <w:spacing w:after="50" w:line="276"/>
        <w:ind w:left="240"/>
      </w:pPr>
      <w:r>
        <w:rPr>
          <w:color w:val="15181F"/>
          <w:sz w:val="18"/>
          <w:szCs w:val="18"/>
        </w:rPr>
        <w:t xml:space="preserve">Biopsy the lesion that gives the highest stage, with image guidance for liver lesions, and bank material for sequencing at the same sitting.</w:t>
      </w:r>
    </w:p>
    <w:p>
      <w:pPr>
        <w:spacing w:after="50"/>
        <w:ind w:left="240"/>
      </w:pPr>
      <w:r>
        <w:rPr>
          <w:b/>
          <w:bCs/>
          <w:color w:val="8C2F26"/>
          <w:sz w:val="18"/>
          <w:szCs w:val="18"/>
        </w:rPr>
        <w:t xml:space="preserve">Caveat. </w:t>
      </w:r>
      <w:r>
        <w:rPr>
          <w:color w:val="15181F"/>
          <w:sz w:val="18"/>
          <w:szCs w:val="18"/>
        </w:rPr>
        <w:t xml:space="preserve">NCCN requires a pathologic diagnosis before systemic therapy in metastatic disease. Treating on imaging alone commits a patient to months of cytotoxic therapy on an assumption.</w:t>
      </w:r>
    </w:p>
    <w:p>
      <w:pPr>
        <w:spacing w:after="60" w:before="180"/>
      </w:pPr>
      <w:r>
        <w:rPr>
          <w:b/>
          <w:bCs/>
          <w:color w:val="8C2F26"/>
          <w:spacing w:val="16"/>
          <w:sz w:val="16"/>
          <w:szCs w:val="16"/>
        </w:rPr>
        <w:t xml:space="preserve">AVOID</w:t>
      </w:r>
      <w:r>
        <w:rPr>
          <w:color w:val="5A6069"/>
          <w:sz w:val="16"/>
          <w:szCs w:val="16"/>
        </w:rPr>
        <w:t xml:space="preserve">   grade D</w:t>
      </w:r>
    </w:p>
    <w:p>
      <w:pPr>
        <w:spacing w:after="60" w:line="276"/>
      </w:pPr>
      <w:r>
        <w:rPr>
          <w:color w:val="15181F"/>
          <w:sz w:val="19"/>
          <w:szCs w:val="19"/>
        </w:rPr>
        <w:t xml:space="preserve">Do not offer prophylactic low-molecular-weight heparin routinely.</w:t>
      </w:r>
    </w:p>
    <w:p>
      <w:pPr>
        <w:spacing w:after="50" w:line="276"/>
        <w:ind w:left="240"/>
      </w:pPr>
      <w:r>
        <w:rPr>
          <w:color w:val="15181F"/>
          <w:sz w:val="18"/>
          <w:szCs w:val="18"/>
        </w:rPr>
        <w:t xml:space="preserve">Treat established venous thromboembolism, and keep a low threshold for investigating it — the risk in pancreatic cancer is substantially raised.</w:t>
      </w:r>
    </w:p>
    <w:p>
      <w:pPr>
        <w:spacing w:after="50"/>
        <w:ind w:left="240"/>
      </w:pPr>
      <w:r>
        <w:rPr>
          <w:b/>
          <w:bCs/>
          <w:color w:val="8C2F26"/>
          <w:sz w:val="18"/>
          <w:szCs w:val="18"/>
        </w:rPr>
        <w:t xml:space="preserve">Caveat. </w:t>
      </w:r>
      <w:r>
        <w:rPr>
          <w:color w:val="15181F"/>
          <w:sz w:val="18"/>
          <w:szCs w:val="18"/>
        </w:rPr>
        <w:t xml:space="preserve">CONKO-004 showed that prophylactic enoxaparin lowered symptomatic venous thromboembolism (hazard ratio 0.40, 95% CI 0.19–0.83, P=0.01, n=160 versus 152) but </w:t>
      </w:r>
      <w:r>
        <w:rPr>
          <w:b/>
          <w:bCs/>
          <w:color w:val="15181F"/>
          <w:sz w:val="18"/>
          <w:szCs w:val="18"/>
        </w:rPr>
        <w:t xml:space="preserve">progression-free and overall survival did not differ</w:t>
      </w:r>
      <w:r>
        <w:rPr>
          <w:color w:val="15181F"/>
          <w:sz w:val="18"/>
          <w:szCs w:val="18"/>
        </w:rPr>
        <w:t xml:space="preserve">. NCCN does not recommend prophylactic LMWH at this time, citing the absence of a survival effect. Graded D because the trial was not retrieved or read in full for this depot; the figures are carried in the NCCN discussion text supplied to this page.</w:t>
      </w:r>
    </w:p>
    <w:p>
      <w:pPr>
        <w:spacing w:after="60" w:before="180"/>
      </w:pPr>
      <w:r>
        <w:rPr>
          <w:b/>
          <w:bCs/>
          <w:color w:val="8C2F26"/>
          <w:spacing w:val="16"/>
          <w:sz w:val="16"/>
          <w:szCs w:val="16"/>
        </w:rPr>
        <w:t xml:space="preserve">AVOID</w:t>
      </w:r>
      <w:r>
        <w:rPr>
          <w:color w:val="5A6069"/>
          <w:sz w:val="16"/>
          <w:szCs w:val="16"/>
        </w:rPr>
        <w:t xml:space="preserve">   grade C</w:t>
      </w:r>
    </w:p>
    <w:p>
      <w:pPr>
        <w:spacing w:after="60" w:line="276"/>
      </w:pPr>
      <w:r>
        <w:rPr>
          <w:color w:val="15181F"/>
          <w:sz w:val="19"/>
          <w:szCs w:val="19"/>
        </w:rPr>
        <w:t xml:space="preserve">Do not resect the primary tumour, or a metastasis, for metastatic disease outside a prospective protocol.</w:t>
      </w:r>
    </w:p>
    <w:p>
      <w:pPr>
        <w:spacing w:after="50" w:line="276"/>
        <w:ind w:left="240"/>
      </w:pPr>
      <w:r>
        <w:rPr>
          <w:color w:val="15181F"/>
          <w:sz w:val="18"/>
          <w:szCs w:val="18"/>
        </w:rPr>
        <w:t xml:space="preserve">NCCN's wording is the ceiling of what can be said: in select rare cases, surgery can be considered in patients with a sustained and deep response to systemic therapy, ideally at high-volume centres, and patients with indolent or oligometastatic disease should be referred to a high-volume centre for evaluation.</w:t>
      </w:r>
    </w:p>
    <w:p>
      <w:pPr>
        <w:spacing w:after="50"/>
        <w:ind w:left="240"/>
      </w:pPr>
      <w:r>
        <w:rPr>
          <w:b/>
          <w:bCs/>
          <w:color w:val="8C2F26"/>
          <w:sz w:val="18"/>
          <w:szCs w:val="18"/>
        </w:rPr>
        <w:t xml:space="preserve">Caveat. </w:t>
      </w:r>
      <w:r>
        <w:rPr>
          <w:color w:val="15181F"/>
          <w:sz w:val="18"/>
          <w:szCs w:val="18"/>
        </w:rPr>
        <w:t xml:space="preserve">Everything beyond that sentence is retrospective and selected. The liver-only question has its own gate on this page and is protocol-only.</w:t>
      </w:r>
    </w:p>
    <w:p>
      <w:pPr>
        <w:spacing w:after="60" w:before="180"/>
      </w:pPr>
      <w:r>
        <w:rPr>
          <w:b/>
          <w:bCs/>
          <w:color w:val="8C2F26"/>
          <w:spacing w:val="16"/>
          <w:sz w:val="16"/>
          <w:szCs w:val="16"/>
        </w:rPr>
        <w:t xml:space="preserve">AVOID</w:t>
      </w:r>
      <w:r>
        <w:rPr>
          <w:color w:val="5A6069"/>
          <w:sz w:val="16"/>
          <w:szCs w:val="16"/>
        </w:rPr>
        <w:t xml:space="preserve">   grade D</w:t>
      </w:r>
    </w:p>
    <w:p>
      <w:pPr>
        <w:spacing w:after="60" w:line="276"/>
      </w:pPr>
      <w:r>
        <w:rPr>
          <w:color w:val="15181F"/>
          <w:sz w:val="19"/>
          <w:szCs w:val="19"/>
        </w:rPr>
        <w:t xml:space="preserve">Do not let the molecular report arrive after it can be used.</w:t>
      </w:r>
    </w:p>
    <w:p>
      <w:pPr>
        <w:spacing w:after="50" w:line="276"/>
        <w:ind w:left="240"/>
      </w:pPr>
      <w:r>
        <w:rPr>
          <w:color w:val="15181F"/>
          <w:sz w:val="18"/>
          <w:szCs w:val="18"/>
        </w:rPr>
        <w:t xml:space="preserve">Order profiling at the first visit, bank the extra passes at the index biopsy, and name the person who chases the result.</w:t>
      </w:r>
    </w:p>
    <w:p>
      <w:pPr>
        <w:spacing w:after="50"/>
        <w:ind w:left="240"/>
      </w:pPr>
      <w:r>
        <w:rPr>
          <w:b/>
          <w:bCs/>
          <w:color w:val="8C2F26"/>
          <w:sz w:val="18"/>
          <w:szCs w:val="18"/>
        </w:rPr>
        <w:t xml:space="preserve">Caveat. </w:t>
      </w:r>
      <w:r>
        <w:rPr>
          <w:color w:val="15181F"/>
          <w:sz w:val="18"/>
          <w:szCs w:val="18"/>
        </w:rPr>
        <w:t xml:space="preserve">This is an operational failure, not a clinical judgement, and it is the one that most often costs a patient a targeted option in this disease — including the two options on this page with randomised support.</w:t>
      </w:r>
    </w:p>
    <w:p>
      <w:pPr>
        <w:pBdr>
          <w:bottom w:val="single" w:color="D3DCE4" w:sz="6" w:space="1"/>
        </w:pBdr>
        <w:spacing w:after="80"/>
      </w:pPr>
    </w:p>
    <w:p>
      <w:pPr>
        <w:pStyle w:val="Heading1"/>
        <w:keepNext/>
        <w:pageBreakBefore/>
        <w:spacing w:after="110" w:before="320"/>
      </w:pPr>
      <w:r>
        <w:rPr>
          <w:rFonts w:ascii="Cambria" w:cs="Cambria" w:eastAsia="Cambria" w:hAnsi="Cambria"/>
          <w:b/>
          <w:bCs/>
          <w:color w:val="17365D"/>
          <w:sz w:val="32"/>
          <w:szCs w:val="32"/>
        </w:rPr>
        <w:t xml:space="preserve">Quick reference</w:t>
      </w:r>
    </w:p>
    <w:p>
      <w:pPr>
        <w:pStyle w:val="Heading3"/>
        <w:keepNext/>
        <w:spacing w:after="110" w:before="240"/>
      </w:pPr>
      <w:r>
        <w:rPr>
          <w:rFonts w:ascii="Cambria" w:cs="Cambria" w:eastAsia="Cambria" w:hAnsi="Cambria"/>
          <w:b/>
          <w:bCs/>
          <w:color w:val="17365D"/>
          <w:sz w:val="22"/>
          <w:szCs w:val="22"/>
        </w:rPr>
        <w:t xml:space="preserve">Resectability criteria at diagnosis</w:t>
      </w:r>
    </w:p>
    <w:p>
      <w:pPr>
        <w:spacing w:after="120" w:line="276"/>
      </w:pPr>
      <w:r>
        <w:rPr>
          <w:i/>
          <w:iCs/>
          <w:color w:val="5A6069"/>
          <w:sz w:val="18"/>
          <w:szCs w:val="18"/>
        </w:rPr>
        <w:t xml:space="preserve">The arterial and venous thresholds, in degrees, that decide which gate this patient is on.</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100"/>
        <w:gridCol w:w="5260"/>
      </w:tblGrid>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Resectable — arterial</w:t>
            </w:r>
          </w:p>
        </w:tc>
        <w:tc>
          <w:tcPr>
            <w:tcW w:type="dxa" w:w="5260"/>
            <w:tcMar>
              <w:top w:type="dxa" w:w="70"/>
              <w:left w:type="dxa" w:w="110"/>
              <w:bottom w:type="dxa" w:w="70"/>
              <w:right w:type="dxa" w:w="110"/>
            </w:tcMar>
            <w:vAlign w:val="top"/>
          </w:tcPr>
          <w:p>
            <w:pPr>
              <w:spacing w:after="0" w:line="276"/>
            </w:pPr>
            <w:r>
              <w:rPr>
                <w:color w:val="15181F"/>
                <w:sz w:val="17"/>
                <w:szCs w:val="17"/>
              </w:rPr>
              <w:t xml:space="preserve">No tumour contact with the celiac axis, superior mesenteric artery or common hepatic artery</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Resectable — venous</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No contact with the SMV or portal vein, or ≤180° contact without vein contour irregularity</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Borderline — head/uncinate arterial</w:t>
            </w:r>
          </w:p>
        </w:tc>
        <w:tc>
          <w:tcPr>
            <w:tcW w:type="dxa" w:w="5260"/>
            <w:tcMar>
              <w:top w:type="dxa" w:w="70"/>
              <w:left w:type="dxa" w:w="110"/>
              <w:bottom w:type="dxa" w:w="70"/>
              <w:right w:type="dxa" w:w="110"/>
            </w:tcMar>
            <w:vAlign w:val="top"/>
          </w:tcPr>
          <w:p>
            <w:pPr>
              <w:spacing w:after="0" w:line="276"/>
            </w:pPr>
            <w:r>
              <w:rPr>
                <w:color w:val="15181F"/>
                <w:sz w:val="17"/>
                <w:szCs w:val="17"/>
              </w:rPr>
              <w:t xml:space="preserve">Contact with the common hepatic artery without extension to the celiac axis or hepatic artery bifurcation, allowing safe complete resection and reconstruction; or SMA contact ≤180°; or contact with variant arterial anatomy (accessory or replaced right hepatic artery, replaced common hepatic artery, and the origin of the replaced or accessory vessel), with the degree recorded</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Borderline — body/tail arterial</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Celiac axis contact ≤180°</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Borderline — venous</w:t>
            </w:r>
          </w:p>
        </w:tc>
        <w:tc>
          <w:tcPr>
            <w:tcW w:type="dxa" w:w="5260"/>
            <w:tcMar>
              <w:top w:type="dxa" w:w="70"/>
              <w:left w:type="dxa" w:w="110"/>
              <w:bottom w:type="dxa" w:w="70"/>
              <w:right w:type="dxa" w:w="110"/>
            </w:tcMar>
            <w:vAlign w:val="top"/>
          </w:tcPr>
          <w:p>
            <w:pPr>
              <w:spacing w:after="0" w:line="276"/>
            </w:pPr>
            <w:r>
              <w:rPr>
                <w:color w:val="15181F"/>
                <w:sz w:val="17"/>
                <w:szCs w:val="17"/>
              </w:rPr>
              <w:t xml:space="preserve">SMV or portal vein contact &gt;180°; or ≤180° with vein contour irregularity; or vein thrombosis with suitable vessel proximal and distal allowing safe complete resection and vein reconstruction; or contact with the inferior vena cava</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Locally advanced — head/uncinate arterial</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SMA or celiac axis contact &gt;180°</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Locally advanced — body/tail arterial</w:t>
            </w:r>
          </w:p>
        </w:tc>
        <w:tc>
          <w:tcPr>
            <w:tcW w:type="dxa" w:w="5260"/>
            <w:tcMar>
              <w:top w:type="dxa" w:w="70"/>
              <w:left w:type="dxa" w:w="110"/>
              <w:bottom w:type="dxa" w:w="70"/>
              <w:right w:type="dxa" w:w="110"/>
            </w:tcMar>
            <w:vAlign w:val="top"/>
          </w:tcPr>
          <w:p>
            <w:pPr>
              <w:spacing w:after="0" w:line="276"/>
            </w:pPr>
            <w:r>
              <w:rPr>
                <w:color w:val="15181F"/>
                <w:sz w:val="17"/>
                <w:szCs w:val="17"/>
              </w:rPr>
              <w:t xml:space="preserve">SMA or celiac axis contact &gt;180°; or celiac axis contact with aortic involvement</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Locally advanced — venous</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Complete SMV or portal vein occlusion, not amenable to resection and primary reconstruction</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Metastatic</w:t>
            </w:r>
          </w:p>
        </w:tc>
        <w:tc>
          <w:tcPr>
            <w:tcW w:type="dxa" w:w="5260"/>
            <w:tcMar>
              <w:top w:type="dxa" w:w="70"/>
              <w:left w:type="dxa" w:w="110"/>
              <w:bottom w:type="dxa" w:w="70"/>
              <w:right w:type="dxa" w:w="110"/>
            </w:tcMar>
            <w:vAlign w:val="top"/>
          </w:tcPr>
          <w:p>
            <w:pPr>
              <w:spacing w:after="0" w:line="276"/>
            </w:pPr>
            <w:r>
              <w:rPr>
                <w:color w:val="15181F"/>
                <w:sz w:val="17"/>
                <w:szCs w:val="17"/>
              </w:rPr>
              <w:t xml:space="preserve">Any distant metastasis, including non-regional nodal metastasis, or positive peritoneal cytology</w:t>
            </w:r>
          </w:p>
        </w:tc>
      </w:tr>
    </w:tbl>
    <w:p>
      <w:pPr>
        <w:spacing w:after="200" w:line="276"/>
      </w:pPr>
      <w:r>
        <w:rPr>
          <w:i/>
          <w:iCs/>
          <w:color w:val="5A6069"/>
          <w:sz w:val="16"/>
          <w:szCs w:val="16"/>
        </w:rPr>
        <w:t xml:space="preserve">Decisions about resectability status should be made in consensus at a multidisciplinary meeting, not by a single reader. Three caveats sit on this table. First, nobody derived these thresholds: the 180-degree cut-point was adopted into the Society of Abdominal Radiology and American Pancreatic Association consensus statement from the NCCN criteria of the time, at a single meeting in November 2011 with no Delphi process, no voting and no described literature search, and that statement reports no inter-reader reproducibility data for measuring circumferential contact and no validation that using it changes report completeness, board decisions, resection rates or margins. Second, the category is assigned less reliably than the degrees imply: in SWOG S1505, at experienced US trial centres with a protocol scan and formal surgical consultation, central radiology review found 29% of patients called resectable did not meet the criteria — 51% with arterial interface, 35% with venous interface of 180 degrees or more and 65% with suspicion of distant disease — and a site radiologist checklist moved that only from 33% to 26%. Third, the criteria for resectable disease deliberately favour specificity over sensitivity so that no potentially resectable patient is denied an operation — occult metastatic disease is therefore expected rather than surprising, and CT sensitivity for small hepatic and peritoneal deposits is limited. After neoadjuvant therapy solid tumour contact may be replaced by increased hazy density or stranding around the peripancreatic vessels, and NCCN asks for this to be reported on both the staging and follow-up scans; mild increases in perivascular soft tissue do not alone represent progression, and ESMO states that imaging performance after chemotherapy is lower than in treatment-naive settings. Distant metastasis, regardless of anatomic resectability, implies disease that should not be treated with upfront resection. </w:t>
      </w:r>
      <w:r>
        <w:rPr>
          <w:i/>
          <w:iCs/>
          <w:color w:val="5A6069"/>
          <w:sz w:val="16"/>
          <w:szCs w:val="16"/>
        </w:rPr>
        <w:t xml:space="preserve">Locally advanced</w:t>
      </w:r>
      <w:r>
        <w:rPr>
          <w:i/>
          <w:iCs/>
          <w:color w:val="5A6069"/>
          <w:sz w:val="16"/>
          <w:szCs w:val="16"/>
        </w:rPr>
        <w:t xml:space="preserve"> is a term for the time of diagnosis only and does not imply unresectable tumour. Imaging protocol: pancreatic parenchymal phase at 40–50 seconds and portal venous phase at 65–70 seconds, sections under 3 mm and preferably submillimetre, neutral oral contrast, with multiplanar reformats and a maximum-intensity-projection or 3D volumetric reconstruction for the vessels; high-quality CT no more than 4 weeks before surgery.</w:t>
      </w:r>
    </w:p>
    <w:p>
      <w:pPr>
        <w:pStyle w:val="Heading3"/>
        <w:keepNext/>
        <w:spacing w:after="110" w:before="240"/>
      </w:pPr>
      <w:r>
        <w:rPr>
          <w:rFonts w:ascii="Cambria" w:cs="Cambria" w:eastAsia="Cambria" w:hAnsi="Cambria"/>
          <w:b/>
          <w:bCs/>
          <w:color w:val="17365D"/>
          <w:sz w:val="22"/>
          <w:szCs w:val="22"/>
        </w:rPr>
        <w:t xml:space="preserve">The neoadjuvant trials, side by side — and what each one's control arm got</w:t>
      </w:r>
    </w:p>
    <w:p>
      <w:pPr>
        <w:spacing w:after="120" w:line="276"/>
      </w:pPr>
      <w:r>
        <w:rPr>
          <w:i/>
          <w:iCs/>
          <w:color w:val="5A6069"/>
          <w:sz w:val="18"/>
          <w:szCs w:val="18"/>
        </w:rPr>
        <w:t xml:space="preserve">What each trial actually compared, in which population, what it showed and what its comparator was — because they do not agree, and because only one of them gave its control arm modern adjuvant chemotherapy.</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100"/>
        <w:gridCol w:w="5260"/>
      </w:tblGrid>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PREOPANC (n=246, resectable + borderline)</w:t>
            </w:r>
          </w:p>
        </w:tc>
        <w:tc>
          <w:tcPr>
            <w:tcW w:type="dxa" w:w="5260"/>
            <w:tcMar>
              <w:top w:type="dxa" w:w="70"/>
              <w:left w:type="dxa" w:w="110"/>
              <w:bottom w:type="dxa" w:w="70"/>
              <w:right w:type="dxa" w:w="110"/>
            </w:tcMar>
            <w:vAlign w:val="top"/>
          </w:tcPr>
          <w:p>
            <w:pPr>
              <w:spacing w:after="0" w:line="276"/>
            </w:pPr>
            <w:r>
              <w:rPr>
                <w:color w:val="15181F"/>
                <w:sz w:val="17"/>
                <w:szCs w:val="17"/>
              </w:rPr>
              <w:t xml:space="preserve">Neoadjuvant gemcitabine chemoradiotherapy vs upfront surgery, </w:t>
            </w:r>
            <w:r>
              <w:rPr>
                <w:b/>
                <w:bCs/>
                <w:color w:val="15181F"/>
                <w:sz w:val="17"/>
                <w:szCs w:val="17"/>
              </w:rPr>
              <w:t xml:space="preserve">both arms adjuvant gemcitabine monotherapy</w:t>
            </w:r>
            <w:r>
              <w:rPr>
                <w:color w:val="15181F"/>
                <w:sz w:val="17"/>
                <w:szCs w:val="17"/>
              </w:rPr>
              <w:t xml:space="preserve"> — and only 65 of 127 (51%) of the surgery arm received any chemotherapy. First report negative: median OS 16.0 vs 14.3 months, HR 0.78 (0.58–1.05), P=.096; resection 61% vs 72% (P=.058). Long-term positive at a second, unplanned look: HR 0.73 (0.56–0.96), P=.025, medians 15.7 vs 14.3, 5-year OS 20.5% vs 6.5%. Resectable subgroup HR 0.79 (0.54–1.16), P=.23; borderline 0.67 (0.45–0.99), P=.045; no significant interaction. 24% of the neoadjuvant arm never started it; staging laparoscopy mandatory in that arm only</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PREOPANC-2 (n=369, resectable + borderline)</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Neoadjuvant FOLFIRINOX with </w:t>
            </w:r>
            <w:r>
              <w:rPr>
                <w:b/>
                <w:bCs/>
                <w:color w:val="15181F"/>
                <w:sz w:val="17"/>
                <w:szCs w:val="17"/>
              </w:rPr>
              <w:t xml:space="preserve">no adjuvant treatment</w:t>
            </w:r>
            <w:r>
              <w:rPr>
                <w:color w:val="15181F"/>
                <w:sz w:val="17"/>
                <w:szCs w:val="17"/>
              </w:rPr>
              <w:t xml:space="preserve"> vs the PREOPANC chemoradiotherapy regimen with adjuvant gemcitabine. </w:t>
            </w:r>
            <w:r>
              <w:rPr>
                <w:b/>
                <w:bCs/>
                <w:color w:val="15181F"/>
                <w:sz w:val="17"/>
                <w:szCs w:val="17"/>
              </w:rPr>
              <w:t xml:space="preserve">No upfront-surgery arm at all.</w:t>
            </w:r>
            <w:r>
              <w:rPr>
                <w:color w:val="15181F"/>
                <w:sz w:val="17"/>
                <w:szCs w:val="17"/>
              </w:rPr>
              <w:t xml:space="preserve"> Failed superiority: median OS 21.9 vs 21.3 months, HR 0.88 (0.69–1.13), p=0.32 — the interval reaches 1.13, so this is not a demonstration of equivalence. Only 114 of 185 (62%) completed eight FOLFIRINOX cycles, 82% needed dose reductions. One significant secondary endpoint, favouring chemoradiotherapy: ypN0 58% vs 47%, p=0.0073</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NORPACT-1 (n=140, resectable head only)</w:t>
            </w:r>
          </w:p>
        </w:tc>
        <w:tc>
          <w:tcPr>
            <w:tcW w:type="dxa" w:w="5260"/>
            <w:tcMar>
              <w:top w:type="dxa" w:w="70"/>
              <w:left w:type="dxa" w:w="110"/>
              <w:bottom w:type="dxa" w:w="70"/>
              <w:right w:type="dxa" w:w="110"/>
            </w:tcMar>
            <w:vAlign w:val="top"/>
          </w:tcPr>
          <w:p>
            <w:pPr>
              <w:spacing w:after="0" w:line="276"/>
            </w:pPr>
            <w:r>
              <w:rPr>
                <w:color w:val="15181F"/>
                <w:sz w:val="17"/>
                <w:szCs w:val="17"/>
              </w:rPr>
              <w:t xml:space="preserve">Neoadjuvant FOLFIRINOX vs upfront surgery. </w:t>
            </w:r>
            <w:r>
              <w:rPr>
                <w:b/>
                <w:bCs/>
                <w:color w:val="15181F"/>
                <w:sz w:val="17"/>
                <w:szCs w:val="17"/>
              </w:rPr>
              <w:t xml:space="preserve">The only trial whose control arm partly received modern adjuvant therapy — 19 of 44 resected control patients (43%) got adjuvant mFOLFIRINOX.</w:t>
            </w:r>
            <w:r>
              <w:rPr>
                <w:color w:val="15181F"/>
                <w:sz w:val="17"/>
                <w:szCs w:val="17"/>
              </w:rPr>
              <w:t xml:space="preserve"> Primary endpoint significant in favour of </w:t>
            </w:r>
            <w:r>
              <w:rPr>
                <w:b/>
                <w:bCs/>
                <w:color w:val="15181F"/>
                <w:sz w:val="17"/>
                <w:szCs w:val="17"/>
              </w:rPr>
              <w:t xml:space="preserve">upfront surgery</w:t>
            </w:r>
            <w:r>
              <w:rPr>
                <w:color w:val="15181F"/>
                <w:sz w:val="17"/>
                <w:szCs w:val="17"/>
              </w:rPr>
              <w:t xml:space="preserve">: 18-month survival 60% vs 73% (p=0.032); median OS 25.1 vs 38.5 months, HR 1.52 (1.00–2.33), log-rank p=0.050 by ITT. Phase 2, designed at two-sided </w:t>
            </w:r>
            <w:r>
              <w:rPr>
                <w:b/>
                <w:bCs/>
                <w:color w:val="15181F"/>
                <w:sz w:val="17"/>
                <w:szCs w:val="17"/>
              </w:rPr>
              <w:t xml:space="preserve">alpha 0.15</w:t>
            </w:r>
            <w:r>
              <w:rPr>
                <w:color w:val="15181F"/>
                <w:sz w:val="17"/>
                <w:szCs w:val="17"/>
              </w:rPr>
              <w:t xml:space="preserve">; nothing significant per protocol (p=0.14; HR 1.46, 0.99–2.17, p=0.058). 16 of 77 (21%) never received FOLFIRINOX and </w:t>
            </w:r>
            <w:r>
              <w:rPr>
                <w:b/>
                <w:bCs/>
                <w:color w:val="15181F"/>
                <w:sz w:val="17"/>
                <w:szCs w:val="17"/>
              </w:rPr>
              <w:t xml:space="preserve">all 16 went straight to resection</w:t>
            </w:r>
            <w:r>
              <w:rPr>
                <w:color w:val="15181F"/>
                <w:sz w:val="17"/>
                <w:szCs w:val="17"/>
              </w:rPr>
              <w:t xml:space="preserve">; only 37 of 61 who started (61%) completed four cycles. The 38.5-month control-arm median exceeds every comparable upfront-surgery arm</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ESPAC5 (n=90 randomised, 86 analysed, borderline only)</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Four arms: immediate surgery vs gemcitabine+capecitabine vs FOLFIRINOX vs capecitabine chemoradiotherapy. Adjuvant therapy anywhere in the trial was gemcitabine-based in 41 of 43 patients (95%). </w:t>
            </w:r>
            <w:r>
              <w:rPr>
                <w:b/>
                <w:bCs/>
                <w:color w:val="15181F"/>
                <w:sz w:val="17"/>
                <w:szCs w:val="17"/>
              </w:rPr>
              <w:t xml:space="preserve">Both primary endpoints negative</w:t>
            </w:r>
            <w:r>
              <w:rPr>
                <w:color w:val="15181F"/>
                <w:sz w:val="17"/>
                <w:szCs w:val="17"/>
              </w:rPr>
              <w:t xml:space="preserve"> — recruitment 90 of a 100 target at 2.16/month, resection 68% vs 55% (P=0.33, favouring immediate surgery), R0 14% vs 23% (P=0.49). 1-year OS 39% vs 78% vs 84% vs 60% (P=0.0028), pooled HR 0.29 (0.14–0.60): a secondary endpoint, 31 deaths, follow-up capped at 12 months, control-arm CA 19-9 802 vs 322–623 kU/L unadjusted. The chemoradiotherapy arm had the best pathology and the worst survival</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SWOG S1505 (n=147 enrolled, 102 analysed, resectable)</w:t>
            </w:r>
          </w:p>
        </w:tc>
        <w:tc>
          <w:tcPr>
            <w:tcW w:type="dxa" w:w="5260"/>
            <w:tcMar>
              <w:top w:type="dxa" w:w="70"/>
              <w:left w:type="dxa" w:w="110"/>
              <w:bottom w:type="dxa" w:w="70"/>
              <w:right w:type="dxa" w:w="110"/>
            </w:tcMar>
            <w:vAlign w:val="top"/>
          </w:tcPr>
          <w:p>
            <w:pPr>
              <w:spacing w:after="0" w:line="276"/>
            </w:pPr>
            <w:r>
              <w:rPr>
                <w:color w:val="15181F"/>
                <w:sz w:val="17"/>
                <w:szCs w:val="17"/>
              </w:rPr>
              <w:t xml:space="preserve">Perioperative mFOLFIRINOX vs perioperative gemcitabine/nab-paclitaxel. </w:t>
            </w:r>
            <w:r>
              <w:rPr>
                <w:b/>
                <w:bCs/>
                <w:color w:val="15181F"/>
                <w:sz w:val="17"/>
                <w:szCs w:val="17"/>
              </w:rPr>
              <w:t xml:space="preserve">No randomised control</w:t>
            </w:r>
            <w:r>
              <w:rPr>
                <w:color w:val="15181F"/>
                <w:sz w:val="17"/>
                <w:szCs w:val="17"/>
              </w:rPr>
              <w:t xml:space="preserve"> — each arm tested against a historical 2-year survival of 40% from adjuvant trials, and </w:t>
            </w:r>
            <w:r>
              <w:rPr>
                <w:b/>
                <w:bCs/>
                <w:color w:val="15181F"/>
                <w:sz w:val="17"/>
                <w:szCs w:val="17"/>
              </w:rPr>
              <w:t xml:space="preserve">both arms missed it</w:t>
            </w:r>
            <w:r>
              <w:rPr>
                <w:color w:val="15181F"/>
                <w:sz w:val="17"/>
                <w:szCs w:val="17"/>
              </w:rPr>
              <w:t xml:space="preserve">: 47% (P=.15) and 48% (P=.14). Median OS 23.2 and 23.6 months. No winner picked. 45 of 147 (31%) removed from the analysed population after treatment, 43 of them on central radiology review. Its durable finding is that </w:t>
            </w:r>
            <w:r>
              <w:rPr>
                <w:b/>
                <w:bCs/>
                <w:color w:val="15181F"/>
                <w:sz w:val="17"/>
                <w:szCs w:val="17"/>
              </w:rPr>
              <w:t xml:space="preserve">29% of patients called resectable by their own centres did not meet the criteria</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Alliance A021501 (n=126 registered, borderline only)</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Neoadjuvant mFOLFIRINOX vs mFOLFIRINOX plus hypofractionated radiotherapy, each against a historical 18-month survival of 50% at one-sided alpha 0.07; postoperative therapy was FOLFOX6, reaching 34% and 24%. </w:t>
            </w:r>
            <w:r>
              <w:rPr>
                <w:b/>
                <w:bCs/>
                <w:color w:val="15181F"/>
                <w:sz w:val="17"/>
                <w:szCs w:val="17"/>
              </w:rPr>
              <w:t xml:space="preserve">No randomised control, and the design forbids comparing the arms.</w:t>
            </w:r>
            <w:r>
              <w:rPr>
                <w:color w:val="15181F"/>
                <w:sz w:val="17"/>
                <w:szCs w:val="17"/>
              </w:rPr>
              <w:t xml:space="preserve"> Arm 1 met its benchmark (18-month OS 66.7%, 56.1–79.4; median 29.8 months); arm 2 closed early for futility on R0 rate in the first 30 patients (10 of 30 vs 17 of 30) with 18-month OS 47.3% and median 17.1 months. 16 of arm 1's 70 patients were registered </w:t>
            </w:r>
            <w:r>
              <w:rPr>
                <w:b/>
                <w:bCs/>
                <w:color w:val="15181F"/>
                <w:sz w:val="17"/>
                <w:szCs w:val="17"/>
              </w:rPr>
              <w:t xml:space="preserve">without randomisation</w:t>
            </w:r>
            <w:r>
              <w:rPr>
                <w:color w:val="15181F"/>
                <w:sz w:val="17"/>
                <w:szCs w:val="17"/>
              </w:rPr>
              <w:t xml:space="preserve"> after arm 2 closed; 27% of arm 2 never received radiotherapy</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Alliance A021806 (n=358, resectable)</w:t>
            </w:r>
          </w:p>
        </w:tc>
        <w:tc>
          <w:tcPr>
            <w:tcW w:type="dxa" w:w="5260"/>
            <w:tcMar>
              <w:top w:type="dxa" w:w="70"/>
              <w:left w:type="dxa" w:w="110"/>
              <w:bottom w:type="dxa" w:w="70"/>
              <w:right w:type="dxa" w:w="110"/>
            </w:tcMar>
            <w:vAlign w:val="top"/>
          </w:tcPr>
          <w:p>
            <w:pPr>
              <w:spacing w:after="0" w:line="276"/>
            </w:pPr>
            <w:r>
              <w:rPr>
                <w:color w:val="15181F"/>
                <w:sz w:val="17"/>
                <w:szCs w:val="17"/>
              </w:rPr>
              <w:t xml:space="preserve">Perioperative vs adjuvant mFOLFIRINOX, primary endpoint overall survival — the only trial that asks the question this gate faces. </w:t>
            </w:r>
            <w:r>
              <w:rPr>
                <w:b/>
                <w:bCs/>
                <w:color w:val="15181F"/>
                <w:sz w:val="17"/>
                <w:szCs w:val="17"/>
              </w:rPr>
              <w:t xml:space="preserve">No results.</w:t>
            </w:r>
            <w:r>
              <w:rPr>
                <w:color w:val="15181F"/>
                <w:sz w:val="17"/>
                <w:szCs w:val="17"/>
              </w:rPr>
              <w:t xml:space="preserve"> Active, not recruiting; primary completion scheduled December 2028</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Pooled, 9 randomised trials (n=1,194)</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Overall HR 0.73 (0.55–0.98), I² 55.8%; by subgroup borderline resectable 0.60 (0.38–0.96) and resectable 0.90 (0.63–1.28) — but the </w:t>
            </w:r>
            <w:r>
              <w:rPr>
                <w:b/>
                <w:bCs/>
                <w:color w:val="15181F"/>
                <w:sz w:val="17"/>
                <w:szCs w:val="17"/>
              </w:rPr>
              <w:t xml:space="preserve">between-subgroup test was not significant (p=0.081)</w:t>
            </w:r>
            <w:r>
              <w:rPr>
                <w:color w:val="15181F"/>
                <w:sz w:val="17"/>
                <w:szCs w:val="17"/>
              </w:rPr>
              <w:t xml:space="preserve">. Resection rate lower (72.6% vs 80.6%, RR 0.94); R0 higher (43.8% vs 33.0%, RR 1.35); N0 higher (30.9% vs 15.0%, RR 2.03); serious adverse events roughly doubled (56.1% vs 27.0%, RR reported as 1.92 with a 95% CI of 1.28–1.89 that does not contain its own point estimate). </w:t>
            </w:r>
            <w:r>
              <w:rPr>
                <w:b/>
                <w:bCs/>
                <w:color w:val="15181F"/>
                <w:sz w:val="17"/>
                <w:szCs w:val="17"/>
              </w:rPr>
              <w:t xml:space="preserve">Adjuvant therapy initiation did not differ (57.7% vs 55.6%, p=0.353)</w:t>
            </w:r>
            <w:r>
              <w:rPr>
                <w:color w:val="15181F"/>
                <w:sz w:val="17"/>
                <w:szCs w:val="17"/>
              </w:rPr>
              <w:t xml:space="preserve">, which undercuts the mechanism the strategy rests on. The pooled comparator is overwhelmingly adjuvant gemcitabine or S-1; the headline estimate depends on </w:t>
            </w:r>
            <w:r>
              <w:rPr>
                <w:b/>
                <w:bCs/>
                <w:color w:val="15181F"/>
                <w:sz w:val="17"/>
                <w:szCs w:val="17"/>
              </w:rPr>
              <w:t xml:space="preserve">post hoc removal of NORPACT-1</w:t>
            </w:r>
            <w:r>
              <w:rPr>
                <w:color w:val="15181F"/>
                <w:sz w:val="17"/>
                <w:szCs w:val="17"/>
              </w:rPr>
              <w:t xml:space="preserve">, the only trial with a partly modern comparator and the only one favouring upfront surgery</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ESMO 2023 guideline</w:t>
            </w:r>
          </w:p>
        </w:tc>
        <w:tc>
          <w:tcPr>
            <w:tcW w:type="dxa" w:w="5260"/>
            <w:tcMar>
              <w:top w:type="dxa" w:w="70"/>
              <w:left w:type="dxa" w:w="110"/>
              <w:bottom w:type="dxa" w:w="70"/>
              <w:right w:type="dxa" w:w="110"/>
            </w:tcMar>
            <w:vAlign w:val="top"/>
          </w:tcPr>
          <w:p>
            <w:pPr>
              <w:spacing w:after="0" w:line="276"/>
            </w:pPr>
            <w:r>
              <w:rPr>
                <w:b/>
                <w:bCs/>
                <w:color w:val="15181F"/>
                <w:sz w:val="17"/>
                <w:szCs w:val="17"/>
              </w:rPr>
              <w:t xml:space="preserve">Neoadjuvant therapy is not recommended for resectable pancreatic cancer due to limited phase III evidence, except in the context of clinical trials — [II, E]</w:t>
            </w:r>
            <w:r>
              <w:rPr>
                <w:color w:val="15181F"/>
                <w:sz w:val="17"/>
                <w:szCs w:val="17"/>
              </w:rPr>
              <w:t xml:space="preserve">, a recommendation against. Induction is favoured over upfront surgery in borderline resectable disease on weaker language (</w:t>
            </w:r>
            <w:r>
              <w:rPr>
                <w:i/>
                <w:iCs/>
                <w:color w:val="15181F"/>
                <w:sz w:val="17"/>
                <w:szCs w:val="17"/>
              </w:rPr>
              <w:t xml:space="preserve">impact on OS seems promising</w:t>
            </w:r>
            <w:r>
              <w:rPr>
                <w:color w:val="15181F"/>
                <w:sz w:val="17"/>
                <w:szCs w:val="17"/>
              </w:rPr>
              <w:t xml:space="preserve">). The guideline predates PREOPANC-2, NORPACT-1 and the 2025 meta-analyses, and describes no literature search strategy</w:t>
            </w:r>
          </w:p>
        </w:tc>
      </w:tr>
    </w:tbl>
    <w:p>
      <w:pPr>
        <w:spacing w:after="200" w:line="276"/>
      </w:pPr>
      <w:r>
        <w:rPr>
          <w:i/>
          <w:iCs/>
          <w:color w:val="5A6069"/>
          <w:sz w:val="16"/>
          <w:szCs w:val="16"/>
        </w:rPr>
        <w:t xml:space="preserve">Reading the table by resectability category is the most coherent way to hold it together — in </w:t>
      </w:r>
      <w:r>
        <w:rPr>
          <w:b/>
          <w:bCs/>
          <w:i/>
          <w:iCs/>
          <w:color w:val="5A6069"/>
          <w:sz w:val="16"/>
          <w:szCs w:val="16"/>
        </w:rPr>
        <w:t xml:space="preserve">borderline resectable</w:t>
      </w:r>
      <w:r>
        <w:rPr>
          <w:i/>
          <w:iCs/>
          <w:color w:val="5A6069"/>
          <w:sz w:val="16"/>
          <w:szCs w:val="16"/>
        </w:rPr>
        <w:t xml:space="preserve"> disease the randomised evidence leans toward neoadjuvant chemotherapy (pooled HR 0.60, and ESPAC5's survival signal), while in </w:t>
      </w:r>
      <w:r>
        <w:rPr>
          <w:b/>
          <w:bCs/>
          <w:i/>
          <w:iCs/>
          <w:color w:val="5A6069"/>
          <w:sz w:val="16"/>
          <w:szCs w:val="16"/>
        </w:rPr>
        <w:t xml:space="preserve">anatomically resectable</w:t>
      </w:r>
      <w:r>
        <w:rPr>
          <w:i/>
          <w:iCs/>
          <w:color w:val="5A6069"/>
          <w:sz w:val="16"/>
          <w:szCs w:val="16"/>
        </w:rPr>
        <w:t xml:space="preserve"> disease it does not (pooled HR 0.90, NORPACT-1 pointing the other way, and ESMO recommending against at [II, E]). But the full-text read says that reading is a hypothesis, not a result: the between-subgroup test in the pooled analysis was </w:t>
      </w:r>
      <w:r>
        <w:rPr>
          <w:b/>
          <w:bCs/>
          <w:i/>
          <w:iCs/>
          <w:color w:val="5A6069"/>
          <w:sz w:val="16"/>
          <w:szCs w:val="16"/>
        </w:rPr>
        <w:t xml:space="preserve">not</w:t>
      </w:r>
      <w:r>
        <w:rPr>
          <w:i/>
          <w:iCs/>
          <w:color w:val="5A6069"/>
          <w:sz w:val="16"/>
          <w:szCs w:val="16"/>
        </w:rPr>
        <w:t xml:space="preserve"> significant (p=0.081), PREOPANC's interaction test was not significant in either report, and PREOPANC-2 found no treatment-effect heterogeneity in any subgroup. Five traps. </w:t>
      </w:r>
      <w:r>
        <w:rPr>
          <w:b/>
          <w:bCs/>
          <w:i/>
          <w:iCs/>
          <w:color w:val="5A6069"/>
          <w:sz w:val="16"/>
          <w:szCs w:val="16"/>
        </w:rPr>
        <w:t xml:space="preserve">The comparator.</w:t>
      </w:r>
      <w:r>
        <w:rPr>
          <w:i/>
          <w:iCs/>
          <w:color w:val="5A6069"/>
          <w:sz w:val="16"/>
          <w:szCs w:val="16"/>
        </w:rPr>
        <w:t xml:space="preserve"> Only NORPACT-1 gave its control arm modern adjuvant therapy, and there only 43% of resected control patients received adjuvant mFOLFIRINOX — so the question a board actually faces, neoadjuvant chemotherapy against upfront surgery with adjuvant mFOLFIRINOX, has never been tested; A021806 will test it and has published nothing. </w:t>
      </w:r>
      <w:r>
        <w:rPr>
          <w:b/>
          <w:bCs/>
          <w:i/>
          <w:iCs/>
          <w:color w:val="5A6069"/>
          <w:sz w:val="16"/>
          <w:szCs w:val="16"/>
        </w:rPr>
        <w:t xml:space="preserve">PREOPANC.</w:t>
      </w:r>
      <w:r>
        <w:rPr>
          <w:i/>
          <w:iCs/>
          <w:color w:val="5A6069"/>
          <w:sz w:val="16"/>
          <w:szCs w:val="16"/>
        </w:rPr>
        <w:t xml:space="preserve"> Its positive result came from a second, unplanned look at a trial whose primary analysis was negative, in a mixed population, against adjuvant gemcitabine monotherapy half of whose arm received no chemotherapy at all; the median difference is 1.4 months and the separation is in the 5-year tail. </w:t>
      </w:r>
      <w:r>
        <w:rPr>
          <w:b/>
          <w:bCs/>
          <w:i/>
          <w:iCs/>
          <w:color w:val="5A6069"/>
          <w:sz w:val="16"/>
          <w:szCs w:val="16"/>
        </w:rPr>
        <w:t xml:space="preserve">NORPACT-1.</w:t>
      </w:r>
      <w:r>
        <w:rPr>
          <w:i/>
          <w:iCs/>
          <w:color w:val="5A6069"/>
          <w:sz w:val="16"/>
          <w:szCs w:val="16"/>
        </w:rPr>
        <w:t xml:space="preserve"> Phase 2, designed at a two-sided alpha of 0.15, non-significant per protocol, with 21% of allocated patients never receiving the regimen and all of them going straight to resection, and a control-arm median of 38.5 months that exceeds every comparable arm in the literature. </w:t>
      </w:r>
      <w:r>
        <w:rPr>
          <w:b/>
          <w:bCs/>
          <w:i/>
          <w:iCs/>
          <w:color w:val="5A6069"/>
          <w:sz w:val="16"/>
          <w:szCs w:val="16"/>
        </w:rPr>
        <w:t xml:space="preserve">ESPAC5.</w:t>
      </w:r>
      <w:r>
        <w:rPr>
          <w:i/>
          <w:iCs/>
          <w:color w:val="5A6069"/>
          <w:sz w:val="16"/>
          <w:szCs w:val="16"/>
        </w:rPr>
        <w:t xml:space="preserve"> It failed both primary endpoints and its resection rate numerically favoured immediate surgery, so its survival figures are a secondary endpoint at 12 months of follow-up with 31 deaths and an unadjusted three-fold CA 19-9 imbalance against the control arm. </w:t>
      </w:r>
      <w:r>
        <w:rPr>
          <w:b/>
          <w:bCs/>
          <w:i/>
          <w:iCs/>
          <w:color w:val="5A6069"/>
          <w:sz w:val="16"/>
          <w:szCs w:val="16"/>
        </w:rPr>
        <w:t xml:space="preserve">The pooled analysis.</w:t>
      </w:r>
      <w:r>
        <w:rPr>
          <w:i/>
          <w:iCs/>
          <w:color w:val="5A6069"/>
          <w:sz w:val="16"/>
          <w:szCs w:val="16"/>
        </w:rPr>
        <w:t xml:space="preserve"> Its headline estimate depends on post hoc removal of NORPACT-1 — the only trial with a partly modern comparator and the only one favouring upfront surgery — and its serious-adverse-event risk ratio of 1.92 is published with a 95% CI of 1.28 to 1.89 that does not contain its own point estimate. The surrogates do not help: R0 and N0 rates improved with neoadjuvant therapy in the pooled data and in NORPACT-1, nodal status improved with chemoradiotherapy in PREOPANC-2, and ESPAC5's chemoradiotherapy arm had the best pathology and the worst survival — in none of these did the pathology move survival.</w:t>
      </w:r>
    </w:p>
    <w:p>
      <w:pPr>
        <w:pStyle w:val="Heading3"/>
        <w:keepNext/>
        <w:spacing w:after="110" w:before="240"/>
      </w:pPr>
      <w:r>
        <w:rPr>
          <w:rFonts w:ascii="Cambria" w:cs="Cambria" w:eastAsia="Cambria" w:hAnsi="Cambria"/>
          <w:b/>
          <w:bCs/>
          <w:color w:val="17365D"/>
          <w:sz w:val="22"/>
          <w:szCs w:val="22"/>
        </w:rPr>
        <w:t xml:space="preserve">What the molecular result changes</w:t>
      </w:r>
    </w:p>
    <w:p>
      <w:pPr>
        <w:spacing w:after="120" w:line="276"/>
      </w:pPr>
      <w:r>
        <w:rPr>
          <w:i/>
          <w:iCs/>
          <w:color w:val="5A6069"/>
          <w:sz w:val="18"/>
          <w:szCs w:val="18"/>
        </w:rPr>
        <w:t xml:space="preserve">Which alteration leads to which agent, with the figure that justifies it and the population it was measured in.</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100"/>
        <w:gridCol w:w="5260"/>
      </w:tblGrid>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Germline, any patient</w:t>
            </w:r>
          </w:p>
        </w:tc>
        <w:tc>
          <w:tcPr>
            <w:tcW w:type="dxa" w:w="5260"/>
            <w:tcMar>
              <w:top w:type="dxa" w:w="70"/>
              <w:left w:type="dxa" w:w="110"/>
              <w:bottom w:type="dxa" w:w="70"/>
              <w:right w:type="dxa" w:w="110"/>
            </w:tcMar>
            <w:vAlign w:val="top"/>
          </w:tcPr>
          <w:p>
            <w:pPr>
              <w:spacing w:after="0" w:line="276"/>
            </w:pPr>
            <w:r>
              <w:rPr>
                <w:color w:val="15181F"/>
                <w:sz w:val="17"/>
                <w:szCs w:val="17"/>
              </w:rPr>
              <w:t xml:space="preserve">Test everyone, regardless of family history: deleterious variants in </w:t>
            </w:r>
            <w:r>
              <w:rPr>
                <w:i/>
                <w:iCs/>
                <w:color w:val="15181F"/>
                <w:sz w:val="17"/>
                <w:szCs w:val="17"/>
              </w:rPr>
              <w:t xml:space="preserve">CDKN2A</w:t>
            </w:r>
            <w:r>
              <w:rPr>
                <w:color w:val="15181F"/>
                <w:sz w:val="17"/>
                <w:szCs w:val="17"/>
              </w:rPr>
              <w:t xml:space="preserve">, </w:t>
            </w:r>
            <w:r>
              <w:rPr>
                <w:i/>
                <w:iCs/>
                <w:color w:val="15181F"/>
                <w:sz w:val="17"/>
                <w:szCs w:val="17"/>
              </w:rPr>
              <w:t xml:space="preserve">TP53</w:t>
            </w:r>
            <w:r>
              <w:rPr>
                <w:color w:val="15181F"/>
                <w:sz w:val="17"/>
                <w:szCs w:val="17"/>
              </w:rPr>
              <w:t xml:space="preserve">, </w:t>
            </w:r>
            <w:r>
              <w:rPr>
                <w:i/>
                <w:iCs/>
                <w:color w:val="15181F"/>
                <w:sz w:val="17"/>
                <w:szCs w:val="17"/>
              </w:rPr>
              <w:t xml:space="preserve">MLH1</w:t>
            </w:r>
            <w:r>
              <w:rPr>
                <w:color w:val="15181F"/>
                <w:sz w:val="17"/>
                <w:szCs w:val="17"/>
              </w:rPr>
              <w:t xml:space="preserve">, </w:t>
            </w:r>
            <w:r>
              <w:rPr>
                <w:i/>
                <w:iCs/>
                <w:color w:val="15181F"/>
                <w:sz w:val="17"/>
                <w:szCs w:val="17"/>
              </w:rPr>
              <w:t xml:space="preserve">BRCA2</w:t>
            </w:r>
            <w:r>
              <w:rPr>
                <w:color w:val="15181F"/>
                <w:sz w:val="17"/>
                <w:szCs w:val="17"/>
              </w:rPr>
              <w:t xml:space="preserve">, </w:t>
            </w:r>
            <w:r>
              <w:rPr>
                <w:i/>
                <w:iCs/>
                <w:color w:val="15181F"/>
                <w:sz w:val="17"/>
                <w:szCs w:val="17"/>
              </w:rPr>
              <w:t xml:space="preserve">ATM</w:t>
            </w:r>
            <w:r>
              <w:rPr>
                <w:color w:val="15181F"/>
                <w:sz w:val="17"/>
                <w:szCs w:val="17"/>
              </w:rPr>
              <w:t xml:space="preserve"> or </w:t>
            </w:r>
            <w:r>
              <w:rPr>
                <w:i/>
                <w:iCs/>
                <w:color w:val="15181F"/>
                <w:sz w:val="17"/>
                <w:szCs w:val="17"/>
              </w:rPr>
              <w:t xml:space="preserve">BRCA1</w:t>
            </w:r>
            <w:r>
              <w:rPr>
                <w:color w:val="15181F"/>
                <w:sz w:val="17"/>
                <w:szCs w:val="17"/>
              </w:rPr>
              <w:t xml:space="preserve"> in 5.5% of 3,030 registry patients — 7.9% with a family history, 5.2% without. A clinic-based case series against public sequencing databases, not a recruited control group; carriage was not associated with survival (HR 0.86, P=.09); and of the six genes only </w:t>
            </w:r>
            <w:r>
              <w:rPr>
                <w:i/>
                <w:iCs/>
                <w:color w:val="15181F"/>
                <w:sz w:val="17"/>
                <w:szCs w:val="17"/>
              </w:rPr>
              <w:t xml:space="preserve">BRCA1/2</w:t>
            </w:r>
            <w:r>
              <w:rPr>
                <w:color w:val="15181F"/>
                <w:sz w:val="17"/>
                <w:szCs w:val="17"/>
              </w:rPr>
              <w:t xml:space="preserve"> has a randomised treatment consequence in this disease, so 5.5% is not the actionable fraction</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RAS G12 mutation, previously treated</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Daraxonrasib: median OS 13.2 vs 6.6 months in the RAS G12 population, HR 0.40, P&lt;0.001; PFS by blinded central review 7.3 vs 3.5 months, HR 0.45. Phase 3, n=500, open label, unconstrained investigator's-choice comparator. </w:t>
            </w:r>
            <w:r>
              <w:rPr>
                <w:b/>
                <w:bCs/>
                <w:color w:val="15181F"/>
                <w:sz w:val="17"/>
                <w:szCs w:val="17"/>
              </w:rPr>
              <w:t xml:space="preserve">Non-G12 patients: HR 1.38 (0.60–3.17)</w:t>
            </w:r>
            <w:r>
              <w:rPr>
                <w:color w:val="15181F"/>
                <w:sz w:val="17"/>
                <w:szCs w:val="17"/>
              </w:rPr>
              <w:t xml:space="preserve">, favouring chemotherapy. 38 of 252 (15.1%) of the chemotherapy arm never received it, against 7 of 248 (2.8%) on daraxonrasib</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Germline BRCA1/2, platinum-exposed</w:t>
            </w:r>
          </w:p>
        </w:tc>
        <w:tc>
          <w:tcPr>
            <w:tcW w:type="dxa" w:w="5260"/>
            <w:tcMar>
              <w:top w:type="dxa" w:w="70"/>
              <w:left w:type="dxa" w:w="110"/>
              <w:bottom w:type="dxa" w:w="70"/>
              <w:right w:type="dxa" w:w="110"/>
            </w:tcMar>
            <w:vAlign w:val="top"/>
          </w:tcPr>
          <w:p>
            <w:pPr>
              <w:spacing w:after="0" w:line="276"/>
            </w:pPr>
            <w:r>
              <w:rPr>
                <w:color w:val="15181F"/>
                <w:sz w:val="17"/>
                <w:szCs w:val="17"/>
              </w:rPr>
              <w:t xml:space="preserve">Olaparib maintenance after ≥16 weeks platinum without progression: PFS 7.4 vs 3.8 months, HR 0.53 (0.35–0.82), P=.004; </w:t>
            </w:r>
            <w:r>
              <w:rPr>
                <w:b/>
                <w:bCs/>
                <w:color w:val="15181F"/>
                <w:sz w:val="17"/>
                <w:szCs w:val="17"/>
              </w:rPr>
              <w:t xml:space="preserve">no OS difference</w:t>
            </w:r>
            <w:r>
              <w:rPr>
                <w:color w:val="15181F"/>
                <w:sz w:val="17"/>
                <w:szCs w:val="17"/>
              </w:rPr>
              <w:t xml:space="preserve"> at interim (46% maturity), 18.9 vs 18.1 months, HR 0.91 (0.56–1.46), P=.68; no quality-of-life difference; grade ≥3 AEs 40% vs 23%. Comparator was placebo, not continued chemotherapy; 154 randomised from 3,315 screened (4.6%)</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BRCA1/2 or PALB2, germline or somatic</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Rucaparib maintenance after ≥16 weeks platinum: median PFS 13.1 months, median duration of response 17.3 months — single-arm phase 2, no control, primary report not read for this depot</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MSI-high or dMMR</w:t>
            </w:r>
          </w:p>
        </w:tc>
        <w:tc>
          <w:tcPr>
            <w:tcW w:type="dxa" w:w="5260"/>
            <w:tcMar>
              <w:top w:type="dxa" w:w="70"/>
              <w:left w:type="dxa" w:w="110"/>
              <w:bottom w:type="dxa" w:w="70"/>
              <w:right w:type="dxa" w:w="110"/>
            </w:tcMar>
            <w:vAlign w:val="top"/>
          </w:tcPr>
          <w:p>
            <w:pPr>
              <w:spacing w:after="0" w:line="276"/>
            </w:pPr>
            <w:r>
              <w:rPr>
                <w:color w:val="15181F"/>
                <w:sz w:val="17"/>
                <w:szCs w:val="17"/>
              </w:rPr>
              <w:t xml:space="preserve">Pembrolizumab, or dostarlimab as subsequent therapy. Pembrolizumab also for TMB-high (≥10 mut/Mb). Tumour-agnostic approvals; no pancreatic trial read for this depot</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KRAS G12C (1–2% of PDAC)</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Sotorasib: 8 of 38 responded (21%, 10–37), PFS 4.0 months, OS 6.9 months — </w:t>
            </w:r>
            <w:r>
              <w:rPr>
                <w:b/>
                <w:bCs/>
                <w:color w:val="15181F"/>
                <w:sz w:val="17"/>
                <w:szCs w:val="17"/>
              </w:rPr>
              <w:t xml:space="preserve">no prespecified benchmark and no hypothesis test</w:t>
            </w:r>
            <w:r>
              <w:rPr>
                <w:color w:val="15181F"/>
                <w:sz w:val="17"/>
                <w:szCs w:val="17"/>
              </w:rPr>
              <w:t xml:space="preserve">. Adagrasib: 7 of </w:t>
            </w:r>
            <w:r>
              <w:rPr>
                <w:b/>
                <w:bCs/>
                <w:color w:val="15181F"/>
                <w:sz w:val="17"/>
                <w:szCs w:val="17"/>
              </w:rPr>
              <w:t xml:space="preserve">21</w:t>
            </w:r>
            <w:r>
              <w:rPr>
                <w:color w:val="15181F"/>
                <w:sz w:val="17"/>
                <w:szCs w:val="17"/>
              </w:rPr>
              <w:t xml:space="preserve"> pancreatic patients responded (33.3%) on central review, PFS 5.4 months, OS 8.0 months, against a 10% null that applies to the pooled basket and not to this subgroup. Both single-arm, no screening denominator</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NRG1 fusion</w:t>
            </w:r>
          </w:p>
        </w:tc>
        <w:tc>
          <w:tcPr>
            <w:tcW w:type="dxa" w:w="5260"/>
            <w:tcMar>
              <w:top w:type="dxa" w:w="70"/>
              <w:left w:type="dxa" w:w="110"/>
              <w:bottom w:type="dxa" w:w="70"/>
              <w:right w:type="dxa" w:w="110"/>
            </w:tcMar>
            <w:vAlign w:val="top"/>
          </w:tcPr>
          <w:p>
            <w:pPr>
              <w:spacing w:after="0" w:line="276"/>
            </w:pPr>
            <w:r>
              <w:rPr>
                <w:color w:val="15181F"/>
                <w:sz w:val="17"/>
                <w:szCs w:val="17"/>
              </w:rPr>
              <w:t xml:space="preserve">Zenocutuzumab: 15 of 36 pancreatic patients responded by investigator assessment (42%, 25–59) and 16 of 36 centrally (44%); median duration of response 7.4 months (4.0–11.2) investigator-assessed, 9.1 months centrally. </w:t>
            </w:r>
            <w:r>
              <w:rPr>
                <w:b/>
                <w:bCs/>
                <w:color w:val="15181F"/>
                <w:sz w:val="17"/>
                <w:szCs w:val="17"/>
              </w:rPr>
              <w:t xml:space="preserve">All 36 were KRAS wild-type, and no PFS or OS is reported for this subgroup.</w:t>
            </w:r>
            <w:r>
              <w:rPr>
                <w:color w:val="15181F"/>
                <w:sz w:val="17"/>
                <w:szCs w:val="17"/>
              </w:rPr>
              <w:t xml:space="preserve"> Enriched in younger KRAS wild-type patients — median age 48.5 years in a 10-patient series</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NTRK fusion</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Entrectinib, larotrectinib or repotrectinib — basket-trial results with 1 to 3 pancreatic patients each; no primary report read for this depot</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RET fusion</w:t>
            </w:r>
          </w:p>
        </w:tc>
        <w:tc>
          <w:tcPr>
            <w:tcW w:type="dxa" w:w="5260"/>
            <w:tcMar>
              <w:top w:type="dxa" w:w="70"/>
              <w:left w:type="dxa" w:w="110"/>
              <w:bottom w:type="dxa" w:w="70"/>
              <w:right w:type="dxa" w:w="110"/>
            </w:tcMar>
            <w:vAlign w:val="top"/>
          </w:tcPr>
          <w:p>
            <w:pPr>
              <w:spacing w:after="0" w:line="276"/>
            </w:pPr>
            <w:r>
              <w:rPr>
                <w:color w:val="15181F"/>
                <w:sz w:val="17"/>
                <w:szCs w:val="17"/>
              </w:rPr>
              <w:t xml:space="preserve">Selpercatinib — 11 pancreatic patients, at least half with an objective response; no primary report read for this depot</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BRAF V600E</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Dabrafenib with trametinib — ORR 38–47% across the NCI-MATCH subprotocol and the ROAR basket trial, in mixed tumour types; no primary report read for this depot</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FGFR alteration</w:t>
            </w:r>
          </w:p>
        </w:tc>
        <w:tc>
          <w:tcPr>
            <w:tcW w:type="dxa" w:w="5260"/>
            <w:tcMar>
              <w:top w:type="dxa" w:w="70"/>
              <w:left w:type="dxa" w:w="110"/>
              <w:bottom w:type="dxa" w:w="70"/>
              <w:right w:type="dxa" w:w="110"/>
            </w:tcMar>
            <w:vAlign w:val="top"/>
          </w:tcPr>
          <w:p>
            <w:pPr>
              <w:spacing w:after="0" w:line="276"/>
            </w:pPr>
            <w:r>
              <w:rPr>
                <w:color w:val="15181F"/>
                <w:sz w:val="17"/>
                <w:szCs w:val="17"/>
              </w:rPr>
              <w:t xml:space="preserve">Erdafitinib — 10 of 18 pancreatic patients responded (56%) in RAGNAR; no primary report read for this depot</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HER2</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Test by IHC ± FISH as well as on the NGS panel; fam-trastuzumab deruxtecan was studied in 25 pancreatic patients in DESTINY-PanTumor2, under 20% of whom were IHC 3+; no primary report read for this depot</w:t>
            </w:r>
          </w:p>
        </w:tc>
      </w:tr>
    </w:tbl>
    <w:p>
      <w:pPr>
        <w:spacing w:after="200" w:line="276"/>
      </w:pPr>
      <w:r>
        <w:rPr>
          <w:i/>
          <w:iCs/>
          <w:color w:val="5A6069"/>
          <w:sz w:val="16"/>
          <w:szCs w:val="16"/>
        </w:rPr>
        <w:t xml:space="preserve">Two operational points matter more than any single row. Order profiling and germline testing at the first visit and bank two extra needle passes at the index biopsy, because the commonest failure in this disease is a report that arrives after the patient is too unwell to act on it — and do not wait for the result to start treatment, since NCCN states that if BRCA1/2 status is unknown the patient is treated as clinically indicated. Then read the denominators. Apart from daraxonrasib and olaparib, every row here is a single-arm result in a pancreatic subset of between one and thirty-eight patients, usually drawn from a mixed-tumour basket trial, with no screening denominator reported, and response rates from baskets do not transfer cleanly to this disease; two of the rows — sotorasib's pancreatic cohort and the subgroup reads from the adagrasib basket — had no prespecified efficacy threshold applying to pancreatic patients at all, so there was nothing they could have failed. Read the germline row the same way: 5.5% is a prevalence estimate from a clinic-based case series compared with public sequencing databases rather than a recruited control group, carriage was not associated with survival, and of the six genes only </w:t>
      </w:r>
      <w:r>
        <w:rPr>
          <w:i/>
          <w:iCs/>
          <w:color w:val="5A6069"/>
          <w:sz w:val="16"/>
          <w:szCs w:val="16"/>
        </w:rPr>
        <w:t xml:space="preserve">BRCA1/2</w:t>
      </w:r>
      <w:r>
        <w:rPr>
          <w:i/>
          <w:iCs/>
          <w:color w:val="5A6069"/>
          <w:sz w:val="16"/>
          <w:szCs w:val="16"/>
        </w:rPr>
        <w:t xml:space="preserve"> carries a randomised treatment consequence in this disease — so 5.5% is not the actionable fraction. Do not treat the gene as the target; different alterations in the same gene do not predict the same response, which is the point the non-G12 subgroup of RASolute 302 makes (HR 1.38, 0.60–3.17).</w:t>
      </w:r>
    </w:p>
    <w:p>
      <w:pPr>
        <w:pStyle w:val="Heading1"/>
        <w:keepNext/>
        <w:pageBreakBefore/>
        <w:spacing w:after="110" w:before="320"/>
      </w:pPr>
      <w:r>
        <w:rPr>
          <w:rFonts w:ascii="Cambria" w:cs="Cambria" w:eastAsia="Cambria" w:hAnsi="Cambria"/>
          <w:b/>
          <w:bCs/>
          <w:color w:val="17365D"/>
          <w:sz w:val="32"/>
          <w:szCs w:val="32"/>
        </w:rPr>
        <w:t xml:space="preserve">What we are not sure about</w:t>
      </w:r>
    </w:p>
    <w:p>
      <w:pPr>
        <w:spacing w:after="200" w:line="276"/>
      </w:pPr>
      <w:r>
        <w:rPr>
          <w:i/>
          <w:iCs/>
          <w:color w:val="5A6069"/>
          <w:sz w:val="20"/>
          <w:szCs w:val="20"/>
        </w:rPr>
        <w:t xml:space="preserve">Every statement below is a limit on what this page can claim. They come from reading each cited paper in full, including the limitations the authors state themselves and the objections the text supports but the authors do not raise.</w:t>
      </w:r>
    </w:p>
    <w:p>
      <w:pPr>
        <w:spacing w:after="60" w:before="160"/>
      </w:pPr>
      <w:r>
        <w:rPr>
          <w:b/>
          <w:bCs/>
          <w:color w:val="8E5008"/>
          <w:sz w:val="19"/>
          <w:szCs w:val="19"/>
        </w:rPr>
        <w:t xml:space="preserve">1. </w:t>
      </w:r>
      <w:r>
        <w:rPr>
          <w:b/>
          <w:bCs/>
          <w:sz w:val="19"/>
          <w:szCs w:val="19"/>
        </w:rPr>
        <w:t xml:space="preserve">The single most important thing the full-text read changed: </w:t>
      </w:r>
      <w:r>
        <w:rPr>
          <w:b/>
          <w:bCs/>
          <w:sz w:val="19"/>
          <w:szCs w:val="19"/>
        </w:rPr>
        <w:t xml:space="preserve">almost no trial on this page compared its intervention with the therapy this page recommends.</w:t>
      </w:r>
      <w:r>
        <w:rPr>
          <w:b/>
          <w:bCs/>
          <w:sz w:val="19"/>
          <w:szCs w:val="19"/>
        </w:rPr>
        <w:t xml:space="preserve"> Every adjuvant comparator is gemcitabine monotherapy or observation, and every neoadjuvant comparator is upfront surgery followed by adjuvant gemcitabine — except one.</w:t>
      </w:r>
    </w:p>
    <w:p>
      <w:pPr>
        <w:spacing w:after="40" w:line="276"/>
        <w:ind w:left="260"/>
      </w:pPr>
      <w:r>
        <w:rPr>
          <w:color w:val="15181F"/>
          <w:sz w:val="18"/>
          <w:szCs w:val="18"/>
        </w:rPr>
        <w:t xml:space="preserve">In the nine randomised neoadjuvant trials pooled in the 2025 meta-analysis, the upfront-surgery arms received adjuvant gemcitabine monotherapy, S-1, gemcitabine with nab-paclitaxel or PEXG, and </w:t>
      </w:r>
      <w:r>
        <w:rPr>
          <w:b/>
          <w:bCs/>
          <w:color w:val="15181F"/>
          <w:sz w:val="18"/>
          <w:szCs w:val="18"/>
        </w:rPr>
        <w:t xml:space="preserve">only NORPACT-1 used mFOLFIRINOX</w:t>
      </w:r>
      <w:r>
        <w:rPr>
          <w:color w:val="15181F"/>
          <w:sz w:val="18"/>
          <w:szCs w:val="18"/>
        </w:rPr>
        <w:t xml:space="preserve"> — where in turn only 19 of 44 resected control patients (43%) actually received it and 25 of 44 received a gemcitabine-based regimen. PREOPANC gave adjuvant gemcitabine in both arms and only 65 of 127 patients (51%) in the surgery arm received any chemotherapy at all. ESPAC5's adjuvant therapy was gemcitabine or gemcitabine with capecitabine in 41 of 43 patients. PREOPANC-2 has no upfront-surgery arm and gave its FOLFIRINOX arm no adjuvant treatment. S1505 and A021501 had no randomised control at all. On the adjuvant side, PRODIGE-24, ESPAC-4 and APACT all ran against gemcitabine monotherapy, and CONKO-001 against observation. So the sequencing question — neoadjuvant chemotherapy against upfront surgery with adjuvant mFOLFIRINOX delivered to everyone who can take it — </w:t>
      </w:r>
      <w:r>
        <w:rPr>
          <w:b/>
          <w:bCs/>
          <w:color w:val="15181F"/>
          <w:sz w:val="18"/>
          <w:szCs w:val="18"/>
        </w:rPr>
        <w:t xml:space="preserve">has never been tested</w:t>
      </w:r>
      <w:r>
        <w:rPr>
          <w:color w:val="15181F"/>
          <w:sz w:val="18"/>
          <w:szCs w:val="18"/>
        </w:rPr>
        <w:t xml:space="preserve">. A021806 is the trial that will test it, and it has reported nothing.</w:t>
      </w:r>
    </w:p>
    <w:p>
      <w:pPr>
        <w:spacing w:after="60" w:before="160"/>
      </w:pPr>
      <w:r>
        <w:rPr>
          <w:b/>
          <w:bCs/>
          <w:color w:val="8E5008"/>
          <w:sz w:val="19"/>
          <w:szCs w:val="19"/>
        </w:rPr>
        <w:t xml:space="preserve">2. </w:t>
      </w:r>
      <w:r>
        <w:rPr>
          <w:b/>
          <w:bCs/>
          <w:sz w:val="19"/>
          <w:szCs w:val="19"/>
        </w:rPr>
        <w:t xml:space="preserve">NORPACT-1's primary endpoint was statistically significant in favour of </w:t>
      </w:r>
      <w:r>
        <w:rPr>
          <w:b/>
          <w:bCs/>
          <w:sz w:val="19"/>
          <w:szCs w:val="19"/>
        </w:rPr>
        <w:t xml:space="preserve">upfront surgery</w:t>
      </w:r>
      <w:r>
        <w:rPr>
          <w:b/>
          <w:bCs/>
          <w:sz w:val="19"/>
          <w:szCs w:val="19"/>
        </w:rPr>
        <w:t xml:space="preserve">, and that is still not evidence that neoadjuvant chemotherapy is harmful.</w:t>
      </w:r>
    </w:p>
    <w:p>
      <w:pPr>
        <w:spacing w:after="40" w:line="276"/>
        <w:ind w:left="260"/>
      </w:pPr>
      <w:r>
        <w:rPr>
          <w:color w:val="15181F"/>
          <w:sz w:val="18"/>
          <w:szCs w:val="18"/>
        </w:rPr>
        <w:t xml:space="preserve">18-month survival was 60% (95% CI 49–71) with neoadjuvant FOLFIRINOX against 73% (62–84) with upfront surgery, p=0.032, with median overall survival 25.1 against 38.5 months, hazard ratio 1.52 (1.00–2.33), log-rank p=0.050 by intention to treat. Four things bound that result. The trial was designed as an exploratory phase 2 study at a two-sided alpha of </w:t>
      </w:r>
      <w:r>
        <w:rPr>
          <w:b/>
          <w:bCs/>
          <w:color w:val="15181F"/>
          <w:sz w:val="18"/>
          <w:szCs w:val="18"/>
        </w:rPr>
        <w:t xml:space="preserve">0.15</w:t>
      </w:r>
      <w:r>
        <w:rPr>
          <w:color w:val="15181F"/>
          <w:sz w:val="18"/>
          <w:szCs w:val="18"/>
        </w:rPr>
        <w:t xml:space="preserve">. Nothing is significant per protocol (18-month p=0.14; hazard ratio 1.46, 0.99–2.17, p=0.058). Sixteen of 77 patients (21%) allocated to neoadjuvant FOLFIRINOX never received it and </w:t>
      </w:r>
      <w:r>
        <w:rPr>
          <w:b/>
          <w:bCs/>
          <w:color w:val="15181F"/>
          <w:sz w:val="18"/>
          <w:szCs w:val="18"/>
        </w:rPr>
        <w:t xml:space="preserve">all 16 went straight to resection</w:t>
      </w:r>
      <w:r>
        <w:rPr>
          <w:color w:val="15181F"/>
          <w:sz w:val="18"/>
          <w:szCs w:val="18"/>
        </w:rPr>
        <w:t xml:space="preserve">, so the intention-to-treat comparison is not a comparison of two delivered strategies; of the 61 who did start, only 37 (61%) completed four cycles and 16 (26%) received one or two. And the control arm's 38.5-month median exceeds every comparable upfront-surgery arm in the literature (14.3 months in PREOPANC), in 63 patients with 28 deaths, with 3 cholangiocarcinomas and 2 neuroendocrine tumours among the 11 non-PDAC diagnoses left in its denominator. Read it as a failure to show benefit in a trial that failed to deliver its intervention, which is what the authors say.</w:t>
      </w:r>
    </w:p>
    <w:p>
      <w:pPr>
        <w:spacing w:after="60" w:before="160"/>
      </w:pPr>
      <w:r>
        <w:rPr>
          <w:b/>
          <w:bCs/>
          <w:color w:val="8E5008"/>
          <w:sz w:val="19"/>
          <w:szCs w:val="19"/>
        </w:rPr>
        <w:t xml:space="preserve">3. </w:t>
      </w:r>
      <w:r>
        <w:rPr>
          <w:b/>
          <w:bCs/>
          <w:sz w:val="19"/>
          <w:szCs w:val="19"/>
        </w:rPr>
        <w:t xml:space="preserve">The meta-analysis most likely to be cited as settling the sequencing question excludes, post hoc, the one trial whose control arm resembles current practice — and reports a harm estimate whose confidence interval does not contain its own point estimate.</w:t>
      </w:r>
    </w:p>
    <w:p>
      <w:pPr>
        <w:spacing w:after="40" w:line="276"/>
        <w:ind w:left="260"/>
      </w:pPr>
      <w:r>
        <w:rPr>
          <w:color w:val="15181F"/>
          <w:sz w:val="18"/>
          <w:szCs w:val="18"/>
        </w:rPr>
        <w:t xml:space="preserve">The 2025 pooled analysis of nine trials and 1,194 patients gives an overall hazard ratio of 0.73 (0.55–0.98) with I² 55.8%, borderline resectable 0.60 (0.38–0.96) and resectable 0.90 (0.63–1.28). It then removes NORPACT-1 and the pooled ESPAC5 chemotherapy comparison as influence outliers, which collapses heterogeneity to I² 0% by construction and tightens the overall estimate to 0.74 (0.64–0.85) — while removing the only included trial that gave its control arm adjuvant mFOLFIRINOX and the only one favouring upfront surgery. The honest reading is that the pooled estimate is unstable and depends on whether the modern comparator is included. Separately, its serious-adverse-event estimate is reported in both the abstract and the table as a risk ratio of 1.92 with a 95% CI of 1.28 to 1.89 — an interval that does not contain 1.92 — so the magnitude of that harm as published cannot be relied on, although its direction (56.1% versus 27.0%) is clear and clinically important. ESPAC5's four arms are also entered in multiple ways and PREOPANC three times, and survival for several trials was reconstructed from Kaplan-Meier curves.</w:t>
      </w:r>
    </w:p>
    <w:p>
      <w:pPr>
        <w:spacing w:after="60" w:before="160"/>
      </w:pPr>
      <w:r>
        <w:rPr>
          <w:b/>
          <w:bCs/>
          <w:color w:val="8E5008"/>
          <w:sz w:val="19"/>
          <w:szCs w:val="19"/>
        </w:rPr>
        <w:t xml:space="preserve">4. </w:t>
      </w:r>
      <w:r>
        <w:rPr>
          <w:b/>
          <w:bCs/>
          <w:sz w:val="19"/>
          <w:szCs w:val="19"/>
        </w:rPr>
        <w:t xml:space="preserve">The resectable-versus-borderline split that this entire page is organised around is not statistically established.</w:t>
      </w:r>
    </w:p>
    <w:p>
      <w:pPr>
        <w:spacing w:after="40" w:line="276"/>
        <w:ind w:left="260"/>
      </w:pPr>
      <w:r>
        <w:rPr>
          <w:color w:val="15181F"/>
          <w:sz w:val="18"/>
          <w:szCs w:val="18"/>
        </w:rPr>
        <w:t xml:space="preserve">Every test of it has failed. In the pooled analysis the between-subgroup test was p=0.081, and the paper nonetheless concludes that neoadjuvant therapy should be regarded as standard of care in borderline resectable disease. In PREOPANC's initial report the interaction test was P=.14, and in the long-term report no interaction test was significant across any of seven prespecified subgroups. In PREOPANC-2 no subgroup showed treatment-effect heterogeneity at all (every interaction p at or above 0.23). The split is a coherent and probably correct clinical hypothesis — it matches the biology and the pathology data — but it is a hypothesis, and the page uses it to route patients to different gates.</w:t>
      </w:r>
    </w:p>
    <w:p>
      <w:pPr>
        <w:spacing w:after="60" w:before="160"/>
      </w:pPr>
      <w:r>
        <w:rPr>
          <w:b/>
          <w:bCs/>
          <w:color w:val="8E5008"/>
          <w:sz w:val="19"/>
          <w:szCs w:val="19"/>
        </w:rPr>
        <w:t xml:space="preserve">5. </w:t>
      </w:r>
      <w:r>
        <w:rPr>
          <w:b/>
          <w:bCs/>
          <w:sz w:val="19"/>
          <w:szCs w:val="19"/>
        </w:rPr>
        <w:t xml:space="preserve">ESMO's 2023 guideline recommends </w:t>
      </w:r>
      <w:r>
        <w:rPr>
          <w:b/>
          <w:bCs/>
          <w:sz w:val="19"/>
          <w:szCs w:val="19"/>
        </w:rPr>
        <w:t xml:space="preserve">against</w:t>
      </w:r>
      <w:r>
        <w:rPr>
          <w:b/>
          <w:bCs/>
          <w:sz w:val="19"/>
          <w:szCs w:val="19"/>
        </w:rPr>
        <w:t xml:space="preserve"> neoadjuvant therapy in resectable disease, at grade II, E — and this page had not said so.</w:t>
      </w:r>
    </w:p>
    <w:p>
      <w:pPr>
        <w:spacing w:after="40" w:line="276"/>
        <w:ind w:left="260"/>
      </w:pPr>
      <w:r>
        <w:rPr>
          <w:color w:val="15181F"/>
          <w:sz w:val="18"/>
          <w:szCs w:val="18"/>
        </w:rPr>
        <w:t xml:space="preserve">The wording is </w:t>
      </w:r>
      <w:r>
        <w:rPr>
          <w:i/>
          <w:iCs/>
          <w:color w:val="15181F"/>
          <w:sz w:val="18"/>
          <w:szCs w:val="18"/>
        </w:rPr>
        <w:t xml:space="preserve">neoadjuvant therapy is not recommended for resectable PC due to limited phase III evidence, except in the context of clinical trials</w:t>
      </w:r>
      <w:r>
        <w:rPr>
          <w:color w:val="15181F"/>
          <w:sz w:val="18"/>
          <w:szCs w:val="18"/>
        </w:rPr>
        <w:t xml:space="preserve">, graded [II, E]. That is the most authoritative European statement on the question and it is a recommendation against, not a permission. Two qualifications belong with it: the guideline is a September 2023 snapshot that predates PREOPANC-2, NORPACT-1 and the 2025 meta-analyses, and its literature was selected by the authors with no described search strategy, no date limits and no screening flow, with statements the panel considered justified standard practice published ungraded. Its support for induction in borderline resectable disease rests on a five-study meta-analysis (OS HR 0.61, 0.44–0.85) and on PREOPANC's 113-patient borderline subgroup, and is worded as </w:t>
      </w:r>
      <w:r>
        <w:rPr>
          <w:i/>
          <w:iCs/>
          <w:color w:val="15181F"/>
          <w:sz w:val="18"/>
          <w:szCs w:val="18"/>
        </w:rPr>
        <w:t xml:space="preserve">impact on OS seems promising</w:t>
      </w:r>
      <w:r>
        <w:rPr>
          <w:color w:val="15181F"/>
          <w:sz w:val="18"/>
          <w:szCs w:val="18"/>
        </w:rPr>
        <w:t xml:space="preserve"> rather than graded like its [I, A] adjuvant recommendations.</w:t>
      </w:r>
    </w:p>
    <w:p>
      <w:pPr>
        <w:spacing w:after="60" w:before="160"/>
      </w:pPr>
      <w:r>
        <w:rPr>
          <w:b/>
          <w:bCs/>
          <w:color w:val="8E5008"/>
          <w:sz w:val="19"/>
          <w:szCs w:val="19"/>
        </w:rPr>
        <w:t xml:space="preserve">6. </w:t>
      </w:r>
      <w:r>
        <w:rPr>
          <w:b/>
          <w:bCs/>
          <w:sz w:val="19"/>
          <w:szCs w:val="19"/>
        </w:rPr>
        <w:t xml:space="preserve">The attrition argument — that a third of resected patients never get adjuvant therapy, so chemotherapy should come first — is the main mechanistic case for neoadjuvant sequencing, and the randomised data do not support it.</w:t>
      </w:r>
    </w:p>
    <w:p>
      <w:pPr>
        <w:spacing w:after="40" w:line="276"/>
        <w:ind w:left="260"/>
      </w:pPr>
      <w:r>
        <w:rPr>
          <w:color w:val="15181F"/>
          <w:sz w:val="18"/>
          <w:szCs w:val="18"/>
        </w:rPr>
        <w:t xml:space="preserve">Pooled across the nine randomised trials, the proportion of patients who started adjuvant therapy was no different between the two strategies: 57.7% after neoadjuvant treatment against 55.6% after upfront surgery, RR 0.92 (95% CI 0.76–1.12), p=0.353. NORPACT-1 shows the same pattern in detail: any chemotherapy was more often received with the neoadjuvant strategy (95% versus 75%, p=0.0006) but adjuvant initiation (66% versus 75%, p=0.21) and completion (53% versus 49%, p=0.40) did not differ. PREOPANC's neoadjuvant arm had more total chemotherapy exposure, but that is a design artefact: the comparator arm was allowed only postoperative chemotherapy, which half of it never received. The up-to-30% attrition figure is real and is a system failure worth fixing with a named owner — it is just not an argument that these trials settle.</w:t>
      </w:r>
    </w:p>
    <w:p>
      <w:pPr>
        <w:spacing w:after="60" w:before="160"/>
      </w:pPr>
      <w:r>
        <w:rPr>
          <w:b/>
          <w:bCs/>
          <w:color w:val="8E5008"/>
          <w:sz w:val="19"/>
          <w:szCs w:val="19"/>
        </w:rPr>
        <w:t xml:space="preserve">7. </w:t>
      </w:r>
      <w:r>
        <w:rPr>
          <w:b/>
          <w:bCs/>
          <w:sz w:val="19"/>
          <w:szCs w:val="19"/>
        </w:rPr>
        <w:t xml:space="preserve">Roughly a third of patients called resectable are not, and that misclassification sits under every gate on this page.</w:t>
      </w:r>
    </w:p>
    <w:p>
      <w:pPr>
        <w:spacing w:after="40" w:line="276"/>
        <w:ind w:left="260"/>
      </w:pPr>
      <w:r>
        <w:rPr>
          <w:color w:val="15181F"/>
          <w:sz w:val="18"/>
          <w:szCs w:val="18"/>
        </w:rPr>
        <w:t xml:space="preserve">SWOG S1505 required a pancreas-protocol scan within 28 days, formal surgical consultation confirming resectability within 21 days, and enrolment at experienced US trial centres. Central radiology review then found that 43 of 146 patients reviewed (29%) did not meet the trial's own resectability criteria: 22 (51%) had arterial interface, 15 (35%) venous interface of 180 degrees or more, and 28 (65%) suspicion of distant disease. All of them had already started protocol therapy, because the review was retrospective. Adding a mandatory site radiologist checklist after the interim analysis moved the rate only from 33% to 26%. Nothing on this page assumes a misclassification rate at all, and the resectability category is what decides which gate a patient enters.</w:t>
      </w:r>
    </w:p>
    <w:p>
      <w:pPr>
        <w:spacing w:after="60" w:before="160"/>
      </w:pPr>
      <w:r>
        <w:rPr>
          <w:b/>
          <w:bCs/>
          <w:color w:val="8E5008"/>
          <w:sz w:val="19"/>
          <w:szCs w:val="19"/>
        </w:rPr>
        <w:t xml:space="preserve">8. </w:t>
      </w:r>
      <w:r>
        <w:rPr>
          <w:b/>
          <w:bCs/>
          <w:sz w:val="19"/>
          <w:szCs w:val="19"/>
        </w:rPr>
        <w:t xml:space="preserve">The resectability thresholds are a shared language, not a biological boundary, and nobody derived them. A tumour with 181 degrees of SMA contact is not categorically different from one with 179.</w:t>
      </w:r>
    </w:p>
    <w:p>
      <w:pPr>
        <w:spacing w:after="40" w:line="276"/>
        <w:ind w:left="260"/>
      </w:pPr>
      <w:r>
        <w:rPr>
          <w:color w:val="15181F"/>
          <w:sz w:val="18"/>
          <w:szCs w:val="18"/>
        </w:rPr>
        <w:t xml:space="preserve">The degrees come from the Society of Abdominal Radiology and American Pancreatic Association consensus reporting statement, which was produced at a single meeting in November 2011 with no Delphi process, no voting, no reported level of agreement and no described literature search; the 180-degree cut-point was adopted from the NCCN criteria of the time rather than derived or validated in it. The statement reports no inter-reader reproducibility data for measuring circumferential contact, which is the measurement everything else rests on, and no validation that using the template changes report completeness, inter-reader agreement, board decisions, resection rates or margins. NCCN states the criteria for resectable disease were written to favour specificity over sensitivity so that no potentially resectable patient is denied an operation. Their value is that they make boards and trials comparable, which is real but different from prognostic validity — and the S1505 finding above shows how imperfectly even that works.</w:t>
      </w:r>
    </w:p>
    <w:p>
      <w:pPr>
        <w:spacing w:after="60" w:before="160"/>
      </w:pPr>
      <w:r>
        <w:rPr>
          <w:b/>
          <w:bCs/>
          <w:color w:val="8E5008"/>
          <w:sz w:val="19"/>
          <w:szCs w:val="19"/>
        </w:rPr>
        <w:t xml:space="preserve">9. </w:t>
      </w:r>
      <w:r>
        <w:rPr>
          <w:b/>
          <w:bCs/>
          <w:sz w:val="19"/>
          <w:szCs w:val="19"/>
        </w:rPr>
        <w:t xml:space="preserve">R0 is defined on this page as more than 1 mm of clearance, that number is borrowed, and the study behind it answered its own question in the null.</w:t>
      </w:r>
    </w:p>
    <w:p>
      <w:pPr>
        <w:spacing w:after="40" w:line="276"/>
        <w:ind w:left="260"/>
      </w:pPr>
      <w:r>
        <w:rPr>
          <w:color w:val="15181F"/>
          <w:sz w:val="18"/>
          <w:szCs w:val="18"/>
        </w:rPr>
        <w:t xml:space="preserve">NCCN states the CAP protocol's 1 mm rule is based primarily on extrapolation from rectal adenocarcinoma data and that there is currently a lack of definitive evidence for what constitutes an adequate margin in pancreatic resection specimens; ESMO uses the same definition. The single study that supplied the clinical argument, 163 consecutive pancreatoduodenectomies at one centre, found median survival 15.4 months for equivocal R1 (within 1 mm, not reaching the margin) against 12.6 months for unequivocal R1 at </w:t>
      </w:r>
      <w:r>
        <w:rPr>
          <w:b/>
          <w:bCs/>
          <w:color w:val="15181F"/>
          <w:sz w:val="18"/>
          <w:szCs w:val="18"/>
        </w:rPr>
        <w:t xml:space="preserve">P=0.102</w:t>
      </w:r>
      <w:r>
        <w:rPr>
          <w:color w:val="15181F"/>
          <w:sz w:val="18"/>
          <w:szCs w:val="18"/>
        </w:rPr>
        <w:t xml:space="preserve">, and concluded the two should be treated as one category on the strength of that non-significant test; equivocal R1 versus R0 was also non-significant (P=0.114), so the study cannot separate the intermediate group from either neighbour. Its R0 group was 35 patients with a median of 25.4 months and a 95% CI from 10.5 to 40.8 months, margin status did not survive multivariable adjustment (adjusted HR 1.443, 0.896–2.324, P=0.132) while lymph node ratio, tumour size and adjuvant chemotherapy did, and only 27% of the cohort received adjuvant chemotherapy. The practical consequence is larger than the prognostic one: applying the rule moved the R1 rate at that centre from 44% to 79%, so </w:t>
      </w:r>
      <w:r>
        <w:rPr>
          <w:b/>
          <w:bCs/>
          <w:color w:val="15181F"/>
          <w:sz w:val="18"/>
          <w:szCs w:val="18"/>
        </w:rPr>
        <w:t xml:space="preserve">R0 rates are substantially a function of local pathology protocol</w:t>
      </w:r>
      <w:r>
        <w:rPr>
          <w:color w:val="15181F"/>
          <w:sz w:val="18"/>
          <w:szCs w:val="18"/>
        </w:rPr>
        <w:t xml:space="preserve"> and the R0 figures quoted across the trials on this page are not comparable with one another. Reporting in millimetres is still how the field will eventually get a derived threshold.</w:t>
      </w:r>
    </w:p>
    <w:p>
      <w:pPr>
        <w:spacing w:after="60" w:before="160"/>
      </w:pPr>
      <w:r>
        <w:rPr>
          <w:b/>
          <w:bCs/>
          <w:color w:val="8E5008"/>
          <w:sz w:val="19"/>
          <w:szCs w:val="19"/>
        </w:rPr>
        <w:t xml:space="preserve">10. </w:t>
      </w:r>
      <w:r>
        <w:rPr>
          <w:b/>
          <w:bCs/>
          <w:sz w:val="19"/>
          <w:szCs w:val="19"/>
        </w:rPr>
        <w:t xml:space="preserve">Disease-free survival in the open-label adjuvant trials this page relies on is partly a detection artefact, and the trial that showed it is the one this page treats as the weakest.</w:t>
      </w:r>
    </w:p>
    <w:p>
      <w:pPr>
        <w:spacing w:after="40" w:line="276"/>
        <w:ind w:left="260"/>
      </w:pPr>
      <w:r>
        <w:rPr>
          <w:color w:val="15181F"/>
          <w:sz w:val="18"/>
          <w:szCs w:val="18"/>
        </w:rPr>
        <w:t xml:space="preserve">APACT is the only adjuvant pancreatic trial to use blinded independently assessed disease-free survival as its primary endpoint, and in the same gemcitabine arm, central review gave a median of 18.8 months while the unblinded investigators gave 13.7 months, with 77% concordance and 48% to 51% of patients censored. The investigator figure matches the gemcitabine arms of ESPAC-4 (13.4 months) and PRODIGE-24 (12.8 months), both of which used unblinded investigator assessment, as did CONKO-001 — where recurrence was dated from the first subjective symptom and assessed in part by abdominal ultrasound with no central review. That is why CONKO-001 can show a 2.4-fold disease-free survival difference beside a 2.6-month median survival difference. Every adjuvant disease-free survival hazard ratio on this page should be read with a five-month detection allowance.</w:t>
      </w:r>
    </w:p>
    <w:p>
      <w:pPr>
        <w:spacing w:after="60" w:before="160"/>
      </w:pPr>
      <w:r>
        <w:rPr>
          <w:b/>
          <w:bCs/>
          <w:color w:val="8E5008"/>
          <w:sz w:val="19"/>
          <w:szCs w:val="19"/>
        </w:rPr>
        <w:t xml:space="preserve">11. </w:t>
      </w:r>
      <w:r>
        <w:rPr>
          <w:b/>
          <w:bCs/>
          <w:sz w:val="19"/>
          <w:szCs w:val="19"/>
        </w:rPr>
        <w:t xml:space="preserve">PRODIGE-24's 54.4-month median was an artefact of an immature database, and the mature data are a smaller result than the headline.</w:t>
      </w:r>
    </w:p>
    <w:p>
      <w:pPr>
        <w:spacing w:after="40" w:line="276"/>
        <w:ind w:left="260"/>
      </w:pPr>
      <w:r>
        <w:rPr>
          <w:color w:val="15181F"/>
          <w:sz w:val="18"/>
          <w:szCs w:val="18"/>
        </w:rPr>
        <w:t xml:space="preserve">The trial was stopped early for efficacy at 91.8% of expected disease-free survival events, and with mature 5-year data the disease-free survival hazard ratio moved from 0.58 to 0.66, overall survival from 0.64 to 0.68, and the median from 54.4 to 53.5 months. Five-year disease-free survival differs by only 7.1 percentage points (26.1% versus 19.0%) against 11.8 points at 5-year overall survival, so part of the survival gain accrues after relapse — and post-relapse survival was numerically </w:t>
      </w:r>
      <w:r>
        <w:rPr>
          <w:b/>
          <w:bCs/>
          <w:color w:val="15181F"/>
          <w:sz w:val="18"/>
          <w:szCs w:val="18"/>
        </w:rPr>
        <w:t xml:space="preserve">worse</w:t>
      </w:r>
      <w:r>
        <w:rPr>
          <w:color w:val="15181F"/>
          <w:sz w:val="18"/>
          <w:szCs w:val="18"/>
        </w:rPr>
        <w:t xml:space="preserve"> in the mFOLFIRINOX arm (13.1 versus 15.0 months), with chemotherapy at relapse reaching 66.9% of its relapsing patients against 83.0% of the control arm's, 74.2% of whom received FOLFIRINOX. Delivery was poor: 67.2% completed all 12 cycles and only 33.6% achieved a relative dose intensity of 0.80 or more. The population was age 18 to 79, no coronary disease, WHO 0–1, fully recovered, with a clear postoperative scan and postoperative CA 19-9 below 180 U/mL; in the 101 patients aged 70 or older the benefit did not reach significance (HR 0.86, 0.53–1.39), and the median age of this disease is around 70. Quality of life was never collected.</w:t>
      </w:r>
    </w:p>
    <w:p>
      <w:pPr>
        <w:spacing w:after="60" w:before="160"/>
      </w:pPr>
      <w:r>
        <w:rPr>
          <w:b/>
          <w:bCs/>
          <w:color w:val="8E5008"/>
          <w:sz w:val="19"/>
          <w:szCs w:val="19"/>
        </w:rPr>
        <w:t xml:space="preserve">12. </w:t>
      </w:r>
      <w:r>
        <w:rPr>
          <w:b/>
          <w:bCs/>
          <w:sz w:val="19"/>
          <w:szCs w:val="19"/>
        </w:rPr>
        <w:t xml:space="preserve">APACT was a negative trial. Its overall survival result is a descriptive secondary endpoint read at the third of three successive data cutoffs.</w:t>
      </w:r>
    </w:p>
    <w:p>
      <w:pPr>
        <w:spacing w:after="40" w:line="276"/>
        <w:ind w:left="260"/>
      </w:pPr>
      <w:r>
        <w:rPr>
          <w:color w:val="15181F"/>
          <w:sz w:val="18"/>
          <w:szCs w:val="18"/>
        </w:rPr>
        <w:t xml:space="preserve">The blinded independently assessed primary endpoint failed — disease-free survival 19.4 versus 18.8 months, hazard ratio 0.88 (0.729–1.063), P=.18 — and the paper itself states that because the primary endpoint was not met, all other comparisons are descriptive. The overall survival P value improved from .045 to .0232 to .0091 across cutoffs in December 2018, April 2020 and April 2021, with no prespecified plan for repeated testing and no multiplicity adjustment anywhere in the trial. The price was 86% grade 3 or worse treatment-emergent events against 68%, and grade 3 or worse peripheral neuropathy in 15% against </w:t>
      </w:r>
      <w:r>
        <w:rPr>
          <w:b/>
          <w:bCs/>
          <w:color w:val="15181F"/>
          <w:sz w:val="18"/>
          <w:szCs w:val="18"/>
        </w:rPr>
        <w:t xml:space="preserve">0%</w:t>
      </w:r>
      <w:r>
        <w:rPr>
          <w:color w:val="15181F"/>
          <w:sz w:val="18"/>
          <w:szCs w:val="18"/>
        </w:rPr>
        <w:t xml:space="preserve">, of which 84% had not improved to grade 1 or less at the primary cutoff — in a trial that collected no quality-of-life data. The population was the most selected in the adjuvant literature: CA 19-9 below 100 U/mL with a median of 13.6 U/mL, 1,226 screened to randomise 866, which is why its gemcitabine arm reached 37.7 months.</w:t>
      </w:r>
    </w:p>
    <w:p>
      <w:pPr>
        <w:spacing w:after="60" w:before="160"/>
      </w:pPr>
      <w:r>
        <w:rPr>
          <w:b/>
          <w:bCs/>
          <w:color w:val="8E5008"/>
          <w:sz w:val="19"/>
          <w:szCs w:val="19"/>
        </w:rPr>
        <w:t xml:space="preserve">13. </w:t>
      </w:r>
      <w:r>
        <w:rPr>
          <w:b/>
          <w:bCs/>
          <w:sz w:val="19"/>
          <w:szCs w:val="19"/>
        </w:rPr>
        <w:t xml:space="preserve">The randomised trials of consolidative radiotherapy are null for survival, and the one that produced a positive margin result rewrote its primary endpoint mid-trial using its own unblinded interim data.</w:t>
      </w:r>
    </w:p>
    <w:p>
      <w:pPr>
        <w:spacing w:after="40" w:line="276"/>
        <w:ind w:left="260"/>
      </w:pPr>
      <w:r>
        <w:rPr>
          <w:color w:val="15181F"/>
          <w:sz w:val="18"/>
          <w:szCs w:val="18"/>
        </w:rPr>
        <w:t xml:space="preserve">LAP07 gave a hazard ratio of 1.03 (0.79–1.34), P=.83, was stopped at its interim analysis for futility with that analysis declared final, never reached its planned 392 deaths, and measured survival from the first randomisation while allocating the intervention at the second — so it is underpowered rather than equivalent, and half its radiotherapy plans had minor and 18% major protocol deviations. CONKO-007 gave a hazard ratio of 0.937 (0.747–1.174), P=.57, and missed its primary endpoint (R0 25% versus 18%, P=.113) — an endpoint changed mid-trial from overall survival to R0 rate, with the new effect size </w:t>
      </w:r>
      <w:r>
        <w:rPr>
          <w:b/>
          <w:bCs/>
          <w:color w:val="15181F"/>
          <w:sz w:val="18"/>
          <w:szCs w:val="18"/>
        </w:rPr>
        <w:t xml:space="preserve">calculated from unblinded interim data on 180 already-enrolled patients</w:t>
      </w:r>
      <w:r>
        <w:rPr>
          <w:color w:val="15181F"/>
          <w:sz w:val="18"/>
          <w:szCs w:val="18"/>
        </w:rPr>
        <w:t xml:space="preserve"> in which one arm's R0 rate was already nearly double the other's, and with no central radiotherapy review at all for stated financial reasons. Its significant R0 advantage (69.4% versus 50.0%, P=.04) is confined to the patients who reached theatre, which was not randomised, and the authors state that physicians' knowledge of the R0 endpoint changed their behaviour. What both trials do show, consistently, is better local control: locoregional recurrence hazard ratio 0.33 (0.206–0.530), P&lt;.001, in CONKO-007 and 32% versus 46% locoregional progression in LAP07. Offer radiotherapy for that, and say so.</w:t>
      </w:r>
    </w:p>
    <w:p>
      <w:pPr>
        <w:spacing w:after="60" w:before="160"/>
      </w:pPr>
      <w:r>
        <w:rPr>
          <w:b/>
          <w:bCs/>
          <w:color w:val="8E5008"/>
          <w:sz w:val="19"/>
          <w:szCs w:val="19"/>
        </w:rPr>
        <w:t xml:space="preserve">14. </w:t>
      </w:r>
      <w:r>
        <w:rPr>
          <w:b/>
          <w:bCs/>
          <w:sz w:val="19"/>
          <w:szCs w:val="19"/>
        </w:rPr>
        <w:t xml:space="preserve">Conversion surgery after induction therapy for locally advanced disease carries an 8% 30-day mortality in the only randomised trial that reports it, and this page had not said so.</w:t>
      </w:r>
    </w:p>
    <w:p>
      <w:pPr>
        <w:spacing w:after="40" w:line="276"/>
        <w:ind w:left="260"/>
      </w:pPr>
      <w:r>
        <w:rPr>
          <w:color w:val="15181F"/>
          <w:sz w:val="18"/>
          <w:szCs w:val="18"/>
        </w:rPr>
        <w:t xml:space="preserve">In CONKO-007, 30-day postoperative mortality was 5 of 60 and 5 of 62 — 8% in both arms. The trial's conclusion that chemoradiotherapy did not increase postsurgical mortality means only that it did not differ between the randomised arms. One operative death in twelve belongs in the consent conversation for an operation whose benefit, within that trial, rests on a non-randomised comparison of operated with non-operated patients (HR 0.525, 0.408–0.676). The denominator also matters: those 336 randomised patients are the 64% of enrolled patients who survived and did not progress through three months of chemotherapy, and the 159 of 495 (32.1%) who did progress had a median survival of 9 months with no 5-year survivors. LAP07, from gemcitabine-based induction, achieved curative-intent resection in 18 of 442 patients (4%).</w:t>
      </w:r>
    </w:p>
    <w:p>
      <w:pPr>
        <w:spacing w:after="60" w:before="160"/>
      </w:pPr>
      <w:r>
        <w:rPr>
          <w:b/>
          <w:bCs/>
          <w:color w:val="8E5008"/>
          <w:sz w:val="19"/>
          <w:szCs w:val="19"/>
        </w:rPr>
        <w:t xml:space="preserve">15. </w:t>
      </w:r>
      <w:r>
        <w:rPr>
          <w:b/>
          <w:bCs/>
          <w:sz w:val="19"/>
          <w:szCs w:val="19"/>
        </w:rPr>
        <w:t xml:space="preserve">The 24.2-month median survival quoted for FOLFIRINOX in locally advanced disease, and the 25.9% resection rate that goes with it, come from single-arm cohorts with no control group — and none of the obvious explanations for the figure can be shown to drive it.</w:t>
      </w:r>
    </w:p>
    <w:p>
      <w:pPr>
        <w:spacing w:after="40" w:line="276"/>
        <w:ind w:left="260"/>
      </w:pPr>
      <w:r>
        <w:rPr>
          <w:color w:val="15181F"/>
          <w:sz w:val="18"/>
          <w:szCs w:val="18"/>
        </w:rPr>
        <w:t xml:space="preserve">The patient-level meta-analysis pooled 11 studies and 315 locally advanced patients, eleven of the thirteen included studies retrospective, none using staging laparoscopy, and only three enrolling exclusively locally advanced patients while seven had no formal resectability criteria. Individual-study medians ranged from 10.0 to 32.7 months, and because patient-level data were pooled into a single Kaplan-Meier curve rather than meta-analysed, no I² or prediction interval is reported for survival — the narrow 95% CI of 21.7 to 26.8 months reflects patient numbers, not the disagreement between studies. A pooled 63.5% also received radiotherapy or chemoradiotherapy (I² 90%, range 31% to 100%), yet across studies there was no correlation between survival and radiotherapy use (p=0.12), resection rate (p=0.39) or number of cycles (p=0.95). Survival was measured from the start of FOLFIRINOX, so everyone who deteriorated or was found metastatic before chemotherapy could start is invisible; LAP07's 7.7-month median for patients who progressed during induction indicates the size of that group. The 78.4% R0 rate has a resected-only denominator of 81 of 325 patients, so it describes 19% of the cohort. The comparator offered for 24.2 months — 6 to 13 months with gemcitabine — is a narrative historical range. The authors' own conclusion is that the result needs a randomised trial and that it remains unestablished who benefits from radiotherapy or resection afterwards.</w:t>
      </w:r>
    </w:p>
    <w:p>
      <w:pPr>
        <w:spacing w:after="60" w:before="160"/>
      </w:pPr>
      <w:r>
        <w:rPr>
          <w:b/>
          <w:bCs/>
          <w:color w:val="8E5008"/>
          <w:sz w:val="19"/>
          <w:szCs w:val="19"/>
        </w:rPr>
        <w:t xml:space="preserve">16. </w:t>
      </w:r>
      <w:r>
        <w:rPr>
          <w:b/>
          <w:bCs/>
          <w:sz w:val="19"/>
          <w:szCs w:val="19"/>
        </w:rPr>
        <w:t xml:space="preserve">The DROP trial does not say what this page used it to say about drainage before neoadjuvant therapy, and it did not show that drainage makes the operation less safe.</w:t>
      </w:r>
    </w:p>
    <w:p>
      <w:pPr>
        <w:spacing w:after="40" w:line="276"/>
        <w:ind w:left="260"/>
      </w:pPr>
      <w:r>
        <w:rPr>
          <w:color w:val="15181F"/>
          <w:sz w:val="18"/>
          <w:szCs w:val="18"/>
        </w:rPr>
        <w:t xml:space="preserve">It randomised 202 patients to a </w:t>
      </w:r>
      <w:r>
        <w:rPr>
          <w:b/>
          <w:bCs/>
          <w:color w:val="15181F"/>
          <w:sz w:val="18"/>
          <w:szCs w:val="18"/>
        </w:rPr>
        <w:t xml:space="preserve">plastic</w:t>
      </w:r>
      <w:r>
        <w:rPr>
          <w:color w:val="15181F"/>
          <w:sz w:val="18"/>
          <w:szCs w:val="18"/>
        </w:rPr>
        <w:t xml:space="preserve"> stent for 4 to 6 weeks or to surgery within one week, excluded patients receiving neoadjuvant chemotherapy by protocol, and capped bilirubin at 250 micromol/L. Serious complications within 120 days were 74% versus 39% (RR 0.54, 0.41–0.71, P&lt;0.001), but that total bundles drainage complications with surgical complications, which guarantees the direction: complications attributable to drainage occurred in 46% versus 2%, while </w:t>
      </w:r>
      <w:r>
        <w:rPr>
          <w:b/>
          <w:bCs/>
          <w:color w:val="15181F"/>
          <w:sz w:val="18"/>
          <w:szCs w:val="18"/>
        </w:rPr>
        <w:t xml:space="preserve">surgical</w:t>
      </w:r>
      <w:r>
        <w:rPr>
          <w:color w:val="15181F"/>
          <w:sz w:val="18"/>
          <w:szCs w:val="18"/>
        </w:rPr>
        <w:t xml:space="preserve"> complications did not differ significantly (37% versus 47%, RR 0.79, 0.57–1.11), nor did mortality (4% versus 9%, RR 0.48, 0.15–1.51) or resection rate (67% versus 56%, P=0.11). Its 26% cholangitis and 30% stent-exchange rates are largely properties of plastic endoprostheses; every neoadjuvant protocol in this depot specifies or prefers self-expanding metal stents, which were not tested. And its control strategy required dedicated theatre capacity at all 13 hospitals to operate within seven days — a unit that cannot deliver that has not got the comparator the trial tested, because delay without drainage is not what was studied. Fifteen of 196 patients (8%) did not have adenocarcinoma on final pathology, and overall mortality was 7%.</w:t>
      </w:r>
    </w:p>
    <w:p>
      <w:pPr>
        <w:spacing w:after="60" w:before="160"/>
      </w:pPr>
      <w:r>
        <w:rPr>
          <w:b/>
          <w:bCs/>
          <w:color w:val="8E5008"/>
          <w:sz w:val="19"/>
          <w:szCs w:val="19"/>
        </w:rPr>
        <w:t xml:space="preserve">17. </w:t>
      </w:r>
      <w:r>
        <w:rPr>
          <w:b/>
          <w:bCs/>
          <w:sz w:val="19"/>
          <w:szCs w:val="19"/>
        </w:rPr>
        <w:t xml:space="preserve">Whether to offer arterial resection or arterial divestment for PDAC at this centre has not been decided, and no number for minimum annual volume has been set.</w:t>
      </w:r>
    </w:p>
    <w:p>
      <w:pPr>
        <w:spacing w:after="40" w:line="276"/>
        <w:ind w:left="260"/>
      </w:pPr>
      <w:r>
        <w:rPr>
          <w:color w:val="15181F"/>
          <w:sz w:val="18"/>
          <w:szCs w:val="18"/>
        </w:rPr>
        <w:t xml:space="preserve">NCCN restricts arterial resection to centres with proven experience in pancreatectomy with vascular resection and reconstruction, in highly selected patients after extensive neoadjuvant therapy with objective response, and requires that patients be told the long-term benefit — the chance of cure — is currently unknown. It names no volume threshold, and nor does this page. The one randomised dataset here that touched volume found it in a post hoc multivariable model of PRODIGE-24's 77 hospitals (10 or more patients enrolled, HR 0.77, 0.61–0.98, P=.03), selected by a stepwise procedure with no multiplicity correction and confounded with case mix, surgical quality, access to relapse therapy and country. Volume-outcome relationships in pancreatic surgery are observational and consistent; the threshold is a governance choice, not a measurable one. [EXPERTISE]</w:t>
      </w:r>
    </w:p>
    <w:p>
      <w:pPr>
        <w:spacing w:after="60" w:before="160"/>
      </w:pPr>
      <w:r>
        <w:rPr>
          <w:b/>
          <w:bCs/>
          <w:color w:val="8E5008"/>
          <w:sz w:val="19"/>
          <w:szCs w:val="19"/>
        </w:rPr>
        <w:t xml:space="preserve">18. </w:t>
      </w:r>
      <w:r>
        <w:rPr>
          <w:b/>
          <w:bCs/>
          <w:sz w:val="19"/>
          <w:szCs w:val="19"/>
        </w:rPr>
        <w:t xml:space="preserve">What counts as a </w:t>
      </w:r>
      <w:r>
        <w:rPr>
          <w:b/>
          <w:bCs/>
          <w:i/>
          <w:iCs/>
          <w:sz w:val="19"/>
          <w:szCs w:val="19"/>
        </w:rPr>
        <w:t xml:space="preserve">significant</w:t>
      </w:r>
      <w:r>
        <w:rPr>
          <w:b/>
          <w:bCs/>
          <w:sz w:val="19"/>
          <w:szCs w:val="19"/>
        </w:rPr>
        <w:t xml:space="preserve"> response after neoadjuvant therapy is a local definition, and until it is written down it is being applied inconsistently — and the metrics it rests on are poor surrogates.</w:t>
      </w:r>
    </w:p>
    <w:p>
      <w:pPr>
        <w:spacing w:after="40" w:line="276"/>
        <w:ind w:left="260"/>
      </w:pPr>
      <w:r>
        <w:rPr>
          <w:color w:val="15181F"/>
          <w:sz w:val="18"/>
          <w:szCs w:val="18"/>
        </w:rPr>
        <w:t xml:space="preserve">NCCN hands the definition to the local treatment team in the footnote to its own response table, offering only examples: CA 19-9 normalisation, near-normalisation or at least a 50% decrease, and a complete or near-complete metabolic response on PET. Since the response category determines whether a vascular resection is offered, an unwritten definition means the same patient gets different answers from different surgeons on different weeks. The full-text read adds that the surrogates themselves do not track survival. NORPACT-1 improved R0 (56% versus 39%, p=0.018) and N0 (29% versus 14%, p&lt;0.0001) and survival went the other way. PREOPANC-2's one significant secondary endpoint was nodal (ypN0 58% versus 47%) and survival did not move. ESPAC5's chemoradiotherapy arm had the best R0 and nodal results and the worst survival. The one metric with supporting data is biochemical: ESMO cites a pooled analysis of 17 studies and 2,242 patients in which a CA 19-9 fall of more than 50% or normalisation was associated with better overall survival (P&lt;0.0001), and ESMO also states that imaging performance after chemotherapy is lower than in treatment-naive settings.</w:t>
      </w:r>
    </w:p>
    <w:p>
      <w:pPr>
        <w:spacing w:after="60" w:before="160"/>
      </w:pPr>
      <w:r>
        <w:rPr>
          <w:b/>
          <w:bCs/>
          <w:color w:val="8E5008"/>
          <w:sz w:val="19"/>
          <w:szCs w:val="19"/>
        </w:rPr>
        <w:t xml:space="preserve">19. </w:t>
      </w:r>
      <w:r>
        <w:rPr>
          <w:b/>
          <w:bCs/>
          <w:sz w:val="19"/>
          <w:szCs w:val="19"/>
        </w:rPr>
        <w:t xml:space="preserve">The surveillance schedule after resection is not stated on this page, because the guideline footnote that defines the interval did not survive the machine extraction supplied to the programme.</w:t>
      </w:r>
    </w:p>
    <w:p>
      <w:pPr>
        <w:spacing w:after="40" w:line="276"/>
        <w:ind w:left="260"/>
      </w:pPr>
      <w:r>
        <w:rPr>
          <w:color w:val="15181F"/>
          <w:sz w:val="18"/>
          <w:szCs w:val="18"/>
        </w:rPr>
        <w:t xml:space="preserve">Rather than quote an interval from memory, this page quotes what the guideline says about the value of surveillance: a SEER-Medicare analysis showed no significant survival benefit from regular surveillance CT, there are no data that a rising tumour marker leads to earlier intervention or better outcomes, CA 19-9 is graded category 2B, and there is no evidence that serial ctDNA monitoring improves outcomes. The stated rationale is consensus — that earlier identification may allow enrolment in trials or other treatment. Confirm the interval against the current published guideline and record the version used.</w:t>
      </w:r>
    </w:p>
    <w:p>
      <w:pPr>
        <w:spacing w:after="60" w:before="160"/>
      </w:pPr>
      <w:r>
        <w:rPr>
          <w:b/>
          <w:bCs/>
          <w:color w:val="8E5008"/>
          <w:sz w:val="19"/>
          <w:szCs w:val="19"/>
        </w:rPr>
        <w:t xml:space="preserve">20. </w:t>
      </w:r>
      <w:r>
        <w:rPr>
          <w:b/>
          <w:bCs/>
          <w:sz w:val="19"/>
          <w:szCs w:val="19"/>
        </w:rPr>
        <w:t xml:space="preserve">Adjuvant therapy after neoadjuvant therapy is improvised, everywhere, including here — and the guidelines now say so in as many words.</w:t>
      </w:r>
    </w:p>
    <w:p>
      <w:pPr>
        <w:spacing w:after="40" w:line="276"/>
        <w:ind w:left="260"/>
      </w:pPr>
      <w:r>
        <w:rPr>
          <w:color w:val="15181F"/>
          <w:sz w:val="18"/>
          <w:szCs w:val="18"/>
        </w:rPr>
        <w:t xml:space="preserve">NCCN says only that the options depend on the response to neoadjuvant therapy and other clinical factors. ESMO states that the benefit of adjuvant chemotherapy following neoadjuvant therapy and pancreatectomy </w:t>
      </w:r>
      <w:r>
        <w:rPr>
          <w:i/>
          <w:iCs/>
          <w:color w:val="15181F"/>
          <w:sz w:val="18"/>
          <w:szCs w:val="18"/>
        </w:rPr>
        <w:t xml:space="preserve">remains to be established</w:t>
      </w:r>
      <w:r>
        <w:rPr>
          <w:color w:val="15181F"/>
          <w:sz w:val="18"/>
          <w:szCs w:val="18"/>
        </w:rPr>
        <w:t xml:space="preserve"> and that randomised data are lacking. No trial defines total perioperative duration, whether to continue the same regimen or switch, or what to do after a complete pathologic response — and the trials do not even agree on the shape of the sequence: PREOPANC-2's FOLFIRINOX arm gave no adjuvant treatment at all while its chemoradiotherapy arm gave four cycles of gemcitabine, S1505 continued the same regimen and reached only 55% to 56% of eligible patients, and A021501 gave four cycles of FOLFOX6 to 24% to 34%. There is no defensible default, which is why this is an approvals item rather than a recommendation.</w:t>
      </w:r>
    </w:p>
    <w:p>
      <w:pPr>
        <w:spacing w:after="60" w:before="160"/>
      </w:pPr>
      <w:r>
        <w:rPr>
          <w:b/>
          <w:bCs/>
          <w:color w:val="8E5008"/>
          <w:sz w:val="19"/>
          <w:szCs w:val="19"/>
        </w:rPr>
        <w:t xml:space="preserve">21. </w:t>
      </w:r>
      <w:r>
        <w:rPr>
          <w:b/>
          <w:bCs/>
          <w:sz w:val="19"/>
          <w:szCs w:val="19"/>
        </w:rPr>
        <w:t xml:space="preserve">The targeted agents below daraxonrasib and olaparib rest on pancreatic subsets of 21 to 38 patients, and two of them had no efficacy threshold they could have failed.</w:t>
      </w:r>
    </w:p>
    <w:p>
      <w:pPr>
        <w:spacing w:after="40" w:line="276"/>
        <w:ind w:left="260"/>
      </w:pPr>
      <w:r>
        <w:rPr>
          <w:color w:val="15181F"/>
          <w:sz w:val="18"/>
          <w:szCs w:val="18"/>
        </w:rPr>
        <w:t xml:space="preserve">The sotorasib pancreatic cohort pooled 38 patients across phase 1 dose exploration, phase 1 expansion and phase 2, with </w:t>
      </w:r>
      <w:r>
        <w:rPr>
          <w:b/>
          <w:bCs/>
          <w:color w:val="15181F"/>
          <w:sz w:val="18"/>
          <w:szCs w:val="18"/>
        </w:rPr>
        <w:t xml:space="preserve">no prespecified response benchmark and no hypothesis test</w:t>
      </w:r>
      <w:r>
        <w:rPr>
          <w:color w:val="15181F"/>
          <w:sz w:val="18"/>
          <w:szCs w:val="18"/>
        </w:rPr>
        <w:t xml:space="preserve">, and its response interval (10% to 37%) is compatible with the under-10% historical benchmark the authors invoke. Adagrasib's prespecified 10% null applies to the pooled tumour-agnostic cohort of 57 evaluable patients, not to its 21 pancreatic patients, and six patients counted as evaluable by investigators were removed by central review for having no measurable disease, moving the denominator favourably. Zenocutuzumab's 36 pancreatic patients were </w:t>
      </w:r>
      <w:r>
        <w:rPr>
          <w:b/>
          <w:bCs/>
          <w:color w:val="15181F"/>
          <w:sz w:val="18"/>
          <w:szCs w:val="18"/>
        </w:rPr>
        <w:t xml:space="preserve">all KRAS wild-type</w:t>
      </w:r>
      <w:r>
        <w:rPr>
          <w:color w:val="15181F"/>
          <w:sz w:val="18"/>
          <w:szCs w:val="18"/>
        </w:rPr>
        <w:t xml:space="preserve">, its primary endpoint was investigator-assessed response with blinded central review only secondary, its primary efficacy population is a post-enrolment construct (204 treated to 158 evaluable, with short-follow-up exclusions falling on early progressors), and no progression-free or overall survival is reported for the pancreatic subgroup at all. None of the three reports a screening denominator, so the testing burden implied by any of them is invisible. The NTRK, RET, BRAF and FGFR entries were not retrieved for this depot.</w:t>
      </w:r>
    </w:p>
    <w:p>
      <w:pPr>
        <w:spacing w:after="60" w:before="160"/>
      </w:pPr>
      <w:r>
        <w:rPr>
          <w:b/>
          <w:bCs/>
          <w:color w:val="8E5008"/>
          <w:sz w:val="19"/>
          <w:szCs w:val="19"/>
        </w:rPr>
        <w:t xml:space="preserve">22. </w:t>
      </w:r>
      <w:r>
        <w:rPr>
          <w:b/>
          <w:bCs/>
          <w:sz w:val="19"/>
          <w:szCs w:val="19"/>
        </w:rPr>
        <w:t xml:space="preserve">RASolute 302's hazard ratio of 0.40 is the largest effect on this page, it is established only in RAS G12 disease, and it is inseparable from how badly its comparator arm was delivered.</w:t>
      </w:r>
    </w:p>
    <w:p>
      <w:pPr>
        <w:spacing w:after="40" w:line="276"/>
        <w:ind w:left="260"/>
      </w:pPr>
      <w:r>
        <w:rPr>
          <w:color w:val="15181F"/>
          <w:sz w:val="18"/>
          <w:szCs w:val="18"/>
        </w:rPr>
        <w:t xml:space="preserve">The dual primary endpoints were met in the RAS G12 population: median overall survival 13.2 versus 6.6 months, hazard ratio 0.40, P&lt;0.001, and progression-free survival by blinded central review 7.3 versus 3.5 months, hazard ratio 0.45. In patients </w:t>
      </w:r>
      <w:r>
        <w:rPr>
          <w:b/>
          <w:bCs/>
          <w:color w:val="15181F"/>
          <w:sz w:val="18"/>
          <w:szCs w:val="18"/>
        </w:rPr>
        <w:t xml:space="preserve">without</w:t>
      </w:r>
      <w:r>
        <w:rPr>
          <w:color w:val="15181F"/>
          <w:sz w:val="18"/>
          <w:szCs w:val="18"/>
        </w:rPr>
        <w:t xml:space="preserve"> a G12 mutation the hazard ratio was 1.38 (95% CI 0.60–3.17), a point estimate favouring chemotherapy. And 38 of 252 patients (15.1%) allocated to chemotherapy never received it, against 7 of 248 (2.8%) allocated daraxonrasib — 29 of them withdrawing, and some no longer eligible because ECOG had risen above 1 by the time treatment was due, which an oral agent started the same day does not face. Those patients remain in the comparator's intention-to-treat survival curve. The comparator itself was unconstrained investigator's choice given per local prescribing practice, with a 6.6-month median at the low end of published second-line outcomes, and its quality is not auditable from the report. The sponsor supported the trial and performed and validated the analyses. The direction of the result is not in doubt; the magnitude should be read with the comparator in view.</w:t>
      </w:r>
    </w:p>
    <w:p>
      <w:pPr>
        <w:spacing w:after="60" w:before="160"/>
      </w:pPr>
      <w:r>
        <w:rPr>
          <w:b/>
          <w:bCs/>
          <w:color w:val="8E5008"/>
          <w:sz w:val="19"/>
          <w:szCs w:val="19"/>
        </w:rPr>
        <w:t xml:space="preserve">26. </w:t>
      </w:r>
      <w:r>
        <w:rPr>
          <w:b/>
          <w:bCs/>
          <w:sz w:val="19"/>
          <w:szCs w:val="19"/>
        </w:rPr>
        <w:t xml:space="preserve">The pooled hazard ratio of 0.41 for resecting liver-only metastatic PDAC appears twice in the 2025 literature from largely the same patients, and the better of the two analyses shows it tracks chemotherapy rather than surgery.</w:t>
      </w:r>
    </w:p>
    <w:p>
      <w:pPr>
        <w:spacing w:after="40" w:line="276"/>
        <w:ind w:left="260"/>
      </w:pPr>
      <w:r>
        <w:rPr>
          <w:color w:val="15181F"/>
          <w:sz w:val="18"/>
          <w:szCs w:val="18"/>
        </w:rPr>
        <w:t xml:space="preserve">Two 2025 meta-analyses report 0.41 (0.31–0.53) and 0.41 (0.32–0.52) from substantially overlapping study sets, so citing both double-counts one evidence base. The first pooled only </w:t>
      </w:r>
      <w:r>
        <w:rPr>
          <w:b/>
          <w:bCs/>
          <w:color w:val="15181F"/>
          <w:sz w:val="18"/>
          <w:szCs w:val="18"/>
        </w:rPr>
        <w:t xml:space="preserve">univariate</w:t>
      </w:r>
      <w:r>
        <w:rPr>
          <w:color w:val="15181F"/>
          <w:sz w:val="18"/>
          <w:szCs w:val="18"/>
        </w:rPr>
        <w:t xml:space="preserve"> hazard ratios by explicit design, reported I² of 12% from seven retrospective studies with different definitions of oligometastasis, and never mentions immortal-time bias; the second found I² of 64.5% in the same literature. The second's meta-regression is the finding: the relative rate of chemotherapy between arms explained 87.1% of between-study heterogeneity, roughly half the non-surgical patients received gemcitabine monotherapy against multi-agent regimens in the surgical arm, and the adjusted effect reached HR 0.18 (0.08–0.40) only where both pre- and postoperative chemotherapy were given, with no difference in any other scenario — an estimate fitted to 7 comparisons with 11 candidate covariates that its own authors call mathematical rather than empirical. The first review's own data say the same thing: a 32.5-versus-9.2-month gap generated by a RECIST response criterion, and the best outcomes in the whole review coming from 52 patients whose liver metastases had completely regressed and who had only the primary resected. Nationally, 891 of 47,785 patients with liver-only stage IV disease (1.9%) had the primary resected, only 137 (0.29%) had a metastasectomy, only 13.5% had preoperative chemotherapy, 85% had the primary removed without touching the liver metastases, and the whole surgical cohort's median survival was 10.74 months — no better than chemotherapy alone in unselected metastatic disease.</w:t>
      </w:r>
    </w:p>
    <w:p>
      <w:pPr>
        <w:spacing w:after="60" w:before="160"/>
      </w:pPr>
      <w:r>
        <w:rPr>
          <w:b/>
          <w:bCs/>
          <w:color w:val="8E5008"/>
          <w:sz w:val="19"/>
          <w:szCs w:val="19"/>
        </w:rPr>
        <w:t xml:space="preserve">28. </w:t>
      </w:r>
      <w:r>
        <w:rPr>
          <w:b/>
          <w:bCs/>
          <w:sz w:val="19"/>
          <w:szCs w:val="19"/>
        </w:rPr>
        <w:t xml:space="preserve">Three of the references on this page are still cited from abstract only, and several more are carried only in the machine-extracted guideline text.</w:t>
      </w:r>
    </w:p>
    <w:p>
      <w:pPr>
        <w:spacing w:after="60" w:before="160"/>
      </w:pPr>
      <w:r>
        <w:rPr>
          <w:b/>
          <w:bCs/>
          <w:color w:val="8E5008"/>
          <w:sz w:val="19"/>
          <w:szCs w:val="19"/>
        </w:rPr>
        <w:t xml:space="preserve">29. </w:t>
      </w:r>
      <w:r>
        <w:rPr>
          <w:b/>
          <w:bCs/>
          <w:sz w:val="19"/>
          <w:szCs w:val="19"/>
        </w:rPr>
        <w:t xml:space="preserve">Industry sponsors chose the comparator in four of the trials this page cites, and in each case the choice was the one most favourable to the sponsor.</w:t>
      </w:r>
    </w:p>
    <w:p>
      <w:pPr>
        <w:spacing w:after="40" w:line="276"/>
        <w:ind w:left="260"/>
      </w:pPr>
      <w:r>
        <w:rPr>
          <w:color w:val="15181F"/>
          <w:sz w:val="18"/>
          <w:szCs w:val="18"/>
        </w:rPr>
        <w:t xml:space="preserve">APACT tested the sponsor's proprietary nab-paclitaxel added to a generic backbone against that backbone alone, in a trial the sponsor designed, monitored and analysed with a sponsor-employed statistician, after ESPAC-4 and PRODIGE-24 had already superseded gemcitabine monotherapy. MPACT did the same, continuing against gemcitabine alone for 11 months after FOLFIRINOX was published, with the sponsor designing the protocol, supplying the drug, monitoring the study and employing the statistician who vouched for the data. NAPOLI 3 tested a proprietary liposomal irinotecan against nab-paclitaxel with gemcitabine rather than against generic FOLFIRINOX, with the sponsor participating in design, collection, analysis, interpretation and manuscript approval, and reported neither cost nor quality of life. RASolute 302 used unconstrained investigator's-choice chemotherapy as its comparator, with the sponsor performing and validating the analyses. None of this makes the results wrong; it does mean the comparator in each case is the weakest defensible one, which is exactly what inflates a hazard ratio.</w:t>
      </w:r>
    </w:p>
    <w:p>
      <w:pPr>
        <w:spacing w:after="60" w:before="160"/>
      </w:pPr>
      <w:r>
        <w:rPr>
          <w:b/>
          <w:bCs/>
          <w:color w:val="8E5008"/>
          <w:sz w:val="19"/>
          <w:szCs w:val="19"/>
        </w:rPr>
        <w:t xml:space="preserve">30. </w:t>
      </w:r>
      <w:r>
        <w:rPr>
          <w:b/>
          <w:bCs/>
          <w:sz w:val="19"/>
          <w:szCs w:val="19"/>
        </w:rPr>
        <w:t xml:space="preserve">The tumour board operating model below is reproduced from the programme's other disease roadmaps so that there is one operating standard rather than seven. It is evidence grade D by construction.</w:t>
      </w:r>
    </w:p>
    <w:p>
      <w:pPr>
        <w:spacing w:after="40" w:line="276"/>
        <w:ind w:left="260"/>
      </w:pPr>
      <w:r>
        <w:rPr>
          <w:color w:val="15181F"/>
          <w:sz w:val="18"/>
          <w:szCs w:val="18"/>
        </w:rPr>
        <w:t xml:space="preserve">These are stakeholder-derived operating requirements, labelled Standard because the programme has chosen them, not because trials support them. Audit them for adherence, not for effectiveness. What is specific to this disease is the pace — a staging scan expires in 4 weeks, so a case that waits two board cycles needs re-imaging — and, after the full-text read, the need for someone to adjudicate the resectability category, because roughly a third of patients called resectable by their own centres are not.</w:t>
      </w:r>
    </w:p>
    <w:p>
      <w:pPr>
        <w:pStyle w:val="Heading1"/>
        <w:keepNext/>
        <w:pageBreakBefore/>
        <w:spacing w:after="110" w:before="320"/>
      </w:pPr>
      <w:r>
        <w:rPr>
          <w:rFonts w:ascii="Cambria" w:cs="Cambria" w:eastAsia="Cambria" w:hAnsi="Cambria"/>
          <w:b/>
          <w:bCs/>
          <w:color w:val="17365D"/>
          <w:sz w:val="32"/>
          <w:szCs w:val="32"/>
        </w:rPr>
        <w:t xml:space="preserve">Operations</w:t>
      </w:r>
    </w:p>
    <w:p>
      <w:pPr>
        <w:pStyle w:val="Heading2"/>
        <w:keepNext/>
        <w:spacing w:after="110" w:before="240"/>
      </w:pPr>
      <w:r>
        <w:rPr>
          <w:rFonts w:ascii="Cambria" w:cs="Cambria" w:eastAsia="Cambria" w:hAnsi="Cambria"/>
          <w:b/>
          <w:bCs/>
          <w:color w:val="17365D"/>
          <w:sz w:val="26"/>
          <w:szCs w:val="26"/>
        </w:rPr>
        <w:t xml:space="preserve">The board meeting</w:t>
      </w:r>
    </w:p>
    <w:p>
      <w:pPr>
        <w:pStyle w:val="Heading2"/>
        <w:keepNext/>
        <w:spacing w:after="110" w:before="240"/>
      </w:pPr>
      <w:r>
        <w:rPr>
          <w:rFonts w:ascii="Cambria" w:cs="Cambria" w:eastAsia="Cambria" w:hAnsi="Cambria"/>
          <w:b/>
          <w:bCs/>
          <w:color w:val="17365D"/>
          <w:sz w:val="26"/>
          <w:szCs w:val="26"/>
        </w:rPr>
        <w:t xml:space="preserve">The dashboard</w:t>
      </w:r>
    </w:p>
    <w:p>
      <w:pPr>
        <w:pStyle w:val="Heading2"/>
        <w:keepNext/>
        <w:spacing w:after="110" w:before="240"/>
      </w:pPr>
      <w:r>
        <w:rPr>
          <w:rFonts w:ascii="Cambria" w:cs="Cambria" w:eastAsia="Cambria" w:hAnsi="Cambria"/>
          <w:b/>
          <w:bCs/>
          <w:color w:val="17365D"/>
          <w:sz w:val="26"/>
          <w:szCs w:val="26"/>
        </w:rPr>
        <w:t xml:space="preserve">Decisions this programme still has to make</w:t>
      </w:r>
    </w:p>
    <w:p>
      <w:pPr>
        <w:spacing w:after="160" w:line="276"/>
      </w:pPr>
      <w:r>
        <w:rPr>
          <w:i/>
          <w:iCs/>
          <w:color w:val="5A6069"/>
          <w:sz w:val="20"/>
          <w:szCs w:val="20"/>
        </w:rPr>
        <w:t xml:space="preserve">These are not evidence gaps. They are choices the roadmap cannot make on the programme's behalf, and until each is settled the same patient can be managed differently depending on who is in the room.</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520"/>
        <w:gridCol w:w="4100"/>
        <w:gridCol w:w="4740"/>
      </w:tblGrid>
      <w:tr>
        <w:trPr>
          <w:cantSplit/>
          <w:tblHeader/>
        </w:trPr>
        <w:tc>
          <w:tcPr>
            <w:tcW w:type="dxa" w:w="520"/>
            <w:shd w:fill="17365D" w:color="auto" w:val="clear"/>
            <w:tcMar>
              <w:top w:type="dxa" w:w="70"/>
              <w:left w:type="dxa" w:w="110"/>
              <w:bottom w:type="dxa" w:w="70"/>
              <w:right w:type="dxa" w:w="110"/>
            </w:tcMar>
            <w:vAlign w:val="top"/>
          </w:tcPr>
          <w:p>
            <w:r>
              <w:rPr>
                <w:b/>
                <w:bCs/>
                <w:color w:val="FFFFFF"/>
                <w:spacing w:val="18"/>
                <w:sz w:val="15"/>
                <w:szCs w:val="15"/>
              </w:rPr>
              <w:t xml:space="preserve">#</w:t>
            </w:r>
          </w:p>
        </w:tc>
        <w:tc>
          <w:tcPr>
            <w:tcW w:type="dxa" w:w="4100"/>
            <w:shd w:fill="17365D" w:color="auto" w:val="clear"/>
            <w:tcMar>
              <w:top w:type="dxa" w:w="70"/>
              <w:left w:type="dxa" w:w="110"/>
              <w:bottom w:type="dxa" w:w="70"/>
              <w:right w:type="dxa" w:w="110"/>
            </w:tcMar>
            <w:vAlign w:val="top"/>
          </w:tcPr>
          <w:p>
            <w:r>
              <w:rPr>
                <w:b/>
                <w:bCs/>
                <w:color w:val="FFFFFF"/>
                <w:spacing w:val="18"/>
                <w:sz w:val="15"/>
                <w:szCs w:val="15"/>
              </w:rPr>
              <w:t xml:space="preserve">THE DECISION</w:t>
            </w:r>
          </w:p>
        </w:tc>
        <w:tc>
          <w:tcPr>
            <w:tcW w:type="dxa" w:w="4740"/>
            <w:shd w:fill="17365D" w:color="auto" w:val="clear"/>
            <w:tcMar>
              <w:top w:type="dxa" w:w="70"/>
              <w:left w:type="dxa" w:w="110"/>
              <w:bottom w:type="dxa" w:w="70"/>
              <w:right w:type="dxa" w:w="110"/>
            </w:tcMar>
            <w:vAlign w:val="top"/>
          </w:tcPr>
          <w:p>
            <w:r>
              <w:rPr>
                <w:b/>
                <w:bCs/>
                <w:color w:val="FFFFFF"/>
                <w:spacing w:val="18"/>
                <w:sz w:val="15"/>
                <w:szCs w:val="15"/>
              </w:rPr>
              <w:t xml:space="preserve">WHY IT HAS TO BE MADE</w:t>
            </w:r>
          </w:p>
        </w:tc>
      </w:tr>
      <w:tr>
        <w:trPr>
          <w:cantSplit/>
        </w:trPr>
        <w:tc>
          <w:tcPr>
            <w:tcW w:type="dxa" w:w="520"/>
            <w:tcMar>
              <w:top w:type="dxa" w:w="70"/>
              <w:left w:type="dxa" w:w="110"/>
              <w:bottom w:type="dxa" w:w="70"/>
              <w:right w:type="dxa" w:w="110"/>
            </w:tcMar>
            <w:vAlign w:val="top"/>
          </w:tcPr>
          <w:p>
            <w:pPr>
              <w:spacing w:after="0" w:line="276"/>
            </w:pPr>
            <w:r>
              <w:rPr>
                <w:b/>
                <w:bCs/>
                <w:color w:val="15181F"/>
                <w:sz w:val="17"/>
                <w:szCs w:val="17"/>
              </w:rPr>
              <w:t xml:space="preserve">1</w:t>
            </w:r>
          </w:p>
        </w:tc>
        <w:tc>
          <w:tcPr>
            <w:tcW w:type="dxa" w:w="4100"/>
            <w:tcMar>
              <w:top w:type="dxa" w:w="70"/>
              <w:left w:type="dxa" w:w="110"/>
              <w:bottom w:type="dxa" w:w="70"/>
              <w:right w:type="dxa" w:w="110"/>
            </w:tcMar>
            <w:vAlign w:val="top"/>
          </w:tcPr>
          <w:p>
            <w:pPr>
              <w:spacing w:after="0" w:line="276"/>
            </w:pPr>
            <w:r>
              <w:rPr>
                <w:color w:val="15181F"/>
                <w:sz w:val="17"/>
                <w:szCs w:val="17"/>
              </w:rPr>
              <w:t xml:space="preserve">For an anatomically resectable tumour with no high-risk features, is the local default upfront resection with adjuvant mFOLFIRINOX, or a neoadjuvant route — and if neoadjuvant, which regimen?</w:t>
            </w:r>
          </w:p>
        </w:tc>
        <w:tc>
          <w:tcPr>
            <w:tcW w:type="dxa" w:w="4740"/>
            <w:tcMar>
              <w:top w:type="dxa" w:w="70"/>
              <w:left w:type="dxa" w:w="110"/>
              <w:bottom w:type="dxa" w:w="70"/>
              <w:right w:type="dxa" w:w="110"/>
            </w:tcMar>
            <w:vAlign w:val="top"/>
          </w:tcPr>
          <w:p>
            <w:pPr>
              <w:spacing w:after="0" w:line="276"/>
            </w:pPr>
            <w:r>
              <w:rPr>
                <w:color w:val="15181F"/>
                <w:sz w:val="17"/>
                <w:szCs w:val="17"/>
              </w:rPr>
              <w:t xml:space="preserve">The trials disagree and the page does not resolve them, and the full-text read made the disagreement worse rather than better. </w:t>
            </w:r>
            <w:r>
              <w:rPr>
                <w:b/>
                <w:bCs/>
                <w:color w:val="15181F"/>
                <w:sz w:val="17"/>
                <w:szCs w:val="17"/>
              </w:rPr>
              <w:t xml:space="preserve">No neoadjuvant trial gave its control arm modern adjuvant therapy except NORPACT-1, and there only 19 of 44 resected control patients (43%) received adjuvant mFOLFIRINOX</w:t>
            </w:r>
            <w:r>
              <w:rPr>
                <w:color w:val="15181F"/>
                <w:sz w:val="17"/>
                <w:szCs w:val="17"/>
              </w:rPr>
              <w:t xml:space="preserve">; PREOPANC's control arm received adjuvant gemcitabine and only 51% of it received any chemotherapy; PREOPANC-2 has no upfront-surgery arm; S1505 and A021501 had no randomised control at all. Pooled across nine randomised trials the resectable subgroup shows no benefit (HR 0.90, 0.63–1.28) and the borderline resectable subgroup does (HR 0.60, 0.38–0.96), but the between-subgroup test is not significant (p=0.081) and the pooled estimate depends on post hoc removal of NORPACT-1. NORPACT-1's primary endpoint favoured upfront surgery at a two-sided alpha of 0.15, was non-significant per protocol, and had 21% of its neoadjuvant arm go straight to resection without the drug. ESMO recommends against neoadjuvant therapy in resectable disease at [II, E]. The pooled data also show no gain in adjuvant initiation (57.7% versus 55.6%, p=0.353), which removes the main mechanistic argument. A021806 has not reported. This has to be a local decision because there is no guideline answer to copy and no trial of the comparison that matters.</w:t>
            </w:r>
          </w:p>
        </w:tc>
      </w:tr>
      <w:tr>
        <w:trPr>
          <w:cantSplit/>
        </w:trPr>
        <w:tc>
          <w:tcPr>
            <w:tcW w:type="dxa" w:w="52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2</w:t>
            </w:r>
          </w:p>
        </w:tc>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Does this programme offer arterial resection, or arterial divestment, for PDAC — and if so at what minimum volume, by which surgeons, and under what consent document?</w:t>
            </w:r>
          </w:p>
        </w:tc>
        <w:tc>
          <w:tcPr>
            <w:tcW w:type="dxa" w:w="4740"/>
            <w:shd w:fill="F1F4F8" w:color="auto" w:val="clear"/>
            <w:tcMar>
              <w:top w:type="dxa" w:w="70"/>
              <w:left w:type="dxa" w:w="110"/>
              <w:bottom w:type="dxa" w:w="70"/>
              <w:right w:type="dxa" w:w="110"/>
            </w:tcMar>
            <w:vAlign w:val="top"/>
          </w:tcPr>
          <w:p>
            <w:pPr>
              <w:spacing w:after="0" w:line="276"/>
            </w:pPr>
            <w:r>
              <w:rPr>
                <w:color w:val="15181F"/>
                <w:sz w:val="17"/>
                <w:szCs w:val="17"/>
              </w:rPr>
              <w:t xml:space="preserve">NCCN restricts it to centres with proven experience in pancreatectomy with vascular resection and reconstruction, in highly selected patients after extensive neoadjuvant therapy with objective response, and requires patients to be told that the long-term benefit is currently unknown. It names no threshold. This is a governance decision taken once, not a decision taken in the room.</w:t>
            </w:r>
          </w:p>
        </w:tc>
      </w:tr>
      <w:tr>
        <w:trPr>
          <w:cantSplit/>
        </w:trPr>
        <w:tc>
          <w:tcPr>
            <w:tcW w:type="dxa" w:w="520"/>
            <w:tcMar>
              <w:top w:type="dxa" w:w="70"/>
              <w:left w:type="dxa" w:w="110"/>
              <w:bottom w:type="dxa" w:w="70"/>
              <w:right w:type="dxa" w:w="110"/>
            </w:tcMar>
            <w:vAlign w:val="top"/>
          </w:tcPr>
          <w:p>
            <w:pPr>
              <w:spacing w:after="0" w:line="276"/>
            </w:pPr>
            <w:r>
              <w:rPr>
                <w:b/>
                <w:bCs/>
                <w:color w:val="15181F"/>
                <w:sz w:val="17"/>
                <w:szCs w:val="17"/>
              </w:rPr>
              <w:t xml:space="preserve">3</w:t>
            </w:r>
          </w:p>
        </w:tc>
        <w:tc>
          <w:tcPr>
            <w:tcW w:type="dxa" w:w="4100"/>
            <w:tcMar>
              <w:top w:type="dxa" w:w="70"/>
              <w:left w:type="dxa" w:w="110"/>
              <w:bottom w:type="dxa" w:w="70"/>
              <w:right w:type="dxa" w:w="110"/>
            </w:tcMar>
            <w:vAlign w:val="top"/>
          </w:tcPr>
          <w:p>
            <w:pPr>
              <w:spacing w:after="0" w:line="276"/>
            </w:pPr>
            <w:r>
              <w:rPr>
                <w:color w:val="15181F"/>
                <w:sz w:val="17"/>
                <w:szCs w:val="17"/>
              </w:rPr>
              <w:t xml:space="preserve">What counts locally as a </w:t>
            </w:r>
            <w:r>
              <w:rPr>
                <w:i/>
                <w:iCs/>
                <w:color w:val="15181F"/>
                <w:sz w:val="17"/>
                <w:szCs w:val="17"/>
              </w:rPr>
              <w:t xml:space="preserve">significant</w:t>
            </w:r>
            <w:r>
              <w:rPr>
                <w:color w:val="15181F"/>
                <w:sz w:val="17"/>
                <w:szCs w:val="17"/>
              </w:rPr>
              <w:t xml:space="preserve"> response after neoadjuvant therapy, and who decides?</w:t>
            </w:r>
          </w:p>
        </w:tc>
        <w:tc>
          <w:tcPr>
            <w:tcW w:type="dxa" w:w="4740"/>
            <w:tcMar>
              <w:top w:type="dxa" w:w="70"/>
              <w:left w:type="dxa" w:w="110"/>
              <w:bottom w:type="dxa" w:w="70"/>
              <w:right w:type="dxa" w:w="110"/>
            </w:tcMar>
            <w:vAlign w:val="top"/>
          </w:tcPr>
          <w:p>
            <w:pPr>
              <w:spacing w:after="0" w:line="276"/>
            </w:pPr>
            <w:r>
              <w:rPr>
                <w:color w:val="15181F"/>
                <w:sz w:val="17"/>
                <w:szCs w:val="17"/>
              </w:rPr>
              <w:t xml:space="preserve">NCCN hands the definition to the local treatment team and offers only examples — CA 19-9 normalisation, near-normalisation or at least a 50% decrease, and a complete or near-complete metabolic response on PET. Since the response category determines whether a vascular resection is offered, an unwritten definition is applied inconsistently.</w:t>
            </w:r>
          </w:p>
        </w:tc>
      </w:tr>
      <w:tr>
        <w:trPr>
          <w:cantSplit/>
        </w:trPr>
        <w:tc>
          <w:tcPr>
            <w:tcW w:type="dxa" w:w="52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4</w:t>
            </w:r>
          </w:p>
        </w:tc>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Is mFOLFIRINOX the adjuvant default for every recovered good-performance-status patient, and what threshold moves a patient to gemcitabine with capecitabine?</w:t>
            </w:r>
          </w:p>
        </w:tc>
        <w:tc>
          <w:tcPr>
            <w:tcW w:type="dxa" w:w="4740"/>
            <w:shd w:fill="F1F4F8" w:color="auto" w:val="clear"/>
            <w:tcMar>
              <w:top w:type="dxa" w:w="70"/>
              <w:left w:type="dxa" w:w="110"/>
              <w:bottom w:type="dxa" w:w="70"/>
              <w:right w:type="dxa" w:w="110"/>
            </w:tcMar>
            <w:vAlign w:val="top"/>
          </w:tcPr>
          <w:p>
            <w:pPr>
              <w:spacing w:after="0" w:line="276"/>
            </w:pPr>
            <w:r>
              <w:rPr>
                <w:color w:val="15181F"/>
                <w:sz w:val="17"/>
                <w:szCs w:val="17"/>
              </w:rPr>
              <w:t xml:space="preserve">On mature 5-year data PRODIGE 24 gives median overall survival 53.5 versus 35.5 months and 5-year survival 43.2% versus 31.4%, at the cost of grade 3–4 adverse events in 75.9% versus 52.9%, in a trial restricted to age under 80, no coronary disease, WHO performance status 0–1, full surgical recovery and postoperative CA 19-9 below 180 U/mL. The effect attenuated from the 3-year report (DFS HR 0.58 to 0.66, OS 0.64 to 0.68), 5-year disease-free survival differs by only 7.1 points, only 33.6% of patients achieved a relative dose intensity of 0.80 or more, post-relapse survival was numerically worse in the mFOLFIRINOX arm (13.1 versus 15.0 months) with fewer of its relapsing patients receiving any chemotherapy (66.9% versus 83.0%), and in the 101 patients aged 70 or older the benefit did not reach significance (HR 0.86, 0.53–1.39). Nothing in it describes the patient who has not recovered from a pancreatoduodenectomy, which is a substantial fraction of the real population, and quality of life was never collected.</w:t>
            </w:r>
          </w:p>
        </w:tc>
      </w:tr>
      <w:tr>
        <w:trPr>
          <w:cantSplit/>
        </w:trPr>
        <w:tc>
          <w:tcPr>
            <w:tcW w:type="dxa" w:w="520"/>
            <w:tcMar>
              <w:top w:type="dxa" w:w="70"/>
              <w:left w:type="dxa" w:w="110"/>
              <w:bottom w:type="dxa" w:w="70"/>
              <w:right w:type="dxa" w:w="110"/>
            </w:tcMar>
            <w:vAlign w:val="top"/>
          </w:tcPr>
          <w:p>
            <w:pPr>
              <w:spacing w:after="0" w:line="276"/>
            </w:pPr>
            <w:r>
              <w:rPr>
                <w:b/>
                <w:bCs/>
                <w:color w:val="15181F"/>
                <w:sz w:val="17"/>
                <w:szCs w:val="17"/>
              </w:rPr>
              <w:t xml:space="preserve">5</w:t>
            </w:r>
          </w:p>
        </w:tc>
        <w:tc>
          <w:tcPr>
            <w:tcW w:type="dxa" w:w="4100"/>
            <w:tcMar>
              <w:top w:type="dxa" w:w="70"/>
              <w:left w:type="dxa" w:w="110"/>
              <w:bottom w:type="dxa" w:w="70"/>
              <w:right w:type="dxa" w:w="110"/>
            </w:tcMar>
            <w:vAlign w:val="top"/>
          </w:tcPr>
          <w:p>
            <w:pPr>
              <w:spacing w:after="0" w:line="276"/>
            </w:pPr>
            <w:r>
              <w:rPr>
                <w:color w:val="15181F"/>
                <w:sz w:val="17"/>
                <w:szCs w:val="17"/>
              </w:rPr>
              <w:t xml:space="preserve">What is the local rule for adjuvant therapy after neoadjuvant therapy — total duration, same regimen or switch, and what to do after a complete pathologic response?</w:t>
            </w:r>
          </w:p>
        </w:tc>
        <w:tc>
          <w:tcPr>
            <w:tcW w:type="dxa" w:w="4740"/>
            <w:tcMar>
              <w:top w:type="dxa" w:w="70"/>
              <w:left w:type="dxa" w:w="110"/>
              <w:bottom w:type="dxa" w:w="70"/>
              <w:right w:type="dxa" w:w="110"/>
            </w:tcMar>
            <w:vAlign w:val="top"/>
          </w:tcPr>
          <w:p>
            <w:pPr>
              <w:spacing w:after="0" w:line="276"/>
            </w:pPr>
            <w:r>
              <w:rPr>
                <w:color w:val="15181F"/>
                <w:sz w:val="17"/>
                <w:szCs w:val="17"/>
              </w:rPr>
              <w:t xml:space="preserve">NCCN says only that the options depend on response and other clinical factors, and no trial defines any of it. PREOPANC-2's FOLFIRINOX arm gave no adjuvant treatment at all while its chemoradiotherapy arm gave four cycles of gemcitabine, so even the trials do not agree on the shape of the sequence.</w:t>
            </w:r>
          </w:p>
        </w:tc>
      </w:tr>
      <w:tr>
        <w:trPr>
          <w:cantSplit/>
        </w:trPr>
        <w:tc>
          <w:tcPr>
            <w:tcW w:type="dxa" w:w="52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6</w:t>
            </w:r>
          </w:p>
        </w:tc>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Is consolidative chemoradiotherapy after induction therapy in locally advanced disease offered routinely, only where conversion to resection is the stated objective, or not at all?</w:t>
            </w:r>
          </w:p>
        </w:tc>
        <w:tc>
          <w:tcPr>
            <w:tcW w:type="dxa" w:w="4740"/>
            <w:shd w:fill="F1F4F8" w:color="auto" w:val="clear"/>
            <w:tcMar>
              <w:top w:type="dxa" w:w="70"/>
              <w:left w:type="dxa" w:w="110"/>
              <w:bottom w:type="dxa" w:w="70"/>
              <w:right w:type="dxa" w:w="110"/>
            </w:tcMar>
            <w:vAlign w:val="top"/>
          </w:tcPr>
          <w:p>
            <w:pPr>
              <w:spacing w:after="0" w:line="276"/>
            </w:pPr>
            <w:r>
              <w:rPr>
                <w:color w:val="15181F"/>
                <w:sz w:val="17"/>
                <w:szCs w:val="17"/>
              </w:rPr>
              <w:t xml:space="preserve">LAP07 (HR 1.03, P=.83, stopped at interim for futility with that analysis declared final, 18% major radiotherapy protocol deviations, survival measured from the first of two randomisations) and CONKO-007 (HR 0.937, P=.57, primary endpoint not met at 25% versus 18% R0) are both null for overall survival. CONKO-007's primary endpoint was changed mid-trial from overall survival to R0 rate with the new effect size calculated from its own unblinded interim data on 180 already-enrolled patients, its radiotherapy was never centrally reviewed for stated financial reasons, and its significant R0 advantage (69.4% versus 50.0%) is confined to patients who reached theatre, which was not randomised. What both trials do show is better local control (CONKO-007 locoregional recurrence HR 0.33, 0.206–0.530, P&lt;.001; LAP07 32% versus 46%, P=.03). Neither tested radiotherapy after a FOLFIRINOX backbone followed by modern surgery and modern adjuvant therapy, so the local position has to be a judgement about objectives rather than a reading of evidence.</w:t>
            </w:r>
          </w:p>
        </w:tc>
      </w:tr>
      <w:tr>
        <w:trPr>
          <w:cantSplit/>
        </w:trPr>
        <w:tc>
          <w:tcPr>
            <w:tcW w:type="dxa" w:w="520"/>
            <w:tcMar>
              <w:top w:type="dxa" w:w="70"/>
              <w:left w:type="dxa" w:w="110"/>
              <w:bottom w:type="dxa" w:w="70"/>
              <w:right w:type="dxa" w:w="110"/>
            </w:tcMar>
            <w:vAlign w:val="top"/>
          </w:tcPr>
          <w:p>
            <w:pPr>
              <w:spacing w:after="0" w:line="276"/>
            </w:pPr>
            <w:r>
              <w:rPr>
                <w:b/>
                <w:bCs/>
                <w:color w:val="15181F"/>
                <w:sz w:val="17"/>
                <w:szCs w:val="17"/>
              </w:rPr>
              <w:t xml:space="preserve">7</w:t>
            </w:r>
          </w:p>
        </w:tc>
        <w:tc>
          <w:tcPr>
            <w:tcW w:type="dxa" w:w="4100"/>
            <w:tcMar>
              <w:top w:type="dxa" w:w="70"/>
              <w:left w:type="dxa" w:w="110"/>
              <w:bottom w:type="dxa" w:w="70"/>
              <w:right w:type="dxa" w:w="110"/>
            </w:tcMar>
            <w:vAlign w:val="top"/>
          </w:tcPr>
          <w:p>
            <w:pPr>
              <w:spacing w:after="0" w:line="276"/>
            </w:pPr>
            <w:r>
              <w:rPr>
                <w:color w:val="15181F"/>
                <w:sz w:val="17"/>
                <w:szCs w:val="17"/>
              </w:rPr>
              <w:t xml:space="preserve">Which triplet is the local first-line standard in metastatic disease — (m)FOLFIRINOX or NALIRIFOX — and what counts locally as </w:t>
            </w:r>
            <w:r>
              <w:rPr>
                <w:i/>
                <w:iCs/>
                <w:color w:val="15181F"/>
                <w:sz w:val="17"/>
                <w:szCs w:val="17"/>
              </w:rPr>
              <w:t xml:space="preserve">good biliary drainage and adequate nutritional intake</w:t>
            </w:r>
            <w:r>
              <w:rPr>
                <w:color w:val="15181F"/>
                <w:sz w:val="17"/>
                <w:szCs w:val="17"/>
              </w:rPr>
              <w:t xml:space="preserve">?</w:t>
            </w:r>
          </w:p>
        </w:tc>
        <w:tc>
          <w:tcPr>
            <w:tcW w:type="dxa" w:w="4740"/>
            <w:tcMar>
              <w:top w:type="dxa" w:w="70"/>
              <w:left w:type="dxa" w:w="110"/>
              <w:bottom w:type="dxa" w:w="70"/>
              <w:right w:type="dxa" w:w="110"/>
            </w:tcMar>
            <w:vAlign w:val="top"/>
          </w:tcPr>
          <w:p>
            <w:pPr>
              <w:spacing w:after="0" w:line="276"/>
            </w:pPr>
            <w:r>
              <w:rPr>
                <w:color w:val="15181F"/>
                <w:sz w:val="17"/>
                <w:szCs w:val="17"/>
              </w:rPr>
              <w:t xml:space="preserve">The two triplets sit at the same median overall survival (11.1 months) against different comparators in different eras, there is no randomised comparison between them, and NCCN states NALIRIFOX does not appear to have clear advantages over FOLFIRINOX or mFOLFIRINOX. The second half matters as much: NCCN's eligibility definition for intensive therapy is ECOG 0–1 </w:t>
            </w:r>
            <w:r>
              <w:rPr>
                <w:b/>
                <w:bCs/>
                <w:color w:val="15181F"/>
                <w:sz w:val="17"/>
                <w:szCs w:val="17"/>
              </w:rPr>
              <w:t xml:space="preserve">with</w:t>
            </w:r>
            <w:r>
              <w:rPr>
                <w:color w:val="15181F"/>
                <w:sz w:val="17"/>
                <w:szCs w:val="17"/>
              </w:rPr>
              <w:t xml:space="preserve"> good biliary drainage and adequate nutritional intake, and the latter two are not currently recorded in a way that can be audited. [PAYER]</w:t>
            </w:r>
          </w:p>
        </w:tc>
      </w:tr>
      <w:tr>
        <w:trPr>
          <w:cantSplit/>
        </w:trPr>
        <w:tc>
          <w:tcPr>
            <w:tcW w:type="dxa" w:w="52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8</w:t>
            </w:r>
          </w:p>
        </w:tc>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Who owns chasing the molecular report, and where does daraxonrasib sit in the local second-line sequence?</w:t>
            </w:r>
          </w:p>
        </w:tc>
        <w:tc>
          <w:tcPr>
            <w:tcW w:type="dxa" w:w="4740"/>
            <w:shd w:fill="F1F4F8" w:color="auto" w:val="clear"/>
            <w:tcMar>
              <w:top w:type="dxa" w:w="70"/>
              <w:left w:type="dxa" w:w="110"/>
              <w:bottom w:type="dxa" w:w="70"/>
              <w:right w:type="dxa" w:w="110"/>
            </w:tcMar>
            <w:vAlign w:val="top"/>
          </w:tcPr>
          <w:p>
            <w:pPr>
              <w:spacing w:after="0" w:line="276"/>
            </w:pPr>
            <w:r>
              <w:rPr>
                <w:color w:val="15181F"/>
                <w:sz w:val="17"/>
                <w:szCs w:val="17"/>
              </w:rPr>
              <w:t xml:space="preserve">The commonest failure in metastatic PDAC is a genomic report that arrives after the patient is too unwell to act on it, which is an operational problem with a named-owner solution. The sequencing question is separate: RASolute 302 is a phase 3 result with dual primary endpoints met in the RAS </w:t>
            </w:r>
            <w:r>
              <w:rPr>
                <w:b/>
                <w:bCs/>
                <w:color w:val="15181F"/>
                <w:sz w:val="17"/>
                <w:szCs w:val="17"/>
              </w:rPr>
              <w:t xml:space="preserve">G12</w:t>
            </w:r>
            <w:r>
              <w:rPr>
                <w:color w:val="15181F"/>
                <w:sz w:val="17"/>
                <w:szCs w:val="17"/>
              </w:rPr>
              <w:t xml:space="preserve"> population (median overall survival 13.2 versus 6.6 months, HR 0.40; progression-free survival 7.3 versus 3.5 months, HR 0.45), but the benefit is not established outside G12 (non-G12 HR 1.38, 0.60–3.17), 38 of 252 patients (15.1%) allocated to the comparator never received it against 7 of 248 (2.8%) on daraxonrasib, and the comparator was unconstrained investigator's choice with a 6.6-month median at the low end of published second-line outcomes. The local position depends on availability, regulatory status and cost, and should state which RAS alterations it covers. [PAYER]</w:t>
            </w:r>
          </w:p>
        </w:tc>
      </w:tr>
      <w:tr>
        <w:trPr>
          <w:cantSplit/>
        </w:trPr>
        <w:tc>
          <w:tcPr>
            <w:tcW w:type="dxa" w:w="520"/>
            <w:tcMar>
              <w:top w:type="dxa" w:w="70"/>
              <w:left w:type="dxa" w:w="110"/>
              <w:bottom w:type="dxa" w:w="70"/>
              <w:right w:type="dxa" w:w="110"/>
            </w:tcMar>
            <w:vAlign w:val="top"/>
          </w:tcPr>
          <w:p>
            <w:pPr>
              <w:spacing w:after="0" w:line="276"/>
            </w:pPr>
            <w:r>
              <w:rPr>
                <w:b/>
                <w:bCs/>
                <w:color w:val="15181F"/>
                <w:sz w:val="17"/>
                <w:szCs w:val="17"/>
              </w:rPr>
              <w:t xml:space="preserve">11</w:t>
            </w:r>
          </w:p>
        </w:tc>
        <w:tc>
          <w:tcPr>
            <w:tcW w:type="dxa" w:w="4100"/>
            <w:tcMar>
              <w:top w:type="dxa" w:w="70"/>
              <w:left w:type="dxa" w:w="110"/>
              <w:bottom w:type="dxa" w:w="70"/>
              <w:right w:type="dxa" w:w="110"/>
            </w:tcMar>
            <w:vAlign w:val="top"/>
          </w:tcPr>
          <w:p>
            <w:pPr>
              <w:spacing w:after="0" w:line="276"/>
            </w:pPr>
            <w:r>
              <w:rPr>
                <w:color w:val="15181F"/>
                <w:sz w:val="17"/>
                <w:szCs w:val="17"/>
              </w:rPr>
              <w:t xml:space="preserve">What is the surveillance schedule after resection, and who owns the NCCN update check?</w:t>
            </w:r>
          </w:p>
        </w:tc>
        <w:tc>
          <w:tcPr>
            <w:tcW w:type="dxa" w:w="4740"/>
            <w:tcMar>
              <w:top w:type="dxa" w:w="70"/>
              <w:left w:type="dxa" w:w="110"/>
              <w:bottom w:type="dxa" w:w="70"/>
              <w:right w:type="dxa" w:w="110"/>
            </w:tcMar>
            <w:vAlign w:val="top"/>
          </w:tcPr>
          <w:p>
            <w:pPr>
              <w:spacing w:after="0" w:line="276"/>
            </w:pPr>
            <w:r>
              <w:rPr>
                <w:color w:val="15181F"/>
                <w:sz w:val="17"/>
                <w:szCs w:val="17"/>
              </w:rPr>
              <w:t xml:space="preserve">The guideline footnote defining the surveillance interval did not survive the machine extraction supplied to this page, so no interval is quoted here. What is known is that regular surveillance CT showed no significant survival benefit in a SEER-Medicare analysis, CA 19-9 is category 2B, and serial ctDNA monitoring has no evidence of benefit — so the interval is a local choice about what surveillance is for. Separately, every numeric criterion on this page needs an owner for re-verification against the next guideline edition and the current OPTN policy text.</w:t>
            </w:r>
          </w:p>
        </w:tc>
      </w:tr>
      <w:tr>
        <w:trPr>
          <w:cantSplit/>
        </w:trPr>
        <w:tc>
          <w:tcPr>
            <w:tcW w:type="dxa" w:w="52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12</w:t>
            </w:r>
          </w:p>
        </w:tc>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Who adjudicates the resectability category before it is used to route a patient, given that roughly a third of patients called resectable by their own centres do not meet the criteria?</w:t>
            </w:r>
          </w:p>
        </w:tc>
        <w:tc>
          <w:tcPr>
            <w:tcW w:type="dxa" w:w="4740"/>
            <w:shd w:fill="F1F4F8" w:color="auto" w:val="clear"/>
            <w:tcMar>
              <w:top w:type="dxa" w:w="70"/>
              <w:left w:type="dxa" w:w="110"/>
              <w:bottom w:type="dxa" w:w="70"/>
              <w:right w:type="dxa" w:w="110"/>
            </w:tcMar>
            <w:vAlign w:val="top"/>
          </w:tcPr>
          <w:p>
            <w:pPr>
              <w:spacing w:after="0" w:line="276"/>
            </w:pPr>
            <w:r>
              <w:rPr>
                <w:color w:val="15181F"/>
                <w:sz w:val="17"/>
                <w:szCs w:val="17"/>
              </w:rPr>
              <w:t xml:space="preserve">In SWOG S1505, at experienced US trial centres with a mandatory pancreas-protocol scan within 28 days and formal surgical consultation within 21 days, central radiology review found 43 of 146 patients (29%) did not meet the resectability criteria — 51% with arterial interface, 35% with venous interface of 180 degrees or more, 65% with suspicion of distant disease — and all had already started protocol therapy. A site radiologist checklist moved the rate only from 33% to 26%. The category decides which gate on this page a patient enters, so the group must decide whether a second independent read, a radiology lead sign-off or an external review is required, and for which categories.</w:t>
            </w:r>
          </w:p>
        </w:tc>
      </w:tr>
      <w:tr>
        <w:trPr>
          <w:cantSplit/>
        </w:trPr>
        <w:tc>
          <w:tcPr>
            <w:tcW w:type="dxa" w:w="520"/>
            <w:tcMar>
              <w:top w:type="dxa" w:w="70"/>
              <w:left w:type="dxa" w:w="110"/>
              <w:bottom w:type="dxa" w:w="70"/>
              <w:right w:type="dxa" w:w="110"/>
            </w:tcMar>
            <w:vAlign w:val="top"/>
          </w:tcPr>
          <w:p>
            <w:pPr>
              <w:spacing w:after="0" w:line="276"/>
            </w:pPr>
            <w:r>
              <w:rPr>
                <w:b/>
                <w:bCs/>
                <w:color w:val="15181F"/>
                <w:sz w:val="17"/>
                <w:szCs w:val="17"/>
              </w:rPr>
              <w:t xml:space="preserve">13</w:t>
            </w:r>
          </w:p>
        </w:tc>
        <w:tc>
          <w:tcPr>
            <w:tcW w:type="dxa" w:w="4100"/>
            <w:tcMar>
              <w:top w:type="dxa" w:w="70"/>
              <w:left w:type="dxa" w:w="110"/>
              <w:bottom w:type="dxa" w:w="70"/>
              <w:right w:type="dxa" w:w="110"/>
            </w:tcMar>
            <w:vAlign w:val="top"/>
          </w:tcPr>
          <w:p>
            <w:pPr>
              <w:spacing w:after="0" w:line="276"/>
            </w:pPr>
            <w:r>
              <w:rPr>
                <w:color w:val="15181F"/>
                <w:sz w:val="17"/>
                <w:szCs w:val="17"/>
              </w:rPr>
              <w:t xml:space="preserve">What is the local rule for biliary drainage in a patient going on to neoadjuvant therapy — stent type, expected duration, who re-images and who owns the jaundice if it does not settle?</w:t>
            </w:r>
          </w:p>
        </w:tc>
        <w:tc>
          <w:tcPr>
            <w:tcW w:type="dxa" w:w="4740"/>
            <w:tcMar>
              <w:top w:type="dxa" w:w="70"/>
              <w:left w:type="dxa" w:w="110"/>
              <w:bottom w:type="dxa" w:w="70"/>
              <w:right w:type="dxa" w:w="110"/>
            </w:tcMar>
            <w:vAlign w:val="top"/>
          </w:tcPr>
          <w:p>
            <w:pPr>
              <w:spacing w:after="0" w:line="276"/>
            </w:pPr>
            <w:r>
              <w:rPr>
                <w:color w:val="15181F"/>
                <w:sz w:val="17"/>
                <w:szCs w:val="17"/>
              </w:rPr>
              <w:t xml:space="preserve">The only randomised trial of preoperative drainage used plastic stents for 4 to 6 weeks, capped bilirubin at 250 micromol/L, </w:t>
            </w:r>
            <w:r>
              <w:rPr>
                <w:b/>
                <w:bCs/>
                <w:color w:val="15181F"/>
                <w:sz w:val="17"/>
                <w:szCs w:val="17"/>
              </w:rPr>
              <w:t xml:space="preserve">excluded neoadjuvant chemotherapy by protocol</w:t>
            </w:r>
            <w:r>
              <w:rPr>
                <w:color w:val="15181F"/>
                <w:sz w:val="17"/>
                <w:szCs w:val="17"/>
              </w:rPr>
              <w:t xml:space="preserve">, and required an operation within one week in its control arm, guaranteed by dedicated theatre capacity at all 13 hospitals. It showed that the drainage strategy caused more complications overall (74% versus 39%) while surgical complications did not differ (37% versus 47%, RR 0.79, 0.57–1.11), so it says nothing about bridging a patient through months of preoperative treatment. That situation is where drainage is now most often needed and where it most often derails treatment: NORPACT-1 stented 57% of its neoadjuvant arm against 16% of the surgery arm, and two of the 16 patients who never received neoadjuvant FOLFIRINOX were lost to persistent jaundice after stenting and two to biliary infection; PREOPANC had 10 patients whose treatment was delayed by persistent jaundice.</w:t>
            </w:r>
          </w:p>
        </w:tc>
      </w:tr>
      <w:tr>
        <w:trPr>
          <w:cantSplit/>
        </w:trPr>
        <w:tc>
          <w:tcPr>
            <w:tcW w:type="dxa" w:w="52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14</w:t>
            </w:r>
          </w:p>
        </w:tc>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Does this programme offer conversion surgery after induction therapy in locally advanced disease, and what operative mortality is quoted in the consent conversation?</w:t>
            </w:r>
          </w:p>
        </w:tc>
        <w:tc>
          <w:tcPr>
            <w:tcW w:type="dxa" w:w="4740"/>
            <w:shd w:fill="F1F4F8" w:color="auto" w:val="clear"/>
            <w:tcMar>
              <w:top w:type="dxa" w:w="70"/>
              <w:left w:type="dxa" w:w="110"/>
              <w:bottom w:type="dxa" w:w="70"/>
              <w:right w:type="dxa" w:w="110"/>
            </w:tcMar>
            <w:vAlign w:val="top"/>
          </w:tcPr>
          <w:p>
            <w:pPr>
              <w:spacing w:after="0" w:line="276"/>
            </w:pPr>
            <w:r>
              <w:rPr>
                <w:color w:val="15181F"/>
                <w:sz w:val="17"/>
                <w:szCs w:val="17"/>
              </w:rPr>
              <w:t xml:space="preserve">CONKO-007 is the only randomised trial that reports it: of 336 patients randomised after three months of induction without progression, 122 (36% to 37%) reached theatre, 73 of 336 (22%) achieved R0, and </w:t>
            </w:r>
            <w:r>
              <w:rPr>
                <w:b/>
                <w:bCs/>
                <w:color w:val="15181F"/>
                <w:sz w:val="17"/>
                <w:szCs w:val="17"/>
              </w:rPr>
              <w:t xml:space="preserve">30-day postoperative mortality was 8% in both arms</w:t>
            </w:r>
            <w:r>
              <w:rPr>
                <w:color w:val="15181F"/>
                <w:sz w:val="17"/>
                <w:szCs w:val="17"/>
              </w:rPr>
              <w:t xml:space="preserve"> (5 of 60 and 5 of 62). The survival advantage of surgery within that trial (HR 0.525, 0.408–0.676) is a non-randomised comparison of operated with non-operated patients. LAP07, from gemcitabine-based induction, reached resection in 18 of 442 patients (4%). The 159 of 495 patients (32.1%) who progressed during induction had a median survival of 9 months with no 5-year survivors. The group must decide whether it offers this at all, to whom, and with what number on the consent form.</w:t>
            </w:r>
          </w:p>
        </w:tc>
      </w:tr>
    </w:tbl>
    <w:p>
      <w:pPr>
        <w:pStyle w:val="Heading1"/>
        <w:keepNext/>
        <w:pageBreakBefore/>
        <w:spacing w:after="110" w:before="320"/>
      </w:pPr>
      <w:r>
        <w:rPr>
          <w:rFonts w:ascii="Cambria" w:cs="Cambria" w:eastAsia="Cambria" w:hAnsi="Cambria"/>
          <w:b/>
          <w:bCs/>
          <w:color w:val="17365D"/>
          <w:sz w:val="32"/>
          <w:szCs w:val="32"/>
        </w:rPr>
        <w:t xml:space="preserve">Provenance</w:t>
      </w:r>
    </w:p>
    <w:p>
      <w:pPr>
        <w:pStyle w:val="Heading1"/>
        <w:widowControl/>
        <w:keepNext/>
      </w:pPr>
      <w:r>
        <w:t xml:space="preserve">Systemic treatment matrix</w:t>
      </w:r>
    </w:p>
    <w:p>
      <w:pPr>
        <w:pStyle w:val="Normal"/>
        <w:widowControl/>
        <w:spacing w:after="120"/>
      </w:pPr>
      <w:r>
        <w:t xml:space="preserve">This is a cancer-treatment roadmap update only. The withdrawn PDAC liver-transplant pathway remains closed; chemotherapy response does not reopen it.</w:t>
      </w:r>
    </w:p>
    <w:p>
      <w:pPr>
        <w:pStyle w:val="Heading2"/>
        <w:widowControl/>
        <w:keepNext/>
      </w:pPr>
      <w:r>
        <w:t xml:space="preserve">Regimen, setting and evidence</w:t>
      </w:r>
    </w:p>
    <w:tbl>
      <w:tblPr>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110" w:type="dxa"/>
          <w:left w:w="110" w:type="dxa"/>
          <w:bottom w:w="110" w:type="dxa"/>
          <w:right w:w="110" w:type="dxa"/>
        </w:tblCellMar>
      </w:tblPr>
      <w:tblGrid>
        <w:gridCol w:w="1900"/>
        <w:gridCol w:w="4000"/>
        <w:gridCol w:w="4180"/>
      </w:tblGrid>
      <w:tr>
        <w:trPr>
          <w:cantSplit/>
          <w:tblHeader/>
        </w:trPr>
        <w:tc>
          <w:tcPr>
            <w:tcW w:w="1900" w:type="dxa"/>
            <w:vAlign w:val="top"/>
            <w:shd w:fill="17365D"/>
          </w:tcPr>
          <w:p>
            <w:pPr>
              <w:pStyle w:val="Normal"/>
              <w:widowControl/>
              <w:spacing w:after="55" w:line="240" w:lineRule="auto"/>
              <w:keepNext w:val="0"/>
              <w:keepLines/>
            </w:pPr>
            <w:r>
              <w:rPr>
                <w:sz w:val="21"/>
                <w:szCs w:val="21"/>
                <w:b/>
                <w:color w:val="FFFFFF"/>
              </w:rPr>
              <w:t xml:space="preserve">Option / setting</w:t>
            </w:r>
          </w:p>
        </w:tc>
        <w:tc>
          <w:tcPr>
            <w:tcW w:w="4000" w:type="dxa"/>
            <w:vAlign w:val="top"/>
            <w:shd w:fill="17365D"/>
          </w:tcPr>
          <w:p>
            <w:pPr>
              <w:pStyle w:val="Normal"/>
              <w:widowControl/>
              <w:spacing w:after="55" w:line="240" w:lineRule="auto"/>
              <w:keepNext w:val="0"/>
              <w:keepLines/>
            </w:pPr>
            <w:r>
              <w:rPr>
                <w:sz w:val="21"/>
                <w:szCs w:val="21"/>
                <w:b/>
                <w:color w:val="FFFFFF"/>
              </w:rPr>
              <w:t xml:space="preserve">Selection and safety</w:t>
            </w:r>
          </w:p>
        </w:tc>
        <w:tc>
          <w:tcPr>
            <w:tcW w:w="4180" w:type="dxa"/>
            <w:vAlign w:val="top"/>
            <w:shd w:fill="17365D"/>
          </w:tcPr>
          <w:p>
            <w:pPr>
              <w:pStyle w:val="Normal"/>
              <w:widowControl/>
              <w:spacing w:after="55" w:line="240" w:lineRule="auto"/>
              <w:keepNext w:val="0"/>
              <w:keepLines/>
            </w:pPr>
            <w:r>
              <w:rPr>
                <w:sz w:val="21"/>
                <w:szCs w:val="21"/>
                <w:b/>
                <w:color w:val="FFFFFF"/>
              </w:rPr>
              <w:t xml:space="preserve">Evidence and limitations</w:t>
            </w:r>
          </w:p>
        </w:tc>
      </w:tr>
      <w:tr>
        <w:trPr>
          <w:cantSplit/>
        </w:trPr>
        <w:tc>
          <w:tcPr>
            <w:tcW w:w="1900" w:type="dxa"/>
            <w:vAlign w:val="top"/>
            <w:shd w:fill="F1F5F8"/>
          </w:tcPr>
          <w:p>
            <w:pPr>
              <w:pStyle w:val="Normal"/>
              <w:widowControl/>
              <w:spacing w:after="55" w:line="240" w:lineRule="auto"/>
              <w:keepNext w:val="0"/>
              <w:keepLines/>
            </w:pPr>
            <w:r>
              <w:rPr>
                <w:sz w:val="21"/>
                <w:szCs w:val="21"/>
                <w:b/>
              </w:rPr>
              <w:t xml:space="preserve">Modified FOLFIRINOX</w:t>
            </w:r>
          </w:p>
          <w:p>
            <w:pPr>
              <w:pStyle w:val="Normal"/>
              <w:widowControl/>
              <w:spacing w:after="55" w:line="240" w:lineRule="auto"/>
              <w:keepNext w:val="0"/>
              <w:keepLines/>
            </w:pPr>
            <w:r>
              <w:rPr>
                <w:sz w:val="21"/>
                <w:szCs w:val="21"/>
              </w:rPr>
              <w:t xml:space="preserve">Adjuvant</w:t>
            </w:r>
          </w:p>
        </w:tc>
        <w:tc>
          <w:tcPr>
            <w:tcW w:w="4000" w:type="dxa"/>
            <w:vAlign w:val="top"/>
            <w:shd w:fill="F1F5F8"/>
          </w:tcPr>
          <w:p>
            <w:pPr>
              <w:pStyle w:val="Normal"/>
              <w:widowControl/>
              <w:spacing w:after="55" w:line="240" w:lineRule="auto"/>
              <w:keepNext w:val="0"/>
              <w:keepLines/>
            </w:pPr>
            <w:r>
              <w:rPr>
                <w:sz w:val="21"/>
                <w:szCs w:val="21"/>
              </w:rPr>
              <w:t xml:space="preserve">Fit patient recovered after R0/R1 resection, with adequate performance status and organ function. Plan approximately six months, adjusted for prior neoadjuvant exposure and recovery.</w:t>
            </w:r>
          </w:p>
        </w:tc>
        <w:tc>
          <w:tcPr>
            <w:tcW w:w="4180" w:type="dxa"/>
            <w:vAlign w:val="top"/>
            <w:shd w:fill="F1F5F8"/>
          </w:tcPr>
          <w:p>
            <w:pPr>
              <w:pStyle w:val="Normal"/>
              <w:widowControl/>
              <w:spacing w:after="55" w:line="240" w:lineRule="auto"/>
              <w:keepNext w:val="0"/>
              <w:keepLines/>
            </w:pPr>
            <w:r>
              <w:rPr>
                <w:sz w:val="21"/>
                <w:szCs w:val="21"/>
              </w:rPr>
              <w:t xml:space="preserve">PRODIGE 24 provides randomized survival evidence over gemcitabine in selected postoperative patients. It does not establish tolerability in every postoperative patient or prove neoadjuvant superiority.</w:t>
            </w:r>
          </w:p>
          <w:p>
            <w:pPr>
              <w:pStyle w:val="Normal"/>
              <w:widowControl/>
              <w:spacing w:after="120"/>
              <w:keepNext w:val="0"/>
            </w:pPr>
            <w:r>
              <w:t xml:space="preserve"/>
            </w:r>
            <w:r>
              <w:t xml:space="preserve"> </w:t>
            </w:r>
            <w:r>
              <w:t xml:space="preserve"> </w:t>
            </w:r>
            <w:r>
              <w:fldChar w:fldCharType="begin"/>
            </w:r>
            <w:r>
              <w:instrText xml:space="preserve"> ADDIN EN.CITE </w:instrText>
            </w:r>
            <w:r>
              <w:fldChar w:fldCharType="begin">
                <w:fldData>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</w:fldData>
              </w:fldChar>
            </w:r>
            <w:r>
              <w:instrText xml:space="preserve"> ADDIN EN.CITE.DATA </w:instrText>
            </w:r>
            <w:r>
              <w:fldChar w:fldCharType="end"/>
            </w:r>
            <w:r>
              <w:fldChar w:fldCharType="separate"/>
            </w:r>
            <w:r>
              <w:t xml:space="preserve">[V16-1]</w:t>
            </w:r>
            <w:r>
              <w:fldChar w:fldCharType="end"/>
            </w:r>
            <w:r>
              <w:t xml:space="preserve"> </w:t>
            </w:r>
            <w:r>
              <w:t xml:space="preserve"> </w:t>
            </w:r>
            <w:r>
              <w:fldChar w:fldCharType="begin"/>
            </w:r>
            <w:r>
              <w:instrText xml:space="preserve"> ADDIN EN.CITE </w:instrText>
            </w:r>
            <w:r>
              <w:fldChar w:fldCharType="begin">
                <w:fldData>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</w:fldData>
              </w:fldChar>
            </w:r>
            <w:r>
              <w:instrText xml:space="preserve"> ADDIN EN.CITE.DATA </w:instrText>
            </w:r>
            <w:r>
              <w:fldChar w:fldCharType="end"/>
            </w:r>
            <w:r>
              <w:fldChar w:fldCharType="separate"/>
            </w:r>
            <w:r>
              <w:t xml:space="preserve">[V16-2]</w:t>
            </w:r>
            <w:r>
              <w:fldChar w:fldCharType="end"/>
            </w:r>
            <w:r>
              <w:br/>
            </w:r>
            <w:hyperlink r:id="rId9">
              <w:r>
                <w:rPr>
                  <w:color w:val="0563C1"/>
                  <w:u w:val="single"/>
                </w:rPr>
                <w:t>Source</w:t>
              </w:r>
            </w:hyperlink>
            <w:r>
              <w:t xml:space="preserve"> · </w:t>
            </w:r>
            <w:hyperlink r:id="rId10">
              <w:r>
                <w:rPr>
                  <w:color w:val="0563C1"/>
                  <w:u w:val="single"/>
                </w:rPr>
                <w:t>PDF</w:t>
              </w:r>
            </w:hyperlink>
            <w:r>
              <w:br/>
            </w:r>
            <w:hyperlink r:id="rId11">
              <w:r>
                <w:rPr>
                  <w:color w:val="0563C1"/>
                  <w:u w:val="single"/>
                </w:rPr>
                <w:t>Source</w:t>
              </w:r>
            </w:hyperlink>
            <w:r>
              <w:t xml:space="preserve"> · </w:t>
            </w:r>
            <w:hyperlink r:id="rId12">
              <w:r>
                <w:rPr>
                  <w:color w:val="0563C1"/>
                  <w:u w:val="single"/>
                </w:rPr>
                <w:t>PDF</w:t>
              </w:r>
            </w:hyperlink>
          </w:p>
        </w:tc>
      </w:tr>
      <w:tr>
        <w:trPr>
          <w:cantSplit/>
        </w:trPr>
        <w:tc>
          <w:tcPr>
            <w:tcW w:w="1900" w:type="dxa"/>
            <w:vAlign w:val="top"/>
            <w:shd w:fill="FFFFFF"/>
          </w:tcPr>
          <w:p>
            <w:pPr>
              <w:pStyle w:val="Normal"/>
              <w:widowControl/>
              <w:spacing w:after="55" w:line="240" w:lineRule="auto"/>
              <w:keepNext w:val="0"/>
              <w:keepLines/>
            </w:pPr>
            <w:r>
              <w:rPr>
                <w:sz w:val="21"/>
                <w:szCs w:val="21"/>
                <w:b/>
              </w:rPr>
              <w:t xml:space="preserve">Gemcitabine capecitabine or single agent</w:t>
            </w:r>
          </w:p>
          <w:p>
            <w:pPr>
              <w:pStyle w:val="Normal"/>
              <w:widowControl/>
              <w:spacing w:after="55" w:line="240" w:lineRule="auto"/>
              <w:keepNext w:val="0"/>
              <w:keepLines/>
            </w:pPr>
            <w:r>
              <w:rPr>
                <w:sz w:val="21"/>
                <w:szCs w:val="21"/>
              </w:rPr>
              <w:t xml:space="preserve">Adjuvant alternatives</w:t>
            </w:r>
          </w:p>
        </w:tc>
        <w:tc>
          <w:tcPr>
            <w:tcW w:w="4000" w:type="dxa"/>
            <w:vAlign w:val="top"/>
            <w:shd w:fill="FFFFFF"/>
          </w:tcPr>
          <w:p>
            <w:pPr>
              <w:pStyle w:val="Normal"/>
              <w:widowControl/>
              <w:spacing w:after="55" w:line="240" w:lineRule="auto"/>
              <w:keepNext w:val="0"/>
              <w:keepLines/>
            </w:pPr>
            <w:r>
              <w:rPr>
                <w:sz w:val="21"/>
                <w:szCs w:val="21"/>
              </w:rPr>
              <w:t xml:space="preserve">GemCap when mFOLFIRINOX is unsuitable; gemcitabine or a fluoropyrimidine for patients unable to tolerate a combination. Check renal function, hand-foot toxicity and fluoropyrimidine safety.</w:t>
            </w:r>
          </w:p>
        </w:tc>
        <w:tc>
          <w:tcPr>
            <w:tcW w:w="4180" w:type="dxa"/>
            <w:vAlign w:val="top"/>
            <w:shd w:fill="FFFFFF"/>
          </w:tcPr>
          <w:p>
            <w:pPr>
              <w:pStyle w:val="Normal"/>
              <w:widowControl/>
              <w:spacing w:after="55" w:line="240" w:lineRule="auto"/>
              <w:keepNext w:val="0"/>
              <w:keepLines/>
            </w:pPr>
            <w:r>
              <w:rPr>
                <w:sz w:val="21"/>
                <w:szCs w:val="21"/>
              </w:rPr>
              <w:t xml:space="preserve">ESPAC-4 supports GemCap over gemcitabine; these are PDAC trials. Applying them to ampullary or mixed histology is extrapolation, not direct evidence.</w:t>
            </w:r>
          </w:p>
          <w:p>
            <w:pPr>
              <w:pStyle w:val="Normal"/>
              <w:widowControl/>
              <w:spacing w:after="120"/>
              <w:keepNext w:val="0"/>
            </w:pPr>
            <w:r>
              <w:t xml:space="preserve"/>
            </w:r>
            <w:r>
              <w:t xml:space="preserve"> </w:t>
            </w:r>
            <w:r>
              <w:t xml:space="preserve"> </w:t>
            </w:r>
            <w:r>
              <w:fldChar w:fldCharType="begin"/>
            </w:r>
            <w:r>
              <w:instrText xml:space="preserve"> ADDIN EN.CITE </w:instrText>
            </w:r>
            <w:r>
              <w:fldChar w:fldCharType="begin">
                <w:fldData>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</w:fldData>
              </w:fldChar>
            </w:r>
            <w:r>
              <w:instrText xml:space="preserve"> ADDIN EN.CITE.DATA </w:instrText>
            </w:r>
            <w:r>
              <w:fldChar w:fldCharType="end"/>
            </w:r>
            <w:r>
              <w:fldChar w:fldCharType="separate"/>
            </w:r>
            <w:r>
              <w:t xml:space="preserve">[V16-3]</w:t>
            </w:r>
            <w:r>
              <w:fldChar w:fldCharType="end"/>
            </w:r>
            <w:r>
              <w:t xml:space="preserve"> </w:t>
            </w:r>
            <w:r>
              <w:t xml:space="preserve"> </w:t>
            </w:r>
            <w:r>
              <w:fldChar w:fldCharType="begin"/>
            </w:r>
            <w:r>
              <w:instrText xml:space="preserve"> ADDIN EN.CITE </w:instrText>
            </w:r>
            <w:r>
              <w:fldChar w:fldCharType="begin">
                <w:fldData>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</w:fldData>
              </w:fldChar>
            </w:r>
            <w:r>
              <w:instrText xml:space="preserve"> ADDIN EN.CITE.DATA </w:instrText>
            </w:r>
            <w:r>
              <w:fldChar w:fldCharType="end"/>
            </w:r>
            <w:r>
              <w:fldChar w:fldCharType="separate"/>
            </w:r>
            <w:r>
              <w:t xml:space="preserve">[V16-2]</w:t>
            </w:r>
            <w:r>
              <w:fldChar w:fldCharType="end"/>
            </w:r>
            <w:r>
              <w:br/>
            </w:r>
            <w:hyperlink r:id="rId13">
              <w:r>
                <w:rPr>
                  <w:color w:val="0563C1"/>
                  <w:u w:val="single"/>
                </w:rPr>
                <w:t>Source</w:t>
              </w:r>
            </w:hyperlink>
            <w:r>
              <w:t xml:space="preserve"> · </w:t>
            </w:r>
            <w:hyperlink r:id="rId14">
              <w:r>
                <w:rPr>
                  <w:color w:val="0563C1"/>
                  <w:u w:val="single"/>
                </w:rPr>
                <w:t>PDF</w:t>
              </w:r>
            </w:hyperlink>
            <w:r>
              <w:br/>
            </w:r>
            <w:hyperlink r:id="rId15">
              <w:r>
                <w:rPr>
                  <w:color w:val="0563C1"/>
                  <w:u w:val="single"/>
                </w:rPr>
                <w:t>Source</w:t>
              </w:r>
            </w:hyperlink>
            <w:r>
              <w:t xml:space="preserve"> · </w:t>
            </w:r>
            <w:hyperlink r:id="rId16">
              <w:r>
                <w:rPr>
                  <w:color w:val="0563C1"/>
                  <w:u w:val="single"/>
                </w:rPr>
                <w:t>PDF</w:t>
              </w:r>
            </w:hyperlink>
          </w:p>
        </w:tc>
      </w:tr>
      <w:tr>
        <w:trPr>
          <w:cantSplit/>
        </w:trPr>
        <w:tc>
          <w:tcPr>
            <w:tcW w:w="1900" w:type="dxa"/>
            <w:vAlign w:val="top"/>
            <w:shd w:fill="F1F5F8"/>
          </w:tcPr>
          <w:p>
            <w:pPr>
              <w:pStyle w:val="Normal"/>
              <w:widowControl/>
              <w:spacing w:after="55" w:line="240" w:lineRule="auto"/>
              <w:keepNext w:val="0"/>
              <w:keepLines/>
            </w:pPr>
            <w:r>
              <w:rPr>
                <w:sz w:val="21"/>
                <w:szCs w:val="21"/>
                <w:b/>
              </w:rPr>
              <w:t xml:space="preserve">mFOLFIRINOX or gemcitabine nab-paclitaxel</w:t>
            </w:r>
          </w:p>
          <w:p>
            <w:pPr>
              <w:pStyle w:val="Normal"/>
              <w:widowControl/>
              <w:spacing w:after="55" w:line="240" w:lineRule="auto"/>
              <w:keepNext w:val="0"/>
              <w:keepLines/>
            </w:pPr>
            <w:r>
              <w:rPr>
                <w:sz w:val="21"/>
                <w:szCs w:val="21"/>
              </w:rPr>
              <w:t xml:space="preserve">Neoadjuvant or induction</w:t>
            </w:r>
          </w:p>
        </w:tc>
        <w:tc>
          <w:tcPr>
            <w:tcW w:w="4000" w:type="dxa"/>
            <w:vAlign w:val="top"/>
            <w:shd w:fill="F1F5F8"/>
          </w:tcPr>
          <w:p>
            <w:pPr>
              <w:pStyle w:val="Normal"/>
              <w:widowControl/>
              <w:spacing w:after="55" w:line="240" w:lineRule="auto"/>
              <w:keepNext w:val="0"/>
              <w:keepLines/>
            </w:pPr>
            <w:r>
              <w:rPr>
                <w:sz w:val="21"/>
                <w:szCs w:val="21"/>
              </w:rPr>
              <w:t xml:space="preserve">Tissue-confirmed borderline resectable or locally advanced disease after MDT review; define anatomical and biological reassessment points. Clearly resectable PDAC needs a separate surgery-first versus neoadjuvant discussion.</w:t>
            </w:r>
          </w:p>
        </w:tc>
        <w:tc>
          <w:tcPr>
            <w:tcW w:w="4180" w:type="dxa"/>
            <w:vAlign w:val="top"/>
            <w:shd w:fill="F1F5F8"/>
          </w:tcPr>
          <w:p>
            <w:pPr>
              <w:pStyle w:val="Normal"/>
              <w:widowControl/>
              <w:spacing w:after="55" w:line="240" w:lineRule="auto"/>
              <w:keepNext w:val="0"/>
              <w:keepLines/>
            </w:pPr>
            <w:r>
              <w:rPr>
                <w:sz w:val="21"/>
                <w:szCs w:val="21"/>
              </w:rPr>
              <w:t xml:space="preserve">A021501 supports a chemotherapy-first approach in its borderline-resectable setting but is not a definitive head-to-head proof against all radiation. NORPACT-1 did not establish benefit of routine neoadjuvant FOLFIRINOX in resectable pancreatic-head cancer.</w:t>
            </w:r>
          </w:p>
          <w:p>
            <w:pPr>
              <w:pStyle w:val="Normal"/>
              <w:widowControl/>
              <w:spacing w:after="120"/>
              <w:keepNext w:val="0"/>
            </w:pPr>
            <w:r>
              <w:t xml:space="preserve"/>
            </w:r>
            <w:r>
              <w:t xml:space="preserve"> </w:t>
            </w:r>
            <w:r>
              <w:t xml:space="preserve"> </w:t>
            </w:r>
            <w:r>
              <w:fldChar w:fldCharType="begin"/>
            </w:r>
            <w:r>
              <w:instrText xml:space="preserve"> ADDIN EN.CITE </w:instrText>
            </w:r>
            <w:r>
              <w:fldChar w:fldCharType="begin">
                <w:fldData>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</w:fldData>
              </w:fldChar>
            </w:r>
            <w:r>
              <w:instrText xml:space="preserve"> ADDIN EN.CITE.DATA </w:instrText>
            </w:r>
            <w:r>
              <w:fldChar w:fldCharType="end"/>
            </w:r>
            <w:r>
              <w:fldChar w:fldCharType="separate"/>
            </w:r>
            <w:r>
              <w:t xml:space="preserve">[V16-4]</w:t>
            </w:r>
            <w:r>
              <w:fldChar w:fldCharType="end"/>
            </w:r>
            <w:r>
              <w:t xml:space="preserve"> </w:t>
            </w:r>
            <w:r>
              <w:t xml:space="preserve"> </w:t>
            </w:r>
            <w:r>
              <w:fldChar w:fldCharType="begin"/>
            </w:r>
            <w:r>
              <w:instrText xml:space="preserve"> ADDIN EN.CITE </w:instrText>
            </w:r>
            <w:r>
              <w:fldChar w:fldCharType="begin">
                <w:fldData>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</w:fldData>
              </w:fldChar>
            </w:r>
            <w:r>
              <w:instrText xml:space="preserve"> ADDIN EN.CITE.DATA </w:instrText>
            </w:r>
            <w:r>
              <w:fldChar w:fldCharType="end"/>
            </w:r>
            <w:r>
              <w:fldChar w:fldCharType="separate"/>
            </w:r>
            <w:r>
              <w:t xml:space="preserve">[V16-5]</w:t>
            </w:r>
            <w:r>
              <w:fldChar w:fldCharType="end"/>
            </w:r>
            <w:r>
              <w:t xml:space="preserve"> </w:t>
            </w:r>
            <w:r>
              <w:t xml:space="preserve"> </w:t>
            </w:r>
            <w:r>
              <w:fldChar w:fldCharType="begin"/>
            </w:r>
            <w:r>
              <w:instrText xml:space="preserve"> ADDIN EN.CITE </w:instrText>
            </w:r>
            <w:r>
              <w:fldChar w:fldCharType="begin">
                <w:fldData>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</w:fldData>
              </w:fldChar>
            </w:r>
            <w:r>
              <w:instrText xml:space="preserve"> ADDIN EN.CITE.DATA </w:instrText>
            </w:r>
            <w:r>
              <w:fldChar w:fldCharType="end"/>
            </w:r>
            <w:r>
              <w:fldChar w:fldCharType="separate"/>
            </w:r>
            <w:r>
              <w:t xml:space="preserve">[V16-2]</w:t>
            </w:r>
            <w:r>
              <w:fldChar w:fldCharType="end"/>
            </w:r>
            <w:r>
              <w:br/>
            </w:r>
            <w:hyperlink r:id="rId17">
              <w:r>
                <w:rPr>
                  <w:color w:val="0563C1"/>
                  <w:u w:val="single"/>
                </w:rPr>
                <w:t>Source</w:t>
              </w:r>
            </w:hyperlink>
            <w:r>
              <w:t xml:space="preserve"> · </w:t>
            </w:r>
            <w:hyperlink r:id="rId18">
              <w:r>
                <w:rPr>
                  <w:color w:val="0563C1"/>
                  <w:u w:val="single"/>
                </w:rPr>
                <w:t>PDF</w:t>
              </w:r>
            </w:hyperlink>
            <w:r>
              <w:br/>
            </w:r>
            <w:hyperlink r:id="rId19">
              <w:r>
                <w:rPr>
                  <w:color w:val="0563C1"/>
                  <w:u w:val="single"/>
                </w:rPr>
                <w:t>Source</w:t>
              </w:r>
            </w:hyperlink>
            <w:r>
              <w:t xml:space="preserve"> · </w:t>
            </w:r>
            <w:hyperlink r:id="rId20">
              <w:r>
                <w:rPr>
                  <w:color w:val="0563C1"/>
                  <w:u w:val="single"/>
                </w:rPr>
                <w:t>PDF</w:t>
              </w:r>
            </w:hyperlink>
            <w:r>
              <w:br/>
            </w:r>
            <w:hyperlink r:id="rId21">
              <w:r>
                <w:rPr>
                  <w:color w:val="0563C1"/>
                  <w:u w:val="single"/>
                </w:rPr>
                <w:t>Source</w:t>
              </w:r>
            </w:hyperlink>
            <w:r>
              <w:t xml:space="preserve"> · </w:t>
            </w:r>
            <w:hyperlink r:id="rId22">
              <w:r>
                <w:rPr>
                  <w:color w:val="0563C1"/>
                  <w:u w:val="single"/>
                </w:rPr>
                <w:t>PDF</w:t>
              </w:r>
            </w:hyperlink>
          </w:p>
        </w:tc>
      </w:tr>
      <w:tr>
        <w:trPr>
          <w:cantSplit/>
        </w:trPr>
        <w:tc>
          <w:tcPr>
            <w:tcW w:w="1900" w:type="dxa"/>
            <w:vAlign w:val="top"/>
            <w:shd w:fill="FFFFFF"/>
          </w:tcPr>
          <w:p>
            <w:pPr>
              <w:pStyle w:val="Normal"/>
              <w:widowControl/>
              <w:spacing w:after="55" w:line="240" w:lineRule="auto"/>
              <w:keepNext w:val="0"/>
              <w:keepLines/>
            </w:pPr>
            <w:r>
              <w:rPr>
                <w:sz w:val="21"/>
                <w:szCs w:val="21"/>
                <w:b/>
              </w:rPr>
              <w:t xml:space="preserve">PAXG</w:t>
            </w:r>
          </w:p>
          <w:p>
            <w:pPr>
              <w:pStyle w:val="Normal"/>
              <w:widowControl/>
              <w:spacing w:after="55" w:line="240" w:lineRule="auto"/>
              <w:keepNext w:val="0"/>
              <w:keepLines/>
            </w:pPr>
            <w:r>
              <w:rPr>
                <w:sz w:val="21"/>
                <w:szCs w:val="21"/>
              </w:rPr>
              <w:t xml:space="preserve">Selected neoadjuvant use</w:t>
            </w:r>
          </w:p>
        </w:tc>
        <w:tc>
          <w:tcPr>
            <w:tcW w:w="4000" w:type="dxa"/>
            <w:vAlign w:val="top"/>
            <w:shd w:fill="FFFFFF"/>
          </w:tcPr>
          <w:p>
            <w:pPr>
              <w:pStyle w:val="Normal"/>
              <w:widowControl/>
              <w:spacing w:after="55" w:line="240" w:lineRule="auto"/>
              <w:keepNext w:val="0"/>
              <w:keepLines/>
            </w:pPr>
            <w:r>
              <w:rPr>
                <w:sz w:val="21"/>
                <w:szCs w:val="21"/>
              </w:rPr>
              <w:t xml:space="preserve">Cisplatin, nab-paclitaxel, capecitabine and gemcitabine. Consider only with regimen-specific expertise and explicit multidisciplinary agreement; not an automatic replacement for established induction options.</w:t>
            </w:r>
          </w:p>
          <w:p>
            <w:pPr>
              <w:pStyle w:val="Normal"/>
              <w:widowControl/>
              <w:spacing w:after="55" w:line="240" w:lineRule="auto"/>
              <w:keepNext w:val="0"/>
              <w:keepLines/>
            </w:pPr>
            <w:r>
              <w:rPr>
                <w:sz w:val="21"/>
                <w:szCs w:val="21"/>
              </w:rPr>
              <w:t xml:space="preserve">Discuss PAXG as an evidence-supported preoperative option for selected patients, with local MDT/formulary adoption still OPEN. Not a blanket replacement for mFOLFIRINOX, not a metastatic comparison, and not a PDAC transplant indication.</w:t>
            </w:r>
          </w:p>
        </w:tc>
        <w:tc>
          <w:tcPr>
            <w:tcW w:w="4180" w:type="dxa"/>
            <w:vAlign w:val="top"/>
            <w:shd w:fill="FFFFFF"/>
          </w:tcPr>
          <w:p>
            <w:pPr>
              <w:pStyle w:val="Normal"/>
              <w:widowControl/>
              <w:spacing w:after="55" w:line="240" w:lineRule="auto"/>
              <w:keepNext w:val="0"/>
              <w:keepLines/>
            </w:pPr>
            <w:r>
              <w:rPr>
                <w:sz w:val="21"/>
                <w:szCs w:val="21"/>
              </w:rPr>
              <w:t xml:space="preserve">Median event-free survival 16.0 versus 10.2 months, HR 0.63 (0.47–0.84). EFS included confirmed CA19-9 rises and unresectability, not just progression/death. Resection 75% versus 67% (not significant); R0 rates similar. Grade ≥3 toxicity 66% versus 61%. OS immature; no established OS superiority. Open-label, high-volume Italian centers, all White population, age cap. Converted phase II to III after 86% enrollment; no independent monitoring committee. Thirty-three EFS events were marker-only. Do not relabel EFS as OS or PFS.</w:t>
            </w:r>
          </w:p>
          <w:p>
            <w:pPr>
              <w:pStyle w:val="Normal"/>
              <w:widowControl/>
              <w:spacing w:after="120"/>
              <w:keepNext w:val="0"/>
            </w:pPr>
            <w:r>
              <w:t xml:space="preserve"/>
            </w:r>
            <w:r>
              <w:t xml:space="preserve"> </w:t>
            </w:r>
            <w:r>
              <w:t xml:space="preserve"> </w:t>
            </w:r>
            <w:r>
              <w:fldChar w:fldCharType="begin"/>
            </w:r>
            <w:r>
              <w:instrText xml:space="preserve"> ADDIN EN.CITE </w:instrText>
            </w:r>
            <w:r>
              <w:fldChar w:fldCharType="begin">
                <w:fldData>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</w:fldData>
              </w:fldChar>
            </w:r>
            <w:r>
              <w:instrText xml:space="preserve"> ADDIN EN.CITE.DATA </w:instrText>
            </w:r>
            <w:r>
              <w:fldChar w:fldCharType="end"/>
            </w:r>
            <w:r>
              <w:fldChar w:fldCharType="separate"/>
            </w:r>
            <w:r>
              <w:t xml:space="preserve">[V16-6]</w:t>
            </w:r>
            <w:r>
              <w:fldChar w:fldCharType="end"/>
            </w:r>
            <w:r>
              <w:br/>
            </w:r>
            <w:hyperlink r:id="rId23">
              <w:r>
                <w:rPr>
                  <w:color w:val="0563C1"/>
                  <w:u w:val="single"/>
                </w:rPr>
                <w:t>Source</w:t>
              </w:r>
            </w:hyperlink>
            <w:r>
              <w:t xml:space="preserve"> · </w:t>
            </w:r>
            <w:hyperlink r:id="rId24">
              <w:r>
                <w:rPr>
                  <w:color w:val="0563C1"/>
                  <w:u w:val="single"/>
                </w:rPr>
                <w:t>PDF</w:t>
              </w:r>
            </w:hyperlink>
          </w:p>
        </w:tc>
      </w:tr>
      <w:tr>
        <w:trPr>
          <w:cantSplit/>
        </w:trPr>
        <w:tc>
          <w:tcPr>
            <w:tcW w:w="1900" w:type="dxa"/>
            <w:vAlign w:val="top"/>
            <w:shd w:fill="F1F5F8"/>
          </w:tcPr>
          <w:p>
            <w:pPr>
              <w:pStyle w:val="Normal"/>
              <w:widowControl/>
              <w:spacing w:after="55" w:line="240" w:lineRule="auto"/>
              <w:keepNext w:val="0"/>
              <w:keepLines/>
            </w:pPr>
            <w:r>
              <w:rPr>
                <w:sz w:val="21"/>
                <w:szCs w:val="21"/>
                <w:b/>
              </w:rPr>
              <w:t xml:space="preserve">FOLFIRINOX or NALIRIFOX</w:t>
            </w:r>
          </w:p>
          <w:p>
            <w:pPr>
              <w:pStyle w:val="Normal"/>
              <w:widowControl/>
              <w:spacing w:after="55" w:line="240" w:lineRule="auto"/>
              <w:keepNext w:val="0"/>
              <w:keepLines/>
            </w:pPr>
            <w:r>
              <w:rPr>
                <w:sz w:val="21"/>
                <w:szCs w:val="21"/>
              </w:rPr>
              <w:t xml:space="preserve">Metastatic first line</w:t>
            </w:r>
          </w:p>
        </w:tc>
        <w:tc>
          <w:tcPr>
            <w:tcW w:w="4000" w:type="dxa"/>
            <w:vAlign w:val="top"/>
            <w:shd w:fill="F1F5F8"/>
          </w:tcPr>
          <w:p>
            <w:pPr>
              <w:pStyle w:val="Normal"/>
              <w:widowControl/>
              <w:spacing w:after="55" w:line="240" w:lineRule="auto"/>
              <w:keepNext w:val="0"/>
              <w:keepLines/>
            </w:pPr>
            <w:r>
              <w:rPr>
                <w:sz w:val="21"/>
                <w:szCs w:val="21"/>
              </w:rPr>
              <w:t xml:space="preserve">For fit patients with adequate hepatic function and controlled biliary obstruction. The irinotecan formulations are different; do not interchange milligram doses. Assess neuropathy, diarrhea and nutrition.</w:t>
            </w:r>
          </w:p>
        </w:tc>
        <w:tc>
          <w:tcPr>
            <w:tcW w:w="4180" w:type="dxa"/>
            <w:vAlign w:val="top"/>
            <w:shd w:fill="F1F5F8"/>
          </w:tcPr>
          <w:p>
            <w:pPr>
              <w:pStyle w:val="Normal"/>
              <w:widowControl/>
              <w:spacing w:after="55" w:line="240" w:lineRule="auto"/>
              <w:keepNext w:val="0"/>
              <w:keepLines/>
            </w:pPr>
            <w:r>
              <w:rPr>
                <w:sz w:val="21"/>
                <w:szCs w:val="21"/>
              </w:rPr>
              <w:t xml:space="preserve">FOLFIRINOX improved OS over gemcitabine. NAPOLI-3 showed NALIRIFOX OS 11.1 versus 9.2 months with gemcitabine-nab-paclitaxel; this does not compare NALIRIFOX directly with FOLFIRINOX.</w:t>
            </w:r>
          </w:p>
          <w:p>
            <w:pPr>
              <w:pStyle w:val="Normal"/>
              <w:widowControl/>
              <w:spacing w:after="120"/>
              <w:keepNext w:val="0"/>
            </w:pPr>
            <w:r>
              <w:t xml:space="preserve"/>
            </w:r>
            <w:r>
              <w:t xml:space="preserve"> </w:t>
            </w:r>
            <w:r>
              <w:t xml:space="preserve"> </w:t>
            </w:r>
            <w:r>
              <w:fldChar w:fldCharType="begin"/>
            </w:r>
            <w:r>
              <w:instrText xml:space="preserve"> ADDIN EN.CITE </w:instrText>
            </w:r>
            <w:r>
              <w:fldChar w:fldCharType="begin">
                <w:fldData>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</w:fldData>
              </w:fldChar>
            </w:r>
            <w:r>
              <w:instrText xml:space="preserve"> ADDIN EN.CITE.DATA </w:instrText>
            </w:r>
            <w:r>
              <w:fldChar w:fldCharType="end"/>
            </w:r>
            <w:r>
              <w:fldChar w:fldCharType="separate"/>
            </w:r>
            <w:r>
              <w:t xml:space="preserve">[V16-7]</w:t>
            </w:r>
            <w:r>
              <w:fldChar w:fldCharType="end"/>
            </w:r>
            <w:r>
              <w:t xml:space="preserve"> </w:t>
            </w:r>
            <w:r>
              <w:t xml:space="preserve"> </w:t>
            </w:r>
            <w:r>
              <w:fldChar w:fldCharType="begin"/>
            </w:r>
            <w:r>
              <w:instrText xml:space="preserve"> ADDIN EN.CITE </w:instrText>
            </w:r>
            <w:r>
              <w:fldChar w:fldCharType="begin">
                <w:fldData>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</w:fldData>
              </w:fldChar>
            </w:r>
            <w:r>
              <w:instrText xml:space="preserve"> ADDIN EN.CITE.DATA </w:instrText>
            </w:r>
            <w:r>
              <w:fldChar w:fldCharType="end"/>
            </w:r>
            <w:r>
              <w:fldChar w:fldCharType="separate"/>
            </w:r>
            <w:r>
              <w:t xml:space="preserve">[V16-8]</w:t>
            </w:r>
            <w:r>
              <w:fldChar w:fldCharType="end"/>
            </w:r>
            <w:r>
              <w:br/>
            </w:r>
            <w:hyperlink r:id="rId25">
              <w:r>
                <w:rPr>
                  <w:color w:val="0563C1"/>
                  <w:u w:val="single"/>
                </w:rPr>
                <w:t>Source</w:t>
              </w:r>
            </w:hyperlink>
            <w:r>
              <w:t xml:space="preserve"> · </w:t>
            </w:r>
            <w:hyperlink r:id="rId26">
              <w:r>
                <w:rPr>
                  <w:color w:val="0563C1"/>
                  <w:u w:val="single"/>
                </w:rPr>
                <w:t>PDF</w:t>
              </w:r>
            </w:hyperlink>
            <w:r>
              <w:br/>
            </w:r>
            <w:hyperlink r:id="rId27">
              <w:r>
                <w:rPr>
                  <w:color w:val="0563C1"/>
                  <w:u w:val="single"/>
                </w:rPr>
                <w:t>Source</w:t>
              </w:r>
            </w:hyperlink>
            <w:r>
              <w:t xml:space="preserve"> · </w:t>
            </w:r>
            <w:hyperlink r:id="rId28">
              <w:r>
                <w:rPr>
                  <w:color w:val="0563C1"/>
                  <w:u w:val="single"/>
                </w:rPr>
                <w:t>PDF</w:t>
              </w:r>
            </w:hyperlink>
          </w:p>
        </w:tc>
      </w:tr>
      <w:tr>
        <w:trPr>
          <w:cantSplit/>
        </w:trPr>
        <w:tc>
          <w:tcPr>
            <w:tcW w:w="1900" w:type="dxa"/>
            <w:vAlign w:val="top"/>
            <w:shd w:fill="FFFFFF"/>
          </w:tcPr>
          <w:p>
            <w:pPr>
              <w:pStyle w:val="Normal"/>
              <w:widowControl/>
              <w:spacing w:after="55" w:line="240" w:lineRule="auto"/>
              <w:keepNext w:val="0"/>
              <w:keepLines/>
            </w:pPr>
            <w:r>
              <w:rPr>
                <w:sz w:val="21"/>
                <w:szCs w:val="21"/>
                <w:b/>
              </w:rPr>
              <w:t xml:space="preserve">Gemcitabine nab-paclitaxel</w:t>
            </w:r>
          </w:p>
          <w:p>
            <w:pPr>
              <w:pStyle w:val="Normal"/>
              <w:widowControl/>
              <w:spacing w:after="55" w:line="240" w:lineRule="auto"/>
              <w:keepNext w:val="0"/>
              <w:keepLines/>
            </w:pPr>
            <w:r>
              <w:rPr>
                <w:sz w:val="21"/>
                <w:szCs w:val="21"/>
              </w:rPr>
              <w:t xml:space="preserve">Metastatic first line</w:t>
            </w:r>
          </w:p>
        </w:tc>
        <w:tc>
          <w:tcPr>
            <w:tcW w:w="4000" w:type="dxa"/>
            <w:vAlign w:val="top"/>
            <w:shd w:fill="FFFFFF"/>
          </w:tcPr>
          <w:p>
            <w:pPr>
              <w:pStyle w:val="Normal"/>
              <w:widowControl/>
              <w:spacing w:after="55" w:line="240" w:lineRule="auto"/>
              <w:keepNext w:val="0"/>
              <w:keepLines/>
            </w:pPr>
            <w:r>
              <w:rPr>
                <w:sz w:val="21"/>
                <w:szCs w:val="21"/>
              </w:rPr>
              <w:t xml:space="preserve">Alternative multiagent treatment based on fitness, neuropathy, bilirubin and patient priorities. Gemcitabine alone or symptom-focused care may be more appropriate when combinations are not tolerable.</w:t>
            </w:r>
          </w:p>
        </w:tc>
        <w:tc>
          <w:tcPr>
            <w:tcW w:w="4180" w:type="dxa"/>
            <w:vAlign w:val="top"/>
            <w:shd w:fill="FFFFFF"/>
          </w:tcPr>
          <w:p>
            <w:pPr>
              <w:pStyle w:val="Normal"/>
              <w:widowControl/>
              <w:spacing w:after="55" w:line="240" w:lineRule="auto"/>
              <w:keepNext w:val="0"/>
              <w:keepLines/>
            </w:pPr>
            <w:r>
              <w:rPr>
                <w:sz w:val="21"/>
                <w:szCs w:val="21"/>
              </w:rPr>
              <w:t xml:space="preserve">MPACT improved OS over gemcitabine. Avoid ranking it against FOLFIRINOX by comparing medians from different trials; NAPOLI-3 supplies a direct comparison only with NALIRIFOX.</w:t>
            </w:r>
          </w:p>
          <w:p>
            <w:pPr>
              <w:pStyle w:val="Normal"/>
              <w:widowControl/>
              <w:spacing w:after="120"/>
              <w:keepNext w:val="0"/>
            </w:pPr>
            <w:r>
              <w:t xml:space="preserve"/>
            </w:r>
            <w:r>
              <w:t xml:space="preserve"> </w:t>
            </w:r>
            <w:r>
              <w:t xml:space="preserve"> </w:t>
            </w:r>
            <w:r>
              <w:fldChar w:fldCharType="begin"/>
            </w:r>
            <w:r>
              <w:instrText xml:space="preserve"> ADDIN EN.CITE </w:instrText>
            </w:r>
            <w:r>
              <w:fldChar w:fldCharType="begin">
                <w:fldData>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</w:fldData>
              </w:fldChar>
            </w:r>
            <w:r>
              <w:instrText xml:space="preserve"> ADDIN EN.CITE.DATA </w:instrText>
            </w:r>
            <w:r>
              <w:fldChar w:fldCharType="end"/>
            </w:r>
            <w:r>
              <w:fldChar w:fldCharType="separate"/>
            </w:r>
            <w:r>
              <w:t xml:space="preserve">[V16-9]</w:t>
            </w:r>
            <w:r>
              <w:fldChar w:fldCharType="end"/>
            </w:r>
            <w:r>
              <w:t xml:space="preserve"> </w:t>
            </w:r>
            <w:r>
              <w:t xml:space="preserve"> </w:t>
            </w:r>
            <w:r>
              <w:fldChar w:fldCharType="begin"/>
            </w:r>
            <w:r>
              <w:instrText xml:space="preserve"> ADDIN EN.CITE </w:instrText>
            </w:r>
            <w:r>
              <w:fldChar w:fldCharType="begin">
                <w:fldData>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</w:fldData>
              </w:fldChar>
            </w:r>
            <w:r>
              <w:instrText xml:space="preserve"> ADDIN EN.CITE.DATA </w:instrText>
            </w:r>
            <w:r>
              <w:fldChar w:fldCharType="end"/>
            </w:r>
            <w:r>
              <w:fldChar w:fldCharType="separate"/>
            </w:r>
            <w:r>
              <w:t xml:space="preserve">[V16-8]</w:t>
            </w:r>
            <w:r>
              <w:fldChar w:fldCharType="end"/>
            </w:r>
            <w:r>
              <w:t xml:space="preserve"> </w:t>
            </w:r>
            <w:r>
              <w:t xml:space="preserve"> </w:t>
            </w:r>
            <w:r>
              <w:fldChar w:fldCharType="begin"/>
            </w:r>
            <w:r>
              <w:instrText xml:space="preserve"> ADDIN EN.CITE </w:instrText>
            </w:r>
            <w:r>
              <w:fldChar w:fldCharType="begin">
                <w:fldData>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</w:fldData>
              </w:fldChar>
            </w:r>
            <w:r>
              <w:instrText xml:space="preserve"> ADDIN EN.CITE.DATA </w:instrText>
            </w:r>
            <w:r>
              <w:fldChar w:fldCharType="end"/>
            </w:r>
            <w:r>
              <w:fldChar w:fldCharType="separate"/>
            </w:r>
            <w:r>
              <w:t xml:space="preserve">[V16-2]</w:t>
            </w:r>
            <w:r>
              <w:fldChar w:fldCharType="end"/>
            </w:r>
            <w:r>
              <w:br/>
            </w:r>
            <w:hyperlink r:id="rId29">
              <w:r>
                <w:rPr>
                  <w:color w:val="0563C1"/>
                  <w:u w:val="single"/>
                </w:rPr>
                <w:t>Source</w:t>
              </w:r>
            </w:hyperlink>
            <w:r>
              <w:t xml:space="preserve"> · </w:t>
            </w:r>
            <w:hyperlink r:id="rId30">
              <w:r>
                <w:rPr>
                  <w:color w:val="0563C1"/>
                  <w:u w:val="single"/>
                </w:rPr>
                <w:t>PDF</w:t>
              </w:r>
            </w:hyperlink>
            <w:r>
              <w:br/>
            </w:r>
            <w:hyperlink r:id="rId31">
              <w:r>
                <w:rPr>
                  <w:color w:val="0563C1"/>
                  <w:u w:val="single"/>
                </w:rPr>
                <w:t>Source</w:t>
              </w:r>
            </w:hyperlink>
            <w:r>
              <w:t xml:space="preserve"> · </w:t>
            </w:r>
            <w:hyperlink r:id="rId32">
              <w:r>
                <w:rPr>
                  <w:color w:val="0563C1"/>
                  <w:u w:val="single"/>
                </w:rPr>
                <w:t>PDF</w:t>
              </w:r>
            </w:hyperlink>
            <w:r>
              <w:br/>
            </w:r>
            <w:hyperlink r:id="rId33">
              <w:r>
                <w:rPr>
                  <w:color w:val="0563C1"/>
                  <w:u w:val="single"/>
                </w:rPr>
                <w:t>Source</w:t>
              </w:r>
            </w:hyperlink>
            <w:r>
              <w:t xml:space="preserve"> · </w:t>
            </w:r>
            <w:hyperlink r:id="rId34">
              <w:r>
                <w:rPr>
                  <w:color w:val="0563C1"/>
                  <w:u w:val="single"/>
                </w:rPr>
                <w:t>PDF</w:t>
              </w:r>
            </w:hyperlink>
          </w:p>
        </w:tc>
      </w:tr>
      <w:tr>
        <w:trPr>
          <w:cantSplit/>
        </w:trPr>
        <w:tc>
          <w:tcPr>
            <w:tcW w:w="1900" w:type="dxa"/>
            <w:vAlign w:val="top"/>
            <w:shd w:fill="F1F5F8"/>
          </w:tcPr>
          <w:p>
            <w:pPr>
              <w:pStyle w:val="Normal"/>
              <w:widowControl/>
              <w:spacing w:after="55" w:line="240" w:lineRule="auto"/>
              <w:keepNext w:val="0"/>
              <w:keepLines/>
            </w:pPr>
            <w:r>
              <w:rPr>
                <w:sz w:val="21"/>
                <w:szCs w:val="21"/>
                <w:b/>
              </w:rPr>
              <w:t xml:space="preserve">Liposomal irinotecan fluorouracil leucovorin or switch backbone</w:t>
            </w:r>
          </w:p>
          <w:p>
            <w:pPr>
              <w:pStyle w:val="Normal"/>
              <w:widowControl/>
              <w:spacing w:after="55" w:line="240" w:lineRule="auto"/>
              <w:keepNext w:val="0"/>
              <w:keepLines/>
            </w:pPr>
            <w:r>
              <w:rPr>
                <w:sz w:val="21"/>
                <w:szCs w:val="21"/>
              </w:rPr>
              <w:t xml:space="preserve">Subsequent treatment</w:t>
            </w:r>
          </w:p>
        </w:tc>
        <w:tc>
          <w:tcPr>
            <w:tcW w:w="4000" w:type="dxa"/>
            <w:vAlign w:val="top"/>
            <w:shd w:fill="F1F5F8"/>
          </w:tcPr>
          <w:p>
            <w:pPr>
              <w:pStyle w:val="Normal"/>
              <w:widowControl/>
              <w:spacing w:after="55" w:line="240" w:lineRule="auto"/>
              <w:keepNext w:val="0"/>
              <w:keepLines/>
            </w:pPr>
            <w:r>
              <w:rPr>
                <w:sz w:val="21"/>
                <w:szCs w:val="21"/>
              </w:rPr>
              <w:t xml:space="preserve">nal-IRI plus 5-FU/LV after gemcitabine-based therapy when eligible. Gemcitabine-based therapy may follow a fluoropyrimidine regimen. Account for prior irinotecan and residual neuropathy.</w:t>
            </w:r>
          </w:p>
          <w:p>
            <w:pPr>
              <w:pStyle w:val="Normal"/>
              <w:widowControl/>
              <w:spacing w:after="55" w:line="240" w:lineRule="auto"/>
              <w:keepNext w:val="0"/>
              <w:keepLines/>
            </w:pPr>
            <w:r>
              <w:rPr>
                <w:sz w:val="21"/>
                <w:szCs w:val="21"/>
              </w:rPr>
              <w:t xml:space="preserve">Use the combination after gemcitabine when fit; avoid treating nal-IRI as interchangeable with conventional irinotecan. Dose conventions differ: 70 mg/m² free base equals 80 mg/m² salt in the publication. Pharmacy must verify the actual product/order set.</w:t>
            </w:r>
          </w:p>
        </w:tc>
        <w:tc>
          <w:tcPr>
            <w:tcW w:w="4180" w:type="dxa"/>
            <w:vAlign w:val="top"/>
            <w:shd w:fill="F1F5F8"/>
          </w:tcPr>
          <w:p>
            <w:pPr>
              <w:pStyle w:val="Normal"/>
              <w:widowControl/>
              <w:spacing w:after="55" w:line="240" w:lineRule="auto"/>
              <w:keepNext w:val="0"/>
              <w:keepLines/>
            </w:pPr>
            <w:r>
              <w:rPr>
                <w:sz w:val="21"/>
                <w:szCs w:val="21"/>
              </w:rPr>
              <w:t xml:space="preserve">nal-IRI plus 5-FU/LV: OS 6.1 versus 4.2 months, HR 0.67 (0.49–0.92); PFS 3.1 versus 1.5, HR 0.56. ORR 16% versus 1%. nal-IRI monotherapy did not improve OS (HR 0.99). Grade 3–4 neutropenia 27%, diarrhea 13%. Small prior-irinotecan subgroup, different 5-FU schedules, selected organ function. No validated immediate reuse after FOLFIRINOX/NALIRIFOX. One combination treatment-related septic-shock death.</w:t>
            </w:r>
          </w:p>
          <w:p>
            <w:pPr>
              <w:pStyle w:val="Normal"/>
              <w:widowControl/>
              <w:spacing w:after="120"/>
              <w:keepNext w:val="0"/>
            </w:pPr>
            <w:r>
              <w:t xml:space="preserve"/>
            </w:r>
            <w:r>
              <w:t xml:space="preserve"> </w:t>
            </w:r>
            <w:r>
              <w:t xml:space="preserve"> </w:t>
            </w:r>
            <w:r>
              <w:fldChar w:fldCharType="begin"/>
            </w:r>
            <w:r>
              <w:instrText xml:space="preserve"> ADDIN EN.CITE </w:instrText>
            </w:r>
            <w:r>
              <w:fldChar w:fldCharType="begin">
                <w:fldData>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</w:fldData>
              </w:fldChar>
            </w:r>
            <w:r>
              <w:instrText xml:space="preserve"> ADDIN EN.CITE.DATA </w:instrText>
            </w:r>
            <w:r>
              <w:fldChar w:fldCharType="end"/>
            </w:r>
            <w:r>
              <w:fldChar w:fldCharType="separate"/>
            </w:r>
            <w:r>
              <w:t xml:space="preserve">[V16-10]</w:t>
            </w:r>
            <w:r>
              <w:fldChar w:fldCharType="end"/>
            </w:r>
            <w:r>
              <w:t xml:space="preserve"> </w:t>
            </w:r>
            <w:r>
              <w:t xml:space="preserve"> </w:t>
            </w:r>
            <w:r>
              <w:fldChar w:fldCharType="begin"/>
            </w:r>
            <w:r>
              <w:instrText xml:space="preserve"> ADDIN EN.CITE </w:instrText>
            </w:r>
            <w:r>
              <w:fldChar w:fldCharType="begin">
                <w:fldData>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</w:fldData>
              </w:fldChar>
            </w:r>
            <w:r>
              <w:instrText xml:space="preserve"> ADDIN EN.CITE.DATA </w:instrText>
            </w:r>
            <w:r>
              <w:fldChar w:fldCharType="end"/>
            </w:r>
            <w:r>
              <w:fldChar w:fldCharType="separate"/>
            </w:r>
            <w:r>
              <w:t xml:space="preserve">[V16-2]</w:t>
            </w:r>
            <w:r>
              <w:fldChar w:fldCharType="end"/>
            </w:r>
            <w:r>
              <w:br/>
            </w:r>
            <w:hyperlink r:id="rId35">
              <w:r>
                <w:rPr>
                  <w:color w:val="0563C1"/>
                  <w:u w:val="single"/>
                </w:rPr>
                <w:t>Source</w:t>
              </w:r>
            </w:hyperlink>
            <w:r>
              <w:t xml:space="preserve"> · </w:t>
            </w:r>
            <w:hyperlink r:id="rId36">
              <w:r>
                <w:rPr>
                  <w:color w:val="0563C1"/>
                  <w:u w:val="single"/>
                </w:rPr>
                <w:t>PDF</w:t>
              </w:r>
            </w:hyperlink>
            <w:r>
              <w:br/>
            </w:r>
            <w:hyperlink r:id="rId37">
              <w:r>
                <w:rPr>
                  <w:color w:val="0563C1"/>
                  <w:u w:val="single"/>
                </w:rPr>
                <w:t>Source</w:t>
              </w:r>
            </w:hyperlink>
            <w:r>
              <w:t xml:space="preserve"> · </w:t>
            </w:r>
            <w:hyperlink r:id="rId38">
              <w:r>
                <w:rPr>
                  <w:color w:val="0563C1"/>
                  <w:u w:val="single"/>
                </w:rPr>
                <w:t>PDF</w:t>
              </w:r>
            </w:hyperlink>
          </w:p>
        </w:tc>
      </w:tr>
      <w:tr>
        <w:trPr>
          <w:cantSplit/>
        </w:trPr>
        <w:tc>
          <w:tcPr>
            <w:tcW w:w="1900" w:type="dxa"/>
            <w:vAlign w:val="top"/>
            <w:shd w:fill="FFFFFF"/>
          </w:tcPr>
          <w:p>
            <w:pPr>
              <w:pStyle w:val="Normal"/>
              <w:widowControl/>
              <w:spacing w:after="55" w:line="240" w:lineRule="auto"/>
              <w:keepNext w:val="0"/>
              <w:keepLines/>
            </w:pPr>
            <w:r>
              <w:rPr>
                <w:sz w:val="21"/>
                <w:szCs w:val="21"/>
                <w:b/>
              </w:rPr>
              <w:t xml:space="preserve">Daraxonrasib</w:t>
            </w:r>
          </w:p>
          <w:p>
            <w:pPr>
              <w:pStyle w:val="Normal"/>
              <w:widowControl/>
              <w:spacing w:after="55" w:line="240" w:lineRule="auto"/>
              <w:keepNext w:val="0"/>
              <w:keepLines/>
            </w:pPr>
            <w:r>
              <w:rPr>
                <w:sz w:val="21"/>
                <w:szCs w:val="21"/>
              </w:rPr>
              <w:t xml:space="preserve">Current US option</w:t>
            </w:r>
          </w:p>
        </w:tc>
        <w:tc>
          <w:tcPr>
            <w:tcW w:w="4000" w:type="dxa"/>
            <w:vAlign w:val="top"/>
            <w:shd w:fill="FFFFFF"/>
          </w:tcPr>
          <w:p>
            <w:pPr>
              <w:pStyle w:val="Normal"/>
              <w:widowControl/>
              <w:spacing w:after="55" w:line="240" w:lineRule="auto"/>
              <w:keepNext w:val="0"/>
              <w:keepLines/>
            </w:pPr>
            <w:r>
              <w:rPr>
                <w:sz w:val="21"/>
                <w:szCs w:val="21"/>
              </w:rPr>
              <w:t xml:space="preserve">US approval August 2026: metastatic pancreatic adenocarcinoma after at least one prior systemic treatment or when not a candidate for multiagent systemic therapy. The indication is not restricted to a RAS mutation.</w:t>
            </w:r>
          </w:p>
        </w:tc>
        <w:tc>
          <w:tcPr>
            <w:tcW w:w="4180" w:type="dxa"/>
            <w:vAlign w:val="top"/>
            <w:shd w:fill="FFFFFF"/>
          </w:tcPr>
          <w:p>
            <w:pPr>
              <w:pStyle w:val="Normal"/>
              <w:widowControl/>
              <w:spacing w:after="55" w:line="240" w:lineRule="auto"/>
              <w:keepNext w:val="0"/>
              <w:keepLines/>
            </w:pPr>
            <w:r>
              <w:rPr>
                <w:sz w:val="21"/>
                <w:szCs w:val="21"/>
              </w:rPr>
              <w:t xml:space="preserve">RASolute 302 randomized previously treated patients: overall-population OS 13.2 versus 6.7 months, HR 0.40. That trial does not independently establish the same effect in treatment-naive frail patients included in the broader label.</w:t>
            </w:r>
          </w:p>
          <w:p>
            <w:pPr>
              <w:pStyle w:val="Normal"/>
              <w:widowControl/>
              <w:spacing w:after="120"/>
              <w:keepNext w:val="0"/>
            </w:pPr>
            <w:r>
              <w:t xml:space="preserve"/>
            </w:r>
            <w:r>
              <w:t xml:space="preserve"> </w:t>
            </w:r>
            <w:r>
              <w:t xml:space="preserve"> </w:t>
            </w:r>
            <w:r>
              <w:fldChar w:fldCharType="begin"/>
            </w:r>
            <w:r>
              <w:instrText xml:space="preserve"> ADDIN EN.CITE </w:instrText>
            </w:r>
            <w:r>
              <w:fldChar w:fldCharType="begin">
                <w:fldData>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</w:fldData>
              </w:fldChar>
            </w:r>
            <w:r>
              <w:instrText xml:space="preserve"> ADDIN EN.CITE.DATA </w:instrText>
            </w:r>
            <w:r>
              <w:fldChar w:fldCharType="end"/>
            </w:r>
            <w:r>
              <w:fldChar w:fldCharType="separate"/>
            </w:r>
            <w:r>
              <w:t xml:space="preserve">[V16-11]</w:t>
            </w:r>
            <w:r>
              <w:fldChar w:fldCharType="end"/>
            </w:r>
            <w:r>
              <w:t xml:space="preserve"> </w:t>
            </w:r>
            <w:r>
              <w:t xml:space="preserve"> </w:t>
            </w:r>
            <w:r>
              <w:fldChar w:fldCharType="begin"/>
            </w:r>
            <w:r>
              <w:instrText xml:space="preserve"> ADDIN EN.CITE </w:instrText>
            </w:r>
            <w:r>
              <w:fldChar w:fldCharType="begin">
                <w:fldData>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</w:fldData>
              </w:fldChar>
            </w:r>
            <w:r>
              <w:instrText xml:space="preserve"> ADDIN EN.CITE.DATA </w:instrText>
            </w:r>
            <w:r>
              <w:fldChar w:fldCharType="end"/>
            </w:r>
            <w:r>
              <w:fldChar w:fldCharType="separate"/>
            </w:r>
            <w:r>
              <w:t xml:space="preserve">[V16-12]</w:t>
            </w:r>
            <w:r>
              <w:fldChar w:fldCharType="end"/>
            </w:r>
            <w:r>
              <w:br/>
            </w:r>
            <w:hyperlink r:id="rId39">
              <w:r>
                <w:rPr>
                  <w:color w:val="0563C1"/>
                  <w:u w:val="single"/>
                </w:rPr>
                <w:t>Source</w:t>
              </w:r>
            </w:hyperlink>
            <w:r>
              <w:t xml:space="preserve"> · </w:t>
            </w:r>
            <w:hyperlink r:id="rId40">
              <w:r>
                <w:rPr>
                  <w:color w:val="0563C1"/>
                  <w:u w:val="single"/>
                </w:rPr>
                <w:t>PDF</w:t>
              </w:r>
            </w:hyperlink>
            <w:r>
              <w:br/>
            </w:r>
            <w:hyperlink r:id="rId41">
              <w:r>
                <w:rPr>
                  <w:color w:val="0563C1"/>
                  <w:u w:val="single"/>
                </w:rPr>
                <w:t>Source</w:t>
              </w:r>
            </w:hyperlink>
            <w:r>
              <w:t xml:space="preserve"> · </w:t>
            </w:r>
            <w:r>
              <w:t xml:space="preserve">full PDF pending</w:t>
            </w:r>
          </w:p>
        </w:tc>
      </w:tr>
      <w:tr>
        <w:trPr>
          <w:cantSplit/>
        </w:trPr>
        <w:tc>
          <w:tcPr>
            <w:tcW w:w="1900" w:type="dxa"/>
            <w:vAlign w:val="top"/>
            <w:shd w:fill="F1F5F8"/>
          </w:tcPr>
          <w:p>
            <w:pPr>
              <w:pStyle w:val="Normal"/>
              <w:widowControl/>
              <w:spacing w:after="55" w:line="240" w:lineRule="auto"/>
              <w:keepNext w:val="0"/>
              <w:keepLines/>
            </w:pPr>
            <w:r>
              <w:rPr>
                <w:sz w:val="21"/>
                <w:szCs w:val="21"/>
                <w:b/>
              </w:rPr>
              <w:t xml:space="preserve">Platinum and olaparib maintenance</w:t>
            </w:r>
          </w:p>
          <w:p>
            <w:pPr>
              <w:pStyle w:val="Normal"/>
              <w:widowControl/>
              <w:spacing w:after="55" w:line="240" w:lineRule="auto"/>
              <w:keepNext w:val="0"/>
              <w:keepLines/>
            </w:pPr>
            <w:r>
              <w:rPr>
                <w:sz w:val="21"/>
                <w:szCs w:val="21"/>
              </w:rPr>
              <w:t xml:space="preserve">Hereditary DNA repair setting</w:t>
            </w:r>
          </w:p>
        </w:tc>
        <w:tc>
          <w:tcPr>
            <w:tcW w:w="4000" w:type="dxa"/>
            <w:vAlign w:val="top"/>
            <w:shd w:fill="F1F5F8"/>
          </w:tcPr>
          <w:p>
            <w:pPr>
              <w:pStyle w:val="Normal"/>
              <w:widowControl/>
              <w:spacing w:after="55" w:line="240" w:lineRule="auto"/>
              <w:keepNext w:val="0"/>
              <w:keepLines/>
            </w:pPr>
            <w:r>
              <w:rPr>
                <w:sz w:val="21"/>
                <w:szCs w:val="21"/>
              </w:rPr>
              <w:t xml:space="preserve">Prioritize platinum discussion for germline BRCA1/2 or PALB2-associated PDAC. Olaparib maintenance is for metastatic germline BRCA1/2 disease without progression after at least 16 weeks of first-line platinum.</w:t>
            </w:r>
          </w:p>
        </w:tc>
        <w:tc>
          <w:tcPr>
            <w:tcW w:w="4180" w:type="dxa"/>
            <w:vAlign w:val="top"/>
            <w:shd w:fill="F1F5F8"/>
          </w:tcPr>
          <w:p>
            <w:pPr>
              <w:pStyle w:val="Normal"/>
              <w:widowControl/>
              <w:spacing w:after="55" w:line="240" w:lineRule="auto"/>
              <w:keepNext w:val="0"/>
              <w:keepLines/>
            </w:pPr>
            <w:r>
              <w:rPr>
                <w:sz w:val="21"/>
                <w:szCs w:val="21"/>
              </w:rPr>
              <w:t xml:space="preserve">POLO improved PFS, not a demonstrated OS benefit. PALB2-associated platinum sensitivity does not automatically confer the olaparib PDAC label. Germline and somatic findings are not interchangeable.</w:t>
            </w:r>
          </w:p>
          <w:p>
            <w:pPr>
              <w:pStyle w:val="Normal"/>
              <w:widowControl/>
              <w:spacing w:after="120"/>
              <w:keepNext w:val="0"/>
            </w:pPr>
            <w:r>
              <w:t xml:space="preserve"/>
            </w:r>
            <w:r>
              <w:t xml:space="preserve"> </w:t>
            </w:r>
            <w:r>
              <w:t xml:space="preserve"> </w:t>
            </w:r>
            <w:r>
              <w:fldChar w:fldCharType="begin"/>
            </w:r>
            <w:r>
              <w:instrText xml:space="preserve"> ADDIN EN.CITE </w:instrText>
            </w:r>
            <w:r>
              <w:fldChar w:fldCharType="begin">
                <w:fldData>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</w:fldData>
              </w:fldChar>
            </w:r>
            <w:r>
              <w:instrText xml:space="preserve"> ADDIN EN.CITE.DATA </w:instrText>
            </w:r>
            <w:r>
              <w:fldChar w:fldCharType="end"/>
            </w:r>
            <w:r>
              <w:fldChar w:fldCharType="separate"/>
            </w:r>
            <w:r>
              <w:t xml:space="preserve">[V16-13]</w:t>
            </w:r>
            <w:r>
              <w:fldChar w:fldCharType="end"/>
            </w:r>
            <w:r>
              <w:t xml:space="preserve"> </w:t>
            </w:r>
            <w:r>
              <w:t xml:space="preserve"> </w:t>
            </w:r>
            <w:r>
              <w:fldChar w:fldCharType="begin"/>
            </w:r>
            <w:r>
              <w:instrText xml:space="preserve"> ADDIN EN.CITE </w:instrText>
            </w:r>
            <w:r>
              <w:fldChar w:fldCharType="begin">
                <w:fldData>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</w:fldData>
              </w:fldChar>
            </w:r>
            <w:r>
              <w:instrText xml:space="preserve"> ADDIN EN.CITE.DATA </w:instrText>
            </w:r>
            <w:r>
              <w:fldChar w:fldCharType="end"/>
            </w:r>
            <w:r>
              <w:fldChar w:fldCharType="separate"/>
            </w:r>
            <w:r>
              <w:t xml:space="preserve">[V16-2]</w:t>
            </w:r>
            <w:r>
              <w:fldChar w:fldCharType="end"/>
            </w:r>
            <w:r>
              <w:br/>
            </w:r>
            <w:hyperlink r:id="rId42">
              <w:r>
                <w:rPr>
                  <w:color w:val="0563C1"/>
                  <w:u w:val="single"/>
                </w:rPr>
                <w:t>Source</w:t>
              </w:r>
            </w:hyperlink>
            <w:r>
              <w:t xml:space="preserve"> · </w:t>
            </w:r>
            <w:hyperlink r:id="rId43">
              <w:r>
                <w:rPr>
                  <w:color w:val="0563C1"/>
                  <w:u w:val="single"/>
                </w:rPr>
                <w:t>PDF</w:t>
              </w:r>
            </w:hyperlink>
            <w:r>
              <w:br/>
            </w:r>
            <w:hyperlink r:id="rId44">
              <w:r>
                <w:rPr>
                  <w:color w:val="0563C1"/>
                  <w:u w:val="single"/>
                </w:rPr>
                <w:t>Source</w:t>
              </w:r>
            </w:hyperlink>
            <w:r>
              <w:t xml:space="preserve"> · </w:t>
            </w:r>
            <w:hyperlink r:id="rId45">
              <w:r>
                <w:rPr>
                  <w:color w:val="0563C1"/>
                  <w:u w:val="single"/>
                </w:rPr>
                <w:t>PDF</w:t>
              </w:r>
            </w:hyperlink>
          </w:p>
        </w:tc>
      </w:tr>
      <w:tr>
        <w:trPr>
          <w:cantSplit/>
        </w:trPr>
        <w:tc>
          <w:tcPr>
            <w:tcW w:w="1900" w:type="dxa"/>
            <w:vAlign w:val="top"/>
            <w:shd w:fill="FFFFFF"/>
          </w:tcPr>
          <w:p>
            <w:pPr>
              <w:pStyle w:val="Normal"/>
              <w:widowControl/>
              <w:spacing w:after="55" w:line="240" w:lineRule="auto"/>
              <w:keepNext w:val="0"/>
              <w:keepLines/>
            </w:pPr>
            <w:r>
              <w:rPr>
                <w:sz w:val="21"/>
                <w:szCs w:val="21"/>
                <w:b/>
              </w:rPr>
              <w:t xml:space="preserve">Zenocutuzumab and rare molecular options</w:t>
            </w:r>
          </w:p>
        </w:tc>
        <w:tc>
          <w:tcPr>
            <w:tcW w:w="4000" w:type="dxa"/>
            <w:vAlign w:val="top"/>
            <w:shd w:fill="FFFFFF"/>
          </w:tcPr>
          <w:p>
            <w:pPr>
              <w:pStyle w:val="Normal"/>
              <w:widowControl/>
              <w:spacing w:after="55" w:line="240" w:lineRule="auto"/>
              <w:keepNext w:val="0"/>
              <w:keepLines/>
            </w:pPr>
            <w:r>
              <w:rPr>
                <w:sz w:val="21"/>
                <w:szCs w:val="21"/>
              </w:rPr>
              <w:t xml:space="preserve">NRG1 fusion-positive advanced unresectable/metastatic PDAC after prior systemic therapy may receive zenocutuzumab. Also review MSI/MMR, NTRK, RET and other actionable alterations with molecular oncology.</w:t>
            </w:r>
          </w:p>
        </w:tc>
        <w:tc>
          <w:tcPr>
            <w:tcW w:w="4180" w:type="dxa"/>
            <w:vAlign w:val="top"/>
            <w:shd w:fill="FFFFFF"/>
          </w:tcPr>
          <w:p>
            <w:pPr>
              <w:pStyle w:val="Normal"/>
              <w:widowControl/>
              <w:spacing w:after="55" w:line="240" w:lineRule="auto"/>
              <w:keepNext w:val="0"/>
              <w:keepLines/>
            </w:pPr>
            <w:r>
              <w:rPr>
                <w:sz w:val="21"/>
                <w:szCs w:val="21"/>
              </w:rPr>
              <w:t xml:space="preserve">eNRGy supplies rare-fusion single-arm evidence. Molecular selection does not justify using unvalidated combinations or every RAS inhibitor interchangeably. See shared biomarker section.</w:t>
            </w:r>
          </w:p>
          <w:p>
            <w:pPr>
              <w:pStyle w:val="Normal"/>
              <w:widowControl/>
              <w:spacing w:after="120"/>
              <w:keepNext w:val="0"/>
            </w:pPr>
            <w:r>
              <w:t xml:space="preserve"/>
            </w:r>
            <w:r>
              <w:t xml:space="preserve"> </w:t>
            </w:r>
            <w:r>
              <w:t xml:space="preserve"> </w:t>
            </w:r>
            <w:r>
              <w:fldChar w:fldCharType="begin"/>
            </w:r>
            <w:r>
              <w:instrText xml:space="preserve"> ADDIN EN.CITE </w:instrText>
            </w:r>
            <w:r>
              <w:fldChar w:fldCharType="begin">
                <w:fldData>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</w:fldData>
              </w:fldChar>
            </w:r>
            <w:r>
              <w:instrText xml:space="preserve"> ADDIN EN.CITE.DATA </w:instrText>
            </w:r>
            <w:r>
              <w:fldChar w:fldCharType="end"/>
            </w:r>
            <w:r>
              <w:fldChar w:fldCharType="separate"/>
            </w:r>
            <w:r>
              <w:t xml:space="preserve">[V16-14]</w:t>
            </w:r>
            <w:r>
              <w:fldChar w:fldCharType="end"/>
            </w:r>
            <w:r>
              <w:t xml:space="preserve"> </w:t>
            </w:r>
            <w:r>
              <w:t xml:space="preserve"> </w:t>
            </w:r>
            <w:r>
              <w:fldChar w:fldCharType="begin"/>
            </w:r>
            <w:r>
              <w:instrText xml:space="preserve"> ADDIN EN.CITE </w:instrText>
            </w:r>
            <w:r>
              <w:fldChar w:fldCharType="begin">
                <w:fldData>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</w:fldData>
              </w:fldChar>
            </w:r>
            <w:r>
              <w:instrText xml:space="preserve"> ADDIN EN.CITE.DATA </w:instrText>
            </w:r>
            <w:r>
              <w:fldChar w:fldCharType="end"/>
            </w:r>
            <w:r>
              <w:fldChar w:fldCharType="separate"/>
            </w:r>
            <w:r>
              <w:t xml:space="preserve">[V16-2]</w:t>
            </w:r>
            <w:r>
              <w:fldChar w:fldCharType="end"/>
            </w:r>
            <w:r>
              <w:br/>
            </w:r>
            <w:hyperlink r:id="rId46">
              <w:r>
                <w:rPr>
                  <w:color w:val="0563C1"/>
                  <w:u w:val="single"/>
                </w:rPr>
                <w:t>Source</w:t>
              </w:r>
            </w:hyperlink>
            <w:r>
              <w:t xml:space="preserve"> · </w:t>
            </w:r>
            <w:hyperlink r:id="rId47">
              <w:r>
                <w:rPr>
                  <w:color w:val="0563C1"/>
                  <w:u w:val="single"/>
                </w:rPr>
                <w:t>PDF</w:t>
              </w:r>
            </w:hyperlink>
            <w:r>
              <w:br/>
            </w:r>
            <w:hyperlink r:id="rId48">
              <w:r>
                <w:rPr>
                  <w:color w:val="0563C1"/>
                  <w:u w:val="single"/>
                </w:rPr>
                <w:t>Source</w:t>
              </w:r>
            </w:hyperlink>
            <w:r>
              <w:t xml:space="preserve"> · </w:t>
            </w:r>
            <w:hyperlink r:id="rId49">
              <w:r>
                <w:rPr>
                  <w:color w:val="0563C1"/>
                  <w:u w:val="single"/>
                </w:rPr>
                <w:t>PDF</w:t>
              </w:r>
            </w:hyperlink>
          </w:p>
        </w:tc>
      </w:tr>
    </w:tbl>
    <w:p>
      <w:pPr>
        <w:pStyle w:val="Heading2"/>
        <w:widowControl/>
        <w:keepNext/>
      </w:pPr>
      <w:r>
        <w:t xml:space="preserve">Supporting study appraisals</w:t>
      </w:r>
    </w:p>
    <w:p>
      <w:pPr>
        <w:pStyle w:val="Heading2"/>
        <w:widowControl/>
        <w:keepNext/>
      </w:pPr>
      <w:r>
        <w:t xml:space="preserve">CASSANDRA: preoperative PAXG</w:t>
      </w:r>
    </w:p>
    <w:p>
      <w:pPr>
        <w:pStyle w:val="Normal"/>
        <w:widowControl/>
        <w:spacing w:after="120"/>
      </w:pPr>
      <w:r>
        <w:t xml:space="preserve">Discuss PAXG as an evidence-supported preoperative option for selected patients, with local MDT/formulary adoption still OPEN. Not a blanket replacement for mFOLFIRINOX, not a metastatic comparison, and not a PDAC transplant indication.</w:t>
      </w:r>
      <w:r>
        <w:t xml:space="preserve"> </w:t>
      </w:r>
      <w:r>
        <w:t xml:space="preserve"> </w:t>
      </w:r>
      <w:r>
        <w:fldChar w:fldCharType="begin"/>
      </w:r>
      <w:r>
        <w:instrText xml:space="preserve"> ADDIN EN.CITE </w:instrText>
      </w:r>
      <w:r>
        <w:fldChar w:fldCharType="begin">
          <w:fldData>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</w:fldData>
        </w:fldChar>
      </w:r>
      <w:r>
        <w:instrText xml:space="preserve"> ADDIN EN.CITE.DATA </w:instrText>
      </w:r>
      <w:r>
        <w:fldChar w:fldCharType="end"/>
      </w:r>
      <w:r>
        <w:fldChar w:fldCharType="separate"/>
      </w:r>
      <w:r>
        <w:t xml:space="preserve">[V16-6]</w:t>
      </w:r>
      <w:r>
        <w:fldChar w:fldCharType="end"/>
      </w:r>
      <w:r>
        <w:br/>
      </w:r>
      <w:hyperlink r:id="rId50">
        <w:r>
          <w:rPr>
            <w:color w:val="0563C1"/>
            <w:u w:val="single"/>
          </w:rPr>
          <w:t>Source</w:t>
        </w:r>
      </w:hyperlink>
      <w:r>
        <w:t xml:space="preserve"> · </w:t>
      </w:r>
      <w:hyperlink r:id="rId51">
        <w:r>
          <w:rPr>
            <w:color w:val="0563C1"/>
            <w:u w:val="single"/>
          </w:rPr>
          <w:t>PDF</w:t>
        </w:r>
      </w:hyperlink>
    </w:p>
    <w:p>
      <w:pPr>
        <w:pStyle w:val="Normal"/>
        <w:widowControl/>
        <w:spacing w:after="120"/>
      </w:pPr>
      <w:r>
        <w:t xml:space="preserve">Population and design: Italian phase III, 260 eligible randomized patients, age 18–75, KPS ≥70, resectable/borderline PDAC (including biological borderline CA19-9 ≥500). PAXG versus mFOLFIRINOX; four preoperative months. Second timing randomization not reported in this analysis.</w:t>
      </w:r>
    </w:p>
    <w:p>
      <w:pPr>
        <w:pStyle w:val="Normal"/>
        <w:widowControl/>
        <w:spacing w:after="120"/>
      </w:pPr>
      <w:r>
        <w:t xml:space="preserve">Results: Median event-free survival 16.0 versus 10.2 months, HR 0.63 (0.47–0.84). EFS included confirmed CA19-9 rises and unresectability, not just progression/death. Resection 75% versus 67% (not significant); R0 rates similar. Grade ≥3 toxicity 66% versus 61%. OS immature; no established OS superiority.</w:t>
      </w:r>
    </w:p>
    <w:p>
      <w:pPr>
        <w:pStyle w:val="Normal"/>
        <w:widowControl/>
        <w:spacing w:after="120"/>
      </w:pPr>
      <w:r>
        <w:t xml:space="preserve">Limits: Open-label, high-volume Italian centers, all White population, age cap. Converted phase II to III after 86% enrollment; no independent monitoring committee. Thirty-three EFS events were marker-only. Do not relabel EFS as OS or PFS.</w:t>
      </w:r>
    </w:p>
    <w:p>
      <w:pPr>
        <w:pStyle w:val="Heading2"/>
        <w:widowControl/>
        <w:keepNext/>
      </w:pPr>
      <w:r>
        <w:t xml:space="preserve">NAPOLI-1: nal-IRI after gemcitabine</w:t>
      </w:r>
    </w:p>
    <w:p>
      <w:pPr>
        <w:pStyle w:val="Normal"/>
        <w:widowControl/>
        <w:spacing w:after="120"/>
      </w:pPr>
      <w:r>
        <w:t xml:space="preserve">Use the combination after gemcitabine when fit; avoid treating nal-IRI as interchangeable with conventional irinotecan. Dose conventions differ: 70 mg/m² free base equals 80 mg/m² salt in the publication. Pharmacy must verify the actual product/order set.</w:t>
      </w:r>
      <w:r>
        <w:t xml:space="preserve"> </w:t>
      </w:r>
      <w:r>
        <w:t xml:space="preserve"> </w:t>
      </w:r>
      <w:r>
        <w:fldChar w:fldCharType="begin"/>
      </w:r>
      <w:r>
        <w:instrText xml:space="preserve"> ADDIN EN.CITE </w:instrText>
      </w:r>
      <w:r>
        <w:fldChar w:fldCharType="begin">
          <w:fldData>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</w:fldData>
        </w:fldChar>
      </w:r>
      <w:r>
        <w:instrText xml:space="preserve"> ADDIN EN.CITE.DATA </w:instrText>
      </w:r>
      <w:r>
        <w:fldChar w:fldCharType="end"/>
      </w:r>
      <w:r>
        <w:fldChar w:fldCharType="separate"/>
      </w:r>
      <w:r>
        <w:t xml:space="preserve">[V16-10]</w:t>
      </w:r>
      <w:r>
        <w:fldChar w:fldCharType="end"/>
      </w:r>
      <w:r>
        <w:br/>
      </w:r>
      <w:hyperlink r:id="rId52">
        <w:r>
          <w:rPr>
            <w:color w:val="0563C1"/>
            <w:u w:val="single"/>
          </w:rPr>
          <w:t>Source</w:t>
        </w:r>
      </w:hyperlink>
      <w:r>
        <w:t xml:space="preserve"> · </w:t>
      </w:r>
      <w:hyperlink r:id="rId53">
        <w:r>
          <w:rPr>
            <w:color w:val="0563C1"/>
            <w:u w:val="single"/>
          </w:rPr>
          <w:t>PDF</w:t>
        </w:r>
      </w:hyperlink>
    </w:p>
    <w:p>
      <w:pPr>
        <w:pStyle w:val="Normal"/>
        <w:widowControl/>
        <w:spacing w:after="120"/>
      </w:pPr>
      <w:r>
        <w:t xml:space="preserve">Population and design: Global randomized phase III, amended three-arm design. Primary combination comparison: 117 versus 119 concurrent controls. Metastatic PDAC after gemcitabine; KPS ≥70, normal bilirubin, albumin ≥30 g/L.</w:t>
      </w:r>
    </w:p>
    <w:p>
      <w:pPr>
        <w:pStyle w:val="Normal"/>
        <w:widowControl/>
        <w:spacing w:after="120"/>
      </w:pPr>
      <w:r>
        <w:t xml:space="preserve">Results: nal-IRI plus 5-FU/LV: OS 6.1 versus 4.2 months, HR 0.67 (0.49–0.92); PFS 3.1 versus 1.5, HR 0.56. ORR 16% versus 1%. nal-IRI monotherapy did not improve OS (HR 0.99). Grade 3–4 neutropenia 27%, diarrhea 13%.</w:t>
      </w:r>
    </w:p>
    <w:p>
      <w:pPr>
        <w:pStyle w:val="Normal"/>
        <w:widowControl/>
        <w:spacing w:after="120"/>
      </w:pPr>
      <w:r>
        <w:t xml:space="preserve">Limits: Small prior-irinotecan subgroup, different 5-FU schedules, selected organ function. No validated immediate reuse after FOLFIRINOX/NALIRIFOX. One combination treatment-related septic-shock death.</w:t>
      </w:r>
    </w:p>
    <w:p>
      <w:pPr>
        <w:pStyle w:val="Heading1"/>
        <w:widowControl/>
        <w:keepNext/>
      </w:pPr>
      <w:bookmarkStart w:id="16000" w:name="previously_treated_EHD"/>
      <w:r>
        <w:t xml:space="preserve">Previously treated extrahepatic disease</w:t>
      </w:r>
      <w:bookmarkEnd w:id="16000"/>
    </w:p>
    <w:p>
      <w:pPr>
        <w:pStyle w:val="Normal"/>
        <w:widowControl/>
        <w:spacing w:after="120"/>
      </w:pPr>
      <w:r>
        <w:t xml:space="preserve">How this roadmap handles extrahepatic disease that has been treated or has responded. Transplant questions are answered in the transplant pathway, not here.</w:t>
      </w:r>
    </w:p>
    <w:p>
      <w:pPr>
        <w:pStyle w:val="Heading2"/>
        <w:widowControl/>
        <w:keepNext/>
      </w:pPr>
      <w:bookmarkStart w:id="16010" w:name="PDAC_R1"/>
      <w:r>
        <w:t xml:space="preserve">PDAC-R1 — Surgery after oligometastatic disease responds</w:t>
      </w:r>
      <w:bookmarkEnd w:id="16010"/>
    </w:p>
    <w:p>
      <w:pPr>
        <w:pStyle w:val="Normal"/>
        <w:widowControl/>
        <w:spacing w:after="120"/>
      </w:pPr>
      <w:r>
        <w:t xml:space="preserve">Status: Proposed; trial or registry first. OPEN proposal for multidisciplinary review; not activated.</w:t>
      </w:r>
    </w:p>
    <w:p>
      <w:pPr>
        <w:pStyle w:val="Normal"/>
        <w:widowControl/>
        <w:spacing w:after="120"/>
      </w:pPr>
      <w:r>
        <w:t xml:space="preserve">Question: When synchronous oligometastatic PDAC responds to chemotherapy, or isolated lung metastases appear late, should surgery be offered outside a trial?</w:t>
      </w:r>
    </w:p>
    <w:p>
      <w:pPr>
        <w:pStyle w:val="Normal"/>
        <w:widowControl/>
        <w:spacing w:after="120"/>
      </w:pPr>
      <w:r>
        <w:t xml:space="preserve">Proposed position (OPEN): Distant metastasis stays systemic-therapy-led. Response-selected conversion surgery for limited liver metastases is offered preferably within a trial (METAPANC, CSPAC-1) or a registry after MDT review. Metachronous isolated lung metastases after a long disease-free interval may be resected. There is no PDAC transplant pathway.</w:t>
      </w:r>
    </w:p>
    <w:p>
      <w:pPr>
        <w:pStyle w:val="Heading3"/>
        <w:widowControl/>
        <w:keepNext/>
      </w:pPr>
      <w:r>
        <w:t xml:space="preserve">Proposed rules</w:t>
      </w:r>
    </w:p>
    <w:p>
      <w:pPr>
        <w:pStyle w:val="Normal"/>
        <w:widowControl/>
        <w:spacing w:after="120"/>
        <w:numPr>
          <w:ilvl w:val="0"/>
          <w:numId w:val="4"/>
        </w:numPr>
      </w:pPr>
      <w:r>
        <w:t xml:space="preserve">Synchronous liver oligometastases: ≤3 liver metastases (OligoPanc working definition, relative-majority only; METAPANC ≤3 liver-only), no peritoneal or other extrahepatic disease, induction chemotherapy without progression (METAPANC: 8 cycles of mFOLFIRINOX; Heidelberg: usually ≥6 cycles with RECIST response of metastases and a marker fall), CA19-9 fall &gt;50% to &lt;500 U/mL (CSPAC-1), resectable primary and metastases.</w:t>
      </w:r>
    </w:p>
    <w:p>
      <w:pPr>
        <w:pStyle w:val="Normal"/>
        <w:widowControl/>
        <w:spacing w:after="120"/>
        <w:numPr>
          <w:ilvl w:val="0"/>
          <w:numId w:val="4"/>
        </w:numPr>
      </w:pPr>
      <w:r>
        <w:t xml:space="preserve">Counsel: in Heidelberg, 46% were unresectable at exploration and only about 1 in 4 explored was ypM0; median survival 25.5 months (ypM0) vs 10.7 (ypM1) vs 8.1 (exploration only). Surgery ≥9 months after diagnosis did worse.</w:t>
      </w:r>
    </w:p>
    <w:p>
      <w:pPr>
        <w:pStyle w:val="Normal"/>
        <w:widowControl/>
        <w:spacing w:after="120"/>
        <w:numPr>
          <w:ilvl w:val="0"/>
          <w:numId w:val="4"/>
        </w:numPr>
      </w:pPr>
      <w:r>
        <w:t xml:space="preserve">Metachronous isolated lung metastases: ≤3 (ideally solitary), unilateral, disease-free interval of about 2 years (17–28 months cited), after systemic therapy and MDT review.</w:t>
      </w:r>
    </w:p>
    <w:p>
      <w:pPr>
        <w:pStyle w:val="Normal"/>
        <w:widowControl/>
        <w:spacing w:after="120"/>
        <w:numPr>
          <w:ilvl w:val="0"/>
          <w:numId w:val="4"/>
        </w:numPr>
      </w:pPr>
      <w:r>
        <w:t xml:space="preserve">Para-aortic (16b1) nodes known before surgery are systemic disease and outside the OligoPanc Delphi definition (although panellists rated a para-aortic nodal vignette as oligometastatic); when found at operation, do not abort resection on 16b1 alone.</w:t>
      </w:r>
    </w:p>
    <w:p>
      <w:pPr>
        <w:pStyle w:val="Normal"/>
        <w:widowControl/>
        <w:spacing w:after="120"/>
      </w:pPr>
      <w:r>
        <w:t xml:space="preserve">Why: Survival after resection is concentrated in complete responders, and unselected resection of metastases does not help. Trial rules give the clearest selection thresholds.</w:t>
      </w:r>
    </w:p>
    <w:p>
      <w:pPr>
        <w:pStyle w:val="Heading3"/>
        <w:widowControl/>
        <w:keepNext/>
      </w:pPr>
      <w:r>
        <w:t xml:space="preserve">Evidence</w:t>
      </w:r>
    </w:p>
    <w:tbl>
      <w:tblPr>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110" w:type="dxa"/>
          <w:left w:w="110" w:type="dxa"/>
          <w:bottom w:w="110" w:type="dxa"/>
          <w:right w:w="110" w:type="dxa"/>
        </w:tblCellMar>
      </w:tblPr>
      <w:tblGrid>
        <w:gridCol w:w="1900"/>
        <w:gridCol w:w="4000"/>
        <w:gridCol w:w="4180"/>
      </w:tblGrid>
      <w:tr>
        <w:trPr>
          <w:cantSplit/>
          <w:tblHeader/>
        </w:trPr>
        <w:tc>
          <w:tcPr>
            <w:tcW w:w="1900" w:type="dxa"/>
            <w:vAlign w:val="top"/>
            <w:shd w:fill="17365D"/>
          </w:tcPr>
          <w:p>
            <w:pPr>
              <w:pStyle w:val="Normal"/>
              <w:widowControl/>
              <w:spacing w:after="55" w:line="240" w:lineRule="auto"/>
              <w:keepNext w:val="0"/>
              <w:keepLines/>
            </w:pPr>
            <w:r>
              <w:rPr>
                <w:sz w:val="21"/>
                <w:szCs w:val="21"/>
                <w:b/>
                <w:color w:val="FFFFFF"/>
              </w:rPr>
              <w:t xml:space="preserve">Source</w:t>
            </w:r>
          </w:p>
        </w:tc>
        <w:tc>
          <w:tcPr>
            <w:tcW w:w="4000" w:type="dxa"/>
            <w:vAlign w:val="top"/>
            <w:shd w:fill="17365D"/>
          </w:tcPr>
          <w:p>
            <w:pPr>
              <w:pStyle w:val="Normal"/>
              <w:widowControl/>
              <w:spacing w:after="55" w:line="240" w:lineRule="auto"/>
              <w:keepNext w:val="0"/>
              <w:keepLines/>
            </w:pPr>
            <w:r>
              <w:rPr>
                <w:sz w:val="21"/>
                <w:szCs w:val="21"/>
                <w:b/>
                <w:color w:val="FFFFFF"/>
              </w:rPr>
              <w:t xml:space="preserve">Population and selection</w:t>
            </w:r>
          </w:p>
        </w:tc>
        <w:tc>
          <w:tcPr>
            <w:tcW w:w="4180" w:type="dxa"/>
            <w:vAlign w:val="top"/>
            <w:shd w:fill="17365D"/>
          </w:tcPr>
          <w:p>
            <w:pPr>
              <w:pStyle w:val="Normal"/>
              <w:widowControl/>
              <w:spacing w:after="55" w:line="240" w:lineRule="auto"/>
              <w:keepNext w:val="0"/>
              <w:keepLines/>
            </w:pPr>
            <w:r>
              <w:rPr>
                <w:sz w:val="21"/>
                <w:szCs w:val="21"/>
                <w:b/>
                <w:color w:val="FFFFFF"/>
              </w:rPr>
              <w:t xml:space="preserve">Results, limits and location</w:t>
            </w:r>
          </w:p>
        </w:tc>
      </w:tr>
      <w:tr>
        <w:trPr>
          <w:cantSplit/>
        </w:trPr>
        <w:tc>
          <w:tcPr>
            <w:tcW w:w="1900" w:type="dxa"/>
            <w:vAlign w:val="top"/>
            <w:shd w:fill="F1F5F8"/>
          </w:tcPr>
          <w:p>
            <w:pPr>
              <w:pStyle w:val="Normal"/>
              <w:widowControl/>
              <w:spacing w:after="55" w:line="240" w:lineRule="auto"/>
              <w:keepNext w:val="0"/>
              <w:keepLines/>
            </w:pPr>
            <w:r>
              <w:rPr>
                <w:sz w:val="21"/>
                <w:szCs w:val="21"/>
                <w:b/>
              </w:rPr>
              <w:t xml:space="preserve">Hank 2022 · Heidelberg resection after chemotherapy</w:t>
            </w:r>
          </w:p>
          <w:p>
            <w:pPr>
              <w:pStyle w:val="Normal"/>
              <w:widowControl/>
              <w:spacing w:after="55" w:line="240" w:lineRule="auto"/>
              <w:keepNext w:val="0"/>
              <w:keepLines/>
            </w:pPr>
            <w:r>
              <w:rPr>
                <w:sz w:val="21"/>
                <w:szCs w:val="21"/>
              </w:rPr>
              <w:t xml:space="preserve">Full text read.</w:t>
            </w:r>
          </w:p>
        </w:tc>
        <w:tc>
          <w:tcPr>
            <w:tcW w:w="4000" w:type="dxa"/>
            <w:vAlign w:val="top"/>
            <w:shd w:fill="F1F5F8"/>
          </w:tcPr>
          <w:p>
            <w:pPr>
              <w:pStyle w:val="Normal"/>
              <w:widowControl/>
              <w:spacing w:after="55" w:line="240" w:lineRule="auto"/>
              <w:keepNext w:val="0"/>
              <w:keepLines/>
            </w:pPr>
            <w:r>
              <w:rPr>
                <w:sz w:val="21"/>
                <w:szCs w:val="21"/>
              </w:rPr>
              <w:t xml:space="preserve">Heidelberg, 173 explored after chemotherapy for metastatic PDAC. RECIST PR/CR of metastases plus a fall in CA19-9 and CEA, usually ≥6 cycles.</w:t>
            </w:r>
          </w:p>
        </w:tc>
        <w:tc>
          <w:tcPr>
            <w:tcW w:w="4180" w:type="dxa"/>
            <w:vAlign w:val="top"/>
            <w:shd w:fill="F1F5F8"/>
          </w:tcPr>
          <w:p>
            <w:pPr>
              <w:pStyle w:val="Normal"/>
              <w:widowControl/>
              <w:spacing w:after="55" w:line="240" w:lineRule="auto"/>
              <w:keepNext w:val="0"/>
              <w:keepLines/>
            </w:pPr>
            <w:r>
              <w:rPr>
                <w:sz w:val="21"/>
                <w:szCs w:val="21"/>
              </w:rPr>
              <w:t xml:space="preserve">Results: 93 resected (45 ypM0); median survival 25.5 vs 10.7 vs 8.1 months; CA19-9 ≥400 HR 2.31; surgery ≥9 months after diagnosis HR 1.82.</w:t>
            </w:r>
          </w:p>
          <w:p>
            <w:pPr>
              <w:pStyle w:val="Normal"/>
              <w:widowControl/>
              <w:spacing w:after="55" w:line="240" w:lineRule="auto"/>
              <w:keepNext w:val="0"/>
              <w:keepLines/>
            </w:pPr>
            <w:r>
              <w:rPr>
                <w:sz w:val="21"/>
                <w:szCs w:val="21"/>
              </w:rPr>
              <w:t xml:space="preserve">Limits: Single referral centre; no intention-to-treat denominator.</w:t>
            </w:r>
          </w:p>
          <w:p>
            <w:pPr>
              <w:pStyle w:val="Normal"/>
              <w:widowControl/>
              <w:spacing w:after="55" w:line="240" w:lineRule="auto"/>
              <w:keepNext w:val="0"/>
              <w:keepLines/>
            </w:pPr>
            <w:r>
              <w:rPr>
                <w:sz w:val="21"/>
                <w:szCs w:val="21"/>
              </w:rPr>
              <w:t xml:space="preserve">Ann Surg 2022; Methods, Table 3.</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</w:fldData>
              </w:fldChar>
            </w:r>
            <w:r>
              <w:instrText xml:space="preserve"> ADDIN EN.CITE.DATA </w:instrText>
            </w:r>
            <w:r>
              <w:fldChar w:fldCharType="end"/>
            </w:r>
            <w:r>
              <w:fldChar w:fldCharType="separate"/>
            </w:r>
            <w:r>
              <w:t xml:space="preserve">[V16-15]</w:t>
            </w:r>
            <w:r>
              <w:fldChar w:fldCharType="end"/>
            </w:r>
            <w:r>
              <w:br/>
            </w:r>
            <w:hyperlink r:id="rId81">
              <w:r>
                <w:rPr>
                  <w:color w:val="0563C1"/>
                  <w:u w:val="single"/>
                </w:rPr>
                <w:t>Source</w:t>
              </w:r>
            </w:hyperlink>
            <w:r>
              <w:t xml:space="preserve"> · </w:t>
            </w:r>
            <w:r>
              <w:t xml:space="preserve">full PDF pending</w:t>
            </w:r>
          </w:p>
        </w:tc>
      </w:tr>
      <w:tr>
        <w:trPr>
          <w:cantSplit/>
        </w:trPr>
        <w:tc>
          <w:tcPr>
            <w:tcW w:w="1900" w:type="dxa"/>
            <w:vAlign w:val="top"/>
            <w:shd w:fill="FFFFFF"/>
          </w:tcPr>
          <w:p>
            <w:pPr>
              <w:pStyle w:val="Normal"/>
              <w:widowControl/>
              <w:spacing w:after="55" w:line="240" w:lineRule="auto"/>
              <w:keepNext w:val="0"/>
              <w:keepLines/>
            </w:pPr>
            <w:r>
              <w:rPr>
                <w:sz w:val="21"/>
                <w:szCs w:val="21"/>
                <w:b/>
              </w:rPr>
              <w:t xml:space="preserve">OligoPanc consensus (Leonhardt 2026)</w:t>
            </w:r>
          </w:p>
          <w:p>
            <w:pPr>
              <w:pStyle w:val="Normal"/>
              <w:widowControl/>
              <w:spacing w:after="55" w:line="240" w:lineRule="auto"/>
              <w:keepNext w:val="0"/>
              <w:keepLines/>
            </w:pPr>
            <w:r>
              <w:rPr>
                <w:sz w:val="21"/>
                <w:szCs w:val="21"/>
              </w:rPr>
              <w:t xml:space="preserve">Full text read.</w:t>
            </w:r>
          </w:p>
        </w:tc>
        <w:tc>
          <w:tcPr>
            <w:tcW w:w="4000" w:type="dxa"/>
            <w:vAlign w:val="top"/>
            <w:shd w:fill="FFFFFF"/>
          </w:tcPr>
          <w:p>
            <w:pPr>
              <w:pStyle w:val="Normal"/>
              <w:widowControl/>
              <w:spacing w:after="55" w:line="240" w:lineRule="auto"/>
              <w:keepNext w:val="0"/>
              <w:keepLines/>
            </w:pPr>
            <w:r>
              <w:rPr>
                <w:sz w:val="21"/>
                <w:szCs w:val="21"/>
              </w:rPr>
              <w:t xml:space="preserve">International Delphi consensus. ≤3 lesions in one organ (liver or lung) reached only relative majority (58% and 42%); systemic therapy before local treatment in synchronous disease (82%).</w:t>
            </w:r>
          </w:p>
        </w:tc>
        <w:tc>
          <w:tcPr>
            <w:tcW w:w="4180" w:type="dxa"/>
            <w:vAlign w:val="top"/>
            <w:shd w:fill="FFFFFF"/>
          </w:tcPr>
          <w:p>
            <w:pPr>
              <w:pStyle w:val="Normal"/>
              <w:widowControl/>
              <w:spacing w:after="55" w:line="240" w:lineRule="auto"/>
              <w:keepNext w:val="0"/>
              <w:keepLines/>
            </w:pPr>
            <w:r>
              <w:rPr>
                <w:sz w:val="21"/>
                <w:szCs w:val="21"/>
              </w:rPr>
              <w:t xml:space="preserve">Results: No induction duration or response thresholds defined.</w:t>
            </w:r>
          </w:p>
          <w:p>
            <w:pPr>
              <w:pStyle w:val="Normal"/>
              <w:widowControl/>
              <w:spacing w:after="55" w:line="240" w:lineRule="auto"/>
              <w:keepNext w:val="0"/>
              <w:keepLines/>
            </w:pPr>
            <w:r>
              <w:rPr>
                <w:sz w:val="21"/>
                <w:szCs w:val="21"/>
              </w:rPr>
              <w:t xml:space="preserve">Limits: Expert opinion.</w:t>
            </w:r>
          </w:p>
          <w:p>
            <w:pPr>
              <w:pStyle w:val="Normal"/>
              <w:widowControl/>
              <w:spacing w:after="55" w:line="240" w:lineRule="auto"/>
              <w:keepNext w:val="0"/>
              <w:keepLines/>
            </w:pPr>
            <w:r>
              <w:rPr>
                <w:sz w:val="21"/>
                <w:szCs w:val="21"/>
              </w:rPr>
              <w:t xml:space="preserve">Lancet Oncol 2026; Results.</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</w:fldData>
              </w:fldChar>
            </w:r>
            <w:r>
              <w:instrText xml:space="preserve"> ADDIN EN.CITE.DATA </w:instrText>
            </w:r>
            <w:r>
              <w:fldChar w:fldCharType="end"/>
            </w:r>
            <w:r>
              <w:fldChar w:fldCharType="separate"/>
            </w:r>
            <w:r>
              <w:t xml:space="preserve">[V16-16]</w:t>
            </w:r>
            <w:r>
              <w:fldChar w:fldCharType="end"/>
            </w:r>
            <w:r>
              <w:br/>
            </w:r>
            <w:hyperlink r:id="rId82">
              <w:r>
                <w:rPr>
                  <w:color w:val="0563C1"/>
                  <w:u w:val="single"/>
                </w:rPr>
                <w:t>Source</w:t>
              </w:r>
            </w:hyperlink>
            <w:r>
              <w:t xml:space="preserve"> · </w:t>
            </w:r>
            <w:hyperlink r:id="rId83">
              <w:r>
                <w:rPr>
                  <w:color w:val="0563C1"/>
                  <w:u w:val="single"/>
                </w:rPr>
                <w:t>PDF</w:t>
              </w:r>
            </w:hyperlink>
          </w:p>
        </w:tc>
      </w:tr>
      <w:tr>
        <w:trPr>
          <w:cantSplit/>
        </w:trPr>
        <w:tc>
          <w:tcPr>
            <w:tcW w:w="1900" w:type="dxa"/>
            <w:vAlign w:val="top"/>
            <w:shd w:fill="F1F5F8"/>
          </w:tcPr>
          <w:p>
            <w:pPr>
              <w:pStyle w:val="Normal"/>
              <w:widowControl/>
              <w:spacing w:after="55" w:line="240" w:lineRule="auto"/>
              <w:keepNext w:val="0"/>
              <w:keepLines/>
            </w:pPr>
            <w:r>
              <w:rPr>
                <w:sz w:val="21"/>
                <w:szCs w:val="21"/>
                <w:b/>
              </w:rPr>
              <w:t xml:space="preserve">METAPANC protocol (Ghadimi 2025)</w:t>
            </w:r>
          </w:p>
          <w:p>
            <w:pPr>
              <w:pStyle w:val="Normal"/>
              <w:widowControl/>
              <w:spacing w:after="55" w:line="240" w:lineRule="auto"/>
              <w:keepNext w:val="0"/>
              <w:keepLines/>
            </w:pPr>
            <w:r>
              <w:rPr>
                <w:sz w:val="21"/>
                <w:szCs w:val="21"/>
              </w:rPr>
              <w:t xml:space="preserve">Full text read.</w:t>
            </w:r>
          </w:p>
        </w:tc>
        <w:tc>
          <w:tcPr>
            <w:tcW w:w="4000" w:type="dxa"/>
            <w:vAlign w:val="top"/>
            <w:shd w:fill="F1F5F8"/>
          </w:tcPr>
          <w:p>
            <w:pPr>
              <w:pStyle w:val="Normal"/>
              <w:widowControl/>
              <w:spacing w:after="55" w:line="240" w:lineRule="auto"/>
              <w:keepNext w:val="0"/>
              <w:keepLines/>
            </w:pPr>
            <w:r>
              <w:rPr>
                <w:sz w:val="21"/>
                <w:szCs w:val="21"/>
              </w:rPr>
              <w:t xml:space="preserve">METAPANC randomized trial protocol. ≤3 liver metastases, no extrahepatic disease; 8 cycles mFOLFIRINOX; CR, PR or stable disease randomized.</w:t>
            </w:r>
          </w:p>
        </w:tc>
        <w:tc>
          <w:tcPr>
            <w:tcW w:w="4180" w:type="dxa"/>
            <w:vAlign w:val="top"/>
            <w:shd w:fill="F1F5F8"/>
          </w:tcPr>
          <w:p>
            <w:pPr>
              <w:pStyle w:val="Normal"/>
              <w:widowControl/>
              <w:spacing w:after="55" w:line="240" w:lineRule="auto"/>
              <w:keepNext w:val="0"/>
              <w:keepLines/>
            </w:pPr>
            <w:r>
              <w:rPr>
                <w:sz w:val="21"/>
                <w:szCs w:val="21"/>
              </w:rPr>
              <w:t xml:space="preserve">Results: No results yet.</w:t>
            </w:r>
          </w:p>
          <w:p>
            <w:pPr>
              <w:pStyle w:val="Normal"/>
              <w:widowControl/>
              <w:spacing w:after="55" w:line="240" w:lineRule="auto"/>
              <w:keepNext w:val="0"/>
              <w:keepLines/>
            </w:pPr>
            <w:r>
              <w:rPr>
                <w:sz w:val="21"/>
                <w:szCs w:val="21"/>
              </w:rPr>
              <w:t xml:space="preserve">Limits: Protocol.</w:t>
            </w:r>
          </w:p>
          <w:p>
            <w:pPr>
              <w:pStyle w:val="Normal"/>
              <w:widowControl/>
              <w:spacing w:after="55" w:line="240" w:lineRule="auto"/>
              <w:keepNext w:val="0"/>
              <w:keepLines/>
            </w:pPr>
            <w:r>
              <w:rPr>
                <w:sz w:val="21"/>
                <w:szCs w:val="21"/>
              </w:rPr>
              <w:t xml:space="preserve">BMC Cancer 2025; inclusion criteria.</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</w:fldData>
              </w:fldChar>
            </w:r>
            <w:r>
              <w:instrText xml:space="preserve"> ADDIN EN.CITE.DATA </w:instrText>
            </w:r>
            <w:r>
              <w:fldChar w:fldCharType="end"/>
            </w:r>
            <w:r>
              <w:fldChar w:fldCharType="separate"/>
            </w:r>
            <w:r>
              <w:t xml:space="preserve">[V16-17]</w:t>
            </w:r>
            <w:r>
              <w:fldChar w:fldCharType="end"/>
            </w:r>
            <w:r>
              <w:br/>
            </w:r>
            <w:hyperlink r:id="rId84">
              <w:r>
                <w:rPr>
                  <w:color w:val="0563C1"/>
                  <w:u w:val="single"/>
                </w:rPr>
                <w:t>Source</w:t>
              </w:r>
            </w:hyperlink>
            <w:r>
              <w:t xml:space="preserve"> · </w:t>
            </w:r>
            <w:hyperlink r:id="rId85">
              <w:r>
                <w:rPr>
                  <w:color w:val="0563C1"/>
                  <w:u w:val="single"/>
                </w:rPr>
                <w:t>PDF</w:t>
              </w:r>
            </w:hyperlink>
          </w:p>
        </w:tc>
      </w:tr>
      <w:tr>
        <w:trPr>
          <w:cantSplit/>
        </w:trPr>
        <w:tc>
          <w:tcPr>
            <w:tcW w:w="1900" w:type="dxa"/>
            <w:vAlign w:val="top"/>
            <w:shd w:fill="FFFFFF"/>
          </w:tcPr>
          <w:p>
            <w:pPr>
              <w:pStyle w:val="Normal"/>
              <w:widowControl/>
              <w:spacing w:after="55" w:line="240" w:lineRule="auto"/>
              <w:keepNext w:val="0"/>
              <w:keepLines/>
            </w:pPr>
            <w:r>
              <w:rPr>
                <w:sz w:val="21"/>
                <w:szCs w:val="21"/>
                <w:b/>
              </w:rPr>
              <w:t xml:space="preserve">CSPAC-1 protocol (Wei 2019)</w:t>
            </w:r>
          </w:p>
          <w:p>
            <w:pPr>
              <w:pStyle w:val="Normal"/>
              <w:widowControl/>
              <w:spacing w:after="55" w:line="240" w:lineRule="auto"/>
              <w:keepNext w:val="0"/>
              <w:keepLines/>
            </w:pPr>
            <w:r>
              <w:rPr>
                <w:sz w:val="21"/>
                <w:szCs w:val="21"/>
              </w:rPr>
              <w:t xml:space="preserve">Full text read.</w:t>
            </w:r>
          </w:p>
        </w:tc>
        <w:tc>
          <w:tcPr>
            <w:tcW w:w="4000" w:type="dxa"/>
            <w:vAlign w:val="top"/>
            <w:shd w:fill="FFFFFF"/>
          </w:tcPr>
          <w:p>
            <w:pPr>
              <w:pStyle w:val="Normal"/>
              <w:widowControl/>
              <w:spacing w:after="55" w:line="240" w:lineRule="auto"/>
              <w:keepNext w:val="0"/>
              <w:keepLines/>
            </w:pPr>
            <w:r>
              <w:rPr>
                <w:sz w:val="21"/>
                <w:szCs w:val="21"/>
              </w:rPr>
              <w:t xml:space="preserve">CSPAC-1 randomized trial protocol. ≤3 liver foci; randomization requires SD/PR and CA19-9 fall &gt;50% to &lt;500 U/mL.</w:t>
            </w:r>
          </w:p>
        </w:tc>
        <w:tc>
          <w:tcPr>
            <w:tcW w:w="4180" w:type="dxa"/>
            <w:vAlign w:val="top"/>
            <w:shd w:fill="FFFFFF"/>
          </w:tcPr>
          <w:p>
            <w:pPr>
              <w:pStyle w:val="Normal"/>
              <w:widowControl/>
              <w:spacing w:after="55" w:line="240" w:lineRule="auto"/>
              <w:keepNext w:val="0"/>
              <w:keepLines/>
            </w:pPr>
            <w:r>
              <w:rPr>
                <w:sz w:val="21"/>
                <w:szCs w:val="21"/>
              </w:rPr>
              <w:t xml:space="preserve">Results: No results located.</w:t>
            </w:r>
          </w:p>
          <w:p>
            <w:pPr>
              <w:pStyle w:val="Normal"/>
              <w:widowControl/>
              <w:spacing w:after="55" w:line="240" w:lineRule="auto"/>
              <w:keepNext w:val="0"/>
              <w:keepLines/>
            </w:pPr>
            <w:r>
              <w:rPr>
                <w:sz w:val="21"/>
                <w:szCs w:val="21"/>
              </w:rPr>
              <w:t xml:space="preserve">Limits: Protocol; status unknown.</w:t>
            </w:r>
          </w:p>
          <w:p>
            <w:pPr>
              <w:pStyle w:val="Normal"/>
              <w:widowControl/>
              <w:spacing w:after="55" w:line="240" w:lineRule="auto"/>
              <w:keepNext w:val="0"/>
              <w:keepLines/>
            </w:pPr>
            <w:r>
              <w:rPr>
                <w:sz w:val="21"/>
                <w:szCs w:val="21"/>
              </w:rPr>
              <w:t xml:space="preserve">BMJ Open 2019; Box 1.</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</w:fldData>
              </w:fldChar>
            </w:r>
            <w:r>
              <w:instrText xml:space="preserve"> ADDIN EN.CITE.DATA </w:instrText>
            </w:r>
            <w:r>
              <w:fldChar w:fldCharType="end"/>
            </w:r>
            <w:r>
              <w:fldChar w:fldCharType="separate"/>
            </w:r>
            <w:r>
              <w:t xml:space="preserve">[V16-18]</w:t>
            </w:r>
            <w:r>
              <w:fldChar w:fldCharType="end"/>
            </w:r>
            <w:r>
              <w:br/>
            </w:r>
            <w:hyperlink r:id="rId86">
              <w:r>
                <w:rPr>
                  <w:color w:val="0563C1"/>
                  <w:u w:val="single"/>
                </w:rPr>
                <w:t>Source</w:t>
              </w:r>
            </w:hyperlink>
            <w:r>
              <w:t xml:space="preserve"> · </w:t>
            </w:r>
            <w:r>
              <w:t xml:space="preserve">full PDF pending</w:t>
            </w:r>
          </w:p>
        </w:tc>
      </w:tr>
      <w:tr>
        <w:trPr>
          <w:cantSplit/>
        </w:trPr>
        <w:tc>
          <w:tcPr>
            <w:tcW w:w="1900" w:type="dxa"/>
            <w:vAlign w:val="top"/>
            <w:shd w:fill="F1F5F8"/>
          </w:tcPr>
          <w:p>
            <w:pPr>
              <w:pStyle w:val="Normal"/>
              <w:widowControl/>
              <w:spacing w:after="55" w:line="240" w:lineRule="auto"/>
              <w:keepNext w:val="0"/>
              <w:keepLines/>
            </w:pPr>
            <w:r>
              <w:rPr>
                <w:sz w:val="21"/>
                <w:szCs w:val="21"/>
                <w:b/>
              </w:rPr>
              <w:t xml:space="preserve">D'Ambra 2025 · meta-analysis, synchronous liver metastases</w:t>
            </w:r>
          </w:p>
          <w:p>
            <w:pPr>
              <w:pStyle w:val="Normal"/>
              <w:widowControl/>
              <w:spacing w:after="55" w:line="240" w:lineRule="auto"/>
              <w:keepNext w:val="0"/>
              <w:keepLines/>
            </w:pPr>
            <w:r>
              <w:rPr>
                <w:sz w:val="21"/>
                <w:szCs w:val="21"/>
              </w:rPr>
              <w:t xml:space="preserve">Full text read.</w:t>
            </w:r>
          </w:p>
        </w:tc>
        <w:tc>
          <w:tcPr>
            <w:tcW w:w="4000" w:type="dxa"/>
            <w:vAlign w:val="top"/>
            <w:shd w:fill="F1F5F8"/>
          </w:tcPr>
          <w:p>
            <w:pPr>
              <w:pStyle w:val="Normal"/>
              <w:widowControl/>
              <w:spacing w:after="55" w:line="240" w:lineRule="auto"/>
              <w:keepNext w:val="0"/>
              <w:keepLines/>
            </w:pPr>
            <w:r>
              <w:rPr>
                <w:sz w:val="21"/>
                <w:szCs w:val="21"/>
              </w:rPr>
              <w:t xml:space="preserve">Meta-analysis, 6 studies, synchronous liver metastases. Only 42% had chemotherapy before surgery; response rarely reported and not analysed.</w:t>
            </w:r>
          </w:p>
        </w:tc>
        <w:tc>
          <w:tcPr>
            <w:tcW w:w="4180" w:type="dxa"/>
            <w:vAlign w:val="top"/>
            <w:shd w:fill="F1F5F8"/>
          </w:tcPr>
          <w:p>
            <w:pPr>
              <w:pStyle w:val="Normal"/>
              <w:widowControl/>
              <w:spacing w:after="55" w:line="240" w:lineRule="auto"/>
              <w:keepNext w:val="0"/>
              <w:keepLines/>
            </w:pPr>
            <w:r>
              <w:rPr>
                <w:sz w:val="21"/>
                <w:szCs w:val="21"/>
              </w:rPr>
              <w:t xml:space="preserve">Results: Surgery associated with longer survival (HR 0.41); the HR 0.18 figure is a model scenario, not an observed effect.</w:t>
            </w:r>
          </w:p>
          <w:p>
            <w:pPr>
              <w:pStyle w:val="Normal"/>
              <w:widowControl/>
              <w:spacing w:after="55" w:line="240" w:lineRule="auto"/>
              <w:keepNext w:val="0"/>
              <w:keepLines/>
            </w:pPr>
            <w:r>
              <w:rPr>
                <w:sz w:val="21"/>
                <w:szCs w:val="21"/>
              </w:rPr>
              <w:t xml:space="preserve">Limits: Retrospective; misattributed coefficient in the abstract.</w:t>
            </w:r>
          </w:p>
          <w:p>
            <w:pPr>
              <w:pStyle w:val="Normal"/>
              <w:widowControl/>
              <w:spacing w:after="55" w:line="240" w:lineRule="auto"/>
              <w:keepNext w:val="0"/>
              <w:keepLines/>
            </w:pPr>
            <w:r>
              <w:rPr>
                <w:sz w:val="21"/>
                <w:szCs w:val="21"/>
              </w:rPr>
              <w:t xml:space="preserve">Eur J Surg Oncol 2025.</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</w:fldData>
              </w:fldChar>
            </w:r>
            <w:r>
              <w:instrText xml:space="preserve"> ADDIN EN.CITE.DATA </w:instrText>
            </w:r>
            <w:r>
              <w:fldChar w:fldCharType="end"/>
            </w:r>
            <w:r>
              <w:fldChar w:fldCharType="separate"/>
            </w:r>
            <w:r>
              <w:t xml:space="preserve">[V16-19]</w:t>
            </w:r>
            <w:r>
              <w:fldChar w:fldCharType="end"/>
            </w:r>
            <w:r>
              <w:br/>
            </w:r>
            <w:hyperlink r:id="rId87">
              <w:r>
                <w:rPr>
                  <w:color w:val="0563C1"/>
                  <w:u w:val="single"/>
                </w:rPr>
                <w:t>Source</w:t>
              </w:r>
            </w:hyperlink>
            <w:r>
              <w:t xml:space="preserve"> · </w:t>
            </w:r>
            <w:hyperlink r:id="rId88">
              <w:r>
                <w:rPr>
                  <w:color w:val="0563C1"/>
                  <w:u w:val="single"/>
                </w:rPr>
                <w:t>PDF</w:t>
              </w:r>
            </w:hyperlink>
          </w:p>
        </w:tc>
      </w:tr>
      <w:tr>
        <w:trPr>
          <w:cantSplit/>
        </w:trPr>
        <w:tc>
          <w:tcPr>
            <w:tcW w:w="1900" w:type="dxa"/>
            <w:vAlign w:val="top"/>
            <w:shd w:fill="FFFFFF"/>
          </w:tcPr>
          <w:p>
            <w:pPr>
              <w:pStyle w:val="Normal"/>
              <w:widowControl/>
              <w:spacing w:after="55" w:line="240" w:lineRule="auto"/>
              <w:keepNext w:val="0"/>
              <w:keepLines/>
            </w:pPr>
            <w:r>
              <w:rPr>
                <w:sz w:val="21"/>
                <w:szCs w:val="21"/>
                <w:b/>
              </w:rPr>
              <w:t xml:space="preserve">Zhao 2025 · pulmonary metastasectomy meta-analysis</w:t>
            </w:r>
          </w:p>
          <w:p>
            <w:pPr>
              <w:pStyle w:val="Normal"/>
              <w:widowControl/>
              <w:spacing w:after="55" w:line="240" w:lineRule="auto"/>
              <w:keepNext w:val="0"/>
              <w:keepLines/>
            </w:pPr>
            <w:r>
              <w:rPr>
                <w:sz w:val="21"/>
                <w:szCs w:val="21"/>
              </w:rPr>
              <w:t xml:space="preserve">Full text read.</w:t>
            </w:r>
          </w:p>
        </w:tc>
        <w:tc>
          <w:tcPr>
            <w:tcW w:w="4000" w:type="dxa"/>
            <w:vAlign w:val="top"/>
            <w:shd w:fill="FFFFFF"/>
          </w:tcPr>
          <w:p>
            <w:pPr>
              <w:pStyle w:val="Normal"/>
              <w:widowControl/>
              <w:spacing w:after="55" w:line="240" w:lineRule="auto"/>
              <w:keepNext w:val="0"/>
              <w:keepLines/>
            </w:pPr>
            <w:r>
              <w:rPr>
                <w:sz w:val="21"/>
                <w:szCs w:val="21"/>
              </w:rPr>
              <w:t xml:space="preserve">Meta-analysis, 9 studies, 467 patients with lung metastases. Mostly metachronous after pancreatectomy; chemotherapy before lung resection uncommon.</w:t>
            </w:r>
          </w:p>
        </w:tc>
        <w:tc>
          <w:tcPr>
            <w:tcW w:w="4180" w:type="dxa"/>
            <w:vAlign w:val="top"/>
            <w:shd w:fill="FFFFFF"/>
          </w:tcPr>
          <w:p>
            <w:pPr>
              <w:pStyle w:val="Normal"/>
              <w:widowControl/>
              <w:spacing w:after="55" w:line="240" w:lineRule="auto"/>
              <w:keepNext w:val="0"/>
              <w:keepLines/>
            </w:pPr>
            <w:r>
              <w:rPr>
                <w:sz w:val="21"/>
                <w:szCs w:val="21"/>
              </w:rPr>
              <w:t xml:space="preserve">Results: Pooled HR 0.637 (0.531–0.764); significant publication bias; survival from pancreatectomy.</w:t>
            </w:r>
          </w:p>
          <w:p>
            <w:pPr>
              <w:pStyle w:val="Normal"/>
              <w:widowControl/>
              <w:spacing w:after="55" w:line="240" w:lineRule="auto"/>
              <w:keepNext w:val="0"/>
              <w:keepLines/>
            </w:pPr>
            <w:r>
              <w:rPr>
                <w:sz w:val="21"/>
                <w:szCs w:val="21"/>
              </w:rPr>
              <w:t xml:space="preserve">Limits: Guarantee-time bias.</w:t>
            </w:r>
          </w:p>
          <w:p>
            <w:pPr>
              <w:pStyle w:val="Normal"/>
              <w:widowControl/>
              <w:spacing w:after="55" w:line="240" w:lineRule="auto"/>
              <w:keepNext w:val="0"/>
              <w:keepLines/>
            </w:pPr>
            <w:r>
              <w:rPr>
                <w:sz w:val="21"/>
                <w:szCs w:val="21"/>
              </w:rPr>
              <w:t xml:space="preserve">Front Surg 2025.</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</w:fldData>
              </w:fldChar>
            </w:r>
            <w:r>
              <w:instrText xml:space="preserve"> ADDIN EN.CITE.DATA </w:instrText>
            </w:r>
            <w:r>
              <w:fldChar w:fldCharType="end"/>
            </w:r>
            <w:r>
              <w:fldChar w:fldCharType="separate"/>
            </w:r>
            <w:r>
              <w:t xml:space="preserve">[V16-20]</w:t>
            </w:r>
            <w:r>
              <w:fldChar w:fldCharType="end"/>
            </w:r>
            <w:r>
              <w:br/>
            </w:r>
            <w:hyperlink r:id="rId89">
              <w:r>
                <w:rPr>
                  <w:color w:val="0563C1"/>
                  <w:u w:val="single"/>
                </w:rPr>
                <w:t>Source</w:t>
              </w:r>
            </w:hyperlink>
            <w:r>
              <w:t xml:space="preserve"> · </w:t>
            </w:r>
            <w:r>
              <w:t xml:space="preserve">full PDF pending</w:t>
            </w:r>
          </w:p>
        </w:tc>
      </w:tr>
      <w:tr>
        <w:trPr>
          <w:cantSplit/>
        </w:trPr>
        <w:tc>
          <w:tcPr>
            <w:tcW w:w="1900" w:type="dxa"/>
            <w:vAlign w:val="top"/>
            <w:shd w:fill="F1F5F8"/>
          </w:tcPr>
          <w:p>
            <w:pPr>
              <w:pStyle w:val="Normal"/>
              <w:widowControl/>
              <w:spacing w:after="55" w:line="240" w:lineRule="auto"/>
              <w:keepNext w:val="0"/>
              <w:keepLines/>
            </w:pPr>
            <w:r>
              <w:rPr>
                <w:sz w:val="21"/>
                <w:szCs w:val="21"/>
                <w:b/>
              </w:rPr>
              <w:t xml:space="preserve">Kruger 2022 · lung metastases</w:t>
            </w:r>
          </w:p>
          <w:p>
            <w:pPr>
              <w:pStyle w:val="Normal"/>
              <w:widowControl/>
              <w:spacing w:after="55" w:line="240" w:lineRule="auto"/>
              <w:keepNext w:val="0"/>
              <w:keepLines/>
            </w:pPr>
            <w:r>
              <w:rPr>
                <w:sz w:val="21"/>
                <w:szCs w:val="21"/>
              </w:rPr>
              <w:t xml:space="preserve">Full text read.</w:t>
            </w:r>
          </w:p>
        </w:tc>
        <w:tc>
          <w:tcPr>
            <w:tcW w:w="4000" w:type="dxa"/>
            <w:vAlign w:val="top"/>
            <w:shd w:fill="F1F5F8"/>
          </w:tcPr>
          <w:p>
            <w:pPr>
              <w:pStyle w:val="Normal"/>
              <w:widowControl/>
              <w:spacing w:after="55" w:line="240" w:lineRule="auto"/>
              <w:keepNext w:val="0"/>
              <w:keepLines/>
            </w:pPr>
            <w:r>
              <w:rPr>
                <w:sz w:val="21"/>
                <w:szCs w:val="21"/>
              </w:rPr>
              <w:t xml:space="preserve">Seven German centres, 115 lung-only metastases. Lung metastases.</w:t>
            </w:r>
          </w:p>
        </w:tc>
        <w:tc>
          <w:tcPr>
            <w:tcW w:w="4180" w:type="dxa"/>
            <w:vAlign w:val="top"/>
            <w:shd w:fill="F1F5F8"/>
          </w:tcPr>
          <w:p>
            <w:pPr>
              <w:pStyle w:val="Normal"/>
              <w:widowControl/>
              <w:spacing w:after="55" w:line="240" w:lineRule="auto"/>
              <w:keepNext w:val="0"/>
              <w:keepLines/>
            </w:pPr>
            <w:r>
              <w:rPr>
                <w:sz w:val="21"/>
                <w:szCs w:val="21"/>
              </w:rPr>
              <w:t xml:space="preserve">Results: Metastasectomy 33.0 vs 19.0 months (n=24, unadjusted).</w:t>
            </w:r>
          </w:p>
          <w:p>
            <w:pPr>
              <w:pStyle w:val="Normal"/>
              <w:widowControl/>
              <w:spacing w:after="55" w:line="240" w:lineRule="auto"/>
              <w:keepNext w:val="0"/>
              <w:keepLines/>
            </w:pPr>
            <w:r>
              <w:rPr>
                <w:sz w:val="21"/>
                <w:szCs w:val="21"/>
              </w:rPr>
              <w:t xml:space="preserve">Limits: Retrospective.</w:t>
            </w:r>
          </w:p>
          <w:p>
            <w:pPr>
              <w:pStyle w:val="Normal"/>
              <w:widowControl/>
              <w:spacing w:after="55" w:line="240" w:lineRule="auto"/>
              <w:keepNext w:val="0"/>
              <w:keepLines/>
            </w:pPr>
            <w:r>
              <w:rPr>
                <w:sz w:val="21"/>
                <w:szCs w:val="21"/>
              </w:rPr>
              <w:t xml:space="preserve">ESMO Open 2022.</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</w:fldData>
              </w:fldChar>
            </w:r>
            <w:r>
              <w:instrText xml:space="preserve"> ADDIN EN.CITE.DATA </w:instrText>
            </w:r>
            <w:r>
              <w:fldChar w:fldCharType="end"/>
            </w:r>
            <w:r>
              <w:fldChar w:fldCharType="separate"/>
            </w:r>
            <w:r>
              <w:t xml:space="preserve">[V16-21]</w:t>
            </w:r>
            <w:r>
              <w:fldChar w:fldCharType="end"/>
            </w:r>
            <w:r>
              <w:br/>
            </w:r>
            <w:hyperlink r:id="rId90">
              <w:r>
                <w:rPr>
                  <w:color w:val="0563C1"/>
                  <w:u w:val="single"/>
                </w:rPr>
                <w:t>Source</w:t>
              </w:r>
            </w:hyperlink>
            <w:r>
              <w:t xml:space="preserve"> · </w:t>
            </w:r>
            <w:r>
              <w:t xml:space="preserve">full PDF pending</w:t>
            </w:r>
          </w:p>
        </w:tc>
      </w:tr>
      <w:tr>
        <w:trPr>
          <w:cantSplit/>
        </w:trPr>
        <w:tc>
          <w:tcPr>
            <w:tcW w:w="1900" w:type="dxa"/>
            <w:vAlign w:val="top"/>
            <w:shd w:fill="FFFFFF"/>
          </w:tcPr>
          <w:p>
            <w:pPr>
              <w:pStyle w:val="Normal"/>
              <w:widowControl/>
              <w:spacing w:after="55" w:line="240" w:lineRule="auto"/>
              <w:keepNext w:val="0"/>
              <w:keepLines/>
            </w:pPr>
            <w:r>
              <w:rPr>
                <w:sz w:val="21"/>
                <w:szCs w:val="21"/>
                <w:b/>
              </w:rPr>
              <w:t xml:space="preserve">PANODE 2026 · station 16b1 and 9</w:t>
            </w:r>
          </w:p>
          <w:p>
            <w:pPr>
              <w:pStyle w:val="Normal"/>
              <w:widowControl/>
              <w:spacing w:after="55" w:line="240" w:lineRule="auto"/>
              <w:keepNext w:val="0"/>
              <w:keepLines/>
            </w:pPr>
            <w:r>
              <w:rPr>
                <w:sz w:val="21"/>
                <w:szCs w:val="21"/>
              </w:rPr>
              <w:t xml:space="preserve">Full text read.</w:t>
            </w:r>
          </w:p>
        </w:tc>
        <w:tc>
          <w:tcPr>
            <w:tcW w:w="4000" w:type="dxa"/>
            <w:vAlign w:val="top"/>
            <w:shd w:fill="FFFFFF"/>
          </w:tcPr>
          <w:p>
            <w:pPr>
              <w:pStyle w:val="Normal"/>
              <w:widowControl/>
              <w:spacing w:after="55" w:line="240" w:lineRule="auto"/>
              <w:keepNext w:val="0"/>
              <w:keepLines/>
            </w:pPr>
            <w:r>
              <w:rPr>
                <w:sz w:val="21"/>
                <w:szCs w:val="21"/>
              </w:rPr>
              <w:t xml:space="preserve">PANODE prospective cohort, 1,218 resections. Station 16b1 sampled at upfront surgery.</w:t>
            </w:r>
          </w:p>
        </w:tc>
        <w:tc>
          <w:tcPr>
            <w:tcW w:w="4180" w:type="dxa"/>
            <w:vAlign w:val="top"/>
            <w:shd w:fill="FFFFFF"/>
          </w:tcPr>
          <w:p>
            <w:pPr>
              <w:pStyle w:val="Normal"/>
              <w:widowControl/>
              <w:spacing w:after="55" w:line="240" w:lineRule="auto"/>
              <w:keepNext w:val="0"/>
              <w:keepLines/>
            </w:pPr>
            <w:r>
              <w:rPr>
                <w:sz w:val="21"/>
                <w:szCs w:val="21"/>
              </w:rPr>
              <w:t xml:space="preserve">Results: PDAC 16b1-positive median survival 10 vs 24 months (aHR 2.33); authors advise against aborting resection on 16b1 alone.</w:t>
            </w:r>
          </w:p>
          <w:p>
            <w:pPr>
              <w:pStyle w:val="Normal"/>
              <w:widowControl/>
              <w:spacing w:after="55" w:line="240" w:lineRule="auto"/>
              <w:keepNext w:val="0"/>
              <w:keepLines/>
            </w:pPr>
            <w:r>
              <w:rPr>
                <w:sz w:val="21"/>
                <w:szCs w:val="21"/>
              </w:rPr>
              <w:t xml:space="preserve">Limits: Mostly upfront surgery.</w:t>
            </w:r>
          </w:p>
          <w:p>
            <w:pPr>
              <w:pStyle w:val="Normal"/>
              <w:widowControl/>
              <w:spacing w:after="55" w:line="240" w:lineRule="auto"/>
              <w:keepNext w:val="0"/>
              <w:keepLines/>
            </w:pPr>
            <w:r>
              <w:rPr>
                <w:sz w:val="21"/>
                <w:szCs w:val="21"/>
              </w:rPr>
              <w:t xml:space="preserve">BJS Open 2026.</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</w:fldData>
              </w:fldChar>
            </w:r>
            <w:r>
              <w:instrText xml:space="preserve"> ADDIN EN.CITE.DATA </w:instrText>
            </w:r>
            <w:r>
              <w:fldChar w:fldCharType="end"/>
            </w:r>
            <w:r>
              <w:fldChar w:fldCharType="separate"/>
            </w:r>
            <w:r>
              <w:t xml:space="preserve">[V16-22]</w:t>
            </w:r>
            <w:r>
              <w:fldChar w:fldCharType="end"/>
            </w:r>
            <w:r>
              <w:br/>
            </w:r>
            <w:hyperlink r:id="rId91">
              <w:r>
                <w:rPr>
                  <w:color w:val="0563C1"/>
                  <w:u w:val="single"/>
                </w:rPr>
                <w:t>Source</w:t>
              </w:r>
            </w:hyperlink>
            <w:r>
              <w:t xml:space="preserve"> · </w:t>
            </w:r>
            <w:r>
              <w:t xml:space="preserve">full PDF pending</w:t>
            </w:r>
          </w:p>
        </w:tc>
      </w:tr>
      <w:tr>
        <w:trPr>
          <w:cantSplit/>
        </w:trPr>
        <w:tc>
          <w:tcPr>
            <w:tcW w:w="1900" w:type="dxa"/>
            <w:vAlign w:val="top"/>
            <w:shd w:fill="F1F5F8"/>
          </w:tcPr>
          <w:p>
            <w:pPr>
              <w:pStyle w:val="Normal"/>
              <w:widowControl/>
              <w:spacing w:after="55" w:line="240" w:lineRule="auto"/>
              <w:keepNext w:val="0"/>
              <w:keepLines/>
            </w:pPr>
            <w:r>
              <w:rPr>
                <w:sz w:val="21"/>
                <w:szCs w:val="21"/>
                <w:b/>
              </w:rPr>
              <w:t xml:space="preserve">Hackert 2016 · M1 resection</w:t>
            </w:r>
          </w:p>
          <w:p>
            <w:pPr>
              <w:pStyle w:val="Normal"/>
              <w:widowControl/>
              <w:spacing w:after="55" w:line="240" w:lineRule="auto"/>
              <w:keepNext w:val="0"/>
              <w:keepLines/>
            </w:pPr>
            <w:r>
              <w:rPr>
                <w:sz w:val="21"/>
                <w:szCs w:val="21"/>
              </w:rPr>
              <w:t xml:space="preserve">Abstract only; full text pending.</w:t>
            </w:r>
          </w:p>
        </w:tc>
        <w:tc>
          <w:tcPr>
            <w:tcW w:w="4000" w:type="dxa"/>
            <w:vAlign w:val="top"/>
            <w:shd w:fill="F1F5F8"/>
          </w:tcPr>
          <w:p>
            <w:pPr>
              <w:pStyle w:val="Normal"/>
              <w:widowControl/>
              <w:spacing w:after="55" w:line="240" w:lineRule="auto"/>
              <w:keepNext w:val="0"/>
              <w:keepLines/>
            </w:pPr>
            <w:r>
              <w:rPr>
                <w:sz w:val="21"/>
                <w:szCs w:val="21"/>
              </w:rPr>
              <w:t xml:space="preserve">Heidelberg, 128 M1 resections. Preoperative therapy and response selection not described in the abstract.</w:t>
            </w:r>
          </w:p>
        </w:tc>
        <w:tc>
          <w:tcPr>
            <w:tcW w:w="4180" w:type="dxa"/>
            <w:vAlign w:val="top"/>
            <w:shd w:fill="F1F5F8"/>
          </w:tcPr>
          <w:p>
            <w:pPr>
              <w:pStyle w:val="Normal"/>
              <w:widowControl/>
              <w:spacing w:after="55" w:line="240" w:lineRule="auto"/>
              <w:keepNext w:val="0"/>
              <w:keepLines/>
            </w:pPr>
            <w:r>
              <w:rPr>
                <w:sz w:val="21"/>
                <w:szCs w:val="21"/>
              </w:rPr>
              <w:t xml:space="preserve">Results: 5-year survival 8.1% (liver) and 10.1% (interaortocaval nodes).</w:t>
            </w:r>
          </w:p>
          <w:p>
            <w:pPr>
              <w:pStyle w:val="Normal"/>
              <w:widowControl/>
              <w:spacing w:after="55" w:line="240" w:lineRule="auto"/>
              <w:keepNext w:val="0"/>
              <w:keepLines/>
            </w:pPr>
            <w:r>
              <w:rPr>
                <w:sz w:val="21"/>
                <w:szCs w:val="21"/>
              </w:rPr>
              <w:t xml:space="preserve">Limits: Older era.</w:t>
            </w:r>
          </w:p>
          <w:p>
            <w:pPr>
              <w:pStyle w:val="Normal"/>
              <w:widowControl/>
              <w:spacing w:after="55" w:line="240" w:lineRule="auto"/>
              <w:keepNext w:val="0"/>
              <w:keepLines/>
            </w:pPr>
            <w:r>
              <w:rPr>
                <w:sz w:val="21"/>
                <w:szCs w:val="21"/>
              </w:rPr>
              <w:t xml:space="preserve">Eur J Surg Oncol 2016 (abstract; full text pending).</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</w:fldData>
              </w:fldChar>
            </w:r>
            <w:r>
              <w:instrText xml:space="preserve"> ADDIN EN.CITE.DATA </w:instrText>
            </w:r>
            <w:r>
              <w:fldChar w:fldCharType="end"/>
            </w:r>
            <w:r>
              <w:fldChar w:fldCharType="separate"/>
            </w:r>
            <w:r>
              <w:t xml:space="preserve">[V16-23]</w:t>
            </w:r>
            <w:r>
              <w:fldChar w:fldCharType="end"/>
            </w:r>
            <w:r>
              <w:br/>
            </w:r>
            <w:hyperlink r:id="rId92">
              <w:r>
                <w:rPr>
                  <w:color w:val="0563C1"/>
                  <w:u w:val="single"/>
                </w:rPr>
                <w:t>Source</w:t>
              </w:r>
            </w:hyperlink>
            <w:r>
              <w:t xml:space="preserve"> · </w:t>
            </w:r>
            <w:r>
              <w:t xml:space="preserve">full PDF pending</w:t>
            </w:r>
          </w:p>
        </w:tc>
      </w:tr>
      <w:tr>
        <w:trPr>
          <w:cantSplit/>
        </w:trPr>
        <w:tc>
          <w:tcPr>
            <w:tcW w:w="1900" w:type="dxa"/>
            <w:vAlign w:val="top"/>
            <w:shd w:fill="FFFFFF"/>
          </w:tcPr>
          <w:p>
            <w:pPr>
              <w:pStyle w:val="Normal"/>
              <w:widowControl/>
              <w:spacing w:after="55" w:line="240" w:lineRule="auto"/>
              <w:keepNext w:val="0"/>
              <w:keepLines/>
            </w:pPr>
            <w:r>
              <w:rPr>
                <w:sz w:val="21"/>
                <w:szCs w:val="21"/>
                <w:b/>
              </w:rPr>
              <w:t xml:space="preserve">Gleisner 2007 · synchronous liver metastases</w:t>
            </w:r>
          </w:p>
          <w:p>
            <w:pPr>
              <w:pStyle w:val="Normal"/>
              <w:widowControl/>
              <w:spacing w:after="55" w:line="240" w:lineRule="auto"/>
              <w:keepNext w:val="0"/>
              <w:keepLines/>
            </w:pPr>
            <w:r>
              <w:rPr>
                <w:sz w:val="21"/>
                <w:szCs w:val="21"/>
              </w:rPr>
              <w:t xml:space="preserve">Abstract only; full text pending.</w:t>
            </w:r>
          </w:p>
        </w:tc>
        <w:tc>
          <w:tcPr>
            <w:tcW w:w="4000" w:type="dxa"/>
            <w:vAlign w:val="top"/>
            <w:shd w:fill="FFFFFF"/>
          </w:tcPr>
          <w:p>
            <w:pPr>
              <w:pStyle w:val="Normal"/>
              <w:widowControl/>
              <w:spacing w:after="55" w:line="240" w:lineRule="auto"/>
              <w:keepNext w:val="0"/>
              <w:keepLines/>
            </w:pPr>
            <w:r>
              <w:rPr>
                <w:sz w:val="21"/>
                <w:szCs w:val="21"/>
              </w:rPr>
              <w:t xml:space="preserve">Johns Hopkins, 22 synchronous hepatic resections (17 pancreatic, 5 other periampullary). Simultaneous with resection of the primary; preoperative therapy not stated in the abstract.</w:t>
            </w:r>
          </w:p>
        </w:tc>
        <w:tc>
          <w:tcPr>
            <w:tcW w:w="4180" w:type="dxa"/>
            <w:vAlign w:val="top"/>
            <w:shd w:fill="FFFFFF"/>
          </w:tcPr>
          <w:p>
            <w:pPr>
              <w:pStyle w:val="Normal"/>
              <w:widowControl/>
              <w:spacing w:after="55" w:line="240" w:lineRule="auto"/>
              <w:keepNext w:val="0"/>
              <w:keepLines/>
            </w:pPr>
            <w:r>
              <w:rPr>
                <w:sz w:val="21"/>
                <w:szCs w:val="21"/>
              </w:rPr>
              <w:t xml:space="preserve">Results: Median survival 5.9 vs 5.6 months with bypass alone.</w:t>
            </w:r>
          </w:p>
          <w:p>
            <w:pPr>
              <w:pStyle w:val="Normal"/>
              <w:widowControl/>
              <w:spacing w:after="55" w:line="240" w:lineRule="auto"/>
              <w:keepNext w:val="0"/>
              <w:keepLines/>
            </w:pPr>
            <w:r>
              <w:rPr>
                <w:sz w:val="21"/>
                <w:szCs w:val="21"/>
              </w:rPr>
              <w:t xml:space="preserve">Limits: Pre-modern chemotherapy.</w:t>
            </w:r>
          </w:p>
          <w:p>
            <w:pPr>
              <w:pStyle w:val="Normal"/>
              <w:widowControl/>
              <w:spacing w:after="55" w:line="240" w:lineRule="auto"/>
              <w:keepNext w:val="0"/>
              <w:keepLines/>
            </w:pPr>
            <w:r>
              <w:rPr>
                <w:sz w:val="21"/>
                <w:szCs w:val="21"/>
              </w:rPr>
              <w:t xml:space="preserve">Cancer 2007 (abstract; full text pending).</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</w:fldData>
              </w:fldChar>
            </w:r>
            <w:r>
              <w:instrText xml:space="preserve"> ADDIN EN.CITE.DATA </w:instrText>
            </w:r>
            <w:r>
              <w:fldChar w:fldCharType="end"/>
            </w:r>
            <w:r>
              <w:fldChar w:fldCharType="separate"/>
            </w:r>
            <w:r>
              <w:t xml:space="preserve">[V16-24]</w:t>
            </w:r>
            <w:r>
              <w:fldChar w:fldCharType="end"/>
            </w:r>
            <w:r>
              <w:br/>
            </w:r>
            <w:hyperlink r:id="rId93">
              <w:r>
                <w:rPr>
                  <w:color w:val="0563C1"/>
                  <w:u w:val="single"/>
                </w:rPr>
                <w:t>Source</w:t>
              </w:r>
            </w:hyperlink>
            <w:r>
              <w:t xml:space="preserve"> · </w:t>
            </w:r>
            <w:r>
              <w:t xml:space="preserve">full PDF pending</w:t>
            </w:r>
          </w:p>
        </w:tc>
      </w:tr>
      <w:tr>
        <w:trPr>
          <w:cantSplit/>
        </w:trPr>
        <w:tc>
          <w:tcPr>
            <w:tcW w:w="1900" w:type="dxa"/>
            <w:vAlign w:val="top"/>
            <w:shd w:fill="F1F5F8"/>
          </w:tcPr>
          <w:p>
            <w:pPr>
              <w:pStyle w:val="Normal"/>
              <w:widowControl/>
              <w:spacing w:after="55" w:line="240" w:lineRule="auto"/>
              <w:keepNext w:val="0"/>
              <w:keepLines/>
            </w:pPr>
            <w:r>
              <w:rPr>
                <w:sz w:val="21"/>
                <w:szCs w:val="21"/>
                <w:b/>
              </w:rPr>
              <w:t xml:space="preserve">Frigerio 2017 · downstaged metastatic PDAC</w:t>
            </w:r>
          </w:p>
          <w:p>
            <w:pPr>
              <w:pStyle w:val="Normal"/>
              <w:widowControl/>
              <w:spacing w:after="55" w:line="240" w:lineRule="auto"/>
              <w:keepNext w:val="0"/>
              <w:keepLines/>
            </w:pPr>
            <w:r>
              <w:rPr>
                <w:sz w:val="21"/>
                <w:szCs w:val="21"/>
              </w:rPr>
              <w:t xml:space="preserve">Abstract only; full text pending.</w:t>
            </w:r>
          </w:p>
        </w:tc>
        <w:tc>
          <w:tcPr>
            <w:tcW w:w="4000" w:type="dxa"/>
            <w:vAlign w:val="top"/>
            <w:shd w:fill="F1F5F8"/>
          </w:tcPr>
          <w:p>
            <w:pPr>
              <w:pStyle w:val="Normal"/>
              <w:widowControl/>
              <w:spacing w:after="55" w:line="240" w:lineRule="auto"/>
              <w:keepNext w:val="0"/>
              <w:keepLines/>
            </w:pPr>
            <w:r>
              <w:rPr>
                <w:sz w:val="21"/>
                <w:szCs w:val="21"/>
              </w:rPr>
              <w:t xml:space="preserve">Verona, 24 of 535 metastatic PDAC. Disappearance of liver metastases and CA19-9 fall.</w:t>
            </w:r>
          </w:p>
        </w:tc>
        <w:tc>
          <w:tcPr>
            <w:tcW w:w="4180" w:type="dxa"/>
            <w:vAlign w:val="top"/>
            <w:shd w:fill="F1F5F8"/>
          </w:tcPr>
          <w:p>
            <w:pPr>
              <w:pStyle w:val="Normal"/>
              <w:widowControl/>
              <w:spacing w:after="55" w:line="240" w:lineRule="auto"/>
              <w:keepNext w:val="0"/>
              <w:keepLines/>
            </w:pPr>
            <w:r>
              <w:rPr>
                <w:sz w:val="21"/>
                <w:szCs w:val="21"/>
              </w:rPr>
              <w:t xml:space="preserve">Results: R0 88%; complete pathological response 17%.</w:t>
            </w:r>
          </w:p>
          <w:p>
            <w:pPr>
              <w:pStyle w:val="Normal"/>
              <w:widowControl/>
              <w:spacing w:after="55" w:line="240" w:lineRule="auto"/>
              <w:keepNext w:val="0"/>
              <w:keepLines/>
            </w:pPr>
            <w:r>
              <w:rPr>
                <w:sz w:val="21"/>
                <w:szCs w:val="21"/>
              </w:rPr>
              <w:t xml:space="preserve">Limits: Extreme selection (4.5%).</w:t>
            </w:r>
          </w:p>
          <w:p>
            <w:pPr>
              <w:pStyle w:val="Normal"/>
              <w:widowControl/>
              <w:spacing w:after="55" w:line="240" w:lineRule="auto"/>
              <w:keepNext w:val="0"/>
              <w:keepLines/>
            </w:pPr>
            <w:r>
              <w:rPr>
                <w:sz w:val="21"/>
                <w:szCs w:val="21"/>
              </w:rPr>
              <w:t xml:space="preserve">Ann Surg Oncol 2017 (abstract; full text pending).</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</w:fldData>
              </w:fldChar>
            </w:r>
            <w:r>
              <w:instrText xml:space="preserve"> ADDIN EN.CITE.DATA </w:instrText>
            </w:r>
            <w:r>
              <w:fldChar w:fldCharType="end"/>
            </w:r>
            <w:r>
              <w:fldChar w:fldCharType="separate"/>
            </w:r>
            <w:r>
              <w:t xml:space="preserve">[V16-25]</w:t>
            </w:r>
            <w:r>
              <w:fldChar w:fldCharType="end"/>
            </w:r>
            <w:r>
              <w:br/>
            </w:r>
            <w:hyperlink r:id="rId94">
              <w:r>
                <w:rPr>
                  <w:color w:val="0563C1"/>
                  <w:u w:val="single"/>
                </w:rPr>
                <w:t>Source</w:t>
              </w:r>
            </w:hyperlink>
            <w:r>
              <w:t xml:space="preserve"> · </w:t>
            </w:r>
            <w:r>
              <w:t xml:space="preserve">full PDF pending</w:t>
            </w:r>
          </w:p>
        </w:tc>
      </w:tr>
      <w:tr>
        <w:trPr>
          <w:cantSplit/>
        </w:trPr>
        <w:tc>
          <w:tcPr>
            <w:tcW w:w="1900" w:type="dxa"/>
            <w:vAlign w:val="top"/>
            <w:shd w:fill="FFFFFF"/>
          </w:tcPr>
          <w:p>
            <w:pPr>
              <w:pStyle w:val="Normal"/>
              <w:widowControl/>
              <w:spacing w:after="55" w:line="240" w:lineRule="auto"/>
              <w:keepNext w:val="0"/>
              <w:keepLines/>
            </w:pPr>
            <w:r>
              <w:rPr>
                <w:sz w:val="21"/>
                <w:szCs w:val="21"/>
                <w:b/>
              </w:rPr>
              <w:t xml:space="preserve">Hashimoto 2026 · Japan Pancreas Society conversion</w:t>
            </w:r>
          </w:p>
          <w:p>
            <w:pPr>
              <w:pStyle w:val="Normal"/>
              <w:widowControl/>
              <w:spacing w:after="55" w:line="240" w:lineRule="auto"/>
              <w:keepNext w:val="0"/>
              <w:keepLines/>
            </w:pPr>
            <w:r>
              <w:rPr>
                <w:sz w:val="21"/>
                <w:szCs w:val="21"/>
              </w:rPr>
              <w:t xml:space="preserve">Abstract only; full text pending.</w:t>
            </w:r>
          </w:p>
        </w:tc>
        <w:tc>
          <w:tcPr>
            <w:tcW w:w="4000" w:type="dxa"/>
            <w:vAlign w:val="top"/>
            <w:shd w:fill="FFFFFF"/>
          </w:tcPr>
          <w:p>
            <w:pPr>
              <w:pStyle w:val="Normal"/>
              <w:widowControl/>
              <w:spacing w:after="55" w:line="240" w:lineRule="auto"/>
              <w:keepNext w:val="0"/>
              <w:keepLines/>
            </w:pPr>
            <w:r>
              <w:rPr>
                <w:sz w:val="21"/>
                <w:szCs w:val="21"/>
              </w:rPr>
              <w:t xml:space="preserve">Japan Pancreas Society, 90 conversion operations. Median 10.4 months of chemotherapy.</w:t>
            </w:r>
          </w:p>
        </w:tc>
        <w:tc>
          <w:tcPr>
            <w:tcW w:w="4180" w:type="dxa"/>
            <w:vAlign w:val="top"/>
            <w:shd w:fill="FFFFFF"/>
          </w:tcPr>
          <w:p>
            <w:pPr>
              <w:pStyle w:val="Normal"/>
              <w:widowControl/>
              <w:spacing w:after="55" w:line="240" w:lineRule="auto"/>
              <w:keepNext w:val="0"/>
              <w:keepLines/>
            </w:pPr>
            <w:r>
              <w:rPr>
                <w:sz w:val="21"/>
                <w:szCs w:val="21"/>
              </w:rPr>
              <w:t xml:space="preserve">Results: Survival after conversion 39.7 months.</w:t>
            </w:r>
          </w:p>
          <w:p>
            <w:pPr>
              <w:pStyle w:val="Normal"/>
              <w:widowControl/>
              <w:spacing w:after="55" w:line="240" w:lineRule="auto"/>
              <w:keepNext w:val="0"/>
              <w:keepLines/>
            </w:pPr>
            <w:r>
              <w:rPr>
                <w:sz w:val="21"/>
                <w:szCs w:val="21"/>
              </w:rPr>
              <w:t xml:space="preserve">Limits: No non-operated denominator.</w:t>
            </w:r>
          </w:p>
          <w:p>
            <w:pPr>
              <w:pStyle w:val="Normal"/>
              <w:widowControl/>
              <w:spacing w:after="55" w:line="240" w:lineRule="auto"/>
              <w:keepNext w:val="0"/>
              <w:keepLines/>
            </w:pPr>
            <w:r>
              <w:rPr>
                <w:sz w:val="21"/>
                <w:szCs w:val="21"/>
              </w:rPr>
              <w:t xml:space="preserve">J Gastroenterol 2026 (abstract; full text pending).</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</w:fldData>
              </w:fldChar>
            </w:r>
            <w:r>
              <w:instrText xml:space="preserve"> ADDIN EN.CITE.DATA </w:instrText>
            </w:r>
            <w:r>
              <w:fldChar w:fldCharType="end"/>
            </w:r>
            <w:r>
              <w:fldChar w:fldCharType="separate"/>
            </w:r>
            <w:r>
              <w:t xml:space="preserve">[V16-26]</w:t>
            </w:r>
            <w:r>
              <w:fldChar w:fldCharType="end"/>
            </w:r>
            <w:r>
              <w:br/>
            </w:r>
            <w:hyperlink r:id="rId95">
              <w:r>
                <w:rPr>
                  <w:color w:val="0563C1"/>
                  <w:u w:val="single"/>
                </w:rPr>
                <w:t>Source</w:t>
              </w:r>
            </w:hyperlink>
            <w:r>
              <w:t xml:space="preserve"> · </w:t>
            </w:r>
            <w:r>
              <w:t xml:space="preserve">full PDF pending</w:t>
            </w:r>
          </w:p>
        </w:tc>
      </w:tr>
    </w:tbl>
    <w:p>
      <w:pPr>
        <w:pStyle w:val="Normal"/>
        <w:widowControl/>
        <w:spacing w:after="120"/>
      </w:pPr>
      <w:r>
        <w:t xml:space="preserve"/>
      </w:r>
    </w:p>
    <w:p>
      <w:pPr>
        <w:pStyle w:val="Normal"/>
        <w:widowControl/>
        <w:spacing w:after="120"/>
      </w:pPr>
      <w:r>
        <w:t xml:space="preserve">Against, or uncertain: Guidelines do not primarily recommend surgery for hepatic oligometastases; randomized results are pending.</w:t>
      </w:r>
    </w:p>
    <w:p>
      <w:pPr>
        <w:pStyle w:val="Normal"/>
        <w:widowControl/>
        <w:spacing w:after="120"/>
      </w:pPr>
      <w:r>
        <w:t xml:space="preserve">Certainty: Low for response-selected liver oligometastases; low for late isolated lung metastases; very low for distant nodes.</w:t>
      </w:r>
    </w:p>
    <w:p>
      <w:pPr>
        <w:pStyle w:val="Normal"/>
        <w:widowControl/>
        <w:spacing w:after="120"/>
      </w:pPr>
      <w:r>
        <w:t xml:space="preserve">What would change the answer: METAPANC or CSPAC-1 results.</w:t>
      </w:r>
    </w:p>
    <w:p>
      <w:pPr>
        <w:pStyle w:val="Heading3"/>
        <w:widowControl/>
        <w:keepNext/>
      </w:pPr>
      <w:r>
        <w:t xml:space="preserve">PDAC-R1 — meeting decision</w:t>
      </w:r>
    </w:p>
    <w:p>
      <w:pPr>
        <w:pStyle w:val="Normal"/>
        <w:widowControl/>
        <w:spacing w:after="120"/>
      </w:pPr>
      <w:r>
        <w:t xml:space="preserve">Group decision / accepted position: __________________________________________</w:t>
      </w:r>
    </w:p>
    <w:p>
      <w:pPr>
        <w:pStyle w:val="Normal"/>
        <w:widowControl/>
        <w:spacing w:after="120"/>
      </w:pPr>
      <w:r>
        <w:t xml:space="preserve">Rationale / dissent / exceptions: ______________________________________________</w:t>
      </w:r>
    </w:p>
    <w:p>
      <w:pPr>
        <w:pStyle w:val="Normal"/>
        <w:widowControl/>
        <w:spacing w:after="120"/>
      </w:pPr>
      <w:r>
        <w:t xml:space="preserve">Owner / approval date / implementation date: ___________________________________</w:t>
      </w:r>
    </w:p>
    <w:p>
      <w:pPr>
        <w:pStyle w:val="Heading1"/>
        <w:keepNext/>
        <w:spacing w:after="110" w:before="320"/>
      </w:pPr>
      <w:r>
        <w:rPr>
          <w:rFonts w:ascii="Cambria" w:cs="Cambria" w:eastAsia="Cambria" w:hAnsi="Cambria"/>
          <w:b/>
          <w:bCs/>
          <w:color w:val="17365D"/>
          <w:sz w:val="32"/>
          <w:szCs w:val="32"/>
        </w:rPr>
        <w:t xml:space="preserve">References</w:t>
      </w:r>
    </w:p>
    <w:p>
      <w:pPr>
        <w:spacing w:after="160" w:line="276"/>
      </w:pPr>
      <w:r>
        <w:rPr>
          <w:i/>
          <w:iCs/>
          <w:color w:val="5A6069"/>
          <w:sz w:val="20"/>
          <w:szCs w:val="20"/>
        </w:rPr>
        <w:t xml:space="preserve">Clinical pathway and evidence appendix; revised 15 October 2026.</w:t>
      </w:r>
    </w:p>
    <w:p>
      <w:pPr>
        <w:pStyle w:val="Heading3"/>
        <w:keepNext/>
        <w:spacing w:after="110" w:before="240"/>
      </w:pPr>
      <w:r>
        <w:rPr>
          <w:rFonts w:ascii="Cambria" w:cs="Cambria" w:eastAsia="Cambria" w:hAnsi="Cambria"/>
          <w:b/>
          <w:bCs/>
          <w:color w:val="17365D"/>
          <w:sz w:val="22"/>
          <w:szCs w:val="22"/>
        </w:rPr>
        <w:t xml:space="preserve">Guidelines &amp; policy</w:t>
      </w:r>
    </w:p>
    <w:p>
      <w:pPr>
        <w:spacing w:after="70"/>
        <w:ind w:left="360" w:hanging="360"/>
      </w:pPr>
      <w:r>
        <w:rPr>
          <w:b/>
          <w:bCs/>
          <w:color w:val="17365D"/>
          <w:sz w:val="17"/>
          <w:szCs w:val="17"/>
        </w:rPr>
        <w:t xml:space="preserve">eNRGy zenocutuzumab. </w:t>
      </w:r>
      <w:r>
        <w:rPr>
          <w:sz w:val="17"/>
          <w:szCs w:val="17"/>
        </w:rPr>
        <w:t xml:space="preserve">Schram AM, Goto K, Kim DW, et al. Zenocutuzumab in NRG1 fusion-positive cancer. N Engl J Med. 2025;392(6):566-576. doi:10.1056/NEJMoa2405008. PMID:39908431.</w:t>
      </w:r>
    </w:p>
    <w:p>
      <w:pPr>
        <w:spacing w:after="70"/>
        <w:ind w:left="360" w:hanging="360"/>
      </w:pPr>
      <w:r>
        <w:rPr>
          <w:b/>
          <w:bCs/>
          <w:color w:val="17365D"/>
          <w:sz w:val="17"/>
          <w:szCs w:val="17"/>
        </w:rPr>
        <w:t xml:space="preserve">FOLFIRINOX in LAPC. </w:t>
      </w:r>
      <w:r>
        <w:rPr>
          <w:sz w:val="17"/>
          <w:szCs w:val="17"/>
        </w:rPr>
        <w:t xml:space="preserve">Suker M, Beumer BR, Sadot E, et al. FOLFIRINOX for locally advanced pancreatic cancer: a systematic review and patient-level meta-analysis. Lancet Oncol. 2016;17(6):801-810. doi:10.1016/S1470-2045(16)00172-8. PMID:27160474.</w:t>
      </w:r>
    </w:p>
    <w:p>
      <w:pPr>
        <w:spacing w:after="70"/>
        <w:ind w:left="360" w:hanging="360"/>
      </w:pPr>
      <w:r>
        <w:rPr>
          <w:b/>
          <w:bCs/>
          <w:color w:val="17365D"/>
          <w:sz w:val="17"/>
          <w:szCs w:val="17"/>
        </w:rPr>
        <w:t xml:space="preserve">LAP07. </w:t>
      </w:r>
      <w:r>
        <w:rPr>
          <w:sz w:val="17"/>
          <w:szCs w:val="17"/>
        </w:rPr>
        <w:t xml:space="preserve">Hammel P, Huguet F, van Laethem JL, et al. Effect of chemoradiotherapy vs chemotherapy on survival in patients with locally advanced pancreatic cancer controlled after 4 months of gemcitabine with or without erlotinib: the LAP07 randomized clinical trial. JAMA. 2016;315(17):1844-53. doi:10.1001/jama.2016.4324. PMID:27139057.</w:t>
      </w:r>
    </w:p>
    <w:p>
      <w:pPr>
        <w:spacing w:after="70"/>
        <w:ind w:left="360" w:hanging="360"/>
      </w:pPr>
      <w:r>
        <w:rPr>
          <w:b/>
          <w:bCs/>
          <w:color w:val="17365D"/>
          <w:sz w:val="17"/>
          <w:szCs w:val="17"/>
        </w:rPr>
        <w:t xml:space="preserve">MPACT. </w:t>
      </w:r>
      <w:r>
        <w:rPr>
          <w:sz w:val="17"/>
          <w:szCs w:val="17"/>
        </w:rPr>
        <w:t xml:space="preserve">Von Hoff DD, Ervin T, Arena FP, et al. Increased survival in pancreatic cancer with nab-paclitaxel plus gemcitabine. N Engl J Med. 2013;369(18):1691-703. doi:10.1056/NEJMoa1304369. PMID:24131140.</w:t>
      </w:r>
    </w:p>
    <w:p>
      <w:pPr>
        <w:spacing w:after="70"/>
        <w:ind w:left="360" w:hanging="360"/>
      </w:pPr>
      <w:r>
        <w:rPr>
          <w:b/>
          <w:bCs/>
          <w:color w:val="17365D"/>
          <w:sz w:val="17"/>
          <w:szCs w:val="17"/>
        </w:rPr>
        <w:t xml:space="preserve">NAPOLI 3. </w:t>
      </w:r>
      <w:r>
        <w:rPr>
          <w:sz w:val="17"/>
          <w:szCs w:val="17"/>
        </w:rPr>
        <w:t xml:space="preserve">Wainberg ZA, Melisi D, Macarulla T, et al. NALIRIFOX versus nab-paclitaxel and gemcitabine in treatment-naive patients with metastatic pancreatic ductal adenocarcinoma (NAPOLI 3): a randomised, open-label, phase 3 trial. Lancet. 2023;402(10409):1272-1281. doi:10.1016/S0140-6736(23)01366-1. PMID:37708904.</w:t>
      </w:r>
    </w:p>
    <w:p>
      <w:pPr>
        <w:spacing w:after="70"/>
        <w:ind w:left="360" w:hanging="360"/>
      </w:pPr>
      <w:r>
        <w:rPr>
          <w:b/>
          <w:bCs/>
          <w:color w:val="17365D"/>
          <w:sz w:val="17"/>
          <w:szCs w:val="17"/>
        </w:rPr>
        <w:t xml:space="preserve">POLO. </w:t>
      </w:r>
      <w:r>
        <w:rPr>
          <w:sz w:val="17"/>
          <w:szCs w:val="17"/>
        </w:rPr>
        <w:t xml:space="preserve">Golan T, Hammel P, Reni M, et al. Maintenance olaparib for germline BRCA-mutated metastatic pancreatic cancer. N Engl J Med. 2019;381(4):317-327. doi:10.1056/NEJMoa1903387. PMID:31157963.</w:t>
      </w:r>
    </w:p>
    <w:p>
      <w:pPr>
        <w:spacing w:after="70"/>
        <w:ind w:left="360" w:hanging="360"/>
      </w:pPr>
      <w:r>
        <w:rPr>
          <w:b/>
          <w:bCs/>
          <w:color w:val="17365D"/>
          <w:sz w:val="17"/>
          <w:szCs w:val="17"/>
        </w:rPr>
        <w:t xml:space="preserve">PRODIGE 4 / ACCORD 11. </w:t>
      </w:r>
      <w:r>
        <w:rPr>
          <w:sz w:val="17"/>
          <w:szCs w:val="17"/>
        </w:rPr>
        <w:t xml:space="preserve">Conroy T, Desseigne F, Ychou M, et al. FOLFIRINOX versus gemcitabine for metastatic pancreatic cancer. N Engl J Med. 2011;364(19):1817-25. doi:10.1056/NEJMoa1011923. PMID:21561347.</w:t>
      </w:r>
    </w:p>
    <w:p>
      <w:pPr>
        <w:spacing w:after="70"/>
        <w:ind w:left="360" w:hanging="360"/>
      </w:pPr>
      <w:r>
        <w:rPr>
          <w:b/>
          <w:bCs/>
          <w:color w:val="17365D"/>
          <w:sz w:val="17"/>
          <w:szCs w:val="17"/>
        </w:rPr>
        <w:t xml:space="preserve">RASolute 302. </w:t>
      </w:r>
      <w:r>
        <w:rPr>
          <w:sz w:val="17"/>
          <w:szCs w:val="17"/>
        </w:rPr>
        <w:t xml:space="preserve">O'Reilly EM, Wainberg ZA, Hendifar AE, et al. Daraxonrasib or chemotherapy in previously treated metastatic pancreatic cancer. N Engl J Med. 2026;395(4):325-337. doi:10.1056/NEJMoa2605555. PMID:42223072.</w:t>
      </w:r>
    </w:p>
    <w:p>
      <w:pPr>
        <w:spacing w:after="70"/>
        <w:ind w:left="360" w:hanging="360"/>
      </w:pPr>
      <w:r>
        <w:rPr>
          <w:b/>
          <w:bCs/>
          <w:color w:val="17365D"/>
          <w:sz w:val="17"/>
          <w:szCs w:val="17"/>
        </w:rPr>
        <w:t xml:space="preserve">Sotorasib CodeBreaK 100. </w:t>
      </w:r>
      <w:r>
        <w:rPr>
          <w:sz w:val="17"/>
          <w:szCs w:val="17"/>
        </w:rPr>
        <w:t xml:space="preserve">Strickler JH, Satake H, George TJ, et al. Sotorasib in KRAS p.G12C-mutated advanced pancreatic cancer. N Engl J Med. 2023;388(1):33-43. doi:10.1056/NEJMoa2208470. PMID:36546651.</w:t>
      </w:r>
    </w:p>
    <w:p>
      <w:pPr>
        <w:spacing w:after="70"/>
        <w:ind w:left="360" w:hanging="360"/>
      </w:pPr>
      <w:r>
        <w:rPr>
          <w:b/>
          <w:bCs/>
          <w:color w:val="17365D"/>
          <w:sz w:val="17"/>
          <w:szCs w:val="17"/>
        </w:rPr>
        <w:t xml:space="preserve">Clements meta-analysis. </w:t>
      </w:r>
      <w:r>
        <w:rPr>
          <w:sz w:val="17"/>
          <w:szCs w:val="17"/>
        </w:rPr>
        <w:t xml:space="preserve">Clements N, Gaskins J, Martin RCG. Surgical outcomes in stage IV pancreatic cancer with liver metastasis, current evidence and future directions: a systematic review and meta-analysis of surgical resection. Cancers (Basel). 2025;17(4):688. doi:10.3390/cancers17040688. PMID:40002281.</w:t>
      </w:r>
    </w:p>
    <w:p>
      <w:pPr>
        <w:spacing w:after="70"/>
        <w:ind w:left="360" w:hanging="360"/>
      </w:pPr>
      <w:r>
        <w:rPr>
          <w:b/>
          <w:bCs/>
          <w:color w:val="17365D"/>
          <w:sz w:val="17"/>
          <w:szCs w:val="17"/>
        </w:rPr>
        <w:t xml:space="preserve">D'Ambra meta-analysis. </w:t>
      </w:r>
      <w:r>
        <w:rPr>
          <w:sz w:val="17"/>
          <w:szCs w:val="17"/>
        </w:rPr>
        <w:t xml:space="preserve">D'Ambra V, Ricci C, Ingaldi C, et al. Stage IV pancreatic ductal adenocarcinoma (PDAC) with synchronous liver metastasis: are there survival benefits in liver resection? A systematic review and meta-analysis. Eur J Surg Oncol. 2025;51(5):109598. doi:10.1016/j.ejso.2025.109598. PMID:39837137.</w:t>
      </w:r>
    </w:p>
    <w:p>
      <w:pPr>
        <w:spacing w:after="70"/>
        <w:ind w:left="360" w:hanging="360"/>
      </w:pPr>
      <w:r>
        <w:rPr>
          <w:b/>
          <w:bCs/>
          <w:color w:val="17365D"/>
          <w:sz w:val="17"/>
          <w:szCs w:val="17"/>
        </w:rPr>
        <w:t xml:space="preserve">Kaslow benchmarks. </w:t>
      </w:r>
      <w:r>
        <w:rPr>
          <w:sz w:val="17"/>
          <w:szCs w:val="17"/>
        </w:rPr>
        <w:t xml:space="preserve">Kaslow SR, Sacks GD, Berman RS, Lee AY, Correa-Gallego C. Natural history of stage IV pancreatic cancer: identifying survival benchmarks for curative-intent resection in patients with synchronous liver-only metastases. Ann Surg. 2023;278(4):e798-e804. doi:10.1097/SLA.0000000000005753. PMID:36353987.</w:t>
      </w:r>
    </w:p>
    <w:p>
      <w:pPr>
        <w:keepNext/>
        <w:spacing w:after="50" w:before="260"/>
      </w:pPr>
      <w:r>
        <w:rPr>
          <w:rFonts w:ascii="Cambria" w:cs="Cambria" w:eastAsia="Cambria" w:hAnsi="Cambria"/>
          <w:b/>
          <w:bCs/>
          <w:color w:val="17365D"/>
          <w:sz w:val="20"/>
          <w:szCs w:val="20"/>
        </w:rPr>
        <w:t xml:space="preserve">Adagrasib KRYSTAL-1</w:t>
      </w:r>
      <w:r>
        <w:rPr>
          <w:b/>
          <w:bCs/>
          <w:color w:val="176A87"/>
          <w:sz w:val="15"/>
          <w:szCs w:val="15"/>
        </w:rPr>
        <w:t xml:space="preserve">   Prospective cohort</w:t>
      </w:r>
      <w:r>
        <w:rPr>
          <w:color w:val="5A6069"/>
          <w:sz w:val="15"/>
          <w:szCs w:val="15"/>
        </w:rPr>
        <w:t xml:space="preserve">   PMID 37099736</w:t>
      </w:r>
    </w:p>
    <w:p>
      <w:pPr>
        <w:spacing w:after="50" w:line="276"/>
      </w:pPr>
      <w:r>
        <w:rPr>
          <w:color w:val="5A6069"/>
          <w:sz w:val="17"/>
          <w:szCs w:val="17"/>
        </w:rPr>
        <w:t xml:space="preserve">Adagrasib in Advanced Solid Tumors Harboring a KRAS-G12C Mutation.</w:t>
      </w:r>
    </w:p>
    <w:p>
      <w:pPr>
        <w:spacing w:after="50"/>
      </w:pPr>
      <w:r>
        <w:rPr>
          <w:b/>
          <w:bCs/>
          <w:color w:val="176A87"/>
          <w:sz w:val="16"/>
          <w:szCs w:val="16"/>
        </w:rPr>
        <w:t xml:space="preserve">Population. </w:t>
      </w:r>
      <w:r>
        <w:rPr>
          <w:sz w:val="16"/>
          <w:szCs w:val="16"/>
        </w:rPr>
        <w:t xml:space="preserve">64 enrolled, 63 treated across tumour types; 21 with pancreatic cancer evaluable for response</w:t>
      </w:r>
    </w:p>
    <w:p>
      <w:pPr>
        <w:spacing w:after="70"/>
      </w:pPr>
      <w:r>
        <w:rPr>
          <w:b/>
          <w:bCs/>
          <w:color w:val="17365D"/>
          <w:sz w:val="16"/>
          <w:szCs w:val="16"/>
        </w:rPr>
        <w:t xml:space="preserve">Bottom line. </w:t>
      </w:r>
      <w:r>
        <w:rPr>
          <w:sz w:val="16"/>
          <w:szCs w:val="16"/>
        </w:rPr>
        <w:t xml:space="preserve">Establishes a tumour-agnostic response signal for adagrasib against a prespecified 10% null, with a 33.3% response rate in 21 pancreatic patients as an unpowered subgroup read — enough to justify a randomised trial, not enough to support a treatment claim in pancreatic cancer.</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study is nonrandomised and single-arm</w:t>
            </w:r>
          </w:p>
          <w:p>
            <w:pPr>
              <w:pStyle w:val="ListParagraph"/>
              <w:numPr>
                <w:ilvl w:val="0"/>
                <w:numId w:val="2"/>
              </w:numPr>
              <w:spacing w:after="45"/>
            </w:pPr>
            <w:r>
              <w:rPr>
                <w:sz w:val="15"/>
                <w:szCs w:val="15"/>
              </w:rPr>
              <w:t xml:space="preserve">KRAS G12C mutations are rare in solid tumours other than NSCLC and colorectal cancer, giving heterogeneous populations and small patient numbers for each tumour type</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prespecified 10% null hypothesis applies to the pooled, tumour-agnostic cohort, not to the pancreatic subgroup; the pancreatic ORR of 33.3% rests on 7 responders in 21 patients and has no prespecified success threshold of its own, so the pancreatic result is a subgroup read of a basket trial</w:t>
            </w:r>
          </w:p>
          <w:p>
            <w:pPr>
              <w:pStyle w:val="ListParagraph"/>
              <w:numPr>
                <w:ilvl w:val="0"/>
                <w:numId w:val="2"/>
              </w:numPr>
              <w:spacing w:after="45"/>
            </w:pPr>
            <w:r>
              <w:rPr>
                <w:sz w:val="15"/>
                <w:szCs w:val="15"/>
              </w:rPr>
              <w:t xml:space="preserve">The response analysis set was constructed after enrolment: six patients counted as evaluable by investigator assessment were excluded by central review for having no measurable disease at baseline, a post-randomisation exclusion that moves the denominator in the favourable direction</w:t>
            </w:r>
          </w:p>
          <w:p>
            <w:pPr>
              <w:pStyle w:val="ListParagraph"/>
              <w:numPr>
                <w:ilvl w:val="0"/>
                <w:numId w:val="2"/>
              </w:numPr>
              <w:spacing w:after="45"/>
            </w:pPr>
            <w:r>
              <w:rPr>
                <w:sz w:val="15"/>
                <w:szCs w:val="15"/>
              </w:rPr>
              <w:t xml:space="preserve">A predictive-probability futility design with stopping rules at 2/26, 5/40 and 10/60 controls type I error for the pooled estimate only; reporting per-tumour ORRs from the same data without adjustment is unadjusted multiplicity across at least six tumour types</w:t>
            </w:r>
          </w:p>
          <w:p>
            <w:pPr>
              <w:pStyle w:val="ListParagraph"/>
              <w:numPr>
                <w:ilvl w:val="0"/>
                <w:numId w:val="2"/>
              </w:numPr>
              <w:spacing w:after="45"/>
            </w:pPr>
            <w:r>
              <w:rPr>
                <w:sz w:val="15"/>
                <w:szCs w:val="15"/>
              </w:rPr>
              <w:t xml:space="preserve">Median OS of 8.0 months in 21 patients carries a confidence interval wide enough to include the natural history of pretreated metastatic pancreatic cancer; the paper reports the point estimate in the discussion without the interval</w:t>
            </w:r>
          </w:p>
          <w:p>
            <w:pPr>
              <w:pStyle w:val="ListParagraph"/>
              <w:numPr>
                <w:ilvl w:val="0"/>
                <w:numId w:val="2"/>
              </w:numPr>
              <w:spacing w:after="45"/>
            </w:pPr>
            <w:r>
              <w:rPr>
                <w:sz w:val="15"/>
                <w:szCs w:val="15"/>
              </w:rPr>
              <w:t xml:space="preserve">Eligibility required ECOG 0-1 and a life expectancy of at least 3 months, which excludes the pretreated pancreatic patients most likely to do badly and inflates all time-to-event estimates relative to a real second-line population</w:t>
            </w:r>
          </w:p>
          <w:p>
            <w:pPr>
              <w:pStyle w:val="ListParagraph"/>
              <w:numPr>
                <w:ilvl w:val="0"/>
                <w:numId w:val="2"/>
              </w:numPr>
              <w:spacing w:after="45"/>
            </w:pPr>
            <w:r>
              <w:rPr>
                <w:sz w:val="15"/>
                <w:szCs w:val="15"/>
              </w:rPr>
              <w:t xml:space="preserve">Mirati Therapeutics funded the study and sponsor-funded medical writing was used; the comparison that would matter — adagrasib against second-line chemotherapy in KRAS G12C PDAC — is not attempted here</w:t>
            </w:r>
          </w:p>
          <w:p>
            <w:pPr>
              <w:pStyle w:val="ListParagraph"/>
              <w:numPr>
                <w:ilvl w:val="0"/>
                <w:numId w:val="2"/>
              </w:numPr>
              <w:spacing w:after="45"/>
            </w:pPr>
            <w:r>
              <w:rPr>
                <w:sz w:val="15"/>
                <w:szCs w:val="15"/>
              </w:rPr>
              <w:t xml:space="preserve">No screening denominator is given, so the paper does not show how many patients were genotyped to find 21 with pancreatic KRAS G12C disease</w:t>
            </w:r>
          </w:p>
        </w:tc>
      </w:tr>
    </w:tbl>
    <w:p>
      <w:pPr>
        <w:spacing w:after="0" w:line="276"/>
      </w:pPr>
      <w:r>
        <w:rPr>
          <w:color w:val="5A6069"/>
          <w:sz w:val="14"/>
          <w:szCs w:val="14"/>
        </w:rPr>
        <w:t xml:space="preserve">Funding: Mirati Therapeutics, Inc, with additional Cancer Center support; sponsor-funded medical writing assistance from a MedComms (Inizio) agency</w:t>
      </w:r>
    </w:p>
    <w:p>
      <w:pPr>
        <w:keepNext/>
        <w:spacing w:after="50" w:before="260"/>
      </w:pPr>
      <w:r>
        <w:rPr>
          <w:rFonts w:ascii="Cambria" w:cs="Cambria" w:eastAsia="Cambria" w:hAnsi="Cambria"/>
          <w:b/>
          <w:bCs/>
          <w:color w:val="17365D"/>
          <w:sz w:val="20"/>
          <w:szCs w:val="20"/>
        </w:rPr>
        <w:t xml:space="preserve">Alliance A021501</w:t>
      </w:r>
      <w:r>
        <w:rPr>
          <w:b/>
          <w:bCs/>
          <w:color w:val="176A87"/>
          <w:sz w:val="15"/>
          <w:szCs w:val="15"/>
        </w:rPr>
        <w:t xml:space="preserve">   Randomised trial</w:t>
      </w:r>
      <w:r>
        <w:rPr>
          <w:color w:val="5A6069"/>
          <w:sz w:val="15"/>
          <w:szCs w:val="15"/>
        </w:rPr>
        <w:t xml:space="preserve">   PMID 35834226</w:t>
      </w:r>
    </w:p>
    <w:p>
      <w:pPr>
        <w:spacing w:after="50" w:line="276"/>
      </w:pPr>
      <w:r>
        <w:rPr>
          <w:color w:val="5A6069"/>
          <w:sz w:val="17"/>
          <w:szCs w:val="17"/>
        </w:rPr>
        <w:t xml:space="preserve">Efficacy of Preoperative mFOLFIRINOX vs mFOLFIRINOX Plus Hypofractionated Radiotherapy for Borderline Resectable Adenocarcinoma of the Pancreas: The A021501 Phase 2 Randomized Clinical Trial.</w:t>
      </w:r>
    </w:p>
    <w:p>
      <w:pPr>
        <w:spacing w:after="50"/>
      </w:pPr>
      <w:r>
        <w:rPr>
          <w:b/>
          <w:bCs/>
          <w:color w:val="176A87"/>
          <w:sz w:val="16"/>
          <w:szCs w:val="16"/>
        </w:rPr>
        <w:t xml:space="preserve">Population. </w:t>
      </w:r>
      <w:r>
        <w:rPr>
          <w:sz w:val="16"/>
          <w:szCs w:val="16"/>
        </w:rPr>
        <w:t xml:space="preserve">126 registered (70 arm 1, 56 arm 2); 120 evaluable who initiated treatment (65 arm 1, 55 arm 2); 51 pancreatectomies</w:t>
      </w:r>
    </w:p>
    <w:p>
      <w:pPr>
        <w:spacing w:after="70"/>
      </w:pPr>
      <w:r>
        <w:rPr>
          <w:b/>
          <w:bCs/>
          <w:color w:val="17365D"/>
          <w:sz w:val="16"/>
          <w:szCs w:val="16"/>
        </w:rPr>
        <w:t xml:space="preserve">Bottom line. </w:t>
      </w:r>
      <w:r>
        <w:rPr>
          <w:sz w:val="16"/>
          <w:szCs w:val="16"/>
        </w:rPr>
        <w:t xml:space="preserve">A021501 establishes 8 cycles of neoadjuvant mFOLFIRINOX as a reasonable reference regimen for borderline resectable PDAC (median OS 29.8 months, 18-month OS 66.7% against a historical 50% benchmark) and provides no support for adding hypofractionated radiotherapy, but it has no randomised control, stopped the radiotherapy arm on a surrogate endpoint before survival matured, is forbidden by its own design from comparing the arms, and reports its best survival figures in a resected-only denominator covering under half the cohort.</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Arm 2 was terminated at interim analysis as the protocol required despite nearly meeting full accrual, so a statistical assessment of that regimen's efficacy could not be made</w:t>
            </w:r>
          </w:p>
          <w:p>
            <w:pPr>
              <w:pStyle w:val="ListParagraph"/>
              <w:numPr>
                <w:ilvl w:val="0"/>
                <w:numId w:val="2"/>
              </w:numPr>
              <w:spacing w:after="45"/>
            </w:pPr>
            <w:r>
              <w:rPr>
                <w:sz w:val="15"/>
                <w:szCs w:val="15"/>
              </w:rPr>
              <w:t xml:space="preserve">The reasons why too few arm 2 patients reached the prespecified R0 threshold are not evident to the authors</w:t>
            </w:r>
          </w:p>
          <w:p>
            <w:pPr>
              <w:pStyle w:val="ListParagraph"/>
              <w:numPr>
                <w:ilvl w:val="0"/>
                <w:numId w:val="2"/>
              </w:numPr>
              <w:spacing w:after="45"/>
            </w:pPr>
            <w:r>
              <w:rPr>
                <w:sz w:val="15"/>
                <w:szCs w:val="15"/>
              </w:rPr>
              <w:t xml:space="preserve">The data do not exclude the possibility that preoperative radiotherapy benefits a subpopulation, or that other radiotherapy delivery approaches are more effective, so the role of radiotherapy remains undefined</w:t>
            </w:r>
          </w:p>
          <w:p>
            <w:pPr>
              <w:pStyle w:val="ListParagraph"/>
              <w:numPr>
                <w:ilvl w:val="0"/>
                <w:numId w:val="2"/>
              </w:numPr>
              <w:spacing w:after="45"/>
            </w:pPr>
            <w:r>
              <w:rPr>
                <w:sz w:val="15"/>
                <w:szCs w:val="15"/>
              </w:rPr>
              <w:t xml:space="preserve">Future work is needed to identify criteria selecting patients who will benefit from local therapies including radiotherapy and surgery</w:t>
            </w:r>
          </w:p>
          <w:p>
            <w:pPr>
              <w:pStyle w:val="ListParagraph"/>
              <w:numPr>
                <w:ilvl w:val="0"/>
                <w:numId w:val="2"/>
              </w:numPr>
              <w:spacing w:after="45"/>
            </w:pPr>
            <w:r>
              <w:rPr>
                <w:sz w:val="15"/>
                <w:szCs w:val="15"/>
              </w:rPr>
              <w:t xml:space="preserve">The comparison with SWOG S1505 (median OS 23.2 months with 3 months of perioperative mFOLFIRINOX) is tempting to attribute to the longer preoperative course, but additional trials are required to determine the optimal duration</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COMPARATOR: THE TRIAL HAS NO RANDOMISED CONTROL ARM FOR ITS PRIMARY QUESTION. Each arm was tested against a HISTORICAL 18-month survival rate of 50%, derived by the investigators from a literature review of studies published 2004-2015 and set at the lower bound of the IQR. Any claim that mFOLFIRINOX improves survival rests on a benchmark assembled from pre-FOLFIRINOX-era observational series with different staging and imaging, not on a contemporaneous control</w:t>
            </w:r>
          </w:p>
          <w:p>
            <w:pPr>
              <w:pStyle w:val="ListParagraph"/>
              <w:numPr>
                <w:ilvl w:val="0"/>
                <w:numId w:val="2"/>
              </w:numPr>
              <w:spacing w:after="45"/>
            </w:pPr>
            <w:r>
              <w:rPr>
                <w:sz w:val="15"/>
                <w:szCs w:val="15"/>
              </w:rPr>
              <w:t xml:space="preserve">THE CONTROL ARM DID NOT RECEIVE MODERN ADJUVANT THERAPY, AND NEITHER ARM DID: postoperative treatment was 4 cycles of FOLFOX6, not adjuvant mFOLFIRINOX or gemcitabine plus capecitabine, and it reached only 34% and 24% of patients. Total systemic therapy delivered was far short of 6 months of multi-agent chemotherapy in most patients</w:t>
            </w:r>
          </w:p>
          <w:p>
            <w:pPr>
              <w:pStyle w:val="ListParagraph"/>
              <w:numPr>
                <w:ilvl w:val="0"/>
                <w:numId w:val="2"/>
              </w:numPr>
              <w:spacing w:after="45"/>
            </w:pPr>
            <w:r>
              <w:rPr>
                <w:sz w:val="15"/>
                <w:szCs w:val="15"/>
              </w:rPr>
              <w:t xml:space="preserve">NON-RECEIPT OF ALLOCATED TREATMENT: 5/70 (7%) randomised to arm 1 and 1/56 (2%) to arm 2 never initiated the intervention and were EXCLUDED from analysis entirely; the denominators of 65 and 55 are 'evaluable patients who initiated treatment', not randomised patients. This is a per-protocol-style analysis, not intention to treat, and excluding the 5 who withdrew or progressed before starting removes patients with worse prognosis. In addition 15/55 (27%) of arm 2 patients never received the radiotherapy that defines their arm</w:t>
            </w:r>
          </w:p>
          <w:p>
            <w:pPr>
              <w:pStyle w:val="ListParagraph"/>
              <w:numPr>
                <w:ilvl w:val="0"/>
                <w:numId w:val="2"/>
              </w:numPr>
              <w:spacing w:after="45"/>
            </w:pPr>
            <w:r>
              <w:rPr>
                <w:sz w:val="15"/>
                <w:szCs w:val="15"/>
              </w:rPr>
              <w:t xml:space="preserve">ARM 1 IS NOT A PURELY RANDOMISED COHORT: 16 of its 70 patients were sequentially registered WITHOUT randomisation after arm 2 closed. Nearly a quarter of the arm that 'won' was enrolled non-randomly, in a later calendar period, with knowledge of the interim R0 results</w:t>
            </w:r>
          </w:p>
          <w:p>
            <w:pPr>
              <w:pStyle w:val="ListParagraph"/>
              <w:numPr>
                <w:ilvl w:val="0"/>
                <w:numId w:val="2"/>
              </w:numPr>
              <w:spacing w:after="45"/>
            </w:pPr>
            <w:r>
              <w:rPr>
                <w:sz w:val="15"/>
                <w:szCs w:val="15"/>
              </w:rPr>
              <w:t xml:space="preserve">THE ARM 2 FUTILITY RULE WAS BASED ON R0 RESECTION RATE, A SURROGATE, IN THE FIRST 30 PATIENTS. The trial then reports median OS of 17.1 vs 29.8 months as if radiotherapy were harmful, when the design explicitly forbids that comparison and arm 2 was stopped on a surrogate before its survival data matured. The paper's own conclusion that mFOLFIRINOX 'was associated with favorable OS compared with mFOLFIRINOX plus radiotherapy' is a comparison the statistical plan does not license</w:t>
            </w:r>
          </w:p>
          <w:p>
            <w:pPr>
              <w:pStyle w:val="ListParagraph"/>
              <w:numPr>
                <w:ilvl w:val="0"/>
                <w:numId w:val="2"/>
              </w:numPr>
              <w:spacing w:after="45"/>
            </w:pPr>
            <w:r>
              <w:rPr>
                <w:sz w:val="15"/>
                <w:szCs w:val="15"/>
              </w:rPr>
              <w:t xml:space="preserve">THE 18-MONTH OS RATES OF 87.5% AND 78.9% QUOTED FOR RESECTED PATIENTS USE A DENOMINATOR THAT EXCLUDES EVERYONE WHO PROGRESSED, DETERIORATED OR DIED BEFORE SURGERY - exactly the patients who did badly. Only 49% and 35% of evaluable patients reached pancreatectomy, so these figures describe the best half of the cohort and must not be quoted as outcomes of the regimen</w:t>
            </w:r>
          </w:p>
          <w:p>
            <w:pPr>
              <w:pStyle w:val="ListParagraph"/>
              <w:numPr>
                <w:ilvl w:val="0"/>
                <w:numId w:val="2"/>
              </w:numPr>
              <w:spacing w:after="45"/>
            </w:pPr>
            <w:r>
              <w:rPr>
                <w:sz w:val="15"/>
                <w:szCs w:val="15"/>
              </w:rPr>
              <w:t xml:space="preserve">The primary endpoint was a BINARY 18-month survival proportion tested at a ONE-SIDED alpha of 0.07 with 82% power - a deliberately permissive threshold. The trial is a screening study for further investigation, not a definitive efficacy trial, yet it is routinely cited as establishing mFOLFIRINOX as the 'reference regimen'</w:t>
            </w:r>
          </w:p>
          <w:p>
            <w:pPr>
              <w:pStyle w:val="ListParagraph"/>
              <w:numPr>
                <w:ilvl w:val="0"/>
                <w:numId w:val="2"/>
              </w:numPr>
              <w:spacing w:after="45"/>
            </w:pPr>
            <w:r>
              <w:rPr>
                <w:sz w:val="15"/>
                <w:szCs w:val="15"/>
              </w:rPr>
              <w:t xml:space="preserve">Only one of the two pathologic complete responses could be confirmed on central re-review of the pretreatment cytology; the other patient's slides were unavailable, leaving open the possibility that the specimen never contained adenocarcinoma</w:t>
            </w:r>
          </w:p>
          <w:p>
            <w:pPr>
              <w:pStyle w:val="ListParagraph"/>
              <w:numPr>
                <w:ilvl w:val="0"/>
                <w:numId w:val="2"/>
              </w:numPr>
              <w:spacing w:after="45"/>
            </w:pPr>
            <w:r>
              <w:rPr>
                <w:sz w:val="15"/>
                <w:szCs w:val="15"/>
              </w:rPr>
              <w:t xml:space="preserve">Radiotherapy was heterogeneous: two different techniques at two very different doses (33-40 Gy in 5 fractions versus 25 Gy in 5 fractions), with 12.5% of treated patients receiving the lower-dose HIGRT, so a null radiotherapy result may reflect an undertreated subset</w:t>
            </w:r>
          </w:p>
          <w:p>
            <w:pPr>
              <w:pStyle w:val="ListParagraph"/>
              <w:numPr>
                <w:ilvl w:val="0"/>
                <w:numId w:val="2"/>
              </w:numPr>
              <w:spacing w:after="45"/>
            </w:pPr>
            <w:r>
              <w:rPr>
                <w:sz w:val="15"/>
                <w:szCs w:val="15"/>
              </w:rPr>
              <w:t xml:space="preserve">Multiple investigators, including the senior author, report extensive industry relationships, and one radiotherapy co-author reports personal fees and grants from a radiotherapy device manufacturer (ViewRay) - relevant to a trial adjudicating the value of radiotherapy</w:t>
            </w:r>
          </w:p>
        </w:tc>
      </w:tr>
    </w:tbl>
    <w:p>
      <w:pPr>
        <w:spacing w:after="0" w:line="276"/>
      </w:pPr>
      <w:r>
        <w:rPr>
          <w:color w:val="5A6069"/>
          <w:sz w:val="14"/>
          <w:szCs w:val="14"/>
        </w:rPr>
        <w:t xml:space="preserve">Funding: US National Cancer Institute grants to the Alliance for Clinical Trials in Oncology (U10CA180821, U10CA180882, U24CA196171) and to ECOG-ACRIN, NRG and SWOG. The NCI was involved in the design and conduct of the study and in review and approval of the manuscript, but had no veto over publication. Numerous authors declare industry consulting and research funding (ViewRay, Sirtex, IBA, Celgene, Genentech-Roche, AstraZeneca, Merck and many others).</w:t>
      </w:r>
    </w:p>
    <w:p>
      <w:pPr>
        <w:keepNext/>
        <w:spacing w:after="50" w:before="260"/>
      </w:pPr>
      <w:r>
        <w:rPr>
          <w:rFonts w:ascii="Cambria" w:cs="Cambria" w:eastAsia="Cambria" w:hAnsi="Cambria"/>
          <w:b/>
          <w:bCs/>
          <w:color w:val="17365D"/>
          <w:sz w:val="20"/>
          <w:szCs w:val="20"/>
        </w:rPr>
        <w:t xml:space="preserve">APACT</w:t>
      </w:r>
      <w:r>
        <w:rPr>
          <w:b/>
          <w:bCs/>
          <w:color w:val="176A87"/>
          <w:sz w:val="15"/>
          <w:szCs w:val="15"/>
        </w:rPr>
        <w:t xml:space="preserve">   Randomised trial</w:t>
      </w:r>
      <w:r>
        <w:rPr>
          <w:color w:val="5A6069"/>
          <w:sz w:val="15"/>
          <w:szCs w:val="15"/>
        </w:rPr>
        <w:t xml:space="preserve">   PMID 36521097</w:t>
      </w:r>
    </w:p>
    <w:p>
      <w:pPr>
        <w:spacing w:after="50" w:line="276"/>
      </w:pPr>
      <w:r>
        <w:rPr>
          <w:color w:val="5A6069"/>
          <w:sz w:val="17"/>
          <w:szCs w:val="17"/>
        </w:rPr>
        <w:t xml:space="preserve">Adjuvant nab-Paclitaxel + Gemcitabine in Resected Pancreatic Ductal Adenocarcinoma: Results From a Randomized, Open-Label, Phase III Trial.</w:t>
      </w:r>
    </w:p>
    <w:p>
      <w:pPr>
        <w:spacing w:after="50"/>
      </w:pPr>
      <w:r>
        <w:rPr>
          <w:b/>
          <w:bCs/>
          <w:color w:val="176A87"/>
          <w:sz w:val="16"/>
          <w:szCs w:val="16"/>
        </w:rPr>
        <w:t xml:space="preserve">Population. </w:t>
      </w:r>
      <w:r>
        <w:rPr>
          <w:sz w:val="16"/>
          <w:szCs w:val="16"/>
        </w:rPr>
        <w:t xml:space="preserve">866 randomised (432 nab-paclitaxel plus gemcitabine, 434 gemcitabine), 852 treated; 439 independently assessed DFS events and 555 deaths at the 5-year cutoff</w:t>
      </w:r>
    </w:p>
    <w:p>
      <w:pPr>
        <w:spacing w:after="70"/>
      </w:pPr>
      <w:r>
        <w:rPr>
          <w:b/>
          <w:bCs/>
          <w:color w:val="17365D"/>
          <w:sz w:val="16"/>
          <w:szCs w:val="16"/>
        </w:rPr>
        <w:t xml:space="preserve">Bottom line. </w:t>
      </w:r>
      <w:r>
        <w:rPr>
          <w:sz w:val="16"/>
          <w:szCs w:val="16"/>
        </w:rPr>
        <w:t xml:space="preserve">APACT is a negative phase 3 trial: adjuvant nab-paclitaxel plus gemcitabine did not improve blinded independently assessed disease-free survival over gemcitabine (19.4 vs 18.8 months, P=.18), and the quoted overall survival advantage (41.8 vs 37.7 months) is a descriptive secondary endpoint read at the third of three cutoffs - it leaves the regimen as a fallback for patients unfit for mFOLFIRINOX at the cost of 15% largely irreversible grade 3 neuropathy, and its most durable contribution is the demonstration that investigator-assessed disease-free survival in open-label adjuvant trials runs 5 months shorter than blinded central review.</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Radiologic review in the absence of clinical context may be suboptimal for recurrence detection in resected PDAC, which the authors name as a limitation of the study design</w:t>
            </w:r>
          </w:p>
          <w:p>
            <w:pPr>
              <w:pStyle w:val="ListParagraph"/>
              <w:numPr>
                <w:ilvl w:val="0"/>
                <w:numId w:val="2"/>
              </w:numPr>
              <w:spacing w:after="45"/>
            </w:pPr>
            <w:r>
              <w:rPr>
                <w:sz w:val="15"/>
                <w:szCs w:val="15"/>
              </w:rPr>
              <w:t xml:space="preserve">The trial was POWERED on investigator-assessed DFS data from historical trials but used independently assessed DFS as the primary endpoint, a mismatch the authors present as a lesson for the field</w:t>
            </w:r>
          </w:p>
          <w:p>
            <w:pPr>
              <w:pStyle w:val="ListParagraph"/>
              <w:numPr>
                <w:ilvl w:val="0"/>
                <w:numId w:val="2"/>
              </w:numPr>
              <w:spacing w:after="45"/>
            </w:pPr>
            <w:r>
              <w:rPr>
                <w:sz w:val="15"/>
                <w:szCs w:val="15"/>
              </w:rPr>
              <w:t xml:space="preserve">Postsurgical radiographic changes are sometimes difficult to distinguish from local recurrence, and recurrence in the surgical bed and mesenteric nodes can be hard to diagnose by imaging alone</w:t>
            </w:r>
          </w:p>
          <w:p>
            <w:pPr>
              <w:pStyle w:val="ListParagraph"/>
              <w:numPr>
                <w:ilvl w:val="0"/>
                <w:numId w:val="2"/>
              </w:numPr>
              <w:spacing w:after="45"/>
            </w:pPr>
            <w:r>
              <w:rPr>
                <w:sz w:val="15"/>
                <w:szCs w:val="15"/>
              </w:rPr>
              <w:t xml:space="preserve">Patients with investigator-determined progression who started subsequent therapy were censored in the independent analysis, contributing to the discrepancy between the two DFS results</w:t>
            </w:r>
          </w:p>
          <w:p>
            <w:pPr>
              <w:pStyle w:val="ListParagraph"/>
              <w:numPr>
                <w:ilvl w:val="0"/>
                <w:numId w:val="2"/>
              </w:numPr>
              <w:spacing w:after="45"/>
            </w:pPr>
            <w:r>
              <w:rPr>
                <w:sz w:val="15"/>
                <w:szCs w:val="15"/>
              </w:rPr>
              <w:t xml:space="preserve">There was no central pathology review and there may have been regional differences in standards for defining R0 versus R1 across the 21 countries</w:t>
            </w:r>
          </w:p>
          <w:p>
            <w:pPr>
              <w:pStyle w:val="ListParagraph"/>
              <w:numPr>
                <w:ilvl w:val="0"/>
                <w:numId w:val="2"/>
              </w:numPr>
              <w:spacing w:after="45"/>
            </w:pPr>
            <w:r>
              <w:rPr>
                <w:sz w:val="15"/>
                <w:szCs w:val="15"/>
              </w:rPr>
              <w:t xml:space="preserve">Comparisons with ESPAC-4 and other trials are not valid because of differences in patient selection and subsequent therapy</w:t>
            </w:r>
          </w:p>
          <w:p>
            <w:pPr>
              <w:pStyle w:val="ListParagraph"/>
              <w:numPr>
                <w:ilvl w:val="0"/>
                <w:numId w:val="2"/>
              </w:numPr>
              <w:spacing w:after="45"/>
            </w:pPr>
            <w:r>
              <w:rPr>
                <w:sz w:val="15"/>
                <w:szCs w:val="15"/>
              </w:rPr>
              <w:t xml:space="preserve">Because the primary endpoint was not met, all other comparisons are considered descriptive</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COMPARATOR: adjuvant gemcitabine monotherapy, chosen in 2013 and already obsolete before the trial reported - ESPAC-4 appeared in 2017 and PRODIGE-24 in 2018, both while APACT was in follow-up. The control arm did NOT receive modern adjuvant therapy, and the authors themselves note gemcitabine/capecitabine and mFOLFIRINOX had become category 1 preferred regimens after APACT started</w:t>
            </w:r>
          </w:p>
          <w:p>
            <w:pPr>
              <w:pStyle w:val="ListParagraph"/>
              <w:numPr>
                <w:ilvl w:val="0"/>
                <w:numId w:val="2"/>
              </w:numPr>
              <w:spacing w:after="45"/>
            </w:pPr>
            <w:r>
              <w:rPr>
                <w:sz w:val="15"/>
                <w:szCs w:val="15"/>
              </w:rPr>
              <w:t xml:space="preserve">NON-RECEIPT OF ALLOCATED TREATMENT: 3/432 (1%) and 11/434 (3%) were randomised but never treated, and 93% of each arm formed the per-protocol population - low and balanced. Delivery, however, was poor: only 66% and 71% completed six cycles, and 64% of combination patients needed a dose reduction</w:t>
            </w:r>
          </w:p>
          <w:p>
            <w:pPr>
              <w:pStyle w:val="ListParagraph"/>
              <w:numPr>
                <w:ilvl w:val="0"/>
                <w:numId w:val="2"/>
              </w:numPr>
              <w:spacing w:after="45"/>
            </w:pPr>
            <w:r>
              <w:rPr>
                <w:sz w:val="15"/>
                <w:szCs w:val="15"/>
              </w:rPr>
              <w:t xml:space="preserve">THIS IS A NEGATIVE TRIAL WHOSE POSITIVE SECONDARY ENDPOINT IS WIDELY QUOTED. The primary endpoint failed (HR 0.88, P=.18). The paper itself says that because the primary endpoint was not met all other comparisons are descriptive, and the JCO editor's Relevance box calls it a 'negative randomized phase III study [that] fails to change the standard of care'. Any pathway citing '41.8 vs 37.7 months, P=.0091' is citing a descriptive secondary analysis from a failed trial, and no multiplicity adjustment was applied to any of it</w:t>
            </w:r>
          </w:p>
          <w:p>
            <w:pPr>
              <w:pStyle w:val="ListParagraph"/>
              <w:numPr>
                <w:ilvl w:val="0"/>
                <w:numId w:val="2"/>
              </w:numPr>
              <w:spacing w:after="45"/>
            </w:pPr>
            <w:r>
              <w:rPr>
                <w:sz w:val="15"/>
                <w:szCs w:val="15"/>
              </w:rPr>
              <w:t xml:space="preserve">THREE SUCCESSIVE OVERALL SURVIVAL CUTOFFS WERE REPORTED (December 2018, April 2020, April 2021) and the P value improved from .045 to .0232 to .0091 across them, with no prespecified plan for repeated testing. Reporting the most favourable of three looks at the same secondary endpoint, in a trial whose primary endpoint failed, is the clearest example of unadjusted multiplicity in this depot</w:t>
            </w:r>
          </w:p>
          <w:p>
            <w:pPr>
              <w:pStyle w:val="ListParagraph"/>
              <w:numPr>
                <w:ilvl w:val="0"/>
                <w:numId w:val="2"/>
              </w:numPr>
              <w:spacing w:after="45"/>
            </w:pPr>
            <w:r>
              <w:rPr>
                <w:sz w:val="15"/>
                <w:szCs w:val="15"/>
              </w:rPr>
              <w:t xml:space="preserve">THE INDEPENDENT-VERSUS-INVESTIGATOR DFS DISCREPANCY IS THE MOST VALUABLE FINDING IN THE PAPER AND CUTS AGAINST EVERY OTHER ADJUVANT TRIAL. In the same gemcitabine arm, blinded central review gave 18.8 months and investigators gave 13.7 months. Every other adjuvant pancreatic trial (CONKO-001, ESPAC-4, PRODIGE-24) used unblinded investigator-assessed DFS as its primary endpoint and reported 12.8-13.4 months. APACT shows that this endpoint is systematically shorter when assessed by the unblinded treating physician, which means DFS differences in open-label adjuvant trials are partly a detection artefact - a point no pathway citing those trials' DFS results should ignore</w:t>
            </w:r>
          </w:p>
          <w:p>
            <w:pPr>
              <w:pStyle w:val="ListParagraph"/>
              <w:numPr>
                <w:ilvl w:val="0"/>
                <w:numId w:val="2"/>
              </w:numPr>
              <w:spacing w:after="45"/>
            </w:pPr>
            <w:r>
              <w:rPr>
                <w:sz w:val="15"/>
                <w:szCs w:val="15"/>
              </w:rPr>
              <w:t xml:space="preserve">THE CENSORING RULE IS ASYMMETRIC AND FAVOURS NEITHER ARM BUT DESTROYS THE PRIMARY ENDPOINT. Patients were censored in the independent review once they started subsequent therapy, so patients whom investigators judged to be progressing and treated accordingly simply left the analysis; 48-51% of patients were censored. An endpoint that censores half the cohort for acting on clinical judgement is not measuring disease-free survival</w:t>
            </w:r>
          </w:p>
          <w:p>
            <w:pPr>
              <w:pStyle w:val="ListParagraph"/>
              <w:numPr>
                <w:ilvl w:val="0"/>
                <w:numId w:val="2"/>
              </w:numPr>
              <w:spacing w:after="45"/>
            </w:pPr>
            <w:r>
              <w:rPr>
                <w:sz w:val="15"/>
                <w:szCs w:val="15"/>
              </w:rPr>
              <w:t xml:space="preserve">THE POPULATION IS THE MOST HIGHLY SELECTED IN THE ADJUVANT LITERATURE: CA 19-9 below 100 U/mL (80% were within normal limits and median CA19-9 was 13.6 U/mL), a clear screening scan, ECOG 0-1, and 76% R0. One thousand two hundred and twenty-six patients were screened to randomise 866. The 37.7-month gemcitabine-arm survival far exceeds CONKO-001's 22.8 months and reflects this selection, not improved therapy</w:t>
            </w:r>
          </w:p>
          <w:p>
            <w:pPr>
              <w:pStyle w:val="ListParagraph"/>
              <w:numPr>
                <w:ilvl w:val="0"/>
                <w:numId w:val="2"/>
              </w:numPr>
              <w:spacing w:after="45"/>
            </w:pPr>
            <w:r>
              <w:rPr>
                <w:sz w:val="15"/>
                <w:szCs w:val="15"/>
              </w:rPr>
              <w:t xml:space="preserve">NO CENTRAL PATHOLOGY REVIEW ACROSS 160 SITES IN 21 COUNTRIES, so R0/R1 - a stratification factor and the strongest prognostic variable in ESPAC-4 - was assigned to local standards that the authors concede varied regionally</w:t>
            </w:r>
          </w:p>
          <w:p>
            <w:pPr>
              <w:pStyle w:val="ListParagraph"/>
              <w:numPr>
                <w:ilvl w:val="0"/>
                <w:numId w:val="2"/>
              </w:numPr>
              <w:spacing w:after="45"/>
            </w:pPr>
            <w:r>
              <w:rPr>
                <w:sz w:val="15"/>
                <w:szCs w:val="15"/>
              </w:rPr>
              <w:t xml:space="preserve">PERMANENT NEUROPATHY IS THE UNPRICED COST: 15% grade 3 or higher peripheral neuropathy versus 0%, with 84% unresolved to grade 1 or better at the primary cutoff, in a trial that failed its primary endpoint and collected NO quality-of-life data. The regimen is recommended in the conclusion as an option for patients who cannot take mFOLFIRINOX without quantifying this trade-off</w:t>
            </w:r>
          </w:p>
          <w:p>
            <w:pPr>
              <w:pStyle w:val="ListParagraph"/>
              <w:numPr>
                <w:ilvl w:val="0"/>
                <w:numId w:val="2"/>
              </w:numPr>
              <w:spacing w:after="45"/>
            </w:pPr>
            <w:r>
              <w:rPr>
                <w:sz w:val="15"/>
                <w:szCs w:val="15"/>
              </w:rPr>
              <w:t xml:space="preserve">SUBSEQUENT THERAPY WAS ASYMMETRIC: 21% of gemcitabine patients received nab-paclitaxel-based therapy at relapse versus 8% of combination patients, so the control arm partly crossed over to the experimental drug, which if anything attenuates the observed difference</w:t>
            </w:r>
          </w:p>
          <w:p>
            <w:pPr>
              <w:pStyle w:val="ListParagraph"/>
              <w:numPr>
                <w:ilvl w:val="0"/>
                <w:numId w:val="2"/>
              </w:numPr>
              <w:spacing w:after="45"/>
            </w:pPr>
            <w:r>
              <w:rPr>
                <w:sz w:val="15"/>
                <w:szCs w:val="15"/>
              </w:rPr>
              <w:t xml:space="preserve">THE TRIAL WAS DESIGNED, MONITORED AND ANALYSED BY THE SPONSOR. Celgene/Bristol Myers Squibb designed the trial with the steering committee, employed the statistician who analysed the data, monitored all aspects of the study, employed four co-authors and funded three separate medical writing teams. nab-paclitaxel is the sponsor's proprietary product and the comparator was the cheapest available single agent rather than the contemporaneous standard - the clearest case in this depot of industry funding shaping the comparator</w:t>
            </w:r>
          </w:p>
        </w:tc>
      </w:tr>
    </w:tbl>
    <w:p>
      <w:pPr>
        <w:spacing w:after="0" w:line="276"/>
      </w:pPr>
      <w:r>
        <w:rPr>
          <w:color w:val="5A6069"/>
          <w:sz w:val="14"/>
          <w:szCs w:val="14"/>
        </w:rPr>
        <w:t xml:space="preserve">Funding: Bristol Myers Squibb and Celgene, a Bristol Myers Squibb Company. The sponsor and steering committee designed the trial, data were analysed by a sponsor-employed statistician, all aspects were monitored by the sponsor, four authors are sponsor employees, and professional medical writing and editorial assistance from Meditech Media and Chrysalis Medical Communications was funded by Bristol Myers Squibb. Data requests are routed through the sponsor.</w:t>
      </w:r>
    </w:p>
    <w:p>
      <w:pPr>
        <w:keepNext/>
        <w:spacing w:after="50" w:before="260"/>
      </w:pPr>
      <w:r>
        <w:rPr>
          <w:rFonts w:ascii="Cambria" w:cs="Cambria" w:eastAsia="Cambria" w:hAnsi="Cambria"/>
          <w:b/>
          <w:bCs/>
          <w:color w:val="17365D"/>
          <w:sz w:val="20"/>
          <w:szCs w:val="20"/>
        </w:rPr>
        <w:t xml:space="preserve">Campbell 1 mm rule</w:t>
      </w:r>
      <w:r>
        <w:rPr>
          <w:b/>
          <w:bCs/>
          <w:color w:val="176A87"/>
          <w:sz w:val="15"/>
          <w:szCs w:val="15"/>
        </w:rPr>
        <w:t xml:space="preserve">   Retrospective cohort</w:t>
      </w:r>
      <w:r>
        <w:rPr>
          <w:color w:val="5A6069"/>
          <w:sz w:val="15"/>
          <w:szCs w:val="15"/>
        </w:rPr>
        <w:t xml:space="preserve">   PMID 19723142</w:t>
      </w:r>
    </w:p>
    <w:p>
      <w:pPr>
        <w:spacing w:after="50" w:line="276"/>
      </w:pPr>
      <w:r>
        <w:rPr>
          <w:color w:val="5A6069"/>
          <w:sz w:val="17"/>
          <w:szCs w:val="17"/>
        </w:rPr>
        <w:t xml:space="preserve">Classification of R1 resections for pancreatic cancer: the prognostic relevance of tumour involvement within 1 mm of a resection margin.</w:t>
      </w:r>
    </w:p>
    <w:p>
      <w:pPr>
        <w:spacing w:after="50"/>
      </w:pPr>
      <w:r>
        <w:rPr>
          <w:b/>
          <w:bCs/>
          <w:color w:val="176A87"/>
          <w:sz w:val="16"/>
          <w:szCs w:val="16"/>
        </w:rPr>
        <w:t xml:space="preserve">Population. </w:t>
      </w:r>
      <w:r>
        <w:rPr>
          <w:sz w:val="16"/>
          <w:szCs w:val="16"/>
        </w:rPr>
        <w:t xml:space="preserve">163 pancreatoduodenectomy specimens; 128 R1 (79%), of which 57 (45% of R1) equivocal and 71 unequivocal; 35 R0</w:t>
      </w:r>
    </w:p>
    <w:p>
      <w:pPr>
        <w:spacing w:after="70"/>
      </w:pPr>
      <w:r>
        <w:rPr>
          <w:b/>
          <w:bCs/>
          <w:color w:val="17365D"/>
          <w:sz w:val="16"/>
          <w:szCs w:val="16"/>
        </w:rPr>
        <w:t xml:space="preserve">Bottom line. </w:t>
      </w:r>
      <w:r>
        <w:rPr>
          <w:sz w:val="16"/>
          <w:szCs w:val="16"/>
        </w:rPr>
        <w:t xml:space="preserve">This single-centre study of 163 pancreatoduodenectomies supplied the only clinical evidence for the &lt;1 mm R1 rule by showing that 'equivocal' R1 survival (15.4 months) resembles unequivocal R1 (12.6 months) more than R0 (25.4 months), and that the rule raises the R1 rate from 44% to 79% - but the key comparison was non-significant in a small cohort, margin status did not survive multivariable adjustment, and the real lesson is that R0 rates reported across pancreatic trials are largely a function of pathology protocol.</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authors state the overall survival pattern raises the possibility that a LARGER study would show equivocal R1 to be an intermediate prognostic group, and that larger studies are needed to settle this definitively</w:t>
            </w:r>
          </w:p>
          <w:p>
            <w:pPr>
              <w:pStyle w:val="ListParagraph"/>
              <w:numPr>
                <w:ilvl w:val="0"/>
                <w:numId w:val="2"/>
              </w:numPr>
              <w:spacing w:after="45"/>
            </w:pPr>
            <w:r>
              <w:rPr>
                <w:sz w:val="15"/>
                <w:szCs w:val="15"/>
              </w:rPr>
              <w:t xml:space="preserve">They argue sub-categorisation of R1 could be supported only if a clear distinction between the two R1 groups were evident, which these data do not show</w:t>
            </w:r>
          </w:p>
          <w:p>
            <w:pPr>
              <w:pStyle w:val="ListParagraph"/>
              <w:numPr>
                <w:ilvl w:val="0"/>
                <w:numId w:val="2"/>
              </w:numPr>
              <w:spacing w:after="45"/>
            </w:pPr>
            <w:r>
              <w:rPr>
                <w:sz w:val="15"/>
                <w:szCs w:val="15"/>
              </w:rPr>
              <w:t xml:space="preserve">Involvement of the anterior pancreatic surface, excluded from the R1 definition here, could potentially affect survival</w:t>
            </w:r>
          </w:p>
          <w:p>
            <w:pPr>
              <w:pStyle w:val="ListParagraph"/>
              <w:numPr>
                <w:ilvl w:val="0"/>
                <w:numId w:val="2"/>
              </w:numPr>
              <w:spacing w:after="45"/>
            </w:pPr>
            <w:r>
              <w:rPr>
                <w:sz w:val="15"/>
                <w:szCs w:val="15"/>
              </w:rPr>
              <w:t xml:space="preserve">Histological data were incomplete for a small number of cases, so the multivariable model included 155 of 163 patients</w:t>
            </w:r>
          </w:p>
          <w:p>
            <w:pPr>
              <w:pStyle w:val="ListParagraph"/>
              <w:numPr>
                <w:ilvl w:val="0"/>
                <w:numId w:val="2"/>
              </w:numPr>
              <w:spacing w:after="45"/>
            </w:pPr>
            <w:r>
              <w:rPr>
                <w:sz w:val="15"/>
                <w:szCs w:val="15"/>
              </w:rPr>
              <w:t xml:space="preserve">Meaningful comparison of R1 rates between centres is complicated by the lack of standardised margin terminology and of any internationally recognised pathology protocol</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CONCLUSION IS DRAWN FROM A NON-SIGNIFICANT TEST, WHICH IS AN ARGUMENT FROM ABSENCE OF EVIDENCE. 'No significant difference' between 57 and 71 patients (P=0.102) in a cohort with 13.9-month median survival cannot establish equivalence; the medians differ by 2.8 months and the point estimates sit between the R0 and unequivocal-R1 groups exactly as an intermediate category would. The authors concede this in the discussion but the abstract concludes the two should be 'considered synonymous'</w:t>
            </w:r>
          </w:p>
          <w:p>
            <w:pPr>
              <w:pStyle w:val="ListParagraph"/>
              <w:numPr>
                <w:ilvl w:val="0"/>
                <w:numId w:val="2"/>
              </w:numPr>
              <w:spacing w:after="45"/>
            </w:pPr>
            <w:r>
              <w:rPr>
                <w:sz w:val="15"/>
                <w:szCs w:val="15"/>
              </w:rPr>
              <w:t xml:space="preserve">THE COMPARISON THE RULE ACTUALLY NEEDS IS EQUIVOCAL R1 VERSUS R0, AND THAT WAS ALSO NON-SIGNIFICANT (P=0.114). The study therefore cannot distinguish equivocal R1 from either neighbour, which is a statement about power, not biology, in a cohort of only 35 R0 patients</w:t>
            </w:r>
          </w:p>
          <w:p>
            <w:pPr>
              <w:pStyle w:val="ListParagraph"/>
              <w:numPr>
                <w:ilvl w:val="0"/>
                <w:numId w:val="2"/>
              </w:numPr>
              <w:spacing w:after="45"/>
            </w:pPr>
            <w:r>
              <w:rPr>
                <w:sz w:val="15"/>
                <w:szCs w:val="15"/>
              </w:rPr>
              <w:t xml:space="preserve">SINGLE CENTRE, SINGLE PATHOLOGIST, RETROSPECTIVE. One consultant pathologist re-reviewed only the R0 cases, so the reclassification effort was applied asymmetrically - cases already called R1 were not re-examined for over-calling, which is the direction of error that would inflate the 79% figure</w:t>
            </w:r>
          </w:p>
          <w:p>
            <w:pPr>
              <w:pStyle w:val="ListParagraph"/>
              <w:numPr>
                <w:ilvl w:val="0"/>
                <w:numId w:val="2"/>
              </w:numPr>
              <w:spacing w:after="45"/>
            </w:pPr>
            <w:r>
              <w:rPr>
                <w:sz w:val="15"/>
                <w:szCs w:val="15"/>
              </w:rPr>
              <w:t xml:space="preserve">ONLY 35 R0 PATIENTS DEFINE THE REFERENCE GROUP, and their median survival of 25.4 months has a 95% CI of 10.5-40.8 months - a four-fold range. Every comparison in the paper is anchored to this unstable estimate</w:t>
            </w:r>
          </w:p>
          <w:p>
            <w:pPr>
              <w:pStyle w:val="ListParagraph"/>
              <w:numPr>
                <w:ilvl w:val="0"/>
                <w:numId w:val="2"/>
              </w:numPr>
              <w:spacing w:after="45"/>
            </w:pPr>
            <w:r>
              <w:rPr>
                <w:sz w:val="15"/>
                <w:szCs w:val="15"/>
              </w:rPr>
              <w:t xml:space="preserve">THE 1997-2007 ERA MEANS ONLY 27% RECEIVED ADJUVANT CHEMOTHERAPY, at a time when ESPAC-1 and CONKO-001 were establishing it. Margin status interacts with adjuvant therapy, and a cohort in which three quarters got no chemotherapy cannot speak to the prognostic weight of R1 in a modern pathway</w:t>
            </w:r>
          </w:p>
          <w:p>
            <w:pPr>
              <w:pStyle w:val="ListParagraph"/>
              <w:numPr>
                <w:ilvl w:val="0"/>
                <w:numId w:val="2"/>
              </w:numPr>
              <w:spacing w:after="45"/>
            </w:pPr>
            <w:r>
              <w:rPr>
                <w:sz w:val="15"/>
                <w:szCs w:val="15"/>
              </w:rPr>
              <w:t xml:space="preserve">MARGIN STATUS DID NOT SURVIVE MULTIVARIABLE ADJUSTMENT, which undercuts the premise that getting the R1 definition right matters prognostically. The paper treats this as a technical problem (collinearity with tumour size) rather than as evidence that margin status may be a marker of tumour burden rather than an independent determinant of outcome</w:t>
            </w:r>
          </w:p>
          <w:p>
            <w:pPr>
              <w:pStyle w:val="ListParagraph"/>
              <w:numPr>
                <w:ilvl w:val="0"/>
                <w:numId w:val="2"/>
              </w:numPr>
              <w:spacing w:after="45"/>
            </w:pPr>
            <w:r>
              <w:rPr>
                <w:sz w:val="15"/>
                <w:szCs w:val="15"/>
              </w:rPr>
              <w:t xml:space="preserve">THE DECISION TO EXCLUDE THE ANTERIOR SURFACE, PanIN-3, PERINEURAL AND NODAL INVOLVEMENT FROM THE R1 DEFINITION IS A SERIES OF CONVENTIONS, NOT FINDINGS. Different centres make different choices, and the paper's own argument - that the 79% rate reflects pathology protocol rather than surgical quality - applies equally to its own conventions</w:t>
            </w:r>
          </w:p>
          <w:p>
            <w:pPr>
              <w:pStyle w:val="ListParagraph"/>
              <w:numPr>
                <w:ilvl w:val="0"/>
                <w:numId w:val="2"/>
              </w:numPr>
              <w:spacing w:after="45"/>
            </w:pPr>
            <w:r>
              <w:rPr>
                <w:sz w:val="15"/>
                <w:szCs w:val="15"/>
              </w:rPr>
              <w:t xml:space="preserve">THE MOST IMPORTANT IMPLICATION FOR A PATHWAY IS NOT THE ONE THE PAPER EMPHASISES. If the &lt;1 mm rule moves the R1 rate from 44% to 79% at one centre, then R0 and R1 rates reported in every neoadjuvant and adjuvant trial are a function of local pathology practice. PREOPANC (R0 71% of resected under RCPath &lt;1 mm), ESPAC-5 (R0 14-23%), NORPACT-1 (R0 56% vs 39%) and APACT (no central pathology review, R0 76%) are not comparable to each other, and no trial in this depot reports a pathology quality-assurance measure comparable to the one described here except ESPAC5 and CONKO-007</w:t>
            </w:r>
          </w:p>
          <w:p>
            <w:pPr>
              <w:pStyle w:val="ListParagraph"/>
              <w:numPr>
                <w:ilvl w:val="0"/>
                <w:numId w:val="2"/>
              </w:numPr>
              <w:spacing w:after="45"/>
            </w:pPr>
            <w:r>
              <w:rPr>
                <w:sz w:val="15"/>
                <w:szCs w:val="15"/>
              </w:rPr>
              <w:t xml:space="preserve">The argument that R1 is under-reported because 60-80% of resected patients recur locally is an indirect inference: local recurrence can arise from biologically aggressive residual disease beyond any resectable margin, not only from microscopic margin positivity</w:t>
            </w:r>
          </w:p>
          <w:p>
            <w:pPr>
              <w:pStyle w:val="ListParagraph"/>
              <w:numPr>
                <w:ilvl w:val="0"/>
                <w:numId w:val="2"/>
              </w:numPr>
              <w:spacing w:after="45"/>
            </w:pPr>
            <w:r>
              <w:rPr>
                <w:sz w:val="15"/>
                <w:szCs w:val="15"/>
              </w:rPr>
              <w:t xml:space="preserve">Funded by Cancer Research UK with no declared conflicts, and the senior authors are the ESPAC trialists who went on to apply this definition in ESPAC-4 and ESPAC-5 - a coherent programme, but the definition and the trials that use it come from the same group</w:t>
            </w:r>
          </w:p>
        </w:tc>
      </w:tr>
    </w:tbl>
    <w:p>
      <w:pPr>
        <w:spacing w:after="0" w:line="276"/>
      </w:pPr>
      <w:r>
        <w:rPr>
          <w:color w:val="5A6069"/>
          <w:sz w:val="14"/>
          <w:szCs w:val="14"/>
        </w:rPr>
        <w:t xml:space="preserve">Funding: Supported by Cancer Research UK. No conflicts of interest are declared.</w:t>
      </w:r>
    </w:p>
    <w:p>
      <w:pPr>
        <w:keepNext/>
        <w:spacing w:after="50" w:before="260"/>
      </w:pPr>
      <w:r>
        <w:rPr>
          <w:rFonts w:ascii="Cambria" w:cs="Cambria" w:eastAsia="Cambria" w:hAnsi="Cambria"/>
          <w:b/>
          <w:bCs/>
          <w:color w:val="17365D"/>
          <w:sz w:val="20"/>
          <w:szCs w:val="20"/>
        </w:rPr>
        <w:t xml:space="preserve">Clements meta-analysis</w:t>
      </w:r>
      <w:r>
        <w:rPr>
          <w:b/>
          <w:bCs/>
          <w:color w:val="176A87"/>
          <w:sz w:val="15"/>
          <w:szCs w:val="15"/>
        </w:rPr>
        <w:t xml:space="preserve">   Systematic review</w:t>
      </w:r>
      <w:r>
        <w:rPr>
          <w:color w:val="5A6069"/>
          <w:sz w:val="15"/>
          <w:szCs w:val="15"/>
        </w:rPr>
        <w:t xml:space="preserve">   PMID 40002281</w:t>
      </w:r>
    </w:p>
    <w:p>
      <w:pPr>
        <w:spacing w:after="50" w:line="276"/>
      </w:pPr>
      <w:r>
        <w:rPr>
          <w:color w:val="5A6069"/>
          <w:sz w:val="17"/>
          <w:szCs w:val="17"/>
        </w:rPr>
        <w:t xml:space="preserve">Surgical Outcomes in Stage IV Pancreatic Cancer with Liver Metastasis Current Evidence and Future Directions: A Systematic Review and Meta-Analysis of Surgical Resection.</w:t>
      </w:r>
    </w:p>
    <w:p>
      <w:pPr>
        <w:spacing w:after="50"/>
      </w:pPr>
      <w:r>
        <w:rPr>
          <w:b/>
          <w:bCs/>
          <w:color w:val="176A87"/>
          <w:sz w:val="16"/>
          <w:szCs w:val="16"/>
        </w:rPr>
        <w:t xml:space="preserve">Population. </w:t>
      </w:r>
      <w:r>
        <w:rPr>
          <w:sz w:val="16"/>
          <w:szCs w:val="16"/>
        </w:rPr>
        <w:t xml:space="preserve">16 studies in the review, 999 patients who underwent pancreatic resection for stage IV PDAC (637 synchronous resections, 48 metachronous, 259 from SEER with timing unknown); 7 studies pooled for the hazard ratio</w:t>
      </w:r>
    </w:p>
    <w:p>
      <w:pPr>
        <w:spacing w:after="70"/>
      </w:pPr>
      <w:r>
        <w:rPr>
          <w:b/>
          <w:bCs/>
          <w:color w:val="17365D"/>
          <w:sz w:val="16"/>
          <w:szCs w:val="16"/>
        </w:rPr>
        <w:t xml:space="preserve">Bottom line. </w:t>
      </w:r>
      <w:r>
        <w:rPr>
          <w:sz w:val="16"/>
          <w:szCs w:val="16"/>
        </w:rPr>
        <w:t xml:space="preserve">This review of 16 studies and 999 resected patients pools a survival benefit for synchronous resection of liver-only metastatic PDAC (HR 0.41) and usefully catalogues how inconsistently patients are selected - but it pools only unadjusted hazard ratios, never addresses immortal time bias or the chemotherapy imbalance that a parallel 2025 meta-analysis showed explains most of the effect, and its own data (32.5 versus 9.2 months split by RECIST response, best outcomes in patients whose metastases had vanished) point to selection rather than surgery as the explanation.</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meta-analysis included some data from patients who had only a pancreatectomy or who had peritoneal rather than hepatic metastasis; excluding these studies would have left insufficient data to perform a meta-analysis at all</w:t>
            </w:r>
          </w:p>
          <w:p>
            <w:pPr>
              <w:pStyle w:val="ListParagraph"/>
              <w:numPr>
                <w:ilvl w:val="0"/>
                <w:numId w:val="2"/>
              </w:numPr>
              <w:spacing w:after="45"/>
            </w:pPr>
            <w:r>
              <w:rPr>
                <w:sz w:val="15"/>
                <w:szCs w:val="15"/>
              </w:rPr>
              <w:t xml:space="preserve">The retrospective nature of included studies introduces potential biases; surgeon discretion and institutional expertise are significant confounders that are difficult to measure, and high-volume hospitals with experienced surgeons are more likely to undertake complex resections</w:t>
            </w:r>
          </w:p>
          <w:p>
            <w:pPr>
              <w:pStyle w:val="ListParagraph"/>
              <w:numPr>
                <w:ilvl w:val="0"/>
                <w:numId w:val="2"/>
              </w:numPr>
              <w:spacing w:after="45"/>
            </w:pPr>
            <w:r>
              <w:rPr>
                <w:sz w:val="15"/>
                <w:szCs w:val="15"/>
              </w:rPr>
              <w:t xml:space="preserve">Heterogeneity in study design, control groups, resection cohorts and clinicopathological characteristics limits the conclusions from statistical analysis</w:t>
            </w:r>
          </w:p>
          <w:p>
            <w:pPr>
              <w:pStyle w:val="ListParagraph"/>
              <w:numPr>
                <w:ilvl w:val="0"/>
                <w:numId w:val="2"/>
              </w:numPr>
              <w:spacing w:after="45"/>
            </w:pPr>
            <w:r>
              <w:rPr>
                <w:sz w:val="15"/>
                <w:szCs w:val="15"/>
              </w:rPr>
              <w:t xml:space="preserve">No subgroup analysis by type of index operation, so no conclusions about pancreatoduodenectomy versus distal pancreatectomy; one study found a benefit for head resections and another the opposite</w:t>
            </w:r>
          </w:p>
          <w:p>
            <w:pPr>
              <w:pStyle w:val="ListParagraph"/>
              <w:numPr>
                <w:ilvl w:val="0"/>
                <w:numId w:val="2"/>
              </w:numPr>
              <w:spacing w:after="45"/>
            </w:pPr>
            <w:r>
              <w:rPr>
                <w:sz w:val="15"/>
                <w:szCs w:val="15"/>
              </w:rPr>
              <w:t xml:space="preserve">The lack of a consistent definition of hepatic oligometastasis complicates comparisons and underscores the need for a standardised classification</w:t>
            </w:r>
          </w:p>
          <w:p>
            <w:pPr>
              <w:pStyle w:val="ListParagraph"/>
              <w:numPr>
                <w:ilvl w:val="0"/>
                <w:numId w:val="2"/>
              </w:numPr>
              <w:spacing w:after="45"/>
            </w:pPr>
            <w:r>
              <w:rPr>
                <w:sz w:val="15"/>
                <w:szCs w:val="15"/>
              </w:rPr>
              <w:t xml:space="preserve">Heterogeneity in which RECIST classifications individual surgeons considered appropriate for surgery, and a wide array of cut-offs for biomarker response</w:t>
            </w:r>
          </w:p>
          <w:p>
            <w:pPr>
              <w:pStyle w:val="ListParagraph"/>
              <w:numPr>
                <w:ilvl w:val="0"/>
                <w:numId w:val="2"/>
              </w:numPr>
              <w:spacing w:after="45"/>
            </w:pPr>
            <w:r>
              <w:rPr>
                <w:sz w:val="15"/>
                <w:szCs w:val="15"/>
              </w:rPr>
              <w:t xml:space="preserve">No consensus on performance status cut-offs; most studies required 'good performance status' without quantification</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COMPARATOR: 'chemotherapy/palliation alone' pooled across seven studies, with no characterisation of what chemotherapy the control arms received. Unlike D'Ambra, this review performs NO meta-regression on chemotherapy exposure, so the single factor that D'Ambra showed explains 87% of the heterogeneity in essentially the same literature is left entirely unexamined - and the two reviews arrive at the identical HR of 0.41</w:t>
            </w:r>
          </w:p>
          <w:p>
            <w:pPr>
              <w:pStyle w:val="ListParagraph"/>
              <w:numPr>
                <w:ilvl w:val="0"/>
                <w:numId w:val="2"/>
              </w:numPr>
              <w:spacing w:after="45"/>
            </w:pPr>
            <w:r>
              <w:rPr>
                <w:sz w:val="15"/>
                <w:szCs w:val="15"/>
              </w:rPr>
              <w:t xml:space="preserve">I2 OF 12% IS REPORTED AS 'relatively low' HETEROGENEITY FROM SEVEN RETROSPECTIVE STUDIES WITH DIFFERENT DEFINITIONS OF OLIGOMETASTASIS, DIFFERENT CONTROL GROUPS AND DIFFERENT ERAS. D'Ambra's overlapping analysis found I2 64.5%. A near-zero I2 in this setting is more likely to reflect the small number of studies and the use of univariate HRs than genuine consistency, and the authors draw confidence from it</w:t>
            </w:r>
          </w:p>
          <w:p>
            <w:pPr>
              <w:pStyle w:val="ListParagraph"/>
              <w:numPr>
                <w:ilvl w:val="0"/>
                <w:numId w:val="2"/>
              </w:numPr>
              <w:spacing w:after="45"/>
            </w:pPr>
            <w:r>
              <w:rPr>
                <w:sz w:val="15"/>
                <w:szCs w:val="15"/>
              </w:rPr>
              <w:t xml:space="preserve">ONLY UNIVARIATE HAZARD RATIOS WERE POOLED, by explicit design, 'due to the degree of heterogeneity in multivariate analyses'. Pooling deliberately UNADJUSTED estimates from non-randomised studies, in a question dominated by selection, maximises confounding and the paper does not flag this as a limitation</w:t>
            </w:r>
          </w:p>
          <w:p>
            <w:pPr>
              <w:pStyle w:val="ListParagraph"/>
              <w:numPr>
                <w:ilvl w:val="0"/>
                <w:numId w:val="2"/>
              </w:numPr>
              <w:spacing w:after="45"/>
            </w:pPr>
            <w:r>
              <w:rPr>
                <w:sz w:val="15"/>
                <w:szCs w:val="15"/>
              </w:rPr>
              <w:t xml:space="preserve">IMMORTAL TIME BIAS IS NEVER MENTIONED. None of the included studies applied a landmark analysis, every surgical patient had to survive induction chemotherapy and remain fit, and Kaslow's demonstration that a 12-month landmark alone produces 26-month survival without surgery is absent from the discussion - a notable omission in a 2025 review of exactly this question</w:t>
            </w:r>
          </w:p>
          <w:p>
            <w:pPr>
              <w:pStyle w:val="ListParagraph"/>
              <w:numPr>
                <w:ilvl w:val="0"/>
                <w:numId w:val="2"/>
              </w:numPr>
              <w:spacing w:after="45"/>
            </w:pPr>
            <w:r>
              <w:rPr>
                <w:sz w:val="15"/>
                <w:szCs w:val="15"/>
              </w:rPr>
              <w:t xml:space="preserve">THE REVIEW'S OWN DATA UNDERCUT ITS CONCLUSION, AND IT DOES NOT SAY SO. A 32.5-versus-9.2-month gap generated by RECIST response criteria, best outcomes in patients with COMPLETE radiologic regression who had no metastasectomy at all, and three studies showing resected stage IV patients do worse than resected stage I-III patients, together describe a selection phenomenon. The conclusion instead reports 'a strong survival benefit in appropriately selected patients'</w:t>
            </w:r>
          </w:p>
          <w:p>
            <w:pPr>
              <w:pStyle w:val="ListParagraph"/>
              <w:numPr>
                <w:ilvl w:val="0"/>
                <w:numId w:val="2"/>
              </w:numPr>
              <w:spacing w:after="45"/>
            </w:pPr>
            <w:r>
              <w:rPr>
                <w:sz w:val="15"/>
                <w:szCs w:val="15"/>
              </w:rPr>
              <w:t xml:space="preserve">NOT PROSPECTIVELY REGISTERED (stated explicitly), and 71 of 142 screened records - half the evidence base - were added by 'citation searching and hand selection' rather than the database search, which is not a reproducible search strategy</w:t>
            </w:r>
          </w:p>
          <w:p>
            <w:pPr>
              <w:pStyle w:val="ListParagraph"/>
              <w:numPr>
                <w:ilvl w:val="0"/>
                <w:numId w:val="2"/>
              </w:numPr>
              <w:spacing w:after="45"/>
            </w:pPr>
            <w:r>
              <w:rPr>
                <w:sz w:val="15"/>
                <w:szCs w:val="15"/>
              </w:rPr>
              <w:t xml:space="preserve">THE POOLED COHORT IS NOT WHAT THE TITLE DESCRIBES: Hank contributes 26/93 patients with peritoneal or nodal rather than hepatic metastases, Crippa contributes 8/11 patients whose liver metastases had disappeared, Takeda 5/10 whose lesions were undetectable intraoperatively. The authors state that excluding these would leave too few studies to pool - which is an argument for not pooling</w:t>
            </w:r>
          </w:p>
          <w:p>
            <w:pPr>
              <w:pStyle w:val="ListParagraph"/>
              <w:numPr>
                <w:ilvl w:val="0"/>
                <w:numId w:val="2"/>
              </w:numPr>
              <w:spacing w:after="45"/>
            </w:pPr>
            <w:r>
              <w:rPr>
                <w:sz w:val="15"/>
                <w:szCs w:val="15"/>
              </w:rPr>
              <w:t xml:space="preserve">SUBSTANTIAL OVERLAP WITH D'AMBRA 2025 (Shao, Shi, Pausch, Hank and others appear in both) means the two apparently independent 2025 meta-analyses reporting HR 0.41 are largely the same patients, and a pathway that cites both is double-counting one evidence base</w:t>
            </w:r>
          </w:p>
          <w:p>
            <w:pPr>
              <w:pStyle w:val="ListParagraph"/>
              <w:numPr>
                <w:ilvl w:val="0"/>
                <w:numId w:val="2"/>
              </w:numPr>
              <w:spacing w:after="45"/>
            </w:pPr>
            <w:r>
              <w:rPr>
                <w:sz w:val="15"/>
                <w:szCs w:val="15"/>
              </w:rPr>
              <w:t xml:space="preserve">THE EXTEND TRIAL IS INVOKED AS RANDOMISED SUPPORT BUT TESTS SOMETHING ELSE: it is a phase 2 trial of metastasis-directed therapy (largely radiotherapy) added to systemic treatment, reporting progression-free survival, not pancreatectomy plus hepatectomy and not overall survival. Using it to reinforce a surgical conclusion is a category substitution</w:t>
            </w:r>
          </w:p>
          <w:p>
            <w:pPr>
              <w:pStyle w:val="ListParagraph"/>
              <w:numPr>
                <w:ilvl w:val="0"/>
                <w:numId w:val="2"/>
              </w:numPr>
              <w:spacing w:after="45"/>
            </w:pPr>
            <w:r>
              <w:rPr>
                <w:sz w:val="15"/>
                <w:szCs w:val="15"/>
              </w:rPr>
              <w:t xml:space="preserve">The review's genuinely useful output - that selection should rest on achievable R0 resection and demonstrated response rather than an arbitrary lesion count, and that CA19-9, margin, grade and preoperative chemotherapy predict outcome - is a narrative synthesis of heterogeneous reporting, not a quantitative finding, and the paper is clear that no meta-analysis of selection factors was possible</w:t>
            </w:r>
          </w:p>
        </w:tc>
      </w:tr>
    </w:tbl>
    <w:p>
      <w:pPr>
        <w:spacing w:after="0" w:line="276"/>
      </w:pPr>
      <w:r>
        <w:rPr>
          <w:color w:val="5A6069"/>
          <w:sz w:val="14"/>
          <w:szCs w:val="14"/>
        </w:rPr>
        <w:t xml:space="preserve">Funding: Funded internally by the University of Louisville Division of Surgical Oncology (no grant number). The authors declare no conflicts of interest.</w:t>
      </w:r>
    </w:p>
    <w:p>
      <w:pPr>
        <w:keepNext/>
        <w:spacing w:after="50" w:before="260"/>
      </w:pPr>
      <w:r>
        <w:rPr>
          <w:rFonts w:ascii="Cambria" w:cs="Cambria" w:eastAsia="Cambria" w:hAnsi="Cambria"/>
          <w:b/>
          <w:bCs/>
          <w:color w:val="17365D"/>
          <w:sz w:val="20"/>
          <w:szCs w:val="20"/>
        </w:rPr>
        <w:t xml:space="preserve">CONKO-001</w:t>
      </w:r>
      <w:r>
        <w:rPr>
          <w:b/>
          <w:bCs/>
          <w:color w:val="176A87"/>
          <w:sz w:val="15"/>
          <w:szCs w:val="15"/>
        </w:rPr>
        <w:t xml:space="preserve">   Randomised trial</w:t>
      </w:r>
      <w:r>
        <w:rPr>
          <w:color w:val="5A6069"/>
          <w:sz w:val="15"/>
          <w:szCs w:val="15"/>
        </w:rPr>
        <w:t xml:space="preserve">   PMID 24104372</w:t>
      </w:r>
    </w:p>
    <w:p>
      <w:pPr>
        <w:spacing w:after="50" w:line="276"/>
      </w:pPr>
      <w:r>
        <w:rPr>
          <w:color w:val="5A6069"/>
          <w:sz w:val="17"/>
          <w:szCs w:val="17"/>
        </w:rPr>
        <w:t xml:space="preserve">Adjuvant Chemotherapy With Gemcitabine and Long-term Outcomes Among Patients With Resected Pancreatic Cancer: The CONKO-001 Randomized Trial.</w:t>
      </w:r>
    </w:p>
    <w:p>
      <w:pPr>
        <w:spacing w:after="50"/>
      </w:pPr>
      <w:r>
        <w:rPr>
          <w:b/>
          <w:bCs/>
          <w:color w:val="176A87"/>
          <w:sz w:val="16"/>
          <w:szCs w:val="16"/>
        </w:rPr>
        <w:t xml:space="preserve">Population. </w:t>
      </w:r>
      <w:r>
        <w:rPr>
          <w:sz w:val="16"/>
          <w:szCs w:val="16"/>
        </w:rPr>
        <w:t xml:space="preserve">368 randomised, 354 eligible for intention-to-treat analysis (179 gemcitabine, 175 observation); 316 deaths (89.3%)</w:t>
      </w:r>
    </w:p>
    <w:p>
      <w:pPr>
        <w:spacing w:after="70"/>
      </w:pPr>
      <w:r>
        <w:rPr>
          <w:b/>
          <w:bCs/>
          <w:color w:val="17365D"/>
          <w:sz w:val="16"/>
          <w:szCs w:val="16"/>
        </w:rPr>
        <w:t xml:space="preserve">Bottom line. </w:t>
      </w:r>
      <w:r>
        <w:rPr>
          <w:sz w:val="16"/>
          <w:szCs w:val="16"/>
        </w:rPr>
        <w:t xml:space="preserve">CONKO-001 established that six months of adjuvant gemcitabine after macroscopically complete resection improves disease-free survival (13.4 vs 6.7 months) and long-term overall survival (5-year 20.7% vs 10.4%) compared with observation, but in a population pre-selected for postoperative CA19-9 below 92.5 kU/L, with only a 2.6-month difference in median survival, and in a design that is effectively immediate versus delayed gemcitabine.</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authors note that, given the high relapse rate in the first year and the fact that gemcitabine was standard therapy at relapse, the design can be seen as a study of IMMEDIATE versus DELAYED postoperative gemcitabine rather than of chemotherapy versus none</w:t>
            </w:r>
          </w:p>
          <w:p>
            <w:pPr>
              <w:pStyle w:val="ListParagraph"/>
              <w:numPr>
                <w:ilvl w:val="0"/>
                <w:numId w:val="2"/>
              </w:numPr>
              <w:spacing w:after="45"/>
            </w:pPr>
            <w:r>
              <w:rPr>
                <w:sz w:val="15"/>
                <w:szCs w:val="15"/>
              </w:rPr>
              <w:t xml:space="preserve">The trial was community-based without uniform surgical standards and without centralised pathology review; the authors frame this as generalisability rather than a weakness</w:t>
            </w:r>
          </w:p>
          <w:p>
            <w:pPr>
              <w:pStyle w:val="ListParagraph"/>
              <w:numPr>
                <w:ilvl w:val="0"/>
                <w:numId w:val="2"/>
              </w:numPr>
              <w:spacing w:after="45"/>
            </w:pPr>
            <w:r>
              <w:rPr>
                <w:sz w:val="15"/>
                <w:szCs w:val="15"/>
              </w:rPr>
              <w:t xml:space="preserve">Subgroup analyses were predefined but exploratory with limited power</w:t>
            </w:r>
          </w:p>
          <w:p>
            <w:pPr>
              <w:pStyle w:val="ListParagraph"/>
              <w:numPr>
                <w:ilvl w:val="0"/>
                <w:numId w:val="2"/>
              </w:numPr>
              <w:spacing w:after="45"/>
            </w:pPr>
            <w:r>
              <w:rPr>
                <w:sz w:val="15"/>
                <w:szCs w:val="15"/>
              </w:rPr>
              <w:t xml:space="preserve">Overall survival was a secondary endpoint; the trial was powered on disease-free survival</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COMPARATOR: THE CONTROL ARM RECEIVED NO ADJUVANT TREATMENT AT ALL - observation only. This makes CONKO-001 the foundation of adjuvant therapy but also means it says nothing about any modern regimen; every later trial measures against gemcitabine, which this trial only establishes as better than nothing</w:t>
            </w:r>
          </w:p>
          <w:p>
            <w:pPr>
              <w:pStyle w:val="ListParagraph"/>
              <w:numPr>
                <w:ilvl w:val="0"/>
                <w:numId w:val="2"/>
              </w:numPr>
              <w:spacing w:after="45"/>
            </w:pPr>
            <w:r>
              <w:rPr>
                <w:sz w:val="15"/>
                <w:szCs w:val="15"/>
              </w:rPr>
              <w:t xml:space="preserve">NON-RECEIPT OF ALLOCATED TREATMENT: 18/186 (10%) randomised to gemcitabine never started it, mostly because of postoperative complications and wound-healing problems, and only 111/186 (62%) completed all six cycles. The observation arm by definition had no treatment to fail to receive, so non-receipt is entirely one-sided and biases the ITT comparison TOWARD the null - a point in the trial's favour</w:t>
            </w:r>
          </w:p>
          <w:p>
            <w:pPr>
              <w:pStyle w:val="ListParagraph"/>
              <w:numPr>
                <w:ilvl w:val="0"/>
                <w:numId w:val="2"/>
              </w:numPr>
              <w:spacing w:after="45"/>
            </w:pPr>
            <w:r>
              <w:rPr>
                <w:sz w:val="15"/>
                <w:szCs w:val="15"/>
              </w:rPr>
              <w:t xml:space="preserve">THE ELIGIBILITY CRITERION OF POSTOPERATIVE CA19-9 BELOW 2.5x NORMAL (about 92.5 kU/L) SILENTLY EXCLUDED THE WORST-PROGNOSIS PATIENTS. ESPAC-4 later showed that the 17% of resected patients with CA19-9 above 92.5 kU/L have a median survival of 13.1 months versus 29.6 months below it. CONKO-001's survival curves therefore describe a favourably selected population, and its 20.7% 5-year figure cannot be read as the outcome of adjuvant gemcitabine in all comers. The paper does not flag this, and ESPAC-4's authors had to point it out</w:t>
            </w:r>
          </w:p>
          <w:p>
            <w:pPr>
              <w:pStyle w:val="ListParagraph"/>
              <w:numPr>
                <w:ilvl w:val="0"/>
                <w:numId w:val="2"/>
              </w:numPr>
              <w:spacing w:after="45"/>
            </w:pPr>
            <w:r>
              <w:rPr>
                <w:sz w:val="15"/>
                <w:szCs w:val="15"/>
              </w:rPr>
              <w:t xml:space="preserve">The primary endpoint was DISEASE-FREE SURVIVAL assessed in part by abdominal ultrasound every 8 weeks with no central radiology review and with recurrence dated from 'the first subjective symptom indicating relapse' - an unblinded, partly symptom-driven endpoint in an open-label trial, which is exactly the setting in which detection bias inflates a DFS difference. The 2.4-fold DFS difference (13.4 vs 6.7 months) sits oddly beside a 2.6-month median OS difference</w:t>
            </w:r>
          </w:p>
          <w:p>
            <w:pPr>
              <w:pStyle w:val="ListParagraph"/>
              <w:numPr>
                <w:ilvl w:val="0"/>
                <w:numId w:val="2"/>
              </w:numPr>
              <w:spacing w:after="45"/>
            </w:pPr>
            <w:r>
              <w:rPr>
                <w:sz w:val="15"/>
                <w:szCs w:val="15"/>
              </w:rPr>
              <w:t xml:space="preserve">OVERALL SURVIVAL WAS A SECONDARY ENDPOINT THAT BECAME SIGNIFICANT ONLY ON THE FINAL OF SEVERAL ANALYSES, nine years after the primary report; no multiplicity adjustment is reported for this repeated testing, and the paper presents P=.01 as if from a single prespecified analysis</w:t>
            </w:r>
          </w:p>
          <w:p>
            <w:pPr>
              <w:pStyle w:val="ListParagraph"/>
              <w:numPr>
                <w:ilvl w:val="0"/>
                <w:numId w:val="2"/>
              </w:numPr>
              <w:spacing w:after="45"/>
            </w:pPr>
            <w:r>
              <w:rPr>
                <w:sz w:val="15"/>
                <w:szCs w:val="15"/>
              </w:rPr>
              <w:t xml:space="preserve">NO CENTRAL PATHOLOGY REVIEW means R0/R1 and nodal status - two of the three stratification factors - were assigned locally across 88 centres with no uniform margin definition; the modern &lt;=1 mm R1 definition was not in general use in 1998-2004, so the R1 subgroup (19% and 15%) is not comparable with later trials where R1 rates were 40-60%</w:t>
            </w:r>
          </w:p>
          <w:p>
            <w:pPr>
              <w:pStyle w:val="ListParagraph"/>
              <w:numPr>
                <w:ilvl w:val="0"/>
                <w:numId w:val="2"/>
              </w:numPr>
              <w:spacing w:after="45"/>
            </w:pPr>
            <w:r>
              <w:rPr>
                <w:sz w:val="15"/>
                <w:szCs w:val="15"/>
              </w:rPr>
              <w:t xml:space="preserve">The observation arm received predominantly gemcitabine at relapse, so the trial compares early with late gemcitabine; a pathway cannot cite it for the proposition that adjuvant chemotherapy adds survival over the same drug given at recurrence</w:t>
            </w:r>
          </w:p>
          <w:p>
            <w:pPr>
              <w:pStyle w:val="ListParagraph"/>
              <w:numPr>
                <w:ilvl w:val="0"/>
                <w:numId w:val="2"/>
              </w:numPr>
              <w:spacing w:after="45"/>
            </w:pPr>
            <w:r>
              <w:rPr>
                <w:sz w:val="15"/>
                <w:szCs w:val="15"/>
              </w:rPr>
              <w:t xml:space="preserve">The paper's own abstract reports median DFS in the observation arm as 6.7 months while the discussion quotes 6.9 months, and the discussion's comparison with JSAP-02 uses the latter - a small internal inconsistency in the headline number</w:t>
            </w:r>
          </w:p>
          <w:p>
            <w:pPr>
              <w:pStyle w:val="ListParagraph"/>
              <w:numPr>
                <w:ilvl w:val="0"/>
                <w:numId w:val="2"/>
              </w:numPr>
              <w:spacing w:after="45"/>
            </w:pPr>
            <w:r>
              <w:rPr>
                <w:sz w:val="15"/>
                <w:szCs w:val="15"/>
              </w:rPr>
              <w:t xml:space="preserve">Funding came in part from Lilly Germany, the manufacturer of gemcitabine, and one author was a former Eli Lilly employee holding Lilly stock. The sponsor is stated to have had no role, and statistical analysis was performed independently at Charite, but the drug being tested was the sponsor's product</w:t>
            </w:r>
          </w:p>
          <w:p>
            <w:pPr>
              <w:pStyle w:val="ListParagraph"/>
              <w:numPr>
                <w:ilvl w:val="0"/>
                <w:numId w:val="2"/>
              </w:numPr>
              <w:spacing w:after="45"/>
            </w:pPr>
            <w:r>
              <w:rPr>
                <w:sz w:val="15"/>
                <w:szCs w:val="15"/>
              </w:rPr>
              <w:t xml:space="preserve">Enrolment ran 1998-2004 with surgery performed to institutional standards; perioperative mortality, lymphadenectomy extent and imaging have all changed, so the 20.2-month observation-arm survival is not a usable benchmark for a contemporary pathway</w:t>
            </w:r>
          </w:p>
        </w:tc>
      </w:tr>
    </w:tbl>
    <w:p>
      <w:pPr>
        <w:spacing w:after="0" w:line="276"/>
      </w:pPr>
      <w:r>
        <w:rPr>
          <w:color w:val="5A6069"/>
          <w:sz w:val="14"/>
          <w:szCs w:val="14"/>
        </w:rPr>
        <w:t xml:space="preserve">Funding: Supported in part by a grant from Lilly Germany (manufacturer of gemcitabine), by the German Cancer Society (section AIO) and by a research grant from Charite-Universitaetsmedizin Berlin. Stated to be an investigator-initiated trial with Lilly having no role in design, conduct, analysis or publication; statistical analysis performed independently of the sponsor. Dr Oettle reports honoraria from Roche, Celgene and Fresenius; Dr Riess from nine companies; Dr Arning is a former Eli Lilly employee and owns Lilly stock.</w:t>
      </w:r>
    </w:p>
    <w:p>
      <w:pPr>
        <w:keepNext/>
        <w:spacing w:after="50" w:before="260"/>
      </w:pPr>
      <w:r>
        <w:rPr>
          <w:rFonts w:ascii="Cambria" w:cs="Cambria" w:eastAsia="Cambria" w:hAnsi="Cambria"/>
          <w:b/>
          <w:bCs/>
          <w:color w:val="17365D"/>
          <w:sz w:val="20"/>
          <w:szCs w:val="20"/>
        </w:rPr>
        <w:t xml:space="preserve">CONKO-007</w:t>
      </w:r>
      <w:r>
        <w:rPr>
          <w:b/>
          <w:bCs/>
          <w:color w:val="176A87"/>
          <w:sz w:val="15"/>
          <w:szCs w:val="15"/>
        </w:rPr>
        <w:t xml:space="preserve">   Randomised trial</w:t>
      </w:r>
      <w:r>
        <w:rPr>
          <w:color w:val="5A6069"/>
          <w:sz w:val="15"/>
          <w:szCs w:val="15"/>
        </w:rPr>
        <w:t xml:space="preserve">   PMID 40802908</w:t>
      </w:r>
    </w:p>
    <w:p>
      <w:pPr>
        <w:spacing w:after="50" w:line="276"/>
      </w:pPr>
      <w:r>
        <w:rPr>
          <w:color w:val="5A6069"/>
          <w:sz w:val="17"/>
          <w:szCs w:val="17"/>
        </w:rPr>
        <w:t xml:space="preserve">Benefit of Chemoradiotherapy Versus Chemotherapy After Induction Therapy for Conversion of Unresectable Into Resectable Pancreatic Cancer: The Randomized CONKO-007 Trial.</w:t>
      </w:r>
    </w:p>
    <w:p>
      <w:pPr>
        <w:spacing w:after="50"/>
      </w:pPr>
      <w:r>
        <w:rPr>
          <w:b/>
          <w:bCs/>
          <w:color w:val="176A87"/>
          <w:sz w:val="16"/>
          <w:szCs w:val="16"/>
        </w:rPr>
        <w:t xml:space="preserve">Population. </w:t>
      </w:r>
      <w:r>
        <w:rPr>
          <w:sz w:val="16"/>
          <w:szCs w:val="16"/>
        </w:rPr>
        <w:t xml:space="preserve">525 enrolled, 495 received induction, 336 randomised (167 chemotherapy, 169 chemoradiotherapy); 122 underwent surgery; 450 deaths</w:t>
      </w:r>
    </w:p>
    <w:p>
      <w:pPr>
        <w:spacing w:after="70"/>
      </w:pPr>
      <w:r>
        <w:rPr>
          <w:b/>
          <w:bCs/>
          <w:color w:val="17365D"/>
          <w:sz w:val="16"/>
          <w:szCs w:val="16"/>
        </w:rPr>
        <w:t xml:space="preserve">Bottom line. </w:t>
      </w:r>
      <w:r>
        <w:rPr>
          <w:sz w:val="16"/>
          <w:szCs w:val="16"/>
        </w:rPr>
        <w:t xml:space="preserve">CONKO-007 failed its primary endpoint - consolidation chemoradiotherapy after mostly FOLFIRINOX induction did not raise the overall R0 resection rate (25% vs 18%, P=.113) or survival (15 vs 14 months, HR 0.94) in unresectable pancreatic cancer - but it halved locoregional recurrence and, among the third of patients who reached surgery, raised R0 from 50% to 69%; its primary endpoint was changed mid-trial and powered from its own unblinded interim data, its surgical comparisons are not randomised, and its radiotherapy was never centrally reviewed.</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primary endpoint had to be CHANGED from overall survival to R0 resection rate because otherwise the study would not have been completed, which the authors acknowledge might have altered the type I error</w:t>
            </w:r>
          </w:p>
          <w:p>
            <w:pPr>
              <w:pStyle w:val="ListParagraph"/>
              <w:numPr>
                <w:ilvl w:val="0"/>
                <w:numId w:val="2"/>
              </w:numPr>
              <w:spacing w:after="45"/>
            </w:pPr>
            <w:r>
              <w:rPr>
                <w:sz w:val="15"/>
                <w:szCs w:val="15"/>
              </w:rPr>
              <w:t xml:space="preserve">The knowledge that R0 resection leads to better outcomes certainly changed the behaviour of the treating physicians</w:t>
            </w:r>
          </w:p>
          <w:p>
            <w:pPr>
              <w:pStyle w:val="ListParagraph"/>
              <w:numPr>
                <w:ilvl w:val="0"/>
                <w:numId w:val="2"/>
              </w:numPr>
              <w:spacing w:after="45"/>
            </w:pPr>
            <w:r>
              <w:rPr>
                <w:sz w:val="15"/>
                <w:szCs w:val="15"/>
              </w:rPr>
              <w:t xml:space="preserve">The radiotherapy protocol was described in detail but, for financial reasons, radiation was NOT centrally reviewed</w:t>
            </w:r>
          </w:p>
          <w:p>
            <w:pPr>
              <w:pStyle w:val="ListParagraph"/>
              <w:numPr>
                <w:ilvl w:val="0"/>
                <w:numId w:val="2"/>
              </w:numPr>
              <w:spacing w:after="45"/>
            </w:pPr>
            <w:r>
              <w:rPr>
                <w:sz w:val="15"/>
                <w:szCs w:val="15"/>
              </w:rPr>
              <w:t xml:space="preserve">Resectability was assessed locally and by a central tumour board, but it cannot be ruled out that uninvolved surgeons would have classified some cases as borderline resectable</w:t>
            </w:r>
          </w:p>
          <w:p>
            <w:pPr>
              <w:pStyle w:val="ListParagraph"/>
              <w:numPr>
                <w:ilvl w:val="0"/>
                <w:numId w:val="2"/>
              </w:numPr>
              <w:spacing w:after="45"/>
            </w:pPr>
            <w:r>
              <w:rPr>
                <w:sz w:val="15"/>
                <w:szCs w:val="15"/>
              </w:rPr>
              <w:t xml:space="preserve">Molecular parameters were not considered in the analysis</w:t>
            </w:r>
          </w:p>
          <w:p>
            <w:pPr>
              <w:pStyle w:val="ListParagraph"/>
              <w:numPr>
                <w:ilvl w:val="0"/>
                <w:numId w:val="2"/>
              </w:numPr>
              <w:spacing w:after="45"/>
            </w:pPr>
            <w:r>
              <w:rPr>
                <w:sz w:val="15"/>
                <w:szCs w:val="15"/>
              </w:rPr>
              <w:t xml:space="preserve">The study did not have sufficient statistical power to detect a difference in overall survival and can at best indicate which patients might benefit</w:t>
            </w:r>
          </w:p>
          <w:p>
            <w:pPr>
              <w:pStyle w:val="ListParagraph"/>
              <w:numPr>
                <w:ilvl w:val="0"/>
                <w:numId w:val="2"/>
              </w:numPr>
              <w:spacing w:after="45"/>
            </w:pPr>
            <w:r>
              <w:rPr>
                <w:sz w:val="15"/>
                <w:szCs w:val="15"/>
              </w:rPr>
              <w:t xml:space="preserve">Gemcitabine rather than capecitabine was given concurrently with radiotherapy; SCALOP data suggesting capecitabine-based chemoradiotherapy is better appeared after the trial had progressed too far to change the protocol</w:t>
            </w:r>
          </w:p>
          <w:p>
            <w:pPr>
              <w:pStyle w:val="ListParagraph"/>
              <w:numPr>
                <w:ilvl w:val="0"/>
                <w:numId w:val="2"/>
              </w:numPr>
              <w:spacing w:after="45"/>
            </w:pPr>
            <w:r>
              <w:rPr>
                <w:sz w:val="15"/>
                <w:szCs w:val="15"/>
              </w:rPr>
              <w:t xml:space="preserve">nab-paclitaxel plus gemcitabine was not opened as an additional arm when it became available in 2013-2014, to avoid further diversification</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COMPARATOR: continuation of the SAME induction chemotherapy. Because 84-87% of randomised patients had FOLFIRINOX induction, this is the only randomised trial to test consolidation chemoradiotherapy on a modern chemotherapy backbone - a genuine advance over LAP07. But no arm received upfront surgery or adjuvant therapy, so the trial speaks only to the radiotherapy question in unresectable disease</w:t>
            </w:r>
          </w:p>
          <w:p>
            <w:pPr>
              <w:pStyle w:val="ListParagraph"/>
              <w:numPr>
                <w:ilvl w:val="0"/>
                <w:numId w:val="2"/>
              </w:numPr>
              <w:spacing w:after="45"/>
            </w:pPr>
            <w:r>
              <w:rPr>
                <w:sz w:val="15"/>
                <w:szCs w:val="15"/>
              </w:rPr>
              <w:t xml:space="preserve">THE PRIMARY ENDPOINT WAS CHANGED MID-TRIAL FROM OVERALL SURVIVAL TO R0 RESECTION RATE, AND THE NEW ENDPOINT'S EFFECT SIZE WAS CALCULATED FROM UNBLINDED INTERIM DATA ON 180 ALREADY-ENROLLED PATIENTS, in which the R0 rate in one arm was already 'nearly twice as high' (30.2% vs 17.0%). The trial was then powered to detect exactly the difference its own interim data had shown. This is the most serious methodological problem in the depot: the sample size and the hypothesis were set using the result. The authors flag the type I error implication in one sentence but the trial still failed even this favourably chosen endpoint (P=.113)</w:t>
            </w:r>
          </w:p>
          <w:p>
            <w:pPr>
              <w:pStyle w:val="ListParagraph"/>
              <w:numPr>
                <w:ilvl w:val="0"/>
                <w:numId w:val="2"/>
              </w:numPr>
              <w:spacing w:after="45"/>
            </w:pPr>
            <w:r>
              <w:rPr>
                <w:sz w:val="15"/>
                <w:szCs w:val="15"/>
              </w:rPr>
              <w:t xml:space="preserve">THE HEADLINE POSITIVE RESULT IS CONDITIONAL ON SURGERY, WHICH WAS NOT RANDOMISED. R0 69% versus 50% is calculated among the 122 patients who went to the operating theatre - a group selected by panel recommendation, physician behaviour and patient fitness after treatment. The authors state plainly that physicians' knowledge of the R0 endpoint changed their behaviour, which is precisely the mechanism that could produce an R0 difference in the operated subset with no difference in the randomised population</w:t>
            </w:r>
          </w:p>
          <w:p>
            <w:pPr>
              <w:pStyle w:val="ListParagraph"/>
              <w:numPr>
                <w:ilvl w:val="0"/>
                <w:numId w:val="2"/>
              </w:numPr>
              <w:spacing w:after="45"/>
            </w:pPr>
            <w:r>
              <w:rPr>
                <w:sz w:val="15"/>
                <w:szCs w:val="15"/>
              </w:rPr>
              <w:t xml:space="preserve">NON-RECEIPT AND ATTRITION: 30/525 enrolled were excluded before induction (screening failure or withdrawal) and 159/495 (32.1%) progressed during induction and were never randomised. Within the randomised arms, 41/167 and 33/169 discontinued allocated treatment. The 336 randomised patients are the 64% of enrolled patients who survived and responded to three months of chemotherapy, and their 18-month median survival cannot be transferred to an unselected locally advanced population whose true median including non-randomised patients was 15 months</w:t>
            </w:r>
          </w:p>
          <w:p>
            <w:pPr>
              <w:pStyle w:val="ListParagraph"/>
              <w:numPr>
                <w:ilvl w:val="0"/>
                <w:numId w:val="2"/>
              </w:numPr>
              <w:spacing w:after="45"/>
            </w:pPr>
            <w:r>
              <w:rPr>
                <w:sz w:val="15"/>
                <w:szCs w:val="15"/>
              </w:rPr>
              <w:t xml:space="preserve">RADIOTHERAPY WAS NOT CENTRALLY REVIEWED, FOR STATED FINANCIAL REASONS, in a trial whose entire question is whether radiotherapy helps. LAP07, which did review radiotherapy, found 18% major deviations; CONKO-007 has no way to know its own delivery quality</w:t>
            </w:r>
          </w:p>
          <w:p>
            <w:pPr>
              <w:pStyle w:val="ListParagraph"/>
              <w:numPr>
                <w:ilvl w:val="0"/>
                <w:numId w:val="2"/>
              </w:numPr>
              <w:spacing w:after="45"/>
            </w:pPr>
            <w:r>
              <w:rPr>
                <w:sz w:val="15"/>
                <w:szCs w:val="15"/>
              </w:rPr>
              <w:t xml:space="preserve">THE 5-YEAR SURVIVAL CLAIM (10.1% vs 3.8%, and 24.8% vs 11.9% in operated patients) IS A TAIL COMPARISON INSIDE A NULL TRIAL, reported without a p value for the 5-year rates and with standard errors of 2.5% and 1.8% on a handful of patients (8 and 4 at risk at 60 months). The discussion asserts the 5-year rates were 'at least twice as high' with chemoradiotherapy; the trial's own survival analysis found HR 0.94, P=.57</w:t>
            </w:r>
          </w:p>
          <w:p>
            <w:pPr>
              <w:pStyle w:val="ListParagraph"/>
              <w:numPr>
                <w:ilvl w:val="0"/>
                <w:numId w:val="2"/>
              </w:numPr>
              <w:spacing w:after="45"/>
            </w:pPr>
            <w:r>
              <w:rPr>
                <w:sz w:val="15"/>
                <w:szCs w:val="15"/>
              </w:rPr>
              <w:t xml:space="preserve">GEMCITABINE WAS USED AS THE RADIOSENSITISER, which the authors concede SCALOP suggests is inferior to capecitabine, and gemcitabine induction patients (19% of the randomised population) had a far worse course - so the trial mixes two induction regimens with very different progression rates (47% vs 29%) and stratifies on but does not separately power for this</w:t>
            </w:r>
          </w:p>
          <w:p>
            <w:pPr>
              <w:pStyle w:val="ListParagraph"/>
              <w:numPr>
                <w:ilvl w:val="0"/>
                <w:numId w:val="2"/>
              </w:numPr>
              <w:spacing w:after="45"/>
            </w:pPr>
            <w:r>
              <w:rPr>
                <w:sz w:val="15"/>
                <w:szCs w:val="15"/>
              </w:rPr>
              <w:t xml:space="preserve">TOXICITY IS REPORTED ONLY AS A TABLE WHOSE NUMBERS ARE MISSING FROM THE EXTRACTED TEXT (the grade 3-4 adverse event counts in Table 3 did not extract), so the magnitude of the significant leukopenia and thrombocytopenia differences cannot be verified from this copy of the paper</w:t>
            </w:r>
          </w:p>
          <w:p>
            <w:pPr>
              <w:pStyle w:val="ListParagraph"/>
              <w:numPr>
                <w:ilvl w:val="0"/>
                <w:numId w:val="2"/>
              </w:numPr>
              <w:spacing w:after="45"/>
            </w:pPr>
            <w:r>
              <w:rPr>
                <w:sz w:val="15"/>
                <w:szCs w:val="15"/>
              </w:rPr>
              <w:t xml:space="preserve">AN 8% 30-DAY POSTOPERATIVE MORTALITY IN BOTH ARMS (5/60 and 5/62) IS HIGH and is presented as reassuring because it did not differ between arms. For a pathway weighing conversion surgery in locally advanced disease, one in twelve operative deaths is a material harm that the paper's conclusion ('without increasing postsurgical mortality') does not surface</w:t>
            </w:r>
          </w:p>
          <w:p>
            <w:pPr>
              <w:pStyle w:val="ListParagraph"/>
              <w:numPr>
                <w:ilvl w:val="0"/>
                <w:numId w:val="2"/>
              </w:numPr>
              <w:spacing w:after="45"/>
            </w:pPr>
            <w:r>
              <w:rPr>
                <w:sz w:val="15"/>
                <w:szCs w:val="15"/>
              </w:rPr>
              <w:t xml:space="preserve">THE CONCLUSION THAT 'SECONDARY SURGERY IS ASSOCIATED WITH A SUPERIOR PROGNOSIS' RESTS ENTIRELY ON A NON-RANDOMISED COMPARISON (HR 0.53) between patients fit and responsive enough to be operated and those who were not. This is the oldest confounding in surgical oncology and the paper does not adjust for response, CA 19-9 trajectory or performance status in that comparison</w:t>
            </w:r>
          </w:p>
          <w:p>
            <w:pPr>
              <w:pStyle w:val="ListParagraph"/>
              <w:numPr>
                <w:ilvl w:val="0"/>
                <w:numId w:val="2"/>
              </w:numPr>
              <w:spacing w:after="45"/>
            </w:pPr>
            <w:r>
              <w:rPr>
                <w:sz w:val="15"/>
                <w:szCs w:val="15"/>
              </w:rPr>
              <w:t xml:space="preserve">Industry disclosures are extensive for the first author (honoraria from MSD, AstraZeneca, Novocure, Merck Serono, Sennewald, Siemens Healthineers), relevant in a trial adjudicating radiotherapy, though funding came from German Cancer Aid</w:t>
            </w:r>
          </w:p>
        </w:tc>
      </w:tr>
    </w:tbl>
    <w:p>
      <w:pPr>
        <w:spacing w:after="0" w:line="276"/>
      </w:pPr>
      <w:r>
        <w:rPr>
          <w:color w:val="5A6069"/>
          <w:sz w:val="14"/>
          <w:szCs w:val="14"/>
        </w:rPr>
        <w:t xml:space="preserve">Funding: German Cancer Aid (Deutsche Krebshilfe 109284); the German Cancer Society is stated not to have influenced the design or analysis. Investigator-initiated. The first author reports honoraria from Merck Sharp &amp; Dohme, AstraZeneca, Novocure, Merck Serono, Sennewald GmbH, MSD Oncology and Siemens Healthineers.</w:t>
      </w:r>
    </w:p>
    <w:p>
      <w:pPr>
        <w:keepNext/>
        <w:spacing w:after="50" w:before="260"/>
      </w:pPr>
      <w:r>
        <w:rPr>
          <w:rFonts w:ascii="Cambria" w:cs="Cambria" w:eastAsia="Cambria" w:hAnsi="Cambria"/>
          <w:b/>
          <w:bCs/>
          <w:color w:val="17365D"/>
          <w:sz w:val="20"/>
          <w:szCs w:val="20"/>
        </w:rPr>
        <w:t xml:space="preserve">D'Ambra meta-analysis</w:t>
      </w:r>
      <w:r>
        <w:rPr>
          <w:b/>
          <w:bCs/>
          <w:color w:val="176A87"/>
          <w:sz w:val="15"/>
          <w:szCs w:val="15"/>
        </w:rPr>
        <w:t xml:space="preserve">   Meta-analysis</w:t>
      </w:r>
      <w:r>
        <w:rPr>
          <w:color w:val="5A6069"/>
          <w:sz w:val="15"/>
          <w:szCs w:val="15"/>
        </w:rPr>
        <w:t xml:space="preserve">   PMID 39837137</w:t>
      </w:r>
    </w:p>
    <w:p>
      <w:pPr>
        <w:spacing w:after="50" w:line="276"/>
      </w:pPr>
      <w:r>
        <w:rPr>
          <w:color w:val="5A6069"/>
          <w:sz w:val="17"/>
          <w:szCs w:val="17"/>
        </w:rPr>
        <w:t xml:space="preserve">Stage IV pancreatic ductal adenocarcinoma (PDAC) with synchronous liver metastasis: are there survival benefits in liver resection? A systematic review and meta-analysis.</w:t>
      </w:r>
    </w:p>
    <w:p>
      <w:pPr>
        <w:spacing w:after="50"/>
      </w:pPr>
      <w:r>
        <w:rPr>
          <w:b/>
          <w:bCs/>
          <w:color w:val="176A87"/>
          <w:sz w:val="16"/>
          <w:szCs w:val="16"/>
        </w:rPr>
        <w:t xml:space="preserve">Population. </w:t>
      </w:r>
      <w:r>
        <w:rPr>
          <w:sz w:val="16"/>
          <w:szCs w:val="16"/>
        </w:rPr>
        <w:t xml:space="preserve">6 studies (7 comparisons; Yun et al. contributed two databases), 1348 patients: 667 (49.5%) surgical therapy, 681 (50.5%) non-surgical therapy</w:t>
      </w:r>
    </w:p>
    <w:p>
      <w:pPr>
        <w:spacing w:after="70"/>
      </w:pPr>
      <w:r>
        <w:rPr>
          <w:b/>
          <w:bCs/>
          <w:color w:val="17365D"/>
          <w:sz w:val="16"/>
          <w:szCs w:val="16"/>
        </w:rPr>
        <w:t xml:space="preserve">Bottom line. </w:t>
      </w:r>
      <w:r>
        <w:rPr>
          <w:sz w:val="16"/>
          <w:szCs w:val="16"/>
        </w:rPr>
        <w:t xml:space="preserve">This meta-analysis of six retrospective studies finds an apparent halving of mortality with pancreatic plus liver resection in oligometastatic PDAC (HR 0.41), then shows through meta-regression that 87% of the heterogeneity is explained by how much chemotherapy each arm received - the control arms mostly got gemcitabine alone - and that a benefit survives adjustment only when patients receive both pre- and post-operative multi-agent chemotherapy (HR 0.18), an estimate the authors themselves call mathematical rather than empirical, and which no included study corrected for immortal time bias.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All included studies were retrospective; propensity matching in five can reduce but not eliminate bias, and matched on tumour characteristics but NOT consistently on chemotherapy regimen, with few studies accounting for first-line chemotherapy and even fewer reporting chemotherapy response or duration</w:t>
            </w:r>
          </w:p>
          <w:p>
            <w:pPr>
              <w:pStyle w:val="ListParagraph"/>
              <w:numPr>
                <w:ilvl w:val="0"/>
                <w:numId w:val="2"/>
              </w:numPr>
              <w:spacing w:after="45"/>
            </w:pPr>
            <w:r>
              <w:rPr>
                <w:sz w:val="15"/>
                <w:szCs w:val="15"/>
              </w:rPr>
              <w:t xml:space="preserve">Some key data were lacking and many data points were estimated by mathematical methods (the Parmar method applied to Kaplan-Meier curves)</w:t>
            </w:r>
          </w:p>
          <w:p>
            <w:pPr>
              <w:pStyle w:val="ListParagraph"/>
              <w:numPr>
                <w:ilvl w:val="0"/>
                <w:numId w:val="2"/>
              </w:numPr>
              <w:spacing w:after="45"/>
            </w:pPr>
            <w:r>
              <w:rPr>
                <w:sz w:val="15"/>
                <w:szCs w:val="15"/>
              </w:rPr>
              <w:t xml:space="preserve">Most included studies did not distinguish between types of chemotherapy</w:t>
            </w:r>
          </w:p>
          <w:p>
            <w:pPr>
              <w:pStyle w:val="ListParagraph"/>
              <w:numPr>
                <w:ilvl w:val="0"/>
                <w:numId w:val="2"/>
              </w:numPr>
              <w:spacing w:after="45"/>
            </w:pPr>
            <w:r>
              <w:rPr>
                <w:sz w:val="15"/>
                <w:szCs w:val="15"/>
              </w:rPr>
              <w:t xml:space="preserve">The power of the meta-regression may have been limited by missing data such as grading and CA 19-9 levels</w:t>
            </w:r>
          </w:p>
          <w:p>
            <w:pPr>
              <w:pStyle w:val="ListParagraph"/>
              <w:numPr>
                <w:ilvl w:val="0"/>
                <w:numId w:val="2"/>
              </w:numPr>
              <w:spacing w:after="45"/>
            </w:pPr>
            <w:r>
              <w:rPr>
                <w:sz w:val="15"/>
                <w:szCs w:val="15"/>
              </w:rPr>
              <w:t xml:space="preserve">Some studies were based on NCDB or SEER, which may have caused overlapping patient populations and data duplication</w:t>
            </w:r>
          </w:p>
          <w:p>
            <w:pPr>
              <w:pStyle w:val="ListParagraph"/>
              <w:numPr>
                <w:ilvl w:val="0"/>
                <w:numId w:val="2"/>
              </w:numPr>
              <w:spacing w:after="45"/>
            </w:pPr>
            <w:r>
              <w:rPr>
                <w:sz w:val="15"/>
                <w:szCs w:val="15"/>
              </w:rPr>
              <w:t xml:space="preserve">The non-surgical group was heterogeneous, including supportive care, palliative chemotherapy and multi-agent chemotherapy, with most receiving gemcitabine alone; most included studies also contained patients who did not receive 'curative' chemotherapy in the non-surgical group and the data could not be extracted</w:t>
            </w:r>
          </w:p>
          <w:p>
            <w:pPr>
              <w:pStyle w:val="ListParagraph"/>
              <w:numPr>
                <w:ilvl w:val="0"/>
                <w:numId w:val="2"/>
              </w:numPr>
              <w:spacing w:after="45"/>
            </w:pPr>
            <w:r>
              <w:rPr>
                <w:sz w:val="15"/>
                <w:szCs w:val="15"/>
              </w:rPr>
              <w:t xml:space="preserve">The authors state plainly that the adjusted HR 'remains an estimate based on mathematical calculations rather than direct evidence from real data', limiting definitive conclusions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COMPARATOR: THE CONTROL ARM DID NOT RECEIVE MODERN SYSTEMIC THERAPY, AND THE PAPER PROVES IT. Roughly half of non-surgical patients received gemcitabine monotherapy, versus multi-agent regimens in the surgical arm, and the control group also contained best-supportive-care and palliative-bypass patients. The unadjusted HR of 0.41 is substantially a comparison of modern chemotherapy plus surgery against gemcitabine or no treatment - which is the single most important thing a pathway citing this paper needs to know, and it is confined to the discussion</w:t>
            </w:r>
          </w:p>
          <w:p>
            <w:pPr>
              <w:pStyle w:val="ListParagraph"/>
              <w:numPr>
                <w:ilvl w:val="0"/>
                <w:numId w:val="2"/>
              </w:numPr>
              <w:spacing w:after="45"/>
            </w:pPr>
            <w:r>
              <w:rPr>
                <w:sz w:val="15"/>
                <w:szCs w:val="15"/>
              </w:rPr>
              <w:t xml:space="preserve">THE ADJUSTED ANALYSIS IS THE HONEST RESULT AND IT IS CONDITIONAL AND MODEL-BASED. HR 0.18 for the pre-plus-post-chemotherapy scenario comes from fitting a multivariable meta-regression to SEVEN comparisons and then extrapolating to covariate values not observed in the data. With 7 data points and 11 candidate covariates, the model is grossly overfitted; the authors' own caveat that this is mathematics rather than evidence should be read as the conclusion, not a footnote</w:t>
            </w:r>
          </w:p>
          <w:p>
            <w:pPr>
              <w:pStyle w:val="ListParagraph"/>
              <w:numPr>
                <w:ilvl w:val="0"/>
                <w:numId w:val="2"/>
              </w:numPr>
              <w:spacing w:after="45"/>
            </w:pPr>
            <w:r>
              <w:rPr>
                <w:sz w:val="15"/>
                <w:szCs w:val="15"/>
              </w:rPr>
              <w:t xml:space="preserve">SIX STUDIES, ALL RETROSPECTIVE, I2 OF 64.5% - AND HETEROGENEITY IN THE PROPORTION ESTIMATES REACHES 96-98%. A pooled HR from this evidence base has a prediction interval far wider than the reported confidence interval, which is never presented</w:t>
            </w:r>
          </w:p>
          <w:p>
            <w:pPr>
              <w:pStyle w:val="ListParagraph"/>
              <w:numPr>
                <w:ilvl w:val="0"/>
                <w:numId w:val="2"/>
              </w:numPr>
              <w:spacing w:after="45"/>
            </w:pPr>
            <w:r>
              <w:rPr>
                <w:sz w:val="15"/>
                <w:szCs w:val="15"/>
              </w:rPr>
              <w:t xml:space="preserve">NONE OF THE INCLUDED STUDIES APPLIED A LANDMARK ANALYSIS, so immortal time bias is inherited wholesale. Kaslow et al. showed that a 12-month landmark alone raises median survival in a liver-only metastatic cohort from 9 to 26 months without surgery. The meta-regression corrects for chemotherapy exposure but nothing in it corrects for the requirement to survive to the operating theatre</w:t>
            </w:r>
          </w:p>
          <w:p>
            <w:pPr>
              <w:pStyle w:val="ListParagraph"/>
              <w:numPr>
                <w:ilvl w:val="0"/>
                <w:numId w:val="2"/>
              </w:numPr>
              <w:spacing w:after="45"/>
            </w:pPr>
            <w:r>
              <w:rPr>
                <w:sz w:val="15"/>
                <w:szCs w:val="15"/>
              </w:rPr>
              <w:t xml:space="preserve">THREE STUDIES WERE EXCLUDED FOR BEING 'very low quality and very disproportionate' AFTER their data were found partially extractable - a post-hoc exclusion on grounds that overlap with the direction of effect, and 315 records were excluded for language alone</w:t>
            </w:r>
          </w:p>
          <w:p>
            <w:pPr>
              <w:pStyle w:val="ListParagraph"/>
              <w:numPr>
                <w:ilvl w:val="0"/>
                <w:numId w:val="2"/>
              </w:numPr>
              <w:spacing w:after="45"/>
            </w:pPr>
            <w:r>
              <w:rPr>
                <w:sz w:val="15"/>
                <w:szCs w:val="15"/>
              </w:rPr>
              <w:t xml:space="preserve">OVERLAPPING POPULATIONS ARE ACKNOWLEDGED BUT NOT HANDLED. Pausch (SEER, n=518) and the Yun NCDB dataset (n=378) together supply two thirds of the patients and both draw on US national registries covering overlapping years (2010-2016), so the same patients may be counted twice and the two largest 'studies' are registry analyses with no resectability data at all</w:t>
            </w:r>
          </w:p>
          <w:p>
            <w:pPr>
              <w:pStyle w:val="ListParagraph"/>
              <w:numPr>
                <w:ilvl w:val="0"/>
                <w:numId w:val="2"/>
              </w:numPr>
              <w:spacing w:after="45"/>
            </w:pPr>
            <w:r>
              <w:rPr>
                <w:sz w:val="15"/>
                <w:szCs w:val="15"/>
              </w:rPr>
              <w:t xml:space="preserve">THE SURGICAL ARM'S DISEASE WAS GENUINELY LESS ADVANCED: 91% versus 85% oligometastatic, and 99% of liver resections were wedge excisions, meaning the operated metastases were small and peripheral. Balancing on the PROPORTION oligometastatic cannot balance the burden within that category</w:t>
            </w:r>
          </w:p>
          <w:p>
            <w:pPr>
              <w:pStyle w:val="ListParagraph"/>
              <w:numPr>
                <w:ilvl w:val="0"/>
                <w:numId w:val="2"/>
              </w:numPr>
              <w:spacing w:after="45"/>
            </w:pPr>
            <w:r>
              <w:rPr>
                <w:sz w:val="15"/>
                <w:szCs w:val="15"/>
              </w:rPr>
              <w:t xml:space="preserve">OPERATIVE MORBIDITY OF 53% IS REPORTED AS ACCEPTABLE because major morbidity was only 4%, but a 53% overall complication rate and 2% 30-day mortality in patients whose alternative is chemotherapy is a real cost that the abstract omits entirely</w:t>
            </w:r>
          </w:p>
          <w:p>
            <w:pPr>
              <w:pStyle w:val="ListParagraph"/>
              <w:numPr>
                <w:ilvl w:val="0"/>
                <w:numId w:val="2"/>
              </w:numPr>
              <w:spacing w:after="45"/>
            </w:pPr>
            <w:r>
              <w:rPr>
                <w:sz w:val="15"/>
                <w:szCs w:val="15"/>
              </w:rPr>
              <w:t xml:space="preserve">THE DEFINITION OF OLIGOMETASTASIS DIFFERED ACROSS EVERY STUDY (not reported, Hellman's qualitative definition, 3 or fewer, 4 or fewer with minor resection), and in the two largest registry studies it was ASSUMED rather than measured - the authors note Pausch's oligometastatic status was inferred 'on the basis of single-center retrospective studies' because SEER does not record metastasis number</w:t>
            </w:r>
          </w:p>
          <w:p>
            <w:pPr>
              <w:pStyle w:val="ListParagraph"/>
              <w:numPr>
                <w:ilvl w:val="0"/>
                <w:numId w:val="2"/>
              </w:numPr>
              <w:spacing w:after="45"/>
            </w:pPr>
            <w:r>
              <w:rPr>
                <w:sz w:val="15"/>
                <w:szCs w:val="15"/>
              </w:rPr>
              <w:t xml:space="preserve">The paper's conclusion that surgery 'could play a role, but only in highly selected cases' receiving both pre- and post-operative multi-agent chemotherapy is defensible, but it is indistinguishable from the proposition that patients who tolerate four to six months of multi-agent chemotherapy and remain fit for major surgery have favourable biology - which requires no surgical effect at all</w:t>
            </w:r>
          </w:p>
        </w:tc>
      </w:tr>
    </w:tbl>
    <w:p>
      <w:pPr>
        <w:spacing w:after="0" w:line="276"/>
      </w:pPr>
      <w:r>
        <w:rPr>
          <w:color w:val="5A6069"/>
          <w:sz w:val="14"/>
          <w:szCs w:val="14"/>
        </w:rPr>
        <w:t xml:space="preserve">Funding: No funding is stated. All authors declare no conflicts of interest. Open access under CC BY.</w:t>
      </w:r>
    </w:p>
    <w:p>
      <w:pPr>
        <w:keepNext/>
        <w:spacing w:after="50" w:before="260"/>
      </w:pPr>
      <w:r>
        <w:rPr>
          <w:rFonts w:ascii="Cambria" w:cs="Cambria" w:eastAsia="Cambria" w:hAnsi="Cambria"/>
          <w:b/>
          <w:bCs/>
          <w:color w:val="17365D"/>
          <w:sz w:val="20"/>
          <w:szCs w:val="20"/>
        </w:rPr>
        <w:t xml:space="preserve">Daraxonrasib phase 1–2</w:t>
      </w:r>
      <w:r>
        <w:rPr>
          <w:b/>
          <w:bCs/>
          <w:color w:val="176A87"/>
          <w:sz w:val="15"/>
          <w:szCs w:val="15"/>
        </w:rPr>
        <w:t xml:space="preserve">   Prospective cohort</w:t>
      </w:r>
      <w:r>
        <w:rPr>
          <w:color w:val="5A6069"/>
          <w:sz w:val="15"/>
          <w:szCs w:val="15"/>
        </w:rPr>
        <w:t xml:space="preserve">   PMID 42090791</w:t>
      </w:r>
    </w:p>
    <w:p>
      <w:pPr>
        <w:spacing w:after="50" w:line="276"/>
      </w:pPr>
      <w:r>
        <w:rPr>
          <w:color w:val="5A6069"/>
          <w:sz w:val="17"/>
          <w:szCs w:val="17"/>
        </w:rPr>
        <w:t xml:space="preserve">Daraxonrasib in Previously Treated RAS-Mutated Pancreatic Ductal Adenocarcinoma.</w:t>
      </w:r>
    </w:p>
    <w:p>
      <w:pPr>
        <w:spacing w:after="50"/>
      </w:pPr>
      <w:r>
        <w:rPr>
          <w:b/>
          <w:bCs/>
          <w:color w:val="176A87"/>
          <w:sz w:val="16"/>
          <w:szCs w:val="16"/>
        </w:rPr>
        <w:t xml:space="preserve">Population. </w:t>
      </w:r>
      <w:r>
        <w:rPr>
          <w:sz w:val="16"/>
          <w:szCs w:val="16"/>
        </w:rPr>
        <w:t xml:space="preserve">168 patients with RAS-mutated PDAC treated at 300 mg or less as second-line or later therapy (83 at 300 mg); RAS G12 second-line 300-mg subgroup n = 26 of 38 any-RAS</w:t>
      </w:r>
    </w:p>
    <w:p>
      <w:pPr>
        <w:spacing w:after="70"/>
      </w:pPr>
      <w:r>
        <w:rPr>
          <w:b/>
          <w:bCs/>
          <w:color w:val="17365D"/>
          <w:sz w:val="16"/>
          <w:szCs w:val="16"/>
        </w:rPr>
        <w:t xml:space="preserve">Bottom line. </w:t>
      </w:r>
      <w:r>
        <w:rPr>
          <w:sz w:val="16"/>
          <w:szCs w:val="16"/>
        </w:rPr>
        <w:t xml:space="preserve">A dose-finding study whose stated primary purpose was safety, establishing that daraxonrasib is tolerable at 300 mg with 30% treatment-related grade 3+ toxicity and showing a 35% response rate in a 26-patient post hoc subgroup — hypothesis-generating support for the randomised trial, not evidence of benefit.</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As a phase 1-2 study the results should be interpreted with caution</w:t>
            </w:r>
          </w:p>
          <w:p>
            <w:pPr>
              <w:pStyle w:val="ListParagraph"/>
              <w:numPr>
                <w:ilvl w:val="0"/>
                <w:numId w:val="2"/>
              </w:numPr>
              <w:spacing w:after="45"/>
            </w:pPr>
            <w:r>
              <w:rPr>
                <w:sz w:val="15"/>
                <w:szCs w:val="15"/>
              </w:rPr>
              <w:t xml:space="preserve">Small subgroup sample sizes restrict the precision of antitumour-activity estimates and their interpretation by allele or co-mutation status</w:t>
            </w:r>
          </w:p>
          <w:p>
            <w:pPr>
              <w:pStyle w:val="ListParagraph"/>
              <w:numPr>
                <w:ilvl w:val="0"/>
                <w:numId w:val="2"/>
              </w:numPr>
              <w:spacing w:after="45"/>
            </w:pPr>
            <w:r>
              <w:rPr>
                <w:sz w:val="15"/>
                <w:szCs w:val="15"/>
              </w:rPr>
              <w:t xml:space="preserve">The single-group design precludes definitive comparison with standard treatment regimens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headline numbers most likely to be quoted (ORR 35%, PFS 8.5 months, OS 13.1 months) come from a subgroup of 26 patients defined by three simultaneous post hoc filters — RAS G12 allele, 300-mg dose, and exactly second line — selected from 168 treated patients after the data were seen; the confidence interval on response alone spans 17-56%</w:t>
            </w:r>
          </w:p>
          <w:p>
            <w:pPr>
              <w:pStyle w:val="ListParagraph"/>
              <w:numPr>
                <w:ilvl w:val="0"/>
                <w:numId w:val="2"/>
              </w:numPr>
              <w:spacing w:after="45"/>
            </w:pPr>
            <w:r>
              <w:rPr>
                <w:sz w:val="15"/>
                <w:szCs w:val="15"/>
              </w:rPr>
              <w:t xml:space="preserve">Response rates are reported as 'generally higher at 300 mg than at lower doses and in earlier rather than later lines', and 160-220 mg doses were pooled after the fact for 'substantial overlap in exposures'; dose groupings were therefore not fixed in advance</w:t>
            </w:r>
          </w:p>
          <w:p>
            <w:pPr>
              <w:pStyle w:val="ListParagraph"/>
              <w:numPr>
                <w:ilvl w:val="0"/>
                <w:numId w:val="2"/>
              </w:numPr>
              <w:spacing w:after="45"/>
            </w:pPr>
            <w:r>
              <w:rPr>
                <w:sz w:val="15"/>
                <w:szCs w:val="15"/>
              </w:rPr>
              <w:t xml:space="preserve">A reported 6-month overall survival of 100% (95% CI 100-100) in this subgroup is a sign of how selected it is: patients had to survive long enough on a tolerated dose at the right line to enter it, which is immortal-time selection rather than a treatment effect</w:t>
            </w:r>
          </w:p>
          <w:p>
            <w:pPr>
              <w:pStyle w:val="ListParagraph"/>
              <w:numPr>
                <w:ilvl w:val="0"/>
                <w:numId w:val="2"/>
              </w:numPr>
              <w:spacing w:after="45"/>
            </w:pPr>
            <w:r>
              <w:rPr>
                <w:sz w:val="15"/>
                <w:szCs w:val="15"/>
              </w:rPr>
              <w:t xml:space="preserve">Three exploratory 300-mg cohorts were removed from the report for 'differing end points or eligibility criteria', including the untreated-PDAC and RAS wild-type cohorts; the reader cannot see what those patients experienced</w:t>
            </w:r>
          </w:p>
          <w:p>
            <w:pPr>
              <w:pStyle w:val="ListParagraph"/>
              <w:numPr>
                <w:ilvl w:val="0"/>
                <w:numId w:val="2"/>
              </w:numPr>
              <w:spacing w:after="45"/>
            </w:pPr>
            <w:r>
              <w:rPr>
                <w:sz w:val="15"/>
                <w:szCs w:val="15"/>
              </w:rPr>
              <w:t xml:space="preserve">Grade 3 or higher adverse events of any cause occurred in 65% of patients and 48% of the 300-mg group needed dose modification, yet the discussion characterises the profile as 'mainly low-grade adverse events' on the strength of the treatment-attributed 30% figure, an attribution made by unblinded investigators</w:t>
            </w:r>
          </w:p>
          <w:p>
            <w:pPr>
              <w:pStyle w:val="ListParagraph"/>
              <w:numPr>
                <w:ilvl w:val="0"/>
                <w:numId w:val="2"/>
              </w:numPr>
              <w:spacing w:after="45"/>
            </w:pPr>
            <w:r>
              <w:rPr>
                <w:sz w:val="15"/>
                <w:szCs w:val="15"/>
              </w:rPr>
              <w:t xml:space="preserve">Revolution Medicines supported the study and provided medical writing through Nucleus Global; the paper's conclusion is framed as support for the sponsor's own phase 3 trial (RASolute 302), which is reported separately in this depot</w:t>
            </w:r>
          </w:p>
          <w:p>
            <w:pPr>
              <w:pStyle w:val="ListParagraph"/>
              <w:numPr>
                <w:ilvl w:val="0"/>
                <w:numId w:val="2"/>
              </w:numPr>
              <w:spacing w:after="45"/>
            </w:pPr>
            <w:r>
              <w:rPr>
                <w:sz w:val="15"/>
                <w:szCs w:val="15"/>
              </w:rPr>
              <w:t xml:space="preserve">Because no formal hypothesis was tested, there is no threshold the trial could have failed, and the safety primary endpoint has no prespecified acceptability bound either</w:t>
            </w:r>
          </w:p>
        </w:tc>
      </w:tr>
    </w:tbl>
    <w:p>
      <w:pPr>
        <w:spacing w:after="0" w:line="276"/>
      </w:pPr>
      <w:r>
        <w:rPr>
          <w:color w:val="5A6069"/>
          <w:sz w:val="14"/>
          <w:szCs w:val="14"/>
        </w:rPr>
        <w:t xml:space="preserve">Funding: Revolution Medicines; medical writing by Nucleus Global, an Inizio Company</w:t>
      </w:r>
    </w:p>
    <w:p>
      <w:pPr>
        <w:keepNext/>
        <w:spacing w:after="50" w:before="260"/>
      </w:pPr>
      <w:r>
        <w:rPr>
          <w:rFonts w:ascii="Cambria" w:cs="Cambria" w:eastAsia="Cambria" w:hAnsi="Cambria"/>
          <w:b/>
          <w:bCs/>
          <w:color w:val="17365D"/>
          <w:sz w:val="20"/>
          <w:szCs w:val="20"/>
        </w:rPr>
        <w:t xml:space="preserve">eNRGy zenocutuzumab</w:t>
      </w:r>
      <w:r>
        <w:rPr>
          <w:b/>
          <w:bCs/>
          <w:color w:val="176A87"/>
          <w:sz w:val="15"/>
          <w:szCs w:val="15"/>
        </w:rPr>
        <w:t xml:space="preserve">   Prospective cohort</w:t>
      </w:r>
      <w:r>
        <w:rPr>
          <w:color w:val="5A6069"/>
          <w:sz w:val="15"/>
          <w:szCs w:val="15"/>
        </w:rPr>
        <w:t xml:space="preserve">   PMID 39908431</w:t>
      </w:r>
    </w:p>
    <w:p>
      <w:pPr>
        <w:spacing w:after="50" w:line="276"/>
      </w:pPr>
      <w:r>
        <w:rPr>
          <w:color w:val="5A6069"/>
          <w:sz w:val="17"/>
          <w:szCs w:val="17"/>
        </w:rPr>
        <w:t xml:space="preserve">Zenocutuzumab in NRG1 Fusion-Positive Cancer.</w:t>
      </w:r>
    </w:p>
    <w:p>
      <w:pPr>
        <w:spacing w:after="50"/>
      </w:pPr>
      <w:r>
        <w:rPr>
          <w:b/>
          <w:bCs/>
          <w:color w:val="176A87"/>
          <w:sz w:val="16"/>
          <w:szCs w:val="16"/>
        </w:rPr>
        <w:t xml:space="preserve">Population. </w:t>
      </w:r>
      <w:r>
        <w:rPr>
          <w:sz w:val="16"/>
          <w:szCs w:val="16"/>
        </w:rPr>
        <w:t xml:space="preserve">204 patients treated at 750 mg every 2 weeks; 158 in the primary efficacy population with measurable disease; 36 with pancreatic cancer</w:t>
      </w:r>
    </w:p>
    <w:p>
      <w:pPr>
        <w:spacing w:after="70"/>
      </w:pPr>
      <w:r>
        <w:rPr>
          <w:b/>
          <w:bCs/>
          <w:color w:val="17365D"/>
          <w:sz w:val="16"/>
          <w:szCs w:val="16"/>
        </w:rPr>
        <w:t xml:space="preserve">Bottom line. </w:t>
      </w:r>
      <w:r>
        <w:rPr>
          <w:sz w:val="16"/>
          <w:szCs w:val="16"/>
        </w:rPr>
        <w:t xml:space="preserve">Validates NRG1 fusions as a drug target, with a 42% investigator-assessed response rate in 36 KRAS wild-type pancreatic patients, but provides no survival data for that subgroup, no control arm and no screening denominator, so it supports RNA-based fusion testing in KRAS wild-type PDAC rather than a quantified survival benefit.</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Enrolment was substantially higher for NSCLC and pancreatic cancer than for other tumour types, so additional data are needed to clarify the effect of histologic type on efficacy</w:t>
            </w:r>
          </w:p>
          <w:p>
            <w:pPr>
              <w:pStyle w:val="ListParagraph"/>
              <w:numPr>
                <w:ilvl w:val="0"/>
                <w:numId w:val="2"/>
              </w:numPr>
              <w:spacing w:after="45"/>
            </w:pPr>
            <w:r>
              <w:rPr>
                <w:sz w:val="15"/>
                <w:szCs w:val="15"/>
              </w:rPr>
              <w:t xml:space="preserve">The study population was predominantly White (54%) and Asian (33%), with Black participants (3%) under-represented</w:t>
            </w:r>
          </w:p>
          <w:p>
            <w:pPr>
              <w:pStyle w:val="ListParagraph"/>
              <w:numPr>
                <w:ilvl w:val="0"/>
                <w:numId w:val="2"/>
              </w:numPr>
              <w:spacing w:after="45"/>
            </w:pPr>
            <w:r>
              <w:rPr>
                <w:sz w:val="15"/>
                <w:szCs w:val="15"/>
              </w:rPr>
              <w:t xml:space="preserve">NRG1 rearrangements are often missed by DNA-based sequencing because NRG1's large introns are not covered by standard panels; RNA-based sequencing, used predominantly here, is needed to find them</w:t>
            </w:r>
          </w:p>
          <w:p>
            <w:pPr>
              <w:pStyle w:val="ListParagraph"/>
              <w:numPr>
                <w:ilvl w:val="0"/>
                <w:numId w:val="2"/>
              </w:numPr>
              <w:spacing w:after="45"/>
            </w:pPr>
            <w:r>
              <w:rPr>
                <w:sz w:val="15"/>
                <w:szCs w:val="15"/>
              </w:rPr>
              <w:t xml:space="preserve">Comparison with outcomes on standard therapy is made against external literature, and the authors note that the apparent benefit of standard therapy in NRG1 fusion-positive NSCLC may itself be overestimated</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There is no stated limitations paragraph as such; the caveats above are scattered through the discussion, and the single-group design is never named as a limitation even though every efficacy claim is uncontrolled</w:t>
            </w:r>
          </w:p>
          <w:p>
            <w:pPr>
              <w:pStyle w:val="ListParagraph"/>
              <w:numPr>
                <w:ilvl w:val="0"/>
                <w:numId w:val="2"/>
              </w:numPr>
              <w:spacing w:after="45"/>
            </w:pPr>
            <w:r>
              <w:rPr>
                <w:sz w:val="15"/>
                <w:szCs w:val="15"/>
              </w:rPr>
              <w:t xml:space="preserve">The primary endpoint is investigator-assessed response in an open-label trial, with blinded central review relegated to a secondary endpoint — the weaker assessment carries the primary claim, and the two differ by tumour type</w:t>
            </w:r>
          </w:p>
          <w:p>
            <w:pPr>
              <w:pStyle w:val="ListParagraph"/>
              <w:numPr>
                <w:ilvl w:val="0"/>
                <w:numId w:val="2"/>
              </w:numPr>
              <w:spacing w:after="45"/>
            </w:pPr>
            <w:r>
              <w:rPr>
                <w:sz w:val="15"/>
                <w:szCs w:val="15"/>
              </w:rPr>
              <w:t xml:space="preserve">The primary efficacy population is a post-enrolment construct: it requires a functionally predicted fusion, at least 24 weeks of follow-up before data cutoff, absence of other oncogenic alterations and no prior anti-HER3 exposure. 204 treated patients become 158 evaluable, and patients excluded for short follow-up are disproportionately early progressors</w:t>
            </w:r>
          </w:p>
          <w:p>
            <w:pPr>
              <w:pStyle w:val="ListParagraph"/>
              <w:numPr>
                <w:ilvl w:val="0"/>
                <w:numId w:val="2"/>
              </w:numPr>
              <w:spacing w:after="45"/>
            </w:pPr>
            <w:r>
              <w:rPr>
                <w:sz w:val="15"/>
                <w:szCs w:val="15"/>
              </w:rPr>
              <w:t xml:space="preserve">The pancreatic result is a prespecified subgroup of 36 patients within a basket trial whose sample size was justified only for the pooled estimate; the 95% CI of 25-59% is too wide to distinguish a major advance from a modest one</w:t>
            </w:r>
          </w:p>
          <w:p>
            <w:pPr>
              <w:pStyle w:val="ListParagraph"/>
              <w:numPr>
                <w:ilvl w:val="0"/>
                <w:numId w:val="2"/>
              </w:numPr>
              <w:spacing w:after="45"/>
            </w:pPr>
            <w:r>
              <w:rPr>
                <w:sz w:val="15"/>
                <w:szCs w:val="15"/>
              </w:rPr>
              <w:t xml:space="preserve">All 36 pancreatic patients were KRAS wild-type — a group that is perhaps 8-10% of PDAC and has a different natural history from KRAS-mutant disease. Since NRG1 fusions occur in well under 1% of PDAC, this is a very small slice of the disease and the paper gives no screening denominator</w:t>
            </w:r>
          </w:p>
          <w:p>
            <w:pPr>
              <w:pStyle w:val="ListParagraph"/>
              <w:numPr>
                <w:ilvl w:val="0"/>
                <w:numId w:val="2"/>
              </w:numPr>
              <w:spacing w:after="45"/>
            </w:pPr>
            <w:r>
              <w:rPr>
                <w:sz w:val="15"/>
                <w:szCs w:val="15"/>
              </w:rPr>
              <w:t xml:space="preserve">No progression-free or overall survival is reported for the pancreatic subgroup in the main text, only response and duration of response; a pathway cannot derive a survival claim from this paper</w:t>
            </w:r>
          </w:p>
          <w:p>
            <w:pPr>
              <w:pStyle w:val="ListParagraph"/>
              <w:numPr>
                <w:ilvl w:val="0"/>
                <w:numId w:val="2"/>
              </w:numPr>
              <w:spacing w:after="45"/>
            </w:pPr>
            <w:r>
              <w:rPr>
                <w:sz w:val="15"/>
                <w:szCs w:val="15"/>
              </w:rPr>
              <w:t xml:space="preserve">Nine fatal adverse events (4%) in 204 patients are reported as not treatment-related on investigator attribution alone, in an unblinded trial</w:t>
            </w:r>
          </w:p>
          <w:p>
            <w:pPr>
              <w:pStyle w:val="ListParagraph"/>
              <w:numPr>
                <w:ilvl w:val="0"/>
                <w:numId w:val="2"/>
              </w:numPr>
              <w:spacing w:after="45"/>
            </w:pPr>
            <w:r>
              <w:rPr>
                <w:sz w:val="15"/>
                <w:szCs w:val="15"/>
              </w:rPr>
              <w:t xml:space="preserve">Merus designed the trial, sponsor-employed statisticians analysed the data, and the sponsor together with the first and last authors drafted the manuscript with sponsor-funded medical writing across multiple drafts</w:t>
            </w:r>
          </w:p>
        </w:tc>
      </w:tr>
    </w:tbl>
    <w:p>
      <w:pPr>
        <w:spacing w:after="0" w:line="276"/>
      </w:pPr>
      <w:r>
        <w:rPr>
          <w:color w:val="5A6069"/>
          <w:sz w:val="14"/>
          <w:szCs w:val="14"/>
        </w:rPr>
        <w:t xml:space="preserve">Funding: Merus (eNRGy, NCT02912949); sponsor-employed statisticians performed the analyses and sponsor-funded medical writing assistance was provided</w:t>
      </w:r>
    </w:p>
    <w:p>
      <w:pPr>
        <w:keepNext/>
        <w:spacing w:after="50" w:before="260"/>
      </w:pPr>
      <w:r>
        <w:rPr>
          <w:rFonts w:ascii="Cambria" w:cs="Cambria" w:eastAsia="Cambria" w:hAnsi="Cambria"/>
          <w:b/>
          <w:bCs/>
          <w:color w:val="17365D"/>
          <w:sz w:val="20"/>
          <w:szCs w:val="20"/>
        </w:rPr>
        <w:t xml:space="preserve">ESMO 2023 pancreatic</w:t>
      </w:r>
      <w:r>
        <w:rPr>
          <w:b/>
          <w:bCs/>
          <w:color w:val="176A87"/>
          <w:sz w:val="15"/>
          <w:szCs w:val="15"/>
        </w:rPr>
        <w:t xml:space="preserve">   Guideline</w:t>
      </w:r>
      <w:r>
        <w:rPr>
          <w:color w:val="5A6069"/>
          <w:sz w:val="15"/>
          <w:szCs w:val="15"/>
        </w:rPr>
        <w:t xml:space="preserve">   PMID 37678671</w:t>
      </w:r>
    </w:p>
    <w:p>
      <w:pPr>
        <w:spacing w:after="50" w:line="276"/>
      </w:pPr>
      <w:r>
        <w:rPr>
          <w:color w:val="5A6069"/>
          <w:sz w:val="17"/>
          <w:szCs w:val="17"/>
        </w:rPr>
        <w:t xml:space="preserve">Pancreatic cancer: ESMO Clinical Practice Guideline for diagnosis, treatment and follow-up.</w:t>
      </w:r>
    </w:p>
    <w:p>
      <w:pPr>
        <w:spacing w:after="70"/>
      </w:pPr>
      <w:r>
        <w:rPr>
          <w:b/>
          <w:bCs/>
          <w:color w:val="17365D"/>
          <w:sz w:val="16"/>
          <w:szCs w:val="16"/>
        </w:rPr>
        <w:t xml:space="preserve">Bottom line. </w:t>
      </w:r>
      <w:r>
        <w:rPr>
          <w:sz w:val="16"/>
          <w:szCs w:val="16"/>
        </w:rPr>
        <w:t xml:space="preserve">The authoritative European statement as of September 2023, and the single most important document in this depot for a pathway because it recommends against neoadjuvant therapy in resectable disease at grade II, E while supporting induction therapy for borderline resectable disease on weaker evidence — but it has no described literature search, substantial undisclosed-in-text conflicts across its panel, and predates the 2025 trials and meta-analyses.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No limitations section. The guideline does state several evidence gaps in the body: limited high-level evidence supports neoadjuvant therapy; only a small number of well-powered randomised trials of neoadjuvant versus upfront surgery plus adjuvant therapy have been completed in selected patients; literature-based meta-analyses report conflicting data on R0 rate and survival; optimal adjuvant therapy after induction for borderline resectable disease is unclear in both type and duration; no randomised data inform second-line selection after a fluoropyrimidine first line; and the panel failed to reach consensus on second-line oxaliplatin</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Literature was 'selected by the authors' with no search strategy, no date limits, no screening flow and no second reviewer; a guideline that grades individual recommendations by level of evidence rests on an ungraded, unauditable evidence-identification step</w:t>
            </w:r>
          </w:p>
          <w:p>
            <w:pPr>
              <w:pStyle w:val="ListParagraph"/>
              <w:numPr>
                <w:ilvl w:val="0"/>
                <w:numId w:val="2"/>
              </w:numPr>
              <w:spacing w:after="45"/>
            </w:pPr>
            <w:r>
              <w:rPr>
                <w:sz w:val="15"/>
                <w:szCs w:val="15"/>
              </w:rPr>
              <w:t xml:space="preserve">Statements the panel considered 'justified standard clinical practice' are published without any grading at all, so the reader cannot tell which recommendations carry no evidence behind them</w:t>
            </w:r>
          </w:p>
          <w:p>
            <w:pPr>
              <w:pStyle w:val="ListParagraph"/>
              <w:numPr>
                <w:ilvl w:val="0"/>
                <w:numId w:val="2"/>
              </w:numPr>
              <w:spacing w:after="45"/>
            </w:pPr>
            <w:r>
              <w:rPr>
                <w:sz w:val="15"/>
                <w:szCs w:val="15"/>
              </w:rPr>
              <w:t xml:space="preserve">The grade II, E recommendation against neoadjuvant therapy in resectable disease predates PREOPANC-2, NORPACT-1 and the 2025 meta-analyses in this depot; the guideline is the most authoritative statement here but it is a 2023 snapshot, and a pathway page citing it as current needs to say what has appeared since</w:t>
            </w:r>
          </w:p>
          <w:p>
            <w:pPr>
              <w:pStyle w:val="ListParagraph"/>
              <w:numPr>
                <w:ilvl w:val="0"/>
                <w:numId w:val="2"/>
              </w:numPr>
              <w:spacing w:after="45"/>
            </w:pPr>
            <w:r>
              <w:rPr>
                <w:sz w:val="15"/>
                <w:szCs w:val="15"/>
              </w:rPr>
              <w:t xml:space="preserve">The borderline resectable recommendation rests on a five-study meta-analysis (HR 0.61) and on PREOPANC-1's 113-patient borderline subgroup — a subgroup of a trial whose overall primary endpoint was negative. The guideline does not say that, and the asymmetry between the firm adjuvant grades [I, A] and the hedged 'seems promising' language for induction is not explained to the reader in those terms</w:t>
            </w:r>
          </w:p>
          <w:p>
            <w:pPr>
              <w:pStyle w:val="ListParagraph"/>
              <w:numPr>
                <w:ilvl w:val="0"/>
                <w:numId w:val="2"/>
              </w:numPr>
              <w:spacing w:after="45"/>
            </w:pPr>
            <w:r>
              <w:rPr>
                <w:sz w:val="15"/>
                <w:szCs w:val="15"/>
              </w:rPr>
              <w:t xml:space="preserve">The panel's own failure to reach consensus on second-line oxaliplatin is reported in the text but does not appear as a graded recommendation, so a reader scanning the recommendation boxes will not see that the panel was split</w:t>
            </w:r>
          </w:p>
          <w:p>
            <w:pPr>
              <w:pStyle w:val="ListParagraph"/>
              <w:numPr>
                <w:ilvl w:val="0"/>
                <w:numId w:val="2"/>
              </w:numPr>
              <w:spacing w:after="45"/>
            </w:pPr>
            <w:r>
              <w:rPr>
                <w:sz w:val="15"/>
                <w:szCs w:val="15"/>
              </w:rPr>
              <w:t xml:space="preserve">No external funding was received and production costs were met by ESMO, but the disclosure list for the 14 authors runs to dozens of institutional and personal relationships with the manufacturers of the drugs being recommended (Amgen, AstraZeneca, BMS, Celgene, Merck, MSD, Pfizer, Servier and others); the guideline does not state how conflicts were managed in voting or whether conflicted authors abstained on specific recommendations</w:t>
            </w:r>
          </w:p>
          <w:p>
            <w:pPr>
              <w:pStyle w:val="ListParagraph"/>
              <w:numPr>
                <w:ilvl w:val="0"/>
                <w:numId w:val="2"/>
              </w:numPr>
              <w:spacing w:after="45"/>
            </w:pPr>
            <w:r>
              <w:rPr>
                <w:sz w:val="15"/>
                <w:szCs w:val="15"/>
              </w:rPr>
              <w:t xml:space="preserve">Much of the substance — incidence, risk-factor relative risks, adjuvant trial tables, resectable- and advanced-disease detail, the levels-of-evidence key, the MCBS and ESCAT tables — sits in supplementary material not present in this extraction, so the recommendation set can be verified here but the evidence tables behind it cannot</w:t>
            </w:r>
          </w:p>
          <w:p>
            <w:pPr>
              <w:pStyle w:val="ListParagraph"/>
              <w:numPr>
                <w:ilvl w:val="0"/>
                <w:numId w:val="2"/>
              </w:numPr>
              <w:spacing w:after="45"/>
            </w:pPr>
            <w:r>
              <w:rPr>
                <w:sz w:val="15"/>
                <w:szCs w:val="15"/>
              </w:rPr>
              <w:t xml:space="preserve">Medical writing and editing were provided by a commercial agency (Kstorfin Medical Communications) funded by ESMO, which is disclosed but means the final wording was not written solely by the panel</w:t>
            </w:r>
          </w:p>
        </w:tc>
      </w:tr>
    </w:tbl>
    <w:p>
      <w:pPr>
        <w:spacing w:after="0" w:line="276"/>
      </w:pPr>
      <w:r>
        <w:rPr>
          <w:color w:val="5A6069"/>
          <w:sz w:val="14"/>
          <w:szCs w:val="14"/>
        </w:rPr>
        <w:t xml:space="preserve">Funding: No external funding; production costs covered by ESMO from central funds. Manuscript editing by ESMO Guidelines staff and Angela Corstorphine of Kstorfin Medical Communications Ltd, funded by ESMO</w:t>
      </w:r>
    </w:p>
    <w:p>
      <w:pPr>
        <w:keepNext/>
        <w:spacing w:after="50" w:before="260"/>
      </w:pPr>
      <w:r>
        <w:rPr>
          <w:rFonts w:ascii="Cambria" w:cs="Cambria" w:eastAsia="Cambria" w:hAnsi="Cambria"/>
          <w:b/>
          <w:bCs/>
          <w:color w:val="17365D"/>
          <w:sz w:val="20"/>
          <w:szCs w:val="20"/>
        </w:rPr>
        <w:t xml:space="preserve">ESPAC-4</w:t>
      </w:r>
      <w:r>
        <w:rPr>
          <w:b/>
          <w:bCs/>
          <w:color w:val="176A87"/>
          <w:sz w:val="15"/>
          <w:szCs w:val="15"/>
        </w:rPr>
        <w:t xml:space="preserve">   Randomised trial</w:t>
      </w:r>
      <w:r>
        <w:rPr>
          <w:color w:val="5A6069"/>
          <w:sz w:val="15"/>
          <w:szCs w:val="15"/>
        </w:rPr>
        <w:t xml:space="preserve">   PMID 28129987</w:t>
      </w:r>
    </w:p>
    <w:p>
      <w:pPr>
        <w:spacing w:after="50" w:line="276"/>
      </w:pPr>
      <w:r>
        <w:rPr>
          <w:color w:val="5A6069"/>
          <w:sz w:val="17"/>
          <w:szCs w:val="17"/>
        </w:rPr>
        <w:t xml:space="preserve">Comparison of adjuvant gemcitabine and capecitabine with gemcitabine monotherapy in patients with resected pancreatic cancer (ESPAC-4): a multicentre, open-label, randomised, phase 3 trial.</w:t>
      </w:r>
    </w:p>
    <w:p>
      <w:pPr>
        <w:spacing w:after="50"/>
      </w:pPr>
      <w:r>
        <w:rPr>
          <w:b/>
          <w:bCs/>
          <w:color w:val="176A87"/>
          <w:sz w:val="16"/>
          <w:szCs w:val="16"/>
        </w:rPr>
        <w:t xml:space="preserve">Population. </w:t>
      </w:r>
      <w:r>
        <w:rPr>
          <w:sz w:val="16"/>
          <w:szCs w:val="16"/>
        </w:rPr>
        <w:t xml:space="preserve">732 randomised, 730 analysed (366 gemcitabine, 364 gemcitabine plus capecitabine); 458 deaths (95% of the 480-death target)</w:t>
      </w:r>
    </w:p>
    <w:p>
      <w:pPr>
        <w:spacing w:after="70"/>
      </w:pPr>
      <w:r>
        <w:rPr>
          <w:b/>
          <w:bCs/>
          <w:color w:val="17365D"/>
          <w:sz w:val="16"/>
          <w:szCs w:val="16"/>
        </w:rPr>
        <w:t xml:space="preserve">Bottom line. </w:t>
      </w:r>
      <w:r>
        <w:rPr>
          <w:sz w:val="16"/>
          <w:szCs w:val="16"/>
        </w:rPr>
        <w:t xml:space="preserve">ESPAC-4 established adjuvant gemcitabine plus capecitabine over gemcitabine alone in an unusually unselected resected population (median OS 28.0 vs 25.5 months, HR 0.82; estimated 5-year 28.8% vs 16.3%), but the relapse-free survival endpoint was negative, the benefit is concentrated in R0 patients, the trial was stopped early for benefit, and its winner has since been displaced by adjuvant mFOLFIRINOX in fit patients.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paper carries no separate limitations section; the authors frame the pragmatic design (WHO 0-2, R1 margins, no CA19-9 ceiling) as a strength rather than discussing its downsides</w:t>
            </w:r>
          </w:p>
          <w:p>
            <w:pPr>
              <w:pStyle w:val="ListParagraph"/>
              <w:numPr>
                <w:ilvl w:val="0"/>
                <w:numId w:val="2"/>
              </w:numPr>
              <w:spacing w:after="45"/>
            </w:pPr>
            <w:r>
              <w:rPr>
                <w:sz w:val="15"/>
                <w:szCs w:val="15"/>
              </w:rPr>
              <w:t xml:space="preserve">The authors acknowledge that comparison with CONKO-001's better-looking gemcitabine survival must be read in the light of CONKO-001's CA19-9 ceiling, and that ESPAC-1's factorial design produced uncontrollable confounding</w:t>
            </w:r>
          </w:p>
          <w:p>
            <w:pPr>
              <w:pStyle w:val="ListParagraph"/>
              <w:numPr>
                <w:ilvl w:val="0"/>
                <w:numId w:val="2"/>
              </w:numPr>
              <w:spacing w:after="45"/>
            </w:pPr>
            <w:r>
              <w:rPr>
                <w:sz w:val="15"/>
                <w:szCs w:val="15"/>
              </w:rPr>
              <w:t xml:space="preserve">The authors note scepticism about the efficacy of the 5-fluorouracil and folinic acid regimens used in earlier ESPAC trials</w:t>
            </w:r>
          </w:p>
          <w:p>
            <w:pPr>
              <w:pStyle w:val="ListParagraph"/>
              <w:numPr>
                <w:ilvl w:val="0"/>
                <w:numId w:val="2"/>
              </w:numPr>
              <w:spacing w:after="45"/>
            </w:pPr>
            <w:r>
              <w:rPr>
                <w:sz w:val="15"/>
                <w:szCs w:val="15"/>
              </w:rPr>
              <w:t xml:space="preserve">Follow-up method (haematology, biochemistry, tumour marker use) was determined by each site because of wide variation in routine practice</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paper has no limitations section at all, so almost everything below is unstated</w:t>
            </w:r>
          </w:p>
          <w:p>
            <w:pPr>
              <w:pStyle w:val="ListParagraph"/>
              <w:numPr>
                <w:ilvl w:val="0"/>
                <w:numId w:val="2"/>
              </w:numPr>
              <w:spacing w:after="45"/>
            </w:pPr>
            <w:r>
              <w:rPr>
                <w:sz w:val="15"/>
                <w:szCs w:val="15"/>
              </w:rPr>
              <w:t xml:space="preserve">COMPARATOR: adjuvant gemcitabine monotherapy, the then standard. This was a fair comparator in 2008-2014 but ESPAC-4's winner (gemcitabine plus capecitabine) was itself superseded 20 months later by adjuvant mFOLFIRINOX in PRODIGE-24 (median OS 54.4 months). A pathway should treat ESPAC-4 as establishing a fallback regimen for patients unfit for mFOLFIRINOX, not as current first choice</w:t>
            </w:r>
          </w:p>
          <w:p>
            <w:pPr>
              <w:pStyle w:val="ListParagraph"/>
              <w:numPr>
                <w:ilvl w:val="0"/>
                <w:numId w:val="2"/>
              </w:numPr>
              <w:spacing w:after="45"/>
            </w:pPr>
            <w:r>
              <w:rPr>
                <w:sz w:val="15"/>
                <w:szCs w:val="15"/>
              </w:rPr>
              <w:t xml:space="preserve">NON-RECEIPT OF ALLOCATED TREATMENT: only 7/730 (1%) never started, which is excellent, but 169/364 (46%) of combination patients and 127/366 (35%) of gemcitabine patients did not complete all six cycles, and the reason was UNKNOWN for 38 and 14 patients respectively. In an open-label trial reporting a 2.5-month median difference, 10% of the experimental arm stopping for unrecorded reasons is a real gap in the record</w:t>
            </w:r>
          </w:p>
          <w:p>
            <w:pPr>
              <w:pStyle w:val="ListParagraph"/>
              <w:numPr>
                <w:ilvl w:val="0"/>
                <w:numId w:val="2"/>
              </w:numPr>
              <w:spacing w:after="45"/>
            </w:pPr>
            <w:r>
              <w:rPr>
                <w:sz w:val="15"/>
                <w:szCs w:val="15"/>
              </w:rPr>
              <w:t xml:space="preserve">THE TRIAL WAS STOPPED AND PUBLISHED EARLY on the Independent Data and Safety Monitoring Committee's recommendation at 458 of 480 target deaths (95%), on 'a clear signal of efficacy'. Early stopping for benefit systematically overestimates effect size; Peto boundaries were used and no alpha adjustment was deemed necessary, but the point estimate should be read as an upper bound</w:t>
            </w:r>
          </w:p>
          <w:p>
            <w:pPr>
              <w:pStyle w:val="ListParagraph"/>
              <w:numPr>
                <w:ilvl w:val="0"/>
                <w:numId w:val="2"/>
              </w:numPr>
              <w:spacing w:after="45"/>
            </w:pPr>
            <w:r>
              <w:rPr>
                <w:sz w:val="15"/>
                <w:szCs w:val="15"/>
              </w:rPr>
              <w:t xml:space="preserve">THE PRIMARY ENDPOINT IS POSITIVE WHILE THE DISEASE-CONTROL ENDPOINT IS NOT. Relapse-free survival was not significantly different (HR 0.86, p=0.082) and median relapse-free survival differed by 0.8 months, yet 5-year overall survival differs by 12.5 percentage points. Either capecitabine acts after relapse, or the 5-year estimates - computed from a cohort with median follow-up of only 43.2 months and 51 patients lost to follow-up - are unstable. The widely quoted '28.8% vs 16.3% at 5 years' is an ESTIMATE extrapolated well past the bulk of the data and is not the trial's primary result</w:t>
            </w:r>
          </w:p>
          <w:p>
            <w:pPr>
              <w:pStyle w:val="ListParagraph"/>
              <w:numPr>
                <w:ilvl w:val="0"/>
                <w:numId w:val="2"/>
              </w:numPr>
              <w:spacing w:after="45"/>
            </w:pPr>
            <w:r>
              <w:rPr>
                <w:sz w:val="15"/>
                <w:szCs w:val="15"/>
              </w:rPr>
              <w:t xml:space="preserve">THE R0 SUBGROUP FINDING IS WHERE ALL THE BENEFIT SITS (39.5 vs 27.9 months in R0; 23.7 vs 23.0 months in R1) BUT 60% OF THE TRIAL WAS R1. No interaction test is reported for treatment-by-margin; a trend test across four groups is given instead. A pathway reading ESPAC-4 as supporting adjuvant GemCap for margin-positive patients is reading something the data do not show</w:t>
            </w:r>
          </w:p>
          <w:p>
            <w:pPr>
              <w:pStyle w:val="ListParagraph"/>
              <w:numPr>
                <w:ilvl w:val="0"/>
                <w:numId w:val="2"/>
              </w:numPr>
              <w:spacing w:after="45"/>
            </w:pPr>
            <w:r>
              <w:rPr>
                <w:sz w:val="15"/>
                <w:szCs w:val="15"/>
              </w:rPr>
              <w:t xml:space="preserve">EIGHT PATIENTS WITH STAGE IV DISEASE WERE ENROLLED 'because they were anxious to join the trial' and retained in the analysis, along with patients whose postoperative CA19-9 was unmeasured (68 patients, 9%). These are small numbers but represent protocol deviations accepted post hoc</w:t>
            </w:r>
          </w:p>
          <w:p>
            <w:pPr>
              <w:pStyle w:val="ListParagraph"/>
              <w:numPr>
                <w:ilvl w:val="0"/>
                <w:numId w:val="2"/>
              </w:numPr>
              <w:spacing w:after="45"/>
            </w:pPr>
            <w:r>
              <w:rPr>
                <w:sz w:val="15"/>
                <w:szCs w:val="15"/>
              </w:rPr>
              <w:t xml:space="preserve">The 2.5-month median difference comes at the cost of substantially more grade 3-4 neutropenia (38% vs 24%), diarrhoea and hand-foot syndrome, with 46% of the combination arm failing to complete treatment - a benefit-harm balance the paper's 'without any significant increase in overall toxicity' framing understates</w:t>
            </w:r>
          </w:p>
          <w:p>
            <w:pPr>
              <w:pStyle w:val="ListParagraph"/>
              <w:numPr>
                <w:ilvl w:val="0"/>
                <w:numId w:val="2"/>
              </w:numPr>
              <w:spacing w:after="45"/>
            </w:pPr>
            <w:r>
              <w:rPr>
                <w:sz w:val="15"/>
                <w:szCs w:val="15"/>
              </w:rPr>
              <w:t xml:space="preserve">Only 35-39% of relapsing patients received any treatment at relapse, far below the 93% in PRODIGE-24; the survival curves therefore reflect an era and a setting with limited salvage therapy</w:t>
            </w:r>
          </w:p>
          <w:p>
            <w:pPr>
              <w:pStyle w:val="ListParagraph"/>
              <w:numPr>
                <w:ilvl w:val="0"/>
                <w:numId w:val="2"/>
              </w:numPr>
              <w:spacing w:after="45"/>
            </w:pPr>
            <w:r>
              <w:rPr>
                <w:sz w:val="15"/>
                <w:szCs w:val="15"/>
              </w:rPr>
              <w:t xml:space="preserve">Open-label design with no central pathology or radiology review; the R0 definition used was the strict &lt;=1 mm Royal College of Pathologists standard, which is correct but makes the R0 rate (40%) incomparable with trials using older definitions</w:t>
            </w:r>
          </w:p>
          <w:p>
            <w:pPr>
              <w:pStyle w:val="ListParagraph"/>
              <w:numPr>
                <w:ilvl w:val="0"/>
                <w:numId w:val="2"/>
              </w:numPr>
              <w:spacing w:after="45"/>
            </w:pPr>
            <w:r>
              <w:rPr>
                <w:sz w:val="15"/>
                <w:szCs w:val="15"/>
              </w:rPr>
              <w:t xml:space="preserve">The senior author reports grants from seven companies, paid consultancy from four and lecture fees from two; the trial itself was funded by Cancer Research UK with no industry role, and capecitabine is generic, so commercial influence on the comparator is unlikely</w:t>
            </w:r>
          </w:p>
        </w:tc>
      </w:tr>
    </w:tbl>
    <w:p>
      <w:pPr>
        <w:spacing w:after="0" w:line="276"/>
      </w:pPr>
      <w:r>
        <w:rPr>
          <w:color w:val="5A6069"/>
          <w:sz w:val="14"/>
          <w:szCs w:val="14"/>
        </w:rPr>
        <w:t xml:space="preserve">Funding: Cancer Research UK (grant C245/A8968/A15957), sponsored by Royal Liverpool and Broadgreen University Hospitals NHS Trust. The funder had no role in design, data collection, analysis, interpretation or writing. Several senior authors report extensive grants, consultancy and lecture fees from Taiho, KAEL GemVax, AstraZeneca, Clovis, Ventana, Pharma Nord, Amgen, Boehringer Ingelheim, Novartis, Astellas, Celgene, Roche and others, all stated to be outside the submitted work.</w:t>
      </w:r>
    </w:p>
    <w:p>
      <w:pPr>
        <w:keepNext/>
        <w:spacing w:after="50" w:before="260"/>
      </w:pPr>
      <w:r>
        <w:rPr>
          <w:rFonts w:ascii="Cambria" w:cs="Cambria" w:eastAsia="Cambria" w:hAnsi="Cambria"/>
          <w:b/>
          <w:bCs/>
          <w:color w:val="17365D"/>
          <w:sz w:val="20"/>
          <w:szCs w:val="20"/>
        </w:rPr>
        <w:t xml:space="preserve">ESPAC5</w:t>
      </w:r>
      <w:r>
        <w:rPr>
          <w:b/>
          <w:bCs/>
          <w:color w:val="176A87"/>
          <w:sz w:val="15"/>
          <w:szCs w:val="15"/>
        </w:rPr>
        <w:t xml:space="preserve">   Randomised trial</w:t>
      </w:r>
      <w:r>
        <w:rPr>
          <w:color w:val="5A6069"/>
          <w:sz w:val="15"/>
          <w:szCs w:val="15"/>
        </w:rPr>
        <w:t xml:space="preserve">   PMID 36521500</w:t>
      </w:r>
    </w:p>
    <w:p>
      <w:pPr>
        <w:spacing w:after="50" w:line="276"/>
      </w:pPr>
      <w:r>
        <w:rPr>
          <w:color w:val="5A6069"/>
          <w:sz w:val="17"/>
          <w:szCs w:val="17"/>
        </w:rPr>
        <w:t xml:space="preserve">Immediate surgery compared with short-course neoadjuvant gemcitabine plus capecitabine, FOLFIRINOX, or chemoradiotherapy in patients with borderline resectable pancreatic cancer (ESPAC5): a four-arm, multicentre, randomised, phase 2 trial.</w:t>
      </w:r>
    </w:p>
    <w:p>
      <w:pPr>
        <w:spacing w:after="50"/>
      </w:pPr>
      <w:r>
        <w:rPr>
          <w:b/>
          <w:bCs/>
          <w:color w:val="176A87"/>
          <w:sz w:val="16"/>
          <w:szCs w:val="16"/>
        </w:rPr>
        <w:t xml:space="preserve">Population. </w:t>
      </w:r>
      <w:r>
        <w:rPr>
          <w:sz w:val="16"/>
          <w:szCs w:val="16"/>
        </w:rPr>
        <w:t xml:space="preserve">90 randomised, 86 in the full analysis set (31 immediate surgery, 19 gemcitabine plus capecitabine, 20 FOLFIRINOX, 16 chemoradiotherapy); 68 operations, 51 resections</w:t>
      </w:r>
    </w:p>
    <w:p>
      <w:pPr>
        <w:spacing w:after="70"/>
      </w:pPr>
      <w:r>
        <w:rPr>
          <w:b/>
          <w:bCs/>
          <w:color w:val="17365D"/>
          <w:sz w:val="16"/>
          <w:szCs w:val="16"/>
        </w:rPr>
        <w:t xml:space="preserve">Bottom line. </w:t>
      </w:r>
      <w:r>
        <w:rPr>
          <w:sz w:val="16"/>
          <w:szCs w:val="16"/>
        </w:rPr>
        <w:t xml:space="preserve">ESPAC5 is a feasibility trial that missed its recruitment target and found NO improvement in resection rate or R0 rate with short-course neoadjuvant therapy, but reported a striking 1-year survival advantage (76% vs 39%) as a secondary endpoint against a gemcitabine-era adjuvant comparator; it supports taking neoadjuvant chemotherapy seriously in borderline resectable disease and suggests chemotherapy beats chemoradiotherapy, but 90 patients and 12 months of follow-up cannot support the magnitude of effect it reports.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Recruitment was challenging and the original target of 100 patients was not reached; some centres recruited fewer than two patients per year because of set-up difficulties and investigator reluctance to delay surgery</w:t>
            </w:r>
          </w:p>
          <w:p>
            <w:pPr>
              <w:pStyle w:val="ListParagraph"/>
              <w:numPr>
                <w:ilvl w:val="0"/>
                <w:numId w:val="2"/>
              </w:numPr>
              <w:spacing w:after="45"/>
            </w:pPr>
            <w:r>
              <w:rPr>
                <w:sz w:val="15"/>
                <w:szCs w:val="15"/>
              </w:rPr>
              <w:t xml:space="preserve">As a feasibility study with low numbers there are methodological limitations and the possibility of random confounding from baseline imbalance</w:t>
            </w:r>
          </w:p>
          <w:p>
            <w:pPr>
              <w:pStyle w:val="ListParagraph"/>
              <w:numPr>
                <w:ilvl w:val="0"/>
                <w:numId w:val="2"/>
              </w:numPr>
              <w:spacing w:after="45"/>
            </w:pPr>
            <w:r>
              <w:rPr>
                <w:sz w:val="15"/>
                <w:szCs w:val="15"/>
              </w:rPr>
              <w:t xml:space="preserve">Non-adherence to treatment and the nature of comparing a surgical intervention with neoadjuvant therapy introduce potential bias</w:t>
            </w:r>
          </w:p>
          <w:p>
            <w:pPr>
              <w:pStyle w:val="ListParagraph"/>
              <w:numPr>
                <w:ilvl w:val="0"/>
                <w:numId w:val="2"/>
              </w:numPr>
              <w:spacing w:after="45"/>
            </w:pPr>
            <w:r>
              <w:rPr>
                <w:sz w:val="15"/>
                <w:szCs w:val="15"/>
              </w:rPr>
              <w:t xml:space="preserve">The short minimum follow-up of 12 months and low event rate make the hazard ratios imprecise and make non-proportionality impossible to assess, so survival data should be interpreted with caution</w:t>
            </w:r>
          </w:p>
          <w:p>
            <w:pPr>
              <w:pStyle w:val="ListParagraph"/>
              <w:numPr>
                <w:ilvl w:val="0"/>
                <w:numId w:val="2"/>
              </w:numPr>
              <w:spacing w:after="45"/>
            </w:pPr>
            <w:r>
              <w:rPr>
                <w:sz w:val="15"/>
                <w:szCs w:val="15"/>
              </w:rPr>
              <w:t xml:space="preserve">The low R0 rates may reflect the strict &lt;1 mm R0 definition as well as the borderline resectable population</w:t>
            </w:r>
          </w:p>
          <w:p>
            <w:pPr>
              <w:pStyle w:val="ListParagraph"/>
              <w:numPr>
                <w:ilvl w:val="0"/>
                <w:numId w:val="2"/>
              </w:numPr>
              <w:spacing w:after="45"/>
            </w:pPr>
            <w:r>
              <w:rPr>
                <w:sz w:val="15"/>
                <w:szCs w:val="15"/>
              </w:rPr>
              <w:t xml:space="preserve">The study was not powered to compare resection rates between individual treatment groups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COMPARATOR: immediate surgery followed by adjuvant therapy at the clinician's discretion. THE CONTROL ARM DID NOT RECEIVE MODERN ADJUVANT THERAPY: of 43 patients who received adjuvant treatment across the whole trial, 41 (95%) got gemcitabine or gemcitabine plus capecitabine and only 2 (5%) got modified FOLFIRINOX, because combination adjuvant therapy only became available near the end of the trial. The 39% 1-year survival in the immediate surgery arm reflects surgery plus gemcitabine-era adjuvant therapy, not surgery plus adjuvant mFOLFIRINOX</w:t>
            </w:r>
          </w:p>
          <w:p>
            <w:pPr>
              <w:pStyle w:val="ListParagraph"/>
              <w:numPr>
                <w:ilvl w:val="0"/>
                <w:numId w:val="2"/>
              </w:numPr>
              <w:spacing w:after="45"/>
            </w:pPr>
            <w:r>
              <w:rPr>
                <w:sz w:val="15"/>
                <w:szCs w:val="15"/>
              </w:rPr>
              <w:t xml:space="preserve">THE QUOTED SURVIVAL BENEFIT IS A SECONDARY ENDPOINT IN A TRIAL WHOSE TWO PRIMARY ENDPOINTS BOTH FAILED. Recruitment missed its target and resection rate was not improved (and numerically favoured immediate surgery, 68% vs 55%). The trial was explicitly powered only to compare pooled resection rates at one-sided alpha 0.2, with 'no clinical criteria set to establish the overall success of the study'. A pathway that cites ESPAC5's HR 0.29 as evidence for neoadjuvant therapy is citing an underpowered secondary endpoint from a feasibility trial</w:t>
            </w:r>
          </w:p>
          <w:p>
            <w:pPr>
              <w:pStyle w:val="ListParagraph"/>
              <w:numPr>
                <w:ilvl w:val="0"/>
                <w:numId w:val="2"/>
              </w:numPr>
              <w:spacing w:after="45"/>
            </w:pPr>
            <w:r>
              <w:rPr>
                <w:sz w:val="15"/>
                <w:szCs w:val="15"/>
              </w:rPr>
              <w:t xml:space="preserve">NON-RECEIPT OF ALLOCATED TREATMENT: 5/55 (9%) allocated to neoadjuvant therapy never started it (2 gemcitabine/capecitabine, 1 FOLFIRINOX, 2 chemoradiotherapy - one death, one low platelets, one high bilirubin, two progressions); 3/31 (10%) allocated to immediate surgery never had surgery because of progression; and 4 patients were excluded from the analysis set after randomisation (1 consent withdrawal, 3 ineligible on histology or staging, including an autoimmune pancreatitis and a neuroendocrine tumour). Overall 17/90 (19%) did not follow their allocation or were removed</w:t>
            </w:r>
          </w:p>
          <w:p>
            <w:pPr>
              <w:pStyle w:val="ListParagraph"/>
              <w:numPr>
                <w:ilvl w:val="0"/>
                <w:numId w:val="2"/>
              </w:numPr>
              <w:spacing w:after="45"/>
            </w:pPr>
            <w:r>
              <w:rPr>
                <w:sz w:val="15"/>
                <w:szCs w:val="15"/>
              </w:rPr>
              <w:t xml:space="preserve">A 12-MONTH CAPPED FOLLOW-UP WITH 31 DEATHS PRODUCES AN IMPLAUSIBLY LARGE EFFECT. An HR of 0.29 from 19 deaths in a 31-patient control arm against 12 deaths across 55 neoadjuvant patients is the kind of estimate that regresses heavily toward the null with longer follow-up. Censoring everyone at one year also removes exactly the period in which early neoadjuvant deaths from toxicity would accumulate and in which immediate-surgery patients who survived the first year would catch up</w:t>
            </w:r>
          </w:p>
          <w:p>
            <w:pPr>
              <w:pStyle w:val="ListParagraph"/>
              <w:numPr>
                <w:ilvl w:val="0"/>
                <w:numId w:val="2"/>
              </w:numPr>
              <w:spacing w:after="45"/>
            </w:pPr>
            <w:r>
              <w:rPr>
                <w:sz w:val="15"/>
                <w:szCs w:val="15"/>
              </w:rPr>
              <w:t xml:space="preserve">TIME-ZERO AND IMMORTAL-TIME ASYMMETRY: neoadjuvant patients had a median 116-136 days between baseline CT and surgery versus 42 days for immediate surgery. Survival is measured from randomisation, which is correct, but the neoadjuvant arms had to survive and remain fit for 2-3 months to reach surgery - and the 7 who progressed on treatment and the 2 who died are a small number in a small trial, so chance determines how much of the survival difference is biological</w:t>
            </w:r>
          </w:p>
          <w:p>
            <w:pPr>
              <w:pStyle w:val="ListParagraph"/>
              <w:numPr>
                <w:ilvl w:val="0"/>
                <w:numId w:val="2"/>
              </w:numPr>
              <w:spacing w:after="45"/>
            </w:pPr>
            <w:r>
              <w:rPr>
                <w:sz w:val="15"/>
                <w:szCs w:val="15"/>
              </w:rPr>
              <w:t xml:space="preserve">THE FOUR ARMS ARE NOT BALANCED AT BASELINE in ways that favour the neoadjuvant groups: median CA19-9 was 802 kU/L in the immediate surgery arm versus 322-623 in the neoadjuvant arms, and 61% of the surgery arm were female versus 50-56% elsewhere. With 16-31 patients per arm, minimisation cannot be relied on, and a nearly three-fold higher CA19-9 in the control arm is a strong independent prognostic disadvantage that is not adjusted for</w:t>
            </w:r>
          </w:p>
          <w:p>
            <w:pPr>
              <w:pStyle w:val="ListParagraph"/>
              <w:numPr>
                <w:ilvl w:val="0"/>
                <w:numId w:val="2"/>
              </w:numPr>
              <w:spacing w:after="45"/>
            </w:pPr>
            <w:r>
              <w:rPr>
                <w:sz w:val="15"/>
                <w:szCs w:val="15"/>
              </w:rPr>
              <w:t xml:space="preserve">The chemoradiotherapy arm had the BEST pathological outcomes (37% R0, 25% node positive) but the WORST neoadjuvant survival (60% at 1 year), which directly contradicts the mechanistic premise that improved local clearance drives survival - and the authors themselves note the survival benefit was 'unrelated to the resection rate'</w:t>
            </w:r>
          </w:p>
          <w:p>
            <w:pPr>
              <w:pStyle w:val="ListParagraph"/>
              <w:numPr>
                <w:ilvl w:val="0"/>
                <w:numId w:val="2"/>
              </w:numPr>
              <w:spacing w:after="45"/>
            </w:pPr>
            <w:r>
              <w:rPr>
                <w:sz w:val="15"/>
                <w:szCs w:val="15"/>
              </w:rPr>
              <w:t xml:space="preserve">No multiplicity adjustment across four arms and a large secondary endpoint set; the abstract and results text give different p values for 1-year disease-free survival (0.016 vs 0.043), an internal inconsistency that should give pause when quoting the figure</w:t>
            </w:r>
          </w:p>
          <w:p>
            <w:pPr>
              <w:pStyle w:val="ListParagraph"/>
              <w:numPr>
                <w:ilvl w:val="0"/>
                <w:numId w:val="2"/>
              </w:numPr>
              <w:spacing w:after="45"/>
            </w:pPr>
            <w:r>
              <w:rPr>
                <w:sz w:val="15"/>
                <w:szCs w:val="15"/>
              </w:rPr>
              <w:t xml:space="preserve">The trial cannot answer which neoadjuvant regimen is better: FOLFIRINOX (84%) and gemcitabine plus capecitabine (78%) 1-year survival differ by less than the width of either confidence interval, both of which reach 100%</w:t>
            </w:r>
          </w:p>
        </w:tc>
      </w:tr>
    </w:tbl>
    <w:p>
      <w:pPr>
        <w:spacing w:after="0" w:line="276"/>
      </w:pPr>
      <w:r>
        <w:rPr>
          <w:color w:val="5A6069"/>
          <w:sz w:val="14"/>
          <w:szCs w:val="14"/>
        </w:rPr>
        <w:t xml:space="preserve">Funding: Cancer Research UK. The funder had no role in study design, data collection, analysis, interpretation or writing. Open access under CC BY 4.0.</w:t>
      </w:r>
    </w:p>
    <w:p>
      <w:pPr>
        <w:keepNext/>
        <w:spacing w:after="50" w:before="260"/>
      </w:pPr>
      <w:r>
        <w:rPr>
          <w:rFonts w:ascii="Cambria" w:cs="Cambria" w:eastAsia="Cambria" w:hAnsi="Cambria"/>
          <w:b/>
          <w:bCs/>
          <w:color w:val="17365D"/>
          <w:sz w:val="20"/>
          <w:szCs w:val="20"/>
        </w:rPr>
        <w:t xml:space="preserve">FOLFIRINOX in LAPC</w:t>
      </w:r>
      <w:r>
        <w:rPr>
          <w:b/>
          <w:bCs/>
          <w:color w:val="176A87"/>
          <w:sz w:val="15"/>
          <w:szCs w:val="15"/>
        </w:rPr>
        <w:t xml:space="preserve">   Meta-analysis</w:t>
      </w:r>
      <w:r>
        <w:rPr>
          <w:color w:val="5A6069"/>
          <w:sz w:val="15"/>
          <w:szCs w:val="15"/>
        </w:rPr>
        <w:t xml:space="preserve">   PMID 27160474</w:t>
      </w:r>
    </w:p>
    <w:p>
      <w:pPr>
        <w:spacing w:after="50" w:line="276"/>
      </w:pPr>
      <w:r>
        <w:rPr>
          <w:color w:val="5A6069"/>
          <w:sz w:val="17"/>
          <w:szCs w:val="17"/>
        </w:rPr>
        <w:t xml:space="preserve">FOLFIRINOX for locally advanced pancreatic cancer: a systematic review and patient-level meta-analysis.</w:t>
      </w:r>
    </w:p>
    <w:p>
      <w:pPr>
        <w:spacing w:after="50"/>
      </w:pPr>
      <w:r>
        <w:rPr>
          <w:b/>
          <w:bCs/>
          <w:color w:val="176A87"/>
          <w:sz w:val="16"/>
          <w:szCs w:val="16"/>
        </w:rPr>
        <w:t xml:space="preserve">Population. </w:t>
      </w:r>
      <w:r>
        <w:rPr>
          <w:sz w:val="16"/>
          <w:szCs w:val="16"/>
        </w:rPr>
        <w:t xml:space="preserve">13 studies, 689 patients, of whom 355 (52%) had locally advanced disease; 11 studies with 315 locally advanced patients contributed patient-level survival data</w:t>
      </w:r>
    </w:p>
    <w:p>
      <w:pPr>
        <w:spacing w:after="70"/>
      </w:pPr>
      <w:r>
        <w:rPr>
          <w:b/>
          <w:bCs/>
          <w:color w:val="17365D"/>
          <w:sz w:val="16"/>
          <w:szCs w:val="16"/>
        </w:rPr>
        <w:t xml:space="preserve">Bottom line. </w:t>
      </w:r>
      <w:r>
        <w:rPr>
          <w:sz w:val="16"/>
          <w:szCs w:val="16"/>
        </w:rPr>
        <w:t xml:space="preserve">This individual-patient meta-analysis of 315 patients from 11 non-randomised studies is the source of the widely quoted 24.2-month median survival with FOLFIRINOX in locally advanced pancreatic cancer, and it shows resection is achieved in only about a quarter; because every study was non-randomised, most retrospective, none used staging laparoscopy and the per-study medians range from 10 to 33 months, the figure describes a selected and heterogeneous population and should be read as a hypothesis for the randomised trials it prompted, not as an expected outcome.</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All included studies were non-randomised and most were retrospective, and retrospective studies are known to under-report toxicity - so the pooled adverse event rates are probably an underestimate</w:t>
            </w:r>
          </w:p>
          <w:p>
            <w:pPr>
              <w:pStyle w:val="ListParagraph"/>
              <w:numPr>
                <w:ilvl w:val="0"/>
                <w:numId w:val="2"/>
              </w:numPr>
              <w:spacing w:after="45"/>
            </w:pPr>
            <w:r>
              <w:rPr>
                <w:sz w:val="15"/>
                <w:szCs w:val="15"/>
              </w:rPr>
              <w:t xml:space="preserve">Progression-free survival may be biased because retrospective studies typically lack standardised on-treatment imaging</w:t>
            </w:r>
          </w:p>
          <w:p>
            <w:pPr>
              <w:pStyle w:val="ListParagraph"/>
              <w:numPr>
                <w:ilvl w:val="0"/>
                <w:numId w:val="2"/>
              </w:numPr>
              <w:spacing w:after="45"/>
            </w:pPr>
            <w:r>
              <w:rPr>
                <w:sz w:val="15"/>
                <w:szCs w:val="15"/>
              </w:rPr>
              <w:t xml:space="preserve">Studies used different definitions of locally advanced disease (NCCN in three, AHPBA/SSO/SSAT in three, multidisciplinary board or retrospective image review in seven); a consensus definition is needed</w:t>
            </w:r>
          </w:p>
          <w:p>
            <w:pPr>
              <w:pStyle w:val="ListParagraph"/>
              <w:numPr>
                <w:ilvl w:val="0"/>
                <w:numId w:val="2"/>
              </w:numPr>
              <w:spacing w:after="45"/>
            </w:pPr>
            <w:r>
              <w:rPr>
                <w:sz w:val="15"/>
                <w:szCs w:val="15"/>
              </w:rPr>
              <w:t xml:space="preserve">The included studies did NOT report how eligibility for FOLFIRINOX was determined, so it is unclear whether nearly all locally advanced patients or only the fittest subgroup received it - and therefore which patients can expect 24.2 months</w:t>
            </w:r>
          </w:p>
          <w:p>
            <w:pPr>
              <w:pStyle w:val="ListParagraph"/>
              <w:numPr>
                <w:ilvl w:val="0"/>
                <w:numId w:val="2"/>
              </w:numPr>
              <w:spacing w:after="45"/>
            </w:pPr>
            <w:r>
              <w:rPr>
                <w:sz w:val="15"/>
                <w:szCs w:val="15"/>
              </w:rPr>
              <w:t xml:space="preserve">After first-line FOLFIRINOX many patients had additional treatments (chemotherapy, targeted therapy, radiotherapy, resection) that varied within and across studies, with insufficient data to evaluate their effect on survival</w:t>
            </w:r>
          </w:p>
          <w:p>
            <w:pPr>
              <w:pStyle w:val="ListParagraph"/>
              <w:numPr>
                <w:ilvl w:val="0"/>
                <w:numId w:val="2"/>
              </w:numPr>
              <w:spacing w:after="45"/>
            </w:pPr>
            <w:r>
              <w:rPr>
                <w:sz w:val="15"/>
                <w:szCs w:val="15"/>
              </w:rPr>
              <w:t xml:space="preserve">No study reported standard pretreatment staging laparoscopy, which upstages up to a third of patients to metastatic disease in other reports; better staging might yield even longer survival</w:t>
            </w:r>
          </w:p>
          <w:p>
            <w:pPr>
              <w:pStyle w:val="ListParagraph"/>
              <w:numPr>
                <w:ilvl w:val="0"/>
                <w:numId w:val="2"/>
              </w:numPr>
              <w:spacing w:after="45"/>
            </w:pPr>
            <w:r>
              <w:rPr>
                <w:sz w:val="15"/>
                <w:szCs w:val="15"/>
              </w:rPr>
              <w:t xml:space="preserve">The favourable survival may be partly attributable to patient selection, and confirmation in a randomised trial is needed</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COMPARATOR: THERE IS NONE. The 24.2-month figure is compared only with a narrative range of '6-13 months' for gemcitabine drawn from two references, with no formal synthesis of the gemcitabine comparator and no adjustment for the different eras, staging and performance status of those cohorts. The paper is a single-arm pooled analysis presented with a historical benchmark</w:t>
            </w:r>
          </w:p>
          <w:p>
            <w:pPr>
              <w:pStyle w:val="ListParagraph"/>
              <w:numPr>
                <w:ilvl w:val="0"/>
                <w:numId w:val="2"/>
              </w:numPr>
              <w:spacing w:after="45"/>
            </w:pPr>
            <w:r>
              <w:rPr>
                <w:sz w:val="15"/>
                <w:szCs w:val="15"/>
              </w:rPr>
              <w:t xml:space="preserve">SELECTION, NOT DRUG EFFECT, IS THE MOST PARSIMONIOUS EXPLANATION AND THE AUTHORS CANNOT RULE IT OUT - they say so, but the headline figure is quoted everywhere without the caveat. FOLFIRINOX eligibility in 2011-2015 meant good performance status, normal bilirubin and age under about 76; the studies do not report their denominators, so the 24.2 months describes whoever was offered FOLFIRINOX, not patients with locally advanced disease</w:t>
            </w:r>
          </w:p>
          <w:p>
            <w:pPr>
              <w:pStyle w:val="ListParagraph"/>
              <w:numPr>
                <w:ilvl w:val="0"/>
                <w:numId w:val="2"/>
              </w:numPr>
              <w:spacing w:after="45"/>
            </w:pPr>
            <w:r>
              <w:rPr>
                <w:sz w:val="15"/>
                <w:szCs w:val="15"/>
              </w:rPr>
              <w:t xml:space="preserve">IMMORTAL TIME AND LEFT-TRUNCATION: survival is measured from the start of FOLFIRINOX, so every patient had to survive diagnosis, staging, biliary drainage and the decision to treat before entering the analysis. Patients who deteriorated or were found metastatic before chemotherapy could start are invisible. LAP07's 7.7-month median for patients who progressed during induction shows how large this excluded group is</w:t>
            </w:r>
          </w:p>
          <w:p>
            <w:pPr>
              <w:pStyle w:val="ListParagraph"/>
              <w:numPr>
                <w:ilvl w:val="0"/>
                <w:numId w:val="2"/>
              </w:numPr>
              <w:spacing w:after="45"/>
            </w:pPr>
            <w:r>
              <w:rPr>
                <w:sz w:val="15"/>
                <w:szCs w:val="15"/>
              </w:rPr>
              <w:t xml:space="preserve">ELEVEN OF THIRTEEN STUDIES ARE RETROSPECTIVE, AND NO STUDY USED STAGING LAPAROSCOPY. The authors argue this biases AGAINST FOLFIRINOX (occult metastatic patients included), but it cuts the other way for progression-free survival (no standardised imaging means later-detected progression) and the direction of net bias is unknowable</w:t>
            </w:r>
          </w:p>
          <w:p>
            <w:pPr>
              <w:pStyle w:val="ListParagraph"/>
              <w:numPr>
                <w:ilvl w:val="0"/>
                <w:numId w:val="2"/>
              </w:numPr>
              <w:spacing w:after="45"/>
            </w:pPr>
            <w:r>
              <w:rPr>
                <w:sz w:val="15"/>
                <w:szCs w:val="15"/>
              </w:rPr>
              <w:t xml:space="preserve">THREE-FOLD HETEROGENEITY IN THE PRIMARY OUTCOME (10.0 to 32.7 months) IS NOT FORMALLY QUANTIFIED. Because patient-level data were pooled into a single Kaplan-Meier curve rather than meta-analysed, no I2 or prediction interval is reported for overall survival - the headline estimate is presented with a narrow 95% CI (21.7-26.8) that reflects the number of patients, not the disagreement between studies. For the pooled proportions where I2 IS reported, it reaches 90%</w:t>
            </w:r>
          </w:p>
          <w:p>
            <w:pPr>
              <w:pStyle w:val="ListParagraph"/>
              <w:numPr>
                <w:ilvl w:val="0"/>
                <w:numId w:val="2"/>
              </w:numPr>
              <w:spacing w:after="45"/>
            </w:pPr>
            <w:r>
              <w:rPr>
                <w:sz w:val="15"/>
                <w:szCs w:val="15"/>
              </w:rPr>
              <w:t xml:space="preserve">THE 'LOCALLY ADVANCED' POPULATION IS NOT ONE POPULATION. Only three of thirteen studies enrolled exclusively locally advanced patients; the rest mixed in resectable, borderline resectable, metastatic and recurrent disease (355/689 locally advanced overall), and seven studies had no formal resectability criteria at all. Patients labelled locally advanced by a retrospective image review in 2011 would include patients a modern multidisciplinary board would call borderline resectable and resect</w:t>
            </w:r>
          </w:p>
          <w:p>
            <w:pPr>
              <w:pStyle w:val="ListParagraph"/>
              <w:numPr>
                <w:ilvl w:val="0"/>
                <w:numId w:val="2"/>
              </w:numPr>
              <w:spacing w:after="45"/>
            </w:pPr>
            <w:r>
              <w:rPr>
                <w:sz w:val="15"/>
                <w:szCs w:val="15"/>
              </w:rPr>
              <w:t xml:space="preserve">THE 25.9% RESECTION AND 78.4% R0 RATES ARE STUDY-LEVEL PROPORTIONS WITH I2 OF 24% AND 64% AND A PER-STUDY RANGE OF 0-43%, reflecting no consensus on who gets taken to surgery. The R0 denominator is resected patients only (81 of 325), so '78% R0' describes 19% of the cohort</w:t>
            </w:r>
          </w:p>
          <w:p>
            <w:pPr>
              <w:pStyle w:val="ListParagraph"/>
              <w:numPr>
                <w:ilvl w:val="0"/>
                <w:numId w:val="2"/>
              </w:numPr>
              <w:spacing w:after="45"/>
            </w:pPr>
            <w:r>
              <w:rPr>
                <w:sz w:val="15"/>
                <w:szCs w:val="15"/>
              </w:rPr>
              <w:t xml:space="preserve">NO DEATHS ATTRIBUTED TO FOLFIRINOX ACROSS 490 PATIENTS IS NOT CREDIBLE as a safety estimate from retrospective records; PRODIGE 4 recorded one treatment-related death in 171 patients prospectively. The authors acknowledge under-reporting but the figure is still presented as a finding</w:t>
            </w:r>
          </w:p>
          <w:p>
            <w:pPr>
              <w:pStyle w:val="ListParagraph"/>
              <w:numPr>
                <w:ilvl w:val="0"/>
                <w:numId w:val="2"/>
              </w:numPr>
              <w:spacing w:after="45"/>
            </w:pPr>
            <w:r>
              <w:rPr>
                <w:sz w:val="15"/>
                <w:szCs w:val="15"/>
              </w:rPr>
              <w:t xml:space="preserve">MANY OF THE CONTRIBUTING AUTHORS ARE THE INVESTIGATORS OF THE INCLUDED STUDIES, who supplied and 'checked' their own patient-level data. This is the standard way individual-patient meta-analyses are done and improves data quality, but it also means the included studies were not independently verified and no formal risk-of-bias judgement beyond a CASP score is reported per study</w:t>
            </w:r>
          </w:p>
          <w:p>
            <w:pPr>
              <w:pStyle w:val="ListParagraph"/>
              <w:numPr>
                <w:ilvl w:val="0"/>
                <w:numId w:val="2"/>
              </w:numPr>
              <w:spacing w:after="45"/>
            </w:pPr>
            <w:r>
              <w:rPr>
                <w:sz w:val="15"/>
                <w:szCs w:val="15"/>
              </w:rPr>
              <w:t xml:space="preserve">The comparison with ESPAC-3's adjuvant survival invites the inference that locally advanced disease treated with FOLFIRINOX does as well as resected disease - an inference between two differently selected populations that the paper then uses to motivate neoadjuvant FOLFIRINOX trials in resectable disease. NORPACT-1 and PREOPANC-2 subsequently failed to show that benefit</w:t>
            </w:r>
          </w:p>
        </w:tc>
      </w:tr>
    </w:tbl>
    <w:p>
      <w:pPr>
        <w:spacing w:after="0" w:line="276"/>
      </w:pPr>
      <w:r>
        <w:rPr>
          <w:color w:val="5A6069"/>
          <w:sz w:val="14"/>
          <w:szCs w:val="14"/>
        </w:rPr>
        <w:t xml:space="preserve">Funding: None. Several authors report personal fees or grants from Roche, Novartis, Merrimack, N-of-One, Elekta, Amgen, Merck, Celgene, Lilly, Sanofi, Genentech, Taiho, Bristol-Myers Squibb, Boston Biomedical, AVEO, Pfizer and Sirtex outside the submitted work.</w:t>
      </w:r>
    </w:p>
    <w:p>
      <w:pPr>
        <w:keepNext/>
        <w:spacing w:after="50" w:before="260"/>
      </w:pPr>
      <w:r>
        <w:rPr>
          <w:rFonts w:ascii="Cambria" w:cs="Cambria" w:eastAsia="Cambria" w:hAnsi="Cambria"/>
          <w:b/>
          <w:bCs/>
          <w:color w:val="17365D"/>
          <w:sz w:val="20"/>
          <w:szCs w:val="20"/>
        </w:rPr>
        <w:t xml:space="preserve">Hu 2018 germline</w:t>
      </w:r>
      <w:r>
        <w:rPr>
          <w:b/>
          <w:bCs/>
          <w:color w:val="176A87"/>
          <w:sz w:val="15"/>
          <w:szCs w:val="15"/>
        </w:rPr>
        <w:t xml:space="preserve">   Retrospective cohort</w:t>
      </w:r>
      <w:r>
        <w:rPr>
          <w:color w:val="5A6069"/>
          <w:sz w:val="15"/>
          <w:szCs w:val="15"/>
        </w:rPr>
        <w:t xml:space="preserve">   PMID 29922827</w:t>
      </w:r>
    </w:p>
    <w:p>
      <w:pPr>
        <w:spacing w:after="50" w:line="276"/>
      </w:pPr>
      <w:r>
        <w:rPr>
          <w:color w:val="5A6069"/>
          <w:sz w:val="17"/>
          <w:szCs w:val="17"/>
        </w:rPr>
        <w:t xml:space="preserve">Association Between Inherited Germline Mutations in Cancer Predisposition Genes and Risk of Pancreatic Cancer.</w:t>
      </w:r>
    </w:p>
    <w:p>
      <w:pPr>
        <w:spacing w:after="50"/>
      </w:pPr>
      <w:r>
        <w:rPr>
          <w:b/>
          <w:bCs/>
          <w:color w:val="176A87"/>
          <w:sz w:val="16"/>
          <w:szCs w:val="16"/>
        </w:rPr>
        <w:t xml:space="preserve">Population. </w:t>
      </w:r>
      <w:r>
        <w:rPr>
          <w:sz w:val="16"/>
          <w:szCs w:val="16"/>
        </w:rPr>
        <w:t xml:space="preserve">3030 pancreatic adenocarcinoma cases with germline sequencing (123 136 reference controls)</w:t>
      </w:r>
    </w:p>
    <w:p>
      <w:pPr>
        <w:spacing w:after="70"/>
      </w:pPr>
      <w:r>
        <w:rPr>
          <w:b/>
          <w:bCs/>
          <w:color w:val="17365D"/>
          <w:sz w:val="16"/>
          <w:szCs w:val="16"/>
        </w:rPr>
        <w:t xml:space="preserve">Bottom line. </w:t>
      </w:r>
      <w:r>
        <w:rPr>
          <w:sz w:val="16"/>
          <w:szCs w:val="16"/>
        </w:rPr>
        <w:t xml:space="preserve">Establishes that deleterious germline mutations in six genes are over-represented in unselected pancreatic cancer and are present in 5.5% of patients regardless of family history, but does not establish penetrance, does not show that carriage affects survival, and does not make most of those six genes therapeutically actionable.</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Public reference controls, not study-recruited controls, were used to estimate background mutation prevalence; the authors argue extensive filtering normalised the two data sets and that ExAC and gnomAD gave concordant results</w:t>
            </w:r>
          </w:p>
          <w:p>
            <w:pPr>
              <w:pStyle w:val="ListParagraph"/>
              <w:numPr>
                <w:ilvl w:val="0"/>
                <w:numId w:val="2"/>
              </w:numPr>
              <w:spacing w:after="45"/>
            </w:pPr>
            <w:r>
              <w:rPr>
                <w:sz w:val="15"/>
                <w:szCs w:val="15"/>
              </w:rPr>
              <w:t xml:space="preserve">The 21-gene panel does not cover all possible predisposition genes, so other contributing genes may have been missed</w:t>
            </w:r>
          </w:p>
          <w:p>
            <w:pPr>
              <w:pStyle w:val="ListParagraph"/>
              <w:numPr>
                <w:ilvl w:val="0"/>
                <w:numId w:val="2"/>
              </w:numPr>
              <w:spacing w:after="45"/>
            </w:pPr>
            <w:r>
              <w:rPr>
                <w:sz w:val="15"/>
                <w:szCs w:val="15"/>
              </w:rPr>
              <w:t xml:space="preserve">A number of variants of uncertain significance could not be classified as deleterious or neutral</w:t>
            </w:r>
          </w:p>
          <w:p>
            <w:pPr>
              <w:pStyle w:val="ListParagraph"/>
              <w:numPr>
                <w:ilvl w:val="0"/>
                <w:numId w:val="2"/>
              </w:numPr>
              <w:spacing w:after="45"/>
            </w:pPr>
            <w:r>
              <w:rPr>
                <w:sz w:val="15"/>
                <w:szCs w:val="15"/>
              </w:rPr>
              <w:t xml:space="preserve">Cases came from three Mayo Clinic sites and were younger and less likely to be Black or Hispanic than SEER pancreatic cancer patients, so generalisability may be limited</w:t>
            </w:r>
          </w:p>
          <w:p>
            <w:pPr>
              <w:pStyle w:val="ListParagraph"/>
              <w:numPr>
                <w:ilvl w:val="0"/>
                <w:numId w:val="2"/>
              </w:numPr>
              <w:spacing w:after="45"/>
            </w:pPr>
            <w:r>
              <w:rPr>
                <w:sz w:val="15"/>
                <w:szCs w:val="15"/>
              </w:rPr>
              <w:t xml:space="preserve">The study had insufficient information to estimate penetrance (lifetime cancer probability) in carriers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Case-control comparison against sequencing databases assembled for other purposes is vulnerable to differential variant-calling and coverage between cases and controls; the authors address data cleaning but not platform-level batch effects, and the very wide CIs for CDKN2A (5.43-25.61) and MLH1 (1.94-17.53) rest on a handful of carriers each</w:t>
            </w:r>
          </w:p>
          <w:p>
            <w:pPr>
              <w:pStyle w:val="ListParagraph"/>
              <w:numPr>
                <w:ilvl w:val="0"/>
                <w:numId w:val="2"/>
              </w:numPr>
              <w:spacing w:after="45"/>
            </w:pPr>
            <w:r>
              <w:rPr>
                <w:sz w:val="15"/>
                <w:szCs w:val="15"/>
              </w:rPr>
              <w:t xml:space="preserve">The headline 5.5% figure is driven mostly by ATM and BRCA2; a pathway that quotes '5.5% carry an actionable germline mutation' is conflating genes with established therapeutic consequences (BRCA1/2, and by extension PALB2) with genes that have none in pancreatic cancer (CDKN2A, TP53)</w:t>
            </w:r>
          </w:p>
          <w:p>
            <w:pPr>
              <w:pStyle w:val="ListParagraph"/>
              <w:numPr>
                <w:ilvl w:val="0"/>
                <w:numId w:val="2"/>
              </w:numPr>
              <w:spacing w:after="45"/>
            </w:pPr>
            <w:r>
              <w:rPr>
                <w:sz w:val="15"/>
                <w:szCs w:val="15"/>
              </w:rPr>
              <w:t xml:space="preserve">A clinic-based case series at a tertiary referral centre over 16 years oversamples patients who survived long enough to be enrolled and consented; the null survival association (HR 0.86) is therefore not a clean test of whether carriage affects prognosis</w:t>
            </w:r>
          </w:p>
          <w:p>
            <w:pPr>
              <w:pStyle w:val="ListParagraph"/>
              <w:numPr>
                <w:ilvl w:val="0"/>
                <w:numId w:val="2"/>
              </w:numPr>
              <w:spacing w:after="45"/>
            </w:pPr>
            <w:r>
              <w:rPr>
                <w:sz w:val="15"/>
                <w:szCs w:val="15"/>
              </w:rPr>
              <w:t xml:space="preserve">Multiplicity across 21 genes and several subgroup strata (family history, age, race) is not formally controlled, and the authors report subgroup ORs for family-history strata as if independently estimated</w:t>
            </w:r>
          </w:p>
          <w:p>
            <w:pPr>
              <w:pStyle w:val="ListParagraph"/>
              <w:numPr>
                <w:ilvl w:val="0"/>
                <w:numId w:val="2"/>
              </w:numPr>
              <w:spacing w:after="45"/>
            </w:pPr>
            <w:r>
              <w:rPr>
                <w:sz w:val="15"/>
                <w:szCs w:val="15"/>
              </w:rPr>
              <w:t xml:space="preserve">Two co-authors were employees of Qiagen, which supplies variant-interpretation software, a relationship relevant to how variants were classified; the paper discloses this but does not discuss its bearing on classification</w:t>
            </w:r>
          </w:p>
          <w:p>
            <w:pPr>
              <w:pStyle w:val="ListParagraph"/>
              <w:numPr>
                <w:ilvl w:val="0"/>
                <w:numId w:val="2"/>
              </w:numPr>
              <w:spacing w:after="45"/>
            </w:pPr>
            <w:r>
              <w:rPr>
                <w:sz w:val="15"/>
                <w:szCs w:val="15"/>
              </w:rPr>
              <w:t xml:space="preserve">The paper establishes risk association only; it supports cascade testing of relatives but says nothing about whether testing changes outcomes, which is the claim a pathway page usually wants to make</w:t>
            </w:r>
          </w:p>
        </w:tc>
      </w:tr>
    </w:tbl>
    <w:p>
      <w:pPr>
        <w:spacing w:after="0" w:line="276"/>
      </w:pPr>
      <w:r>
        <w:rPr>
          <w:color w:val="5A6069"/>
          <w:sz w:val="14"/>
          <w:szCs w:val="14"/>
        </w:rPr>
        <w:t xml:space="preserve">Funding: National Institutes of Health grants R01CA192393, R01CA97075 and P50CA102701 (Mayo Clinic Pancreatic Cancer SPORE), Mayo Clinic Department of Laboratory Medicine and Pathology Research Funds, Mayo Clinic Center for Individualized Medicine, Rolfe Pancreatic Cancer Foundation, Vernon F. and Mae E. Thompson Charitable Fund; funders stated to have had no role in design, conduct or analysis</w:t>
      </w:r>
    </w:p>
    <w:p>
      <w:pPr>
        <w:keepNext/>
        <w:spacing w:after="50" w:before="260"/>
      </w:pPr>
      <w:r>
        <w:rPr>
          <w:rFonts w:ascii="Cambria" w:cs="Cambria" w:eastAsia="Cambria" w:hAnsi="Cambria"/>
          <w:b/>
          <w:bCs/>
          <w:color w:val="17365D"/>
          <w:sz w:val="20"/>
          <w:szCs w:val="20"/>
        </w:rPr>
        <w:t xml:space="preserve">Kaslow benchmarks</w:t>
      </w:r>
      <w:r>
        <w:rPr>
          <w:b/>
          <w:bCs/>
          <w:color w:val="176A87"/>
          <w:sz w:val="15"/>
          <w:szCs w:val="15"/>
        </w:rPr>
        <w:t xml:space="preserve">   Retrospective cohort</w:t>
      </w:r>
      <w:r>
        <w:rPr>
          <w:color w:val="5A6069"/>
          <w:sz w:val="15"/>
          <w:szCs w:val="15"/>
        </w:rPr>
        <w:t xml:space="preserve">   PMID 36353987</w:t>
      </w:r>
    </w:p>
    <w:p>
      <w:pPr>
        <w:spacing w:after="50" w:line="276"/>
      </w:pPr>
      <w:r>
        <w:rPr>
          <w:color w:val="5A6069"/>
          <w:sz w:val="17"/>
          <w:szCs w:val="17"/>
        </w:rPr>
        <w:t xml:space="preserve">Natural History of Stage IV Pancreatic Cancer. Identifying Survival Benchmarks for Curative-intent Resection in Patients With Synchronous Liver-only Metastases.</w:t>
      </w:r>
    </w:p>
    <w:p>
      <w:pPr>
        <w:spacing w:after="50"/>
      </w:pPr>
      <w:r>
        <w:rPr>
          <w:b/>
          <w:bCs/>
          <w:color w:val="176A87"/>
          <w:sz w:val="16"/>
          <w:szCs w:val="16"/>
        </w:rPr>
        <w:t xml:space="preserve">Population. </w:t>
      </w:r>
      <w:r>
        <w:rPr>
          <w:sz w:val="16"/>
          <w:szCs w:val="16"/>
        </w:rPr>
        <w:t xml:space="preserve">241 patients with clinical stage IV PDAC and synchronous metastasis (4 who had primary resection excluded); 144 with liver-only disease; 80 with imaging reviewed; final benchmark cohort 9 patients (4%)</w:t>
      </w:r>
    </w:p>
    <w:p>
      <w:pPr>
        <w:spacing w:after="70"/>
      </w:pPr>
      <w:r>
        <w:rPr>
          <w:b/>
          <w:bCs/>
          <w:color w:val="17365D"/>
          <w:sz w:val="16"/>
          <w:szCs w:val="16"/>
        </w:rPr>
        <w:t xml:space="preserve">Bottom line. </w:t>
      </w:r>
      <w:r>
        <w:rPr>
          <w:sz w:val="16"/>
          <w:szCs w:val="16"/>
        </w:rPr>
        <w:t xml:space="preserve">This single-centre natural-history study is the control group the oligometastatic pancreatic surgery literature never had: patients with liver-only metastatic PDAC who received chemotherapy and survived 12 months had a median survival of 26 months, and the 4% who were also theoretically operable reached 39 months with NO surgery at all - matching or exceeding most published resection series and showing that conditional survival, not resection, explains their results, though the benchmark itself rests on only nine patients and there were no 5-year survivors.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Retrospective, single-institution experience with practice variation even within the institution - for example no universal approach to diagnosing peritoneal disease, so not every patient had staging laparoscopy</w:t>
            </w:r>
          </w:p>
          <w:p>
            <w:pPr>
              <w:pStyle w:val="ListParagraph"/>
              <w:numPr>
                <w:ilvl w:val="0"/>
                <w:numId w:val="2"/>
              </w:numPr>
              <w:spacing w:after="45"/>
            </w:pPr>
            <w:r>
              <w:rPr>
                <w:sz w:val="15"/>
                <w:szCs w:val="15"/>
              </w:rPr>
              <w:t xml:space="preserve">The proportion with metastatic disease at diagnosis (34%) is low relative to national cohorts and major centres where up to 47% present metastatic; the population appears skewed toward patients undergoing curative-intent treatment with fewer systemic-only patients, possibly because chemotherapy was given at local hospitals</w:t>
            </w:r>
          </w:p>
          <w:p>
            <w:pPr>
              <w:pStyle w:val="ListParagraph"/>
              <w:numPr>
                <w:ilvl w:val="0"/>
                <w:numId w:val="2"/>
              </w:numPr>
              <w:spacing w:after="45"/>
            </w:pPr>
            <w:r>
              <w:rPr>
                <w:sz w:val="15"/>
                <w:szCs w:val="15"/>
              </w:rPr>
              <w:t xml:space="preserve">The cohort predates the current electronic medical record, so not all patients had complete data (such as CA19-9) or available imaging for review</w:t>
            </w:r>
          </w:p>
          <w:p>
            <w:pPr>
              <w:pStyle w:val="ListParagraph"/>
              <w:numPr>
                <w:ilvl w:val="0"/>
                <w:numId w:val="2"/>
              </w:numPr>
              <w:spacing w:after="45"/>
            </w:pPr>
            <w:r>
              <w:rPr>
                <w:sz w:val="15"/>
                <w:szCs w:val="15"/>
              </w:rPr>
              <w:t xml:space="preserve">Because CA19-9 availability varied, it was deliberately NOT used as a criterion for selecting the hypothetical benchmark cohort, even though CA19-9 trend is likely to inform real clinical decisions</w:t>
            </w:r>
          </w:p>
          <w:p>
            <w:pPr>
              <w:pStyle w:val="ListParagraph"/>
              <w:numPr>
                <w:ilvl w:val="0"/>
                <w:numId w:val="2"/>
              </w:numPr>
              <w:spacing w:after="45"/>
            </w:pPr>
            <w:r>
              <w:rPr>
                <w:sz w:val="15"/>
                <w:szCs w:val="15"/>
              </w:rPr>
              <w:t xml:space="preserve">The authors state that to the best of their knowledge no published study has compared resected patients with patients who survived to the same landmark time without surgery</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COMPARATOR: this paper IS the comparator, and that is its contribution - it supplies the control arm that Hamad, D'Ambra, Clements and every single-centre resection series lack. Its own weakness is the mirror image: it has no surgical arm, so it cannot exclude a real benefit from resection, only show that most of the reported benefit is explained by selection</w:t>
            </w:r>
          </w:p>
          <w:p>
            <w:pPr>
              <w:pStyle w:val="ListParagraph"/>
              <w:numPr>
                <w:ilvl w:val="0"/>
                <w:numId w:val="2"/>
              </w:numPr>
              <w:spacing w:after="45"/>
            </w:pPr>
            <w:r>
              <w:rPr>
                <w:sz w:val="15"/>
                <w:szCs w:val="15"/>
              </w:rPr>
              <w:t xml:space="preserve">THE BENCHMARK REST ON NINE PATIENTS. A median of 39 months with a 95% CI of 13 months to not-reached is an estimate from 9 people, 5 of whom had died. The paper is appropriately explicit that this is a 'hypothetical cohort', but a 9-patient benchmark is a fragile standard against which to judge surgical series of 30-250 patients, and the direction of its own imprecision is unknown</w:t>
            </w:r>
          </w:p>
          <w:p>
            <w:pPr>
              <w:pStyle w:val="ListParagraph"/>
              <w:numPr>
                <w:ilvl w:val="0"/>
                <w:numId w:val="2"/>
              </w:numPr>
              <w:spacing w:after="45"/>
            </w:pPr>
            <w:r>
              <w:rPr>
                <w:sz w:val="15"/>
                <w:szCs w:val="15"/>
              </w:rPr>
              <w:t xml:space="preserve">THE 12-MONTH LANDMARK IS ITSELF ARBITRARY AND BORROWED. It was chosen because two published series had a median 10 months from diagnosis to surgery. Series with a shorter interval (6-8 months in one cited study) face less immortal time bias, so a single 12-month landmark over-corrects for some comparisons and under-corrects for others; no sensitivity analysis across landmark times is presented</w:t>
            </w:r>
          </w:p>
          <w:p>
            <w:pPr>
              <w:pStyle w:val="ListParagraph"/>
              <w:numPr>
                <w:ilvl w:val="0"/>
                <w:numId w:val="2"/>
              </w:numPr>
              <w:spacing w:after="45"/>
            </w:pPr>
            <w:r>
              <w:rPr>
                <w:sz w:val="15"/>
                <w:szCs w:val="15"/>
              </w:rPr>
              <w:t xml:space="preserve">ONLY 80 OF 183 PATIENTS WITH LIVER METASTASIS HAD IMAGING AVAILABLE FOR REVIEW (44%), and resectability - the paper's only significant prognostic variable - could only be assigned in that subset. Whether imaging was retrievable is unlikely to be independent of where and how intensively a patient was treated</w:t>
            </w:r>
          </w:p>
          <w:p>
            <w:pPr>
              <w:pStyle w:val="ListParagraph"/>
              <w:numPr>
                <w:ilvl w:val="0"/>
                <w:numId w:val="2"/>
              </w:numPr>
              <w:spacing w:after="45"/>
            </w:pPr>
            <w:r>
              <w:rPr>
                <w:sz w:val="15"/>
                <w:szCs w:val="15"/>
              </w:rPr>
              <w:t xml:space="preserve">RESECTABILITY WAS ASSESSED BY THE AUTHORS RETROSPECTIVELY AND UNBLINDED TO OUTCOME, using criteria adapted from colorectal liver metastasis. The finding that liver resectability predicts survival (HR 0.51) is therefore partly a judgement made with knowledge of the clinical course, and resectability was itself strongly correlated with metastatic burden (P&lt;0.001) - so it may be a proxy for disease volume rather than an independent factor</w:t>
            </w:r>
          </w:p>
          <w:p>
            <w:pPr>
              <w:pStyle w:val="ListParagraph"/>
              <w:numPr>
                <w:ilvl w:val="0"/>
                <w:numId w:val="2"/>
              </w:numPr>
              <w:spacing w:after="45"/>
            </w:pPr>
            <w:r>
              <w:rPr>
                <w:sz w:val="15"/>
                <w:szCs w:val="15"/>
              </w:rPr>
              <w:t xml:space="preserve">THE COHORT IS UNREPRESENTATIVE IN A DIRECTION THE AUTHORS ACKNOWLEDGE BUT UNDERSTATE: 34% presented with metastatic disease versus up to 47% nationally, and 29% received no chemotherapy at all with 11% of those going to hospice. A referral cohort at an academic centre that captures few systemic-only patients will overstate survival at every level, which if anything makes the benchmark MORE conservative - but it also means the 7-month baseline median is not a national figure</w:t>
            </w:r>
          </w:p>
          <w:p>
            <w:pPr>
              <w:pStyle w:val="ListParagraph"/>
              <w:numPr>
                <w:ilvl w:val="0"/>
                <w:numId w:val="2"/>
              </w:numPr>
              <w:spacing w:after="45"/>
            </w:pPr>
            <w:r>
              <w:rPr>
                <w:sz w:val="15"/>
                <w:szCs w:val="15"/>
              </w:rPr>
              <w:t xml:space="preserve">STAGING LAPAROSCOPY WAS NOT ROUTINE, so some patients classified as liver-only had undetected peritoneal disease; conversely patients with occult peritoneal disease are exactly who a surgical series would exclude at exploration, which biases the comparison against the non-surgical benchmark</w:t>
            </w:r>
          </w:p>
          <w:p>
            <w:pPr>
              <w:pStyle w:val="ListParagraph"/>
              <w:numPr>
                <w:ilvl w:val="0"/>
                <w:numId w:val="2"/>
              </w:numPr>
              <w:spacing w:after="45"/>
            </w:pPr>
            <w:r>
              <w:rPr>
                <w:sz w:val="15"/>
                <w:szCs w:val="15"/>
              </w:rPr>
              <w:t xml:space="preserve">CA 19-9 WAS DELIBERATELY EXCLUDED FROM THE SELECTION CRITERIA, and 64% of the benchmark cohort had RISING CA19-9. In practice no surgeon would operate on a patient with a rising marker, so the benchmark cohort is less favourably selected than a real surgical cohort on the single most used biological criterion - which cuts against the paper's argument that the groups are comparable</w:t>
            </w:r>
          </w:p>
          <w:p>
            <w:pPr>
              <w:pStyle w:val="ListParagraph"/>
              <w:numPr>
                <w:ilvl w:val="0"/>
                <w:numId w:val="2"/>
              </w:numPr>
              <w:spacing w:after="45"/>
            </w:pPr>
            <w:r>
              <w:rPr>
                <w:sz w:val="15"/>
                <w:szCs w:val="15"/>
              </w:rPr>
              <w:t xml:space="preserve">The paper does not report how many of the 241 patients received multi-agent versus single-agent chemotherapy by subgroup beyond 81% overall, nor duration of therapy, so the benchmark's 26- and 39-month survivals cannot be attributed to a specified systemic regimen</w:t>
            </w:r>
          </w:p>
          <w:p>
            <w:pPr>
              <w:pStyle w:val="ListParagraph"/>
              <w:numPr>
                <w:ilvl w:val="0"/>
                <w:numId w:val="2"/>
              </w:numPr>
              <w:spacing w:after="45"/>
            </w:pPr>
            <w:r>
              <w:rPr>
                <w:sz w:val="15"/>
                <w:szCs w:val="15"/>
              </w:rPr>
              <w:t xml:space="preserve">A pathway should take the methodological lesson (landmark analysis is mandatory, resected-only denominators are uninterpretable) as the durable finding, and treat the 39-month figure itself as a 9-patient estimate</w:t>
            </w:r>
          </w:p>
        </w:tc>
      </w:tr>
    </w:tbl>
    <w:p>
      <w:pPr>
        <w:spacing w:after="0" w:line="276"/>
      </w:pPr>
      <w:r>
        <w:rPr>
          <w:color w:val="5A6069"/>
          <w:sz w:val="14"/>
          <w:szCs w:val="14"/>
        </w:rPr>
        <w:t xml:space="preserve">Funding: No funding source is stated. The authors report no conflicts of interest.</w:t>
      </w:r>
    </w:p>
    <w:p>
      <w:pPr>
        <w:keepNext/>
        <w:spacing w:after="50" w:before="260"/>
      </w:pPr>
      <w:r>
        <w:rPr>
          <w:rFonts w:ascii="Cambria" w:cs="Cambria" w:eastAsia="Cambria" w:hAnsi="Cambria"/>
          <w:b/>
          <w:bCs/>
          <w:color w:val="17365D"/>
          <w:sz w:val="20"/>
          <w:szCs w:val="20"/>
        </w:rPr>
        <w:t xml:space="preserve">LAP07</w:t>
      </w:r>
      <w:r>
        <w:rPr>
          <w:b/>
          <w:bCs/>
          <w:color w:val="176A87"/>
          <w:sz w:val="15"/>
          <w:szCs w:val="15"/>
        </w:rPr>
        <w:t xml:space="preserve">   Randomised trial</w:t>
      </w:r>
      <w:r>
        <w:rPr>
          <w:color w:val="5A6069"/>
          <w:sz w:val="15"/>
          <w:szCs w:val="15"/>
        </w:rPr>
        <w:t xml:space="preserve">   PMID 27139057</w:t>
      </w:r>
    </w:p>
    <w:p>
      <w:pPr>
        <w:spacing w:after="50" w:line="276"/>
      </w:pPr>
      <w:r>
        <w:rPr>
          <w:color w:val="5A6069"/>
          <w:sz w:val="17"/>
          <w:szCs w:val="17"/>
        </w:rPr>
        <w:t xml:space="preserve">Effect of Chemoradiotherapy vs Chemotherapy on Survival in Patients With Locally Advanced Pancreatic Cancer Controlled After 4 Months of Gemcitabine With or Without Erlotinib: The LAP07 Randomized Clinical Trial.</w:t>
      </w:r>
    </w:p>
    <w:p>
      <w:pPr>
        <w:spacing w:after="50"/>
      </w:pPr>
      <w:r>
        <w:rPr>
          <w:b/>
          <w:bCs/>
          <w:color w:val="176A87"/>
          <w:sz w:val="16"/>
          <w:szCs w:val="16"/>
        </w:rPr>
        <w:t xml:space="preserve">Population. </w:t>
      </w:r>
      <w:r>
        <w:rPr>
          <w:sz w:val="16"/>
          <w:szCs w:val="16"/>
        </w:rPr>
        <w:t xml:space="preserve">442 eligible patients at first randomisation (223 gemcitabine, 219 gemcitabine-erlotinib); 269 at second randomisation (136 chemotherapy, 133 chemoradiotherapy); 379 deaths</w:t>
      </w:r>
    </w:p>
    <w:p>
      <w:pPr>
        <w:spacing w:after="70"/>
      </w:pPr>
      <w:r>
        <w:rPr>
          <w:b/>
          <w:bCs/>
          <w:color w:val="17365D"/>
          <w:sz w:val="16"/>
          <w:szCs w:val="16"/>
        </w:rPr>
        <w:t xml:space="preserve">Bottom line. </w:t>
      </w:r>
      <w:r>
        <w:rPr>
          <w:sz w:val="16"/>
          <w:szCs w:val="16"/>
        </w:rPr>
        <w:t xml:space="preserve">LAP07 shows that consolidation chemoradiotherapy after four months of gemcitabine-based induction does not prolong survival in locally advanced pancreatic cancer (15.2 vs 16.5 months, HR 1.03) though it halves locoregional progression and roughly doubles treatment-free time, and that adding erlotinib to gemcitabine is useless and possibly harmful; it was stopped early for futility, used chemotherapy the authors themselves call obsolete, and achieved curative resection in only 4% of patients.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Non-optimal drugs were used because the study was designed in 2005, before FOLFIRINOX and nab-paclitaxel; more effective systemic treatment is needed</w:t>
            </w:r>
          </w:p>
          <w:p>
            <w:pPr>
              <w:pStyle w:val="ListParagraph"/>
              <w:numPr>
                <w:ilvl w:val="0"/>
                <w:numId w:val="2"/>
              </w:numPr>
              <w:spacing w:after="45"/>
            </w:pPr>
            <w:r>
              <w:rPr>
                <w:sz w:val="15"/>
                <w:szCs w:val="15"/>
              </w:rPr>
              <w:t xml:space="preserve">Although FOLFOX was suggested as second-line therapy in the protocol, subsequent lines of chemotherapy were not systematised</w:t>
            </w:r>
          </w:p>
          <w:p>
            <w:pPr>
              <w:pStyle w:val="ListParagraph"/>
              <w:numPr>
                <w:ilvl w:val="0"/>
                <w:numId w:val="2"/>
              </w:numPr>
              <w:spacing w:after="45"/>
            </w:pPr>
            <w:r>
              <w:rPr>
                <w:sz w:val="15"/>
                <w:szCs w:val="15"/>
              </w:rPr>
              <w:t xml:space="preserve">Quality-of-life and cost-efficacy analyses were not planned as secondary objectives</w:t>
            </w:r>
          </w:p>
          <w:p>
            <w:pPr>
              <w:pStyle w:val="ListParagraph"/>
              <w:numPr>
                <w:ilvl w:val="0"/>
                <w:numId w:val="2"/>
              </w:numPr>
              <w:spacing w:after="45"/>
            </w:pPr>
            <w:r>
              <w:rPr>
                <w:sz w:val="15"/>
                <w:szCs w:val="15"/>
              </w:rPr>
              <w:t xml:space="preserve">Assessment of pain was not optimal</w:t>
            </w:r>
          </w:p>
          <w:p>
            <w:pPr>
              <w:pStyle w:val="ListParagraph"/>
              <w:numPr>
                <w:ilvl w:val="0"/>
                <w:numId w:val="2"/>
              </w:numPr>
              <w:spacing w:after="45"/>
            </w:pPr>
            <w:r>
              <w:rPr>
                <w:sz w:val="15"/>
                <w:szCs w:val="15"/>
              </w:rPr>
              <w:t xml:space="preserve">Evaluation of tumour response and progression-free survival was NOT centralised</w:t>
            </w:r>
          </w:p>
          <w:p>
            <w:pPr>
              <w:pStyle w:val="ListParagraph"/>
              <w:numPr>
                <w:ilvl w:val="0"/>
                <w:numId w:val="2"/>
              </w:numPr>
              <w:spacing w:after="45"/>
            </w:pPr>
            <w:r>
              <w:rPr>
                <w:sz w:val="15"/>
                <w:szCs w:val="15"/>
              </w:rPr>
              <w:t xml:space="preserve">Survival in the second-randomisation population (15.2 and 16.5 months) was much higher than the hypothesised 9 and 12 months, which the authors attribute to induction chemotherapy selecting a more favourable prognostic group</w:t>
            </w:r>
          </w:p>
          <w:p>
            <w:pPr>
              <w:pStyle w:val="ListParagraph"/>
              <w:numPr>
                <w:ilvl w:val="0"/>
                <w:numId w:val="2"/>
              </w:numPr>
              <w:spacing w:after="45"/>
            </w:pPr>
            <w:r>
              <w:rPr>
                <w:sz w:val="15"/>
                <w:szCs w:val="15"/>
              </w:rPr>
              <w:t xml:space="preserve">Further intensification of the chemoradiotherapy regimen may be needed; IMRT and stereotactic body radiotherapy allow dose escalation not tested here</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COMPARATOR: continuation of the SAME gemcitabine-based chemotherapy for two more months. Neither arm received modern systemic therapy - the trial predates FOLFIRINOX and nab-paclitaxel as standards, and the authors concede the drugs were 'non-optimal'. A null result for radiotherapy added to gemcitabine does not establish that radiotherapy adds nothing to FOLFIRINOX, which is the question a contemporary pathway faces; CONKO-007 later asked that question and also found no survival benefit</w:t>
            </w:r>
          </w:p>
          <w:p>
            <w:pPr>
              <w:pStyle w:val="ListParagraph"/>
              <w:numPr>
                <w:ilvl w:val="0"/>
                <w:numId w:val="2"/>
              </w:numPr>
              <w:spacing w:after="45"/>
            </w:pPr>
            <w:r>
              <w:rPr>
                <w:sz w:val="15"/>
                <w:szCs w:val="15"/>
              </w:rPr>
              <w:t xml:space="preserve">NON-RECEIPT OF ALLOCATED TREATMENT: 12/133 (9%) allocated to chemoradiotherapy did not receive it and 4 more were unassessable for radiotherapy quality; in the first randomisation all 442 received their allocated induction. The larger loss is upstream: 173/442 (39%) never reached the second randomisation at all, so the primary comparison involves only 61% of the enrolled population</w:t>
            </w:r>
          </w:p>
          <w:p>
            <w:pPr>
              <w:pStyle w:val="ListParagraph"/>
              <w:numPr>
                <w:ilvl w:val="0"/>
                <w:numId w:val="2"/>
              </w:numPr>
              <w:spacing w:after="45"/>
            </w:pPr>
            <w:r>
              <w:rPr>
                <w:sz w:val="15"/>
                <w:szCs w:val="15"/>
              </w:rPr>
              <w:t xml:space="preserve">THE PRIMARY ENDPOINT IS MEASURED FROM THE FIRST RANDOMISATION BUT THE INTERVENTION IS ALLOCATED AT THE SECOND. Four months of survival are therefore common to both arms by construction, which dilutes any true effect of chemoradiotherapy toward the null and makes the 1.3-month difference even less informative than it looks. The preplanned sensitivity analysis from the second randomisation is mentioned in the methods but its result is not reported in the text for the primary comparison</w:t>
            </w:r>
          </w:p>
          <w:p>
            <w:pPr>
              <w:pStyle w:val="ListParagraph"/>
              <w:numPr>
                <w:ilvl w:val="0"/>
                <w:numId w:val="2"/>
              </w:numPr>
              <w:spacing w:after="45"/>
            </w:pPr>
            <w:r>
              <w:rPr>
                <w:sz w:val="15"/>
                <w:szCs w:val="15"/>
              </w:rPr>
              <w:t xml:space="preserve">THE TRIAL WAS STOPPED AT ITS INTERIM ANALYSIS FOR FUTILITY and that interim analysis was then declared the final one. It never reached its planned 392 deaths or 480-722 patients, so the confidence interval (0.79-1.34) cannot exclude a clinically meaningful 20% relative benefit or harm. 'No significant difference' here means underpowered, not equivalent</w:t>
            </w:r>
          </w:p>
          <w:p>
            <w:pPr>
              <w:pStyle w:val="ListParagraph"/>
              <w:numPr>
                <w:ilvl w:val="0"/>
                <w:numId w:val="2"/>
              </w:numPr>
              <w:spacing w:after="45"/>
            </w:pPr>
            <w:r>
              <w:rPr>
                <w:sz w:val="15"/>
                <w:szCs w:val="15"/>
              </w:rPr>
              <w:t xml:space="preserve">FIFTY PERCENT OF RADIOTHERAPY PLANS HAD MINOR AND 18% MAJOR PROTOCOL DEVIATIONS despite a formal quality assurance programme. The authors argue deviations did not significantly affect survival, but that analysis (17.0 vs 13.4 months, HR 1.43) is itself underpowered at 21 major-deviation patients and the point estimate runs in the harmful direction - so the trial cannot cleanly separate 'radiotherapy does not work' from 'this radiotherapy was not delivered well enough'</w:t>
            </w:r>
          </w:p>
          <w:p>
            <w:pPr>
              <w:pStyle w:val="ListParagraph"/>
              <w:numPr>
                <w:ilvl w:val="0"/>
                <w:numId w:val="2"/>
              </w:numPr>
              <w:spacing w:after="45"/>
            </w:pPr>
            <w:r>
              <w:rPr>
                <w:sz w:val="15"/>
                <w:szCs w:val="15"/>
              </w:rPr>
              <w:t xml:space="preserve">RESPONSE AND PROGRESSION WERE ASSESSED LOCALLY WITH NO CENTRAL REVIEW, in an open-label trial, which matters for the locoregional-versus-distant progression finding that is the paper's main positive claim: investigators who knew a patient had received abdominal radiotherapy were reading the same scans for local progression</w:t>
            </w:r>
          </w:p>
          <w:p>
            <w:pPr>
              <w:pStyle w:val="ListParagraph"/>
              <w:numPr>
                <w:ilvl w:val="0"/>
                <w:numId w:val="2"/>
              </w:numPr>
              <w:spacing w:after="45"/>
            </w:pPr>
            <w:r>
              <w:rPr>
                <w:sz w:val="15"/>
                <w:szCs w:val="15"/>
              </w:rPr>
              <w:t xml:space="preserve">THE SHIFT FROM LOCOREGIONAL (32% vs 46%) TO METASTATIC (60% vs 44%) PROGRESSION IS A COMPETING-RISK PHENOMENON reported as a treatment effect. Patients whose local disease is controlled live long enough to be recorded as progressing distantly; the paper does not analyse these as competing risks</w:t>
            </w:r>
          </w:p>
          <w:p>
            <w:pPr>
              <w:pStyle w:val="ListParagraph"/>
              <w:numPr>
                <w:ilvl w:val="0"/>
                <w:numId w:val="2"/>
              </w:numPr>
              <w:spacing w:after="45"/>
            </w:pPr>
            <w:r>
              <w:rPr>
                <w:sz w:val="15"/>
                <w:szCs w:val="15"/>
              </w:rPr>
              <w:t xml:space="preserve">BASELINE IMBALANCE AT THE SECOND RANDOMISATION FAVOURS NEITHER ARM CONSISTENTLY but is notable: 56% of the chemotherapy arm were men versus 44% of the chemoradiotherapy arm, and WHO performance status 1 was recorded in 25.3% versus 45.1% - a large imbalance in the paper's own Table 1 that is not commented on and would favour the chemotherapy arm</w:t>
            </w:r>
          </w:p>
          <w:p>
            <w:pPr>
              <w:pStyle w:val="ListParagraph"/>
              <w:numPr>
                <w:ilvl w:val="0"/>
                <w:numId w:val="2"/>
              </w:numPr>
              <w:spacing w:after="45"/>
            </w:pPr>
            <w:r>
              <w:rPr>
                <w:sz w:val="15"/>
                <w:szCs w:val="15"/>
              </w:rPr>
              <w:t xml:space="preserve">GRADE AND HISTOLOGIC DATA WERE UNKNOWN IN ABOUT HALF THE COHORT (50-53% 'unknown' grade), so the two arms cannot be shown comparable on a major prognostic variable</w:t>
            </w:r>
          </w:p>
          <w:p>
            <w:pPr>
              <w:pStyle w:val="ListParagraph"/>
              <w:numPr>
                <w:ilvl w:val="0"/>
                <w:numId w:val="2"/>
              </w:numPr>
              <w:spacing w:after="45"/>
            </w:pPr>
            <w:r>
              <w:rPr>
                <w:sz w:val="15"/>
                <w:szCs w:val="15"/>
              </w:rPr>
              <w:t xml:space="preserve">The 4% secondary resection rate is a genuinely important finding for a pathway - gemcitabine-based induction almost never converts locally advanced disease - but it is reported as a brief paragraph and contrasts with the 26% pooled resection rate Suker et al. report for FOLFIRINOX induction in the same year, a difference of regimen the trial could not test</w:t>
            </w:r>
          </w:p>
          <w:p>
            <w:pPr>
              <w:pStyle w:val="ListParagraph"/>
              <w:numPr>
                <w:ilvl w:val="0"/>
                <w:numId w:val="2"/>
              </w:numPr>
              <w:spacing w:after="45"/>
            </w:pPr>
            <w:r>
              <w:rPr>
                <w:sz w:val="15"/>
                <w:szCs w:val="15"/>
              </w:rPr>
              <w:t xml:space="preserve">The trial was supported by Roche, the manufacturer of erlotinib, one of the two interventions tested; the paper states Roche had no role in design, conduct, analysis or publication, and the erlotinib result was negative, which limits the concern</w:t>
            </w:r>
          </w:p>
        </w:tc>
      </w:tr>
    </w:tbl>
    <w:p>
      <w:pPr>
        <w:spacing w:after="0" w:line="276"/>
      </w:pPr>
      <w:r>
        <w:rPr>
          <w:color w:val="5A6069"/>
          <w:sz w:val="14"/>
          <w:szCs w:val="14"/>
        </w:rPr>
        <w:t xml:space="preserve">Funding: Roche and the French National Institute of Cancer (INCa). Neither funder is stated to have had a role in design, conduct, data management, analysis, interpretation, manuscript preparation or the decision to submit. Several authors report consulting fees or honoraria from Celgene, Merck Serono, Roche, Pfizer, Sanofi, Lilly, Amgen, Novartis and others.</w:t>
      </w:r>
    </w:p>
    <w:p>
      <w:pPr>
        <w:keepNext/>
        <w:spacing w:after="50" w:before="260"/>
      </w:pPr>
      <w:r>
        <w:rPr>
          <w:rFonts w:ascii="Cambria" w:cs="Cambria" w:eastAsia="Cambria" w:hAnsi="Cambria"/>
          <w:b/>
          <w:bCs/>
          <w:color w:val="17365D"/>
          <w:sz w:val="20"/>
          <w:szCs w:val="20"/>
        </w:rPr>
        <w:t xml:space="preserve">MPACT</w:t>
      </w:r>
      <w:r>
        <w:rPr>
          <w:b/>
          <w:bCs/>
          <w:color w:val="176A87"/>
          <w:sz w:val="15"/>
          <w:szCs w:val="15"/>
        </w:rPr>
        <w:t xml:space="preserve">   Randomised trial</w:t>
      </w:r>
      <w:r>
        <w:rPr>
          <w:color w:val="5A6069"/>
          <w:sz w:val="15"/>
          <w:szCs w:val="15"/>
        </w:rPr>
        <w:t xml:space="preserve">   PMID 24131140</w:t>
      </w:r>
    </w:p>
    <w:p>
      <w:pPr>
        <w:spacing w:after="50" w:line="276"/>
      </w:pPr>
      <w:r>
        <w:rPr>
          <w:color w:val="5A6069"/>
          <w:sz w:val="17"/>
          <w:szCs w:val="17"/>
        </w:rPr>
        <w:t xml:space="preserve">Increased Survival in Pancreatic Cancer with nab-Paclitaxel plus Gemcitabine.</w:t>
      </w:r>
    </w:p>
    <w:p>
      <w:pPr>
        <w:spacing w:after="50"/>
      </w:pPr>
      <w:r>
        <w:rPr>
          <w:b/>
          <w:bCs/>
          <w:color w:val="176A87"/>
          <w:sz w:val="16"/>
          <w:szCs w:val="16"/>
        </w:rPr>
        <w:t xml:space="preserve">Population. </w:t>
      </w:r>
      <w:r>
        <w:rPr>
          <w:sz w:val="16"/>
          <w:szCs w:val="16"/>
        </w:rPr>
        <w:t xml:space="preserve">861 patients (431 nab-paclitaxel plus gemcitabine, 430 gemcitabine); 823 treated; 692 deaths (80%)</w:t>
      </w:r>
    </w:p>
    <w:p>
      <w:pPr>
        <w:spacing w:after="70"/>
      </w:pPr>
      <w:r>
        <w:rPr>
          <w:b/>
          <w:bCs/>
          <w:color w:val="17365D"/>
          <w:sz w:val="16"/>
          <w:szCs w:val="16"/>
        </w:rPr>
        <w:t xml:space="preserve">Bottom line. </w:t>
      </w:r>
      <w:r>
        <w:rPr>
          <w:sz w:val="16"/>
          <w:szCs w:val="16"/>
        </w:rPr>
        <w:t xml:space="preserve">MPACT established nab-paclitaxel plus gemcitabine as a first-line option in metastatic pancreatic cancer, improving median survival from 6.7 to 8.5 months (HR 0.72) with doubled 1- and 2-year survival in a population less restricted by age and performance status than the FOLFIRINOX trial - at the cost of 17% grade 3 neuropathy, with no quality-of-life data at all, with more cumulative gemcitabine in the experimental arm, and designed and analysed by the drug's manufacturer against a single-agent comparator.</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Quality of life was NOT measured - stated explicitly as a limitation</w:t>
            </w:r>
          </w:p>
          <w:p>
            <w:pPr>
              <w:pStyle w:val="ListParagraph"/>
              <w:numPr>
                <w:ilvl w:val="0"/>
                <w:numId w:val="2"/>
              </w:numPr>
              <w:spacing w:after="45"/>
            </w:pPr>
            <w:r>
              <w:rPr>
                <w:sz w:val="15"/>
                <w:szCs w:val="15"/>
              </w:rPr>
              <w:t xml:space="preserve">The median survival in the combination arm was more than 3 months shorter than in the preceding phase 1-2 trial, which the authors attribute to that study having been conducted at only four US centres versus 151 centres in 11 countries here</w:t>
            </w:r>
          </w:p>
          <w:p>
            <w:pPr>
              <w:pStyle w:val="ListParagraph"/>
              <w:numPr>
                <w:ilvl w:val="0"/>
                <w:numId w:val="2"/>
              </w:numPr>
              <w:spacing w:after="45"/>
            </w:pPr>
            <w:r>
              <w:rPr>
                <w:sz w:val="15"/>
                <w:szCs w:val="15"/>
              </w:rPr>
              <w:t xml:space="preserve">Peripheral neuropathy was cumulative, though rapidly reversible in most patients with temporary discontinuation and dose reduction</w:t>
            </w:r>
          </w:p>
          <w:p>
            <w:pPr>
              <w:pStyle w:val="ListParagraph"/>
              <w:numPr>
                <w:ilvl w:val="0"/>
                <w:numId w:val="2"/>
              </w:numPr>
              <w:spacing w:after="45"/>
            </w:pPr>
            <w:r>
              <w:rPr>
                <w:sz w:val="15"/>
                <w:szCs w:val="15"/>
              </w:rPr>
              <w:t xml:space="preserve">The incremental risks of sepsis and pneumonitis required protocol amendments to increase awareness</w:t>
            </w:r>
          </w:p>
          <w:p>
            <w:pPr>
              <w:pStyle w:val="ListParagraph"/>
              <w:numPr>
                <w:ilvl w:val="0"/>
                <w:numId w:val="2"/>
              </w:numPr>
              <w:spacing w:after="45"/>
            </w:pPr>
            <w:r>
              <w:rPr>
                <w:sz w:val="15"/>
                <w:szCs w:val="15"/>
              </w:rPr>
              <w:t xml:space="preserve">Comparison with the FOLFIRINOX trial is complicated because that trial pooled phase 2 and 3 data, excluded patients over 75 and excluded ECOG 2, whereas 10% of MPACT patients were at least 75 and 8% had a poor performance status equivalent to ECOG 2</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COMPARATOR: single-agent gemcitabine, the standard of care when the trial was designed - appropriate at the time. But FOLFIRINOX had been published in May 2011, 11 months before MPACT closed accrual, and the trial continued against gemcitabine rather than amending; the two regimens were never compared head to head until NAPOLI 3 used a liposomal variant, so a decade of practice rested on cross-trial comparison</w:t>
            </w:r>
          </w:p>
          <w:p>
            <w:pPr>
              <w:pStyle w:val="ListParagraph"/>
              <w:numPr>
                <w:ilvl w:val="0"/>
                <w:numId w:val="2"/>
              </w:numPr>
              <w:spacing w:after="45"/>
            </w:pPr>
            <w:r>
              <w:rPr>
                <w:sz w:val="15"/>
                <w:szCs w:val="15"/>
              </w:rPr>
              <w:t xml:space="preserve">NON-RECEIPT OF ALLOCATED TREATMENT: 10/431 (2%) and 28/430 (7%) never received treatment (treated populations 421 and 402). The imbalance is in the control arm's favour direction-wise for ITT but means almost 7% of gemcitabine patients contributed only follow-up</w:t>
            </w:r>
          </w:p>
          <w:p>
            <w:pPr>
              <w:pStyle w:val="ListParagraph"/>
              <w:numPr>
                <w:ilvl w:val="0"/>
                <w:numId w:val="2"/>
              </w:numPr>
              <w:spacing w:after="45"/>
            </w:pPr>
            <w:r>
              <w:rPr>
                <w:sz w:val="15"/>
                <w:szCs w:val="15"/>
              </w:rPr>
              <w:t xml:space="preserve">GEMCITABINE DOSE WAS NOT EQUIVALENT BETWEEN ARMS. The combination arm received a median cumulative gemcitabine dose of 11,400 mg/m2 versus 9000 mg/m2 in the monotherapy arm because they stayed on treatment longer, and the control arm's cycle 1 used the different weekly-for-7-of-8-weeks schedule. Part of the observed benefit is therefore more gemcitabine, not nab-paclitaxel, and the trial cannot separate the two</w:t>
            </w:r>
          </w:p>
          <w:p>
            <w:pPr>
              <w:pStyle w:val="ListParagraph"/>
              <w:numPr>
                <w:ilvl w:val="0"/>
                <w:numId w:val="2"/>
              </w:numPr>
              <w:spacing w:after="45"/>
            </w:pPr>
            <w:r>
              <w:rPr>
                <w:sz w:val="15"/>
                <w:szCs w:val="15"/>
              </w:rPr>
              <w:t xml:space="preserve">A 1.8-MONTH MEDIAN GAIN IS SMALL IN ABSOLUTE TERMS and is routinely reported as 'increased survival' without it; the 2-year survival difference (9% vs 4%) involves roughly 20 extra patients alive out of 431</w:t>
            </w:r>
          </w:p>
          <w:p>
            <w:pPr>
              <w:pStyle w:val="ListParagraph"/>
              <w:numPr>
                <w:ilvl w:val="0"/>
                <w:numId w:val="2"/>
              </w:numPr>
              <w:spacing w:after="45"/>
            </w:pPr>
            <w:r>
              <w:rPr>
                <w:sz w:val="15"/>
                <w:szCs w:val="15"/>
              </w:rPr>
              <w:t xml:space="preserve">QUALITY OF LIFE WAS NEVER MEASURED, in a trial whose experimental arm caused 17% grade 3+ peripheral neuropathy and 17% grade 3+ fatigue versus 1% and 7%. PRODIGE 4, run in the same era, did measure it. A pathway choosing between nab-paclitaxel/gemcitabine and FOLFIRINOX has quality-of-life data for only one of them</w:t>
            </w:r>
          </w:p>
          <w:p>
            <w:pPr>
              <w:pStyle w:val="ListParagraph"/>
              <w:numPr>
                <w:ilvl w:val="0"/>
                <w:numId w:val="2"/>
              </w:numPr>
              <w:spacing w:after="45"/>
            </w:pPr>
            <w:r>
              <w:rPr>
                <w:sz w:val="15"/>
                <w:szCs w:val="15"/>
              </w:rPr>
              <w:t xml:space="preserve">THE NEUROPATHY RECOVERY DATA ARE REPORTED AMONG PATIENTS WHO IMPROVED and in medians of time to improvement, with no cumulative-incidence estimate of unresolved neuropathy at a fixed time point. APACT, the adjuvant trial of the same regimen, later found 84% of grade 3+ neuropathy had NOT improved to grade 1 or less at its primary cutoff - a far less reassuring picture of the same drug</w:t>
            </w:r>
          </w:p>
          <w:p>
            <w:pPr>
              <w:pStyle w:val="ListParagraph"/>
              <w:numPr>
                <w:ilvl w:val="0"/>
                <w:numId w:val="2"/>
              </w:numPr>
              <w:spacing w:after="45"/>
            </w:pPr>
            <w:r>
              <w:rPr>
                <w:sz w:val="15"/>
                <w:szCs w:val="15"/>
              </w:rPr>
              <w:t xml:space="preserve">THE SUBGROUP FINDING THAT THE SICKEST PATIENTS BENEFIT MOST is biologically plausible but is also what regression to the mean and differential early mortality in a poorly performing control arm would produce; no interaction tests are reported for these subgroups and they are presented in a forest plot without multiplicity adjustment</w:t>
            </w:r>
          </w:p>
          <w:p>
            <w:pPr>
              <w:pStyle w:val="ListParagraph"/>
              <w:numPr>
                <w:ilvl w:val="0"/>
                <w:numId w:val="2"/>
              </w:numPr>
              <w:spacing w:after="45"/>
            </w:pPr>
            <w:r>
              <w:rPr>
                <w:sz w:val="15"/>
                <w:szCs w:val="15"/>
              </w:rPr>
              <w:t xml:space="preserve">THE BILIRUBIN CEILING (at or below the upper limit of normal) IS STRICTER THAN PRODIGE 4's (1.5x normal) and excludes the jaundiced patients who make up a large share of real pancreatic head cancer, while the Karnofsky 70 floor admits frailer patients than PRODIGE 4 - so the two landmark metastatic trials selected differently in opposite directions on two different axes, and their medians (8.5 vs 11.1 months) cannot be compared</w:t>
            </w:r>
          </w:p>
          <w:p>
            <w:pPr>
              <w:pStyle w:val="ListParagraph"/>
              <w:numPr>
                <w:ilvl w:val="0"/>
                <w:numId w:val="2"/>
              </w:numPr>
              <w:spacing w:after="45"/>
            </w:pPr>
            <w:r>
              <w:rPr>
                <w:sz w:val="15"/>
                <w:szCs w:val="15"/>
              </w:rPr>
              <w:t xml:space="preserve">THE PHASE 1-2 RESULT (12.2 months) DID NOT REPLICATE, FALLING BY MORE THAN 3 MONTHS IN THE PHASE 3 TRIAL. The authors attribute this to multicentre generalisability, which is reasonable - but the same logic should be applied to every single-arm or few-centre pancreatic result quoted in a pathway, including the 24.2-month FOLFIRINOX figure for locally advanced disease</w:t>
            </w:r>
          </w:p>
          <w:p>
            <w:pPr>
              <w:pStyle w:val="ListParagraph"/>
              <w:numPr>
                <w:ilvl w:val="0"/>
                <w:numId w:val="2"/>
              </w:numPr>
              <w:spacing w:after="45"/>
            </w:pPr>
            <w:r>
              <w:rPr>
                <w:sz w:val="15"/>
                <w:szCs w:val="15"/>
              </w:rPr>
              <w:t xml:space="preserve">THE TRIAL WAS DESIGNED, MONITORED, SUPPLIED AND ANALYSED BY THE MANUFACTURER OF THE EXPERIMENTAL DRUG. The protocol was designed by the first author 'in collaboration with the sponsor' (Celgene), the sponsor monitored the study and provided drugs free, the biostatistician who analysed the data and vouches for its completeness is a Celgene employee and co-author, two authors are Celgene employees, and a sponsor-employed medical writer assisted. Comparing an expensive proprietary agent added to a generic backbone against that generic backbone alone is the comparator choice an industry sponsor has every reason to make</w:t>
            </w:r>
          </w:p>
        </w:tc>
      </w:tr>
    </w:tbl>
    <w:p>
      <w:pPr>
        <w:spacing w:after="0" w:line="276"/>
      </w:pPr>
      <w:r>
        <w:rPr>
          <w:color w:val="5A6069"/>
          <w:sz w:val="14"/>
          <w:szCs w:val="14"/>
        </w:rPr>
        <w:t xml:space="preserve">Funding: Celgene, the manufacturer of nab-paclitaxel (Abraxane). The sponsor monitored the study, provided the study drugs at no charge, and co-designed the protocol; clinical researchers and a biostatistician employed by Celgene are authors and the statistician vouches for the accuracy and completeness of the data; a sponsor-employed medical writer assisted with the manuscript.</w:t>
      </w:r>
    </w:p>
    <w:p>
      <w:pPr>
        <w:keepNext/>
        <w:spacing w:after="50" w:before="260"/>
      </w:pPr>
      <w:r>
        <w:rPr>
          <w:rFonts w:ascii="Cambria" w:cs="Cambria" w:eastAsia="Cambria" w:hAnsi="Cambria"/>
          <w:b/>
          <w:bCs/>
          <w:color w:val="17365D"/>
          <w:sz w:val="20"/>
          <w:szCs w:val="20"/>
        </w:rPr>
        <w:t xml:space="preserve">NAPOLI 3</w:t>
      </w:r>
      <w:r>
        <w:rPr>
          <w:b/>
          <w:bCs/>
          <w:color w:val="176A87"/>
          <w:sz w:val="15"/>
          <w:szCs w:val="15"/>
        </w:rPr>
        <w:t xml:space="preserve">   Randomised trial</w:t>
      </w:r>
      <w:r>
        <w:rPr>
          <w:color w:val="5A6069"/>
          <w:sz w:val="15"/>
          <w:szCs w:val="15"/>
        </w:rPr>
        <w:t xml:space="preserve">   PMID 37708904</w:t>
      </w:r>
    </w:p>
    <w:p>
      <w:pPr>
        <w:spacing w:after="50" w:line="276"/>
      </w:pPr>
      <w:r>
        <w:rPr>
          <w:color w:val="5A6069"/>
          <w:sz w:val="17"/>
          <w:szCs w:val="17"/>
        </w:rPr>
        <w:t xml:space="preserve">NALIRIFOX versus nab-paclitaxel and gemcitabine in treatment-naive patients with metastatic pancreatic ductal adenocarcinoma (NAPOLI 3): a randomised, open-label, phase 3 trial.</w:t>
      </w:r>
    </w:p>
    <w:p>
      <w:pPr>
        <w:spacing w:after="50"/>
      </w:pPr>
      <w:r>
        <w:rPr>
          <w:b/>
          <w:bCs/>
          <w:color w:val="176A87"/>
          <w:sz w:val="16"/>
          <w:szCs w:val="16"/>
        </w:rPr>
        <w:t xml:space="preserve">Population. </w:t>
      </w:r>
      <w:r>
        <w:rPr>
          <w:sz w:val="16"/>
          <w:szCs w:val="16"/>
        </w:rPr>
        <w:t xml:space="preserve">770 patients (383 NALIRIFOX, 387 nab-paclitaxel plus gemcitabine); safety population 749; 544 deaths at median follow-up 16.1 months</w:t>
      </w:r>
    </w:p>
    <w:p>
      <w:pPr>
        <w:spacing w:after="70"/>
      </w:pPr>
      <w:r>
        <w:rPr>
          <w:b/>
          <w:bCs/>
          <w:color w:val="17365D"/>
          <w:sz w:val="16"/>
          <w:szCs w:val="16"/>
        </w:rPr>
        <w:t xml:space="preserve">Bottom line. </w:t>
      </w:r>
      <w:r>
        <w:rPr>
          <w:sz w:val="16"/>
          <w:szCs w:val="16"/>
        </w:rPr>
        <w:t xml:space="preserve">NAPOLI 3 is the first head-to-head phase 3 comparison of two active regimens in metastatic pancreatic cancer and shows NALIRIFOX modestly beats nab-paclitaxel plus gemcitabine (11.1 vs 9.2 months, HR 0.83, p=0.036) with equal overall grade 3+ toxicity and less neuropathy; the margin is narrow, the response-rate endpoint failed, follow-up is immature with asymmetric censoring, and the trial never compared the proprietary regimen with generic FOLFIRINOX, whose median survival in PRODIGE 4 was also 11.1 months.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Open-label design, with associated potential for outcome bias</w:t>
            </w:r>
          </w:p>
          <w:p>
            <w:pPr>
              <w:pStyle w:val="ListParagraph"/>
              <w:numPr>
                <w:ilvl w:val="0"/>
                <w:numId w:val="2"/>
              </w:numPr>
              <w:spacing w:after="45"/>
            </w:pPr>
            <w:r>
              <w:rPr>
                <w:sz w:val="15"/>
                <w:szCs w:val="15"/>
              </w:rPr>
              <w:t xml:space="preserve">The requirement for measurable disease and ECOG performance status 0 or 1 at screening</w:t>
            </w:r>
          </w:p>
          <w:p>
            <w:pPr>
              <w:pStyle w:val="ListParagraph"/>
              <w:numPr>
                <w:ilvl w:val="0"/>
                <w:numId w:val="2"/>
              </w:numPr>
              <w:spacing w:after="45"/>
            </w:pPr>
            <w:r>
              <w:rPr>
                <w:sz w:val="15"/>
                <w:szCs w:val="15"/>
              </w:rPr>
              <w:t xml:space="preserve">The absence of somatic or germline profiling information, so it is unknown whether BRCA-mutated patients benefited from platinum exposure in the NALIRIFOX group</w:t>
            </w:r>
          </w:p>
          <w:p>
            <w:pPr>
              <w:pStyle w:val="ListParagraph"/>
              <w:numPr>
                <w:ilvl w:val="0"/>
                <w:numId w:val="2"/>
              </w:numPr>
              <w:spacing w:after="45"/>
            </w:pPr>
            <w:r>
              <w:rPr>
                <w:sz w:val="15"/>
                <w:szCs w:val="15"/>
              </w:rPr>
              <w:t xml:space="preserve">Direct comparisons with PRODIGE 4 are not possible; that trial was limited to patients 75 or younger and conducted exclusively in France, whereas NAPOLI 3 was global with no age restriction</w:t>
            </w:r>
          </w:p>
          <w:p>
            <w:pPr>
              <w:pStyle w:val="ListParagraph"/>
              <w:numPr>
                <w:ilvl w:val="0"/>
                <w:numId w:val="2"/>
              </w:numPr>
              <w:spacing w:after="45"/>
            </w:pPr>
            <w:r>
              <w:rPr>
                <w:sz w:val="15"/>
                <w:szCs w:val="15"/>
              </w:rPr>
              <w:t xml:space="preserve">Cost implications and patient-reported quality-of-life outcomes were not reported and were still being analysed</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COMPARATOR: nab-paclitaxel plus gemcitabine - an active, contemporary standard. This is the appropriate comparator and the trial's main strength. But the regimen NALIRIFOX most needed to beat is FOLFIRINOX, and that comparison was NOT made. NALIRIFOX is FOLFIRINOX with liposomal irinotecan substituted and lower oxaliplatin, so the trial establishes a proprietary variant against a doublet while leaving unanswered whether it adds anything over generic FOLFIRINOX, whose own median in PRODIGE 4 was also 11.1 months</w:t>
            </w:r>
          </w:p>
          <w:p>
            <w:pPr>
              <w:pStyle w:val="ListParagraph"/>
              <w:numPr>
                <w:ilvl w:val="0"/>
                <w:numId w:val="2"/>
              </w:numPr>
              <w:spacing w:after="45"/>
            </w:pPr>
            <w:r>
              <w:rPr>
                <w:sz w:val="15"/>
                <w:szCs w:val="15"/>
              </w:rPr>
              <w:t xml:space="preserve">THE PRIMARY RESULT IS BARELY POSITIVE: HR 0.83 with a 95% CI upper bound of 0.99 and p=0.036 against a prespecified final-analysis alpha of 0.048 requiring HR below 0.844. The point estimate sits just inside the boundary the design set. A 1.9-month median gain at that level of statistical fragility is a weak basis for the paper's claim of a 'new possible reference regimen'</w:t>
            </w:r>
          </w:p>
          <w:p>
            <w:pPr>
              <w:pStyle w:val="ListParagraph"/>
              <w:numPr>
                <w:ilvl w:val="0"/>
                <w:numId w:val="2"/>
              </w:numPr>
              <w:spacing w:after="45"/>
            </w:pPr>
            <w:r>
              <w:rPr>
                <w:sz w:val="15"/>
                <w:szCs w:val="15"/>
              </w:rPr>
              <w:t xml:space="preserve">THE HIERARCHICAL TESTING SEQUENCE BROKE AT STEP THREE. Overall response rate (41.8% vs 36.2%, p=0.11) was not significant, so the formal evidence chain stops after progression-free survival; the duration-of-response and sensitivity-analysis p values are explicitly nominal</w:t>
            </w:r>
          </w:p>
          <w:p>
            <w:pPr>
              <w:pStyle w:val="ListParagraph"/>
              <w:numPr>
                <w:ilvl w:val="0"/>
                <w:numId w:val="2"/>
              </w:numPr>
              <w:spacing w:after="45"/>
            </w:pPr>
            <w:r>
              <w:rPr>
                <w:sz w:val="15"/>
                <w:szCs w:val="15"/>
              </w:rPr>
              <w:t xml:space="preserve">NON-RECEIPT OF ALLOCATED TREATMENT: 13/383 (3%) and 8/387 (2%) never received study treatment - low and balanced, a genuine strength</w:t>
            </w:r>
          </w:p>
          <w:p>
            <w:pPr>
              <w:pStyle w:val="ListParagraph"/>
              <w:numPr>
                <w:ilvl w:val="0"/>
                <w:numId w:val="2"/>
              </w:numPr>
              <w:spacing w:after="45"/>
            </w:pPr>
            <w:r>
              <w:rPr>
                <w:sz w:val="15"/>
                <w:szCs w:val="15"/>
              </w:rPr>
              <w:t xml:space="preserve">THE TRIAL RAN THROUGH THE COVID-19 PANDEMIC (February 2020 to August 2021) across 18 countries, with no analysis of pandemic-era disruption to treatment delivery, imaging or mortality; the open-label design and investigator-assessed progression make this more consequential than it would be for a blinded endpoint</w:t>
            </w:r>
          </w:p>
          <w:p>
            <w:pPr>
              <w:pStyle w:val="ListParagraph"/>
              <w:numPr>
                <w:ilvl w:val="0"/>
                <w:numId w:val="2"/>
              </w:numPr>
              <w:spacing w:after="45"/>
            </w:pPr>
            <w:r>
              <w:rPr>
                <w:sz w:val="15"/>
                <w:szCs w:val="15"/>
              </w:rPr>
              <w:t xml:space="preserve">PROGRESSION WAS ASSESSED BY INVESTIGATOR REVIEW ONLY, with no blinded independent central review, in an open-label trial - the setting APACT showed can shift a pancreatic recurrence endpoint by five months. The progression-free survival result (HR 0.69, p&lt;0.0001), which is stronger than the survival result, is the endpoint most exposed to this</w:t>
            </w:r>
          </w:p>
          <w:p>
            <w:pPr>
              <w:pStyle w:val="ListParagraph"/>
              <w:numPr>
                <w:ilvl w:val="0"/>
                <w:numId w:val="2"/>
              </w:numPr>
              <w:spacing w:after="45"/>
            </w:pPr>
            <w:r>
              <w:rPr>
                <w:sz w:val="15"/>
                <w:szCs w:val="15"/>
              </w:rPr>
              <w:t xml:space="preserve">A LARGER SHARE OF NALIRIFOX PATIENTS WERE STILL ON TREATMENT AND STILL ALIVE AT DATA CUTOFF (12% vs 2% on treatment; 124 vs 102 censored), with only 16.1 months median follow-up. Immature follow-up with asymmetric censoring in the arm that wins is exactly the configuration in which an early positive signal attenuates, as it did between the 3-year and 5-year PRODIGE-24 reports</w:t>
            </w:r>
          </w:p>
          <w:p>
            <w:pPr>
              <w:pStyle w:val="ListParagraph"/>
              <w:numPr>
                <w:ilvl w:val="0"/>
                <w:numId w:val="2"/>
              </w:numPr>
              <w:spacing w:after="45"/>
            </w:pPr>
            <w:r>
              <w:rPr>
                <w:sz w:val="15"/>
                <w:szCs w:val="15"/>
              </w:rPr>
              <w:t xml:space="preserve">THE SENSITIVITY ANALYSIS CENSORING AT SUBSEQUENT THERAPY PRODUCES A 5.9-MONTH DIFFERENCE (15.1 vs 9.2 months) - three times the primary result. This is informative censoring: patients are removed from follow-up at a time determined by their own progression and their physician's decision, which differed systematically between arms (gemcitabine-based salvage after NALIRIFOX versus fluorouracil-based after the doublet). The figure should not be read as the 'true' effect</w:t>
            </w:r>
          </w:p>
          <w:p>
            <w:pPr>
              <w:pStyle w:val="ListParagraph"/>
              <w:numPr>
                <w:ilvl w:val="0"/>
                <w:numId w:val="2"/>
              </w:numPr>
              <w:spacing w:after="45"/>
            </w:pPr>
            <w:r>
              <w:rPr>
                <w:sz w:val="15"/>
                <w:szCs w:val="15"/>
              </w:rPr>
              <w:t xml:space="preserve">THE CROSS-TRIAL COMPARISON WITH PRODIGE 4 IS DONE IN THE DISCUSSION DESPITE THE AUTHORS' OWN DISCLAIMER, including a direct juxtaposition of NALIRIFOX's 3.5% neuropathy and 23.8% neutropenia against FOLFIRINOX's 9.0% and 45.7%. Those figures come from a French, age-capped, 342-patient trial run 15 years earlier with different growth-factor practice. The lower toxicity may simply reflect the lower oxaliplatin dose, which could equally be applied to generic FOLFIRINOX</w:t>
            </w:r>
          </w:p>
          <w:p>
            <w:pPr>
              <w:pStyle w:val="ListParagraph"/>
              <w:numPr>
                <w:ilvl w:val="0"/>
                <w:numId w:val="2"/>
              </w:numPr>
              <w:spacing w:after="45"/>
            </w:pPr>
            <w:r>
              <w:rPr>
                <w:sz w:val="15"/>
                <w:szCs w:val="15"/>
              </w:rPr>
              <w:t xml:space="preserve">QUALITY OF LIFE AND COST WERE NOT REPORTED, in a trial whose central practical question is whether a proprietary liposomal formulation justifies its price over generic irinotecan. Both arms had 86-87% grade 3+ adverse events, so the choice between them turns on tolerability profile and cost - exactly the two things not presented</w:t>
            </w:r>
          </w:p>
          <w:p>
            <w:pPr>
              <w:pStyle w:val="ListParagraph"/>
              <w:numPr>
                <w:ilvl w:val="0"/>
                <w:numId w:val="2"/>
              </w:numPr>
              <w:spacing w:after="45"/>
            </w:pPr>
            <w:r>
              <w:rPr>
                <w:sz w:val="15"/>
                <w:szCs w:val="15"/>
              </w:rPr>
              <w:t xml:space="preserve">THE FUNDER PARTICIPATED IN EVERY STAGE. Ipsen, which manufactures liposomal irinotecan (Onivyde), 'participated in study design, data collection, data analysis, data interpretation, and review and approval of the manuscript', and three authors are Ipsen employees, two of whom accessed and verified the underlying data. Nearly every academic author reports consulting or institutional funding from Ipsen among many other companies. The choice to test against nab-paclitaxel/gemcitabine rather than FOLFIRINOX is the comparator decision that most benefits the sponsor</w:t>
            </w:r>
          </w:p>
        </w:tc>
      </w:tr>
    </w:tbl>
    <w:p>
      <w:pPr>
        <w:spacing w:after="0" w:line="276"/>
      </w:pPr>
      <w:r>
        <w:rPr>
          <w:color w:val="5A6069"/>
          <w:sz w:val="14"/>
          <w:szCs w:val="14"/>
        </w:rPr>
        <w:t xml:space="preserve">Funding: Ipsen, the manufacturer of liposomal irinotecan (Onivyde). The funder participated in study design, data collection, data analysis, data interpretation, and review and approval of the manuscript; three authors (Z Xiao, H Chen, F Benzaghou) are Ipsen employees and two of them accessed and verified the underlying data. Open access under CC BY-NC-ND 4.0. Nearly all academic authors declare extensive consulting fees, honoraria or institutional research funding from Ipsen and many other companies.</w:t>
      </w:r>
    </w:p>
    <w:p>
      <w:pPr>
        <w:keepNext/>
        <w:spacing w:after="50" w:before="260"/>
      </w:pPr>
      <w:r>
        <w:rPr>
          <w:rFonts w:ascii="Cambria" w:cs="Cambria" w:eastAsia="Cambria" w:hAnsi="Cambria"/>
          <w:b/>
          <w:bCs/>
          <w:color w:val="17365D"/>
          <w:sz w:val="20"/>
          <w:szCs w:val="20"/>
        </w:rPr>
        <w:t xml:space="preserve">NCDB oligometastatic</w:t>
      </w:r>
      <w:r>
        <w:rPr>
          <w:b/>
          <w:bCs/>
          <w:color w:val="176A87"/>
          <w:sz w:val="15"/>
          <w:szCs w:val="15"/>
        </w:rPr>
        <w:t xml:space="preserve">   Registry study</w:t>
      </w:r>
      <w:r>
        <w:rPr>
          <w:color w:val="5A6069"/>
          <w:sz w:val="15"/>
          <w:szCs w:val="15"/>
        </w:rPr>
        <w:t xml:space="preserve">   PMID 35115154</w:t>
      </w:r>
    </w:p>
    <w:p>
      <w:pPr>
        <w:spacing w:after="50" w:line="276"/>
      </w:pPr>
      <w:r>
        <w:rPr>
          <w:color w:val="5A6069"/>
          <w:sz w:val="17"/>
          <w:szCs w:val="17"/>
        </w:rPr>
        <w:t xml:space="preserve">Surgical treatment of hepatic oligometastatic pancreatic ductal adenocarcinoma: An analysis of the National Cancer Database.</w:t>
      </w:r>
    </w:p>
    <w:p>
      <w:pPr>
        <w:spacing w:after="50"/>
      </w:pPr>
      <w:r>
        <w:rPr>
          <w:b/>
          <w:bCs/>
          <w:color w:val="176A87"/>
          <w:sz w:val="16"/>
          <w:szCs w:val="16"/>
        </w:rPr>
        <w:t xml:space="preserve">Population. </w:t>
      </w:r>
      <w:r>
        <w:rPr>
          <w:sz w:val="16"/>
          <w:szCs w:val="16"/>
        </w:rPr>
        <w:t xml:space="preserve">312,426 PDAC patients; 140,043 (50.4%) stage IV; 47,785 with liver-only metastasis at diagnosis; 891 (1.9%) had primary tumour resection; 137 (15.4% of those) also had liver metastasectomy</w:t>
      </w:r>
    </w:p>
    <w:p>
      <w:pPr>
        <w:spacing w:after="70"/>
      </w:pPr>
      <w:r>
        <w:rPr>
          <w:b/>
          <w:bCs/>
          <w:color w:val="17365D"/>
          <w:sz w:val="16"/>
          <w:szCs w:val="16"/>
        </w:rPr>
        <w:t xml:space="preserve">Bottom line. </w:t>
      </w:r>
      <w:r>
        <w:rPr>
          <w:sz w:val="16"/>
          <w:szCs w:val="16"/>
        </w:rPr>
        <w:t xml:space="preserve">This NCDB analysis shows that only 1.9% of patients with liver-only metastatic PDAC underwent resection nationally between 2010 and 2015, that 85% of those had the primary removed without the liver metastases and only 13.5% had preoperative chemotherapy, and that propensity-matched survival was 15.6 versus 8.1 months - a figure that cannot be separated from immortal time bias and unmeasured selection, since the whole surgical cohort achieved only 10.7 months, no better than chemotherapy alone.</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Retrospective analysis in which the decision-making process and intent of the surgeons is unknown</w:t>
            </w:r>
          </w:p>
          <w:p>
            <w:pPr>
              <w:pStyle w:val="ListParagraph"/>
              <w:numPr>
                <w:ilvl w:val="0"/>
                <w:numId w:val="2"/>
              </w:numPr>
              <w:spacing w:after="45"/>
            </w:pPr>
            <w:r>
              <w:rPr>
                <w:sz w:val="15"/>
                <w:szCs w:val="15"/>
              </w:rPr>
              <w:t xml:space="preserve">Uncontrolled selection bias limits the generalisability of the reported outcomes</w:t>
            </w:r>
          </w:p>
          <w:p>
            <w:pPr>
              <w:pStyle w:val="ListParagraph"/>
              <w:numPr>
                <w:ilvl w:val="0"/>
                <w:numId w:val="2"/>
              </w:numPr>
              <w:spacing w:after="45"/>
            </w:pPr>
            <w:r>
              <w:rPr>
                <w:sz w:val="15"/>
                <w:szCs w:val="15"/>
              </w:rPr>
              <w:t xml:space="preserve">The NCDB lacks any information on primary or metastatic tumour RESECTABILITY</w:t>
            </w:r>
          </w:p>
          <w:p>
            <w:pPr>
              <w:pStyle w:val="ListParagraph"/>
              <w:numPr>
                <w:ilvl w:val="0"/>
                <w:numId w:val="2"/>
              </w:numPr>
              <w:spacing w:after="45"/>
            </w:pPr>
            <w:r>
              <w:rPr>
                <w:sz w:val="15"/>
                <w:szCs w:val="15"/>
              </w:rPr>
              <w:t xml:space="preserve">No granular data on the type of liver resection, or the number, location and size of metastatic tumours</w:t>
            </w:r>
          </w:p>
          <w:p>
            <w:pPr>
              <w:pStyle w:val="ListParagraph"/>
              <w:numPr>
                <w:ilvl w:val="0"/>
                <w:numId w:val="2"/>
              </w:numPr>
              <w:spacing w:after="45"/>
            </w:pPr>
            <w:r>
              <w:rPr>
                <w:sz w:val="15"/>
                <w:szCs w:val="15"/>
              </w:rPr>
              <w:t xml:space="preserve">Inherent NCDB limitations from missing or incomplete data including CA19-9 and the exact chemotherapy regimen and timing</w:t>
            </w:r>
          </w:p>
          <w:p>
            <w:pPr>
              <w:pStyle w:val="ListParagraph"/>
              <w:numPr>
                <w:ilvl w:val="0"/>
                <w:numId w:val="2"/>
              </w:numPr>
              <w:spacing w:after="45"/>
            </w:pPr>
            <w:r>
              <w:rPr>
                <w:sz w:val="15"/>
                <w:szCs w:val="15"/>
              </w:rPr>
              <w:t xml:space="preserve">Hepatectomy margin status is not recorded in the database and so could not be included in the Cox model</w:t>
            </w:r>
          </w:p>
          <w:p>
            <w:pPr>
              <w:pStyle w:val="ListParagraph"/>
              <w:numPr>
                <w:ilvl w:val="0"/>
                <w:numId w:val="2"/>
              </w:numPr>
              <w:spacing w:after="45"/>
            </w:pPr>
            <w:r>
              <w:rPr>
                <w:sz w:val="15"/>
                <w:szCs w:val="15"/>
              </w:rPr>
              <w:t xml:space="preserve">The authors conclude surgery for stage IV PDAC should be performed only within a well-designed prospective clinical trial</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COMPARATOR: patients who received chemotherapy alone, matched on SIX variables - age, sex, race, comorbidity, primary tumour site and tumour size. NONE of the variables that actually drive the decision to operate were matched: number or size of liver metastases, response to chemotherapy, CA 19-9 trajectory, performance status, or duration of pre-surgical treatment. Propensity matching on demographics while omitting response to therapy does not remove confounding, it conceals it, and the paper's own Table II shows the surgical group was younger, better differentiated, lower CA19-9 and 47 times more likely to have had chemotherapy</w:t>
            </w:r>
          </w:p>
          <w:p>
            <w:pPr>
              <w:pStyle w:val="ListParagraph"/>
              <w:numPr>
                <w:ilvl w:val="0"/>
                <w:numId w:val="2"/>
              </w:numPr>
              <w:spacing w:after="45"/>
            </w:pPr>
            <w:r>
              <w:rPr>
                <w:sz w:val="15"/>
                <w:szCs w:val="15"/>
              </w:rPr>
              <w:t xml:space="preserve">IMMORTAL TIME BIAS IS UNADDRESSED AND LARGE. Patients must survive diagnosis, staging and (in those who had it) months of chemotherapy to reach pancreatectomy, while the comparison group's clock starts at diagnosis. Kaslow et al., in the same literature, show that applying a 12-month landmark to a liver-only metastatic cohort raises median survival from 9 to 26 months with no surgery at all - larger than the 7.5-month difference this paper attributes to resection. No landmark analysis was performed here</w:t>
            </w:r>
          </w:p>
          <w:p>
            <w:pPr>
              <w:pStyle w:val="ListParagraph"/>
              <w:numPr>
                <w:ilvl w:val="0"/>
                <w:numId w:val="2"/>
              </w:numPr>
              <w:spacing w:after="45"/>
            </w:pPr>
            <w:r>
              <w:rPr>
                <w:sz w:val="15"/>
                <w:szCs w:val="15"/>
              </w:rPr>
              <w:t xml:space="preserve">THE PROPENSITY-MATCHED COHORT IS 137 SURGICAL PATIENTS matched to 137 of 25,268 chemotherapy patients, drawn from 1:1 nearest-neighbour matching on a treatment with a 0.29% prevalence. With that degree of imbalance, the matched controls are the extreme tail of the propensity distribution and residual confounding by unmeasured indication is near-certain</w:t>
            </w:r>
          </w:p>
          <w:p>
            <w:pPr>
              <w:pStyle w:val="ListParagraph"/>
              <w:numPr>
                <w:ilvl w:val="0"/>
                <w:numId w:val="2"/>
              </w:numPr>
              <w:spacing w:after="45"/>
            </w:pPr>
            <w:r>
              <w:rPr>
                <w:sz w:val="15"/>
                <w:szCs w:val="15"/>
              </w:rPr>
              <w:t xml:space="preserve">THE 15.6-MONTH FIGURE IS SELECTED FROM THE MOST FAVOURABLE OF SEVERAL ANALYSES. The whole surgical cohort achieved 10.74 months; the 137 who had both organs resected and were matched achieved 15.6 months. The authors themselves point out that 10.74 months is no better than chemotherapy alone in unselected metastatic disease, which is the more honest summary of the national experience</w:t>
            </w:r>
          </w:p>
          <w:p>
            <w:pPr>
              <w:pStyle w:val="ListParagraph"/>
              <w:numPr>
                <w:ilvl w:val="0"/>
                <w:numId w:val="2"/>
              </w:numPr>
              <w:spacing w:after="45"/>
            </w:pPr>
            <w:r>
              <w:rPr>
                <w:sz w:val="15"/>
                <w:szCs w:val="15"/>
              </w:rPr>
              <w:t xml:space="preserve">EIGHTY-FIVE PERCENT OF THE SURGICAL COHORT HAD THE PRIMARY RESECTED WITHOUT THE LIVER METASTASES, AND ONLY 13.5% HAD PREOPERATIVE CHEMOTHERAPY. The authors suspect many were incidental occult metastases found at exploration, where guidelines say the operation should be abandoned. This means the national dataset is substantially capturing a practice error, not the carefully selected conversion surgery that the expert series describe - and yet the survival signal is attributed to the strategy</w:t>
            </w:r>
          </w:p>
          <w:p>
            <w:pPr>
              <w:pStyle w:val="ListParagraph"/>
              <w:numPr>
                <w:ilvl w:val="0"/>
                <w:numId w:val="2"/>
              </w:numPr>
              <w:spacing w:after="45"/>
            </w:pPr>
            <w:r>
              <w:rPr>
                <w:sz w:val="15"/>
                <w:szCs w:val="15"/>
              </w:rPr>
              <w:t xml:space="preserve">NO INFORMATION ON RESECTABILITY, METASTASIS NUMBER, SIZE OR MARGIN STATUS, in a study whose entire question is whether resecting oligometastatic disease helps. 'Oligometastatic' appears in the title but cannot be operationalised in the NCDB at all</w:t>
            </w:r>
          </w:p>
          <w:p>
            <w:pPr>
              <w:pStyle w:val="ListParagraph"/>
              <w:numPr>
                <w:ilvl w:val="0"/>
                <w:numId w:val="2"/>
              </w:numPr>
              <w:spacing w:after="45"/>
            </w:pPr>
            <w:r>
              <w:rPr>
                <w:sz w:val="15"/>
                <w:szCs w:val="15"/>
              </w:rPr>
              <w:t xml:space="preserve">SURGEON AND CENTRE VOLUME WERE THE STRONGEST PREDICTORS OF UNDERGOING SURGERY (surgeon volume OR 2.65) AND ARE ALSO STRONG PREDICTORS OF SURVIVAL, so the treatment effect is partly a centre effect. High hospital volume was entered in the Cox model and was null (HR 0.99), but surgeon volume was not</w:t>
            </w:r>
          </w:p>
          <w:p>
            <w:pPr>
              <w:pStyle w:val="ListParagraph"/>
              <w:numPr>
                <w:ilvl w:val="0"/>
                <w:numId w:val="2"/>
              </w:numPr>
              <w:spacing w:after="45"/>
            </w:pPr>
            <w:r>
              <w:rPr>
                <w:sz w:val="15"/>
                <w:szCs w:val="15"/>
              </w:rPr>
              <w:t xml:space="preserve">THE COX MODEL FOR SURVIVAL (Table IV) PRODUCES AN IMPLAUSIBLE RESULT - well-to-moderately differentiated tumours have HR 4.09 (2.32-7.23) for death, the opposite of the known direction and of the paper's own logistic model - which suggests a coding or reference-category problem in the adjusted analysis that underlies the HR 0.5 headline</w:t>
            </w:r>
          </w:p>
          <w:p>
            <w:pPr>
              <w:pStyle w:val="ListParagraph"/>
              <w:numPr>
                <w:ilvl w:val="0"/>
                <w:numId w:val="2"/>
              </w:numPr>
              <w:spacing w:after="45"/>
            </w:pPr>
            <w:r>
              <w:rPr>
                <w:sz w:val="15"/>
                <w:szCs w:val="15"/>
              </w:rPr>
              <w:t xml:space="preserve">CA 19-9 IS REPORTED AS '67 vs 77.6 U/mL' with a standard deviation of 39.9, and the baseline table dichotomises it at 98 U/mL with 92% of patients above that threshold. These numbers are not internally coherent and the variable is effectively unusable, yet it is cited as evidence that the surgical group had more favourable biology</w:t>
            </w:r>
          </w:p>
          <w:p>
            <w:pPr>
              <w:pStyle w:val="ListParagraph"/>
              <w:numPr>
                <w:ilvl w:val="0"/>
                <w:numId w:val="2"/>
              </w:numPr>
              <w:spacing w:after="45"/>
            </w:pPr>
            <w:r>
              <w:rPr>
                <w:sz w:val="15"/>
                <w:szCs w:val="15"/>
              </w:rPr>
              <w:t xml:space="preserve">The paper's conclusion ('may be associated with improved survival in well-selected patients ... should only be performed under a well-designed prospective clinical trial') is appropriately cautious, but the abstract's propensity-matched figure is what gets quoted</w:t>
            </w:r>
          </w:p>
        </w:tc>
      </w:tr>
    </w:tbl>
    <w:p>
      <w:pPr>
        <w:spacing w:after="0" w:line="276"/>
      </w:pPr>
      <w:r>
        <w:rPr>
          <w:color w:val="5A6069"/>
          <w:sz w:val="14"/>
          <w:szCs w:val="14"/>
        </w:rPr>
        <w:t xml:space="preserve">Funding: The authors received no financial support for the research, authorship or publication, and declare no personal conflicts of interest.</w:t>
      </w:r>
    </w:p>
    <w:p>
      <w:pPr>
        <w:keepNext/>
        <w:spacing w:after="50" w:before="260"/>
      </w:pPr>
      <w:r>
        <w:rPr>
          <w:rFonts w:ascii="Cambria" w:cs="Cambria" w:eastAsia="Cambria" w:hAnsi="Cambria"/>
          <w:b/>
          <w:bCs/>
          <w:color w:val="17365D"/>
          <w:sz w:val="20"/>
          <w:szCs w:val="20"/>
        </w:rPr>
        <w:t xml:space="preserve">Neoadjuvant meta-analysis</w:t>
      </w:r>
      <w:r>
        <w:rPr>
          <w:b/>
          <w:bCs/>
          <w:color w:val="176A87"/>
          <w:sz w:val="15"/>
          <w:szCs w:val="15"/>
        </w:rPr>
        <w:t xml:space="preserve">   Meta-analysis</w:t>
      </w:r>
      <w:r>
        <w:rPr>
          <w:color w:val="5A6069"/>
          <w:sz w:val="15"/>
          <w:szCs w:val="15"/>
        </w:rPr>
        <w:t xml:space="preserve">   PMID 40126570</w:t>
      </w:r>
    </w:p>
    <w:p>
      <w:pPr>
        <w:spacing w:after="50" w:line="276"/>
      </w:pPr>
      <w:r>
        <w:rPr>
          <w:color w:val="5A6069"/>
          <w:sz w:val="17"/>
          <w:szCs w:val="17"/>
        </w:rPr>
        <w:t xml:space="preserve">Neoadjuvant treatment versus upfront surgery in borderline resectable and resectable pancreatic ductal adenocarcinoma: meta-analysis.</w:t>
      </w:r>
    </w:p>
    <w:p>
      <w:pPr>
        <w:spacing w:after="50"/>
      </w:pPr>
      <w:r>
        <w:rPr>
          <w:b/>
          <w:bCs/>
          <w:color w:val="176A87"/>
          <w:sz w:val="16"/>
          <w:szCs w:val="16"/>
        </w:rPr>
        <w:t xml:space="preserve">Population. </w:t>
      </w:r>
      <w:r>
        <w:rPr>
          <w:sz w:val="16"/>
          <w:szCs w:val="16"/>
        </w:rPr>
        <w:t xml:space="preserve">9 trials, 1194 randomised patients (602 neoadjuvant, 592 upfront surgery); 517 resectable and 677 borderline resectable after NCCN reclassification</w:t>
      </w:r>
    </w:p>
    <w:p>
      <w:pPr>
        <w:spacing w:after="70"/>
      </w:pPr>
      <w:r>
        <w:rPr>
          <w:b/>
          <w:bCs/>
          <w:color w:val="17365D"/>
          <w:sz w:val="16"/>
          <w:szCs w:val="16"/>
        </w:rPr>
        <w:t xml:space="preserve">Bottom line. </w:t>
      </w:r>
      <w:r>
        <w:rPr>
          <w:sz w:val="16"/>
          <w:szCs w:val="16"/>
        </w:rPr>
        <w:t xml:space="preserve">This meta-analysis of 1194 randomised patients supports neoadjuvant therapy in BORDERLINE resectable PDAC (HR 0.60) and not in resectable PDAC (HR 0.90), at the cost of a lower resection rate and twice the serious adverse events - but the subgroup difference is not statistically established, the pooled comparator is overwhelmingly obsolete adjuvant gemcitabine, and the headline estimate depends on post hoc removal of the only trial that used modern adjuvant chemotherapy in its control arm.</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Heterogeneity in the neoadjuvant and adjuvant regimens across trials, compounded by the evidence base changing over the period covered</w:t>
            </w:r>
          </w:p>
          <w:p>
            <w:pPr>
              <w:pStyle w:val="ListParagraph"/>
              <w:numPr>
                <w:ilvl w:val="0"/>
                <w:numId w:val="2"/>
              </w:numPr>
              <w:spacing w:after="45"/>
            </w:pPr>
            <w:r>
              <w:rPr>
                <w:sz w:val="15"/>
                <w:szCs w:val="15"/>
              </w:rPr>
              <w:t xml:space="preserve">Differing definitions and start times for progression-free survival across trials limit characterisation and need standardisation</w:t>
            </w:r>
          </w:p>
          <w:p>
            <w:pPr>
              <w:pStyle w:val="ListParagraph"/>
              <w:numPr>
                <w:ilvl w:val="0"/>
                <w:numId w:val="2"/>
              </w:numPr>
              <w:spacing w:after="45"/>
            </w:pPr>
            <w:r>
              <w:rPr>
                <w:sz w:val="15"/>
                <w:szCs w:val="15"/>
              </w:rPr>
              <w:t xml:space="preserve">Resectability definitions have changed over time and are not universally agreed; two trials (Golcher and Unno/Prep-02) had to be reclassified from resectable to borderline resectable</w:t>
            </w:r>
          </w:p>
          <w:p>
            <w:pPr>
              <w:pStyle w:val="ListParagraph"/>
              <w:numPr>
                <w:ilvl w:val="0"/>
                <w:numId w:val="2"/>
              </w:numPr>
              <w:spacing w:after="45"/>
            </w:pPr>
            <w:r>
              <w:rPr>
                <w:sz w:val="15"/>
                <w:szCs w:val="15"/>
              </w:rPr>
              <w:t xml:space="preserve">Prep-02/JSAP-05 was included from abstract form only and needs full publication to allow critical review</w:t>
            </w:r>
          </w:p>
          <w:p>
            <w:pPr>
              <w:pStyle w:val="ListParagraph"/>
              <w:numPr>
                <w:ilvl w:val="0"/>
                <w:numId w:val="2"/>
              </w:numPr>
              <w:spacing w:after="45"/>
            </w:pPr>
            <w:r>
              <w:rPr>
                <w:sz w:val="15"/>
                <w:szCs w:val="15"/>
              </w:rPr>
              <w:t xml:space="preserve">Ongoing trials (JASPAC, PANACHE01-PRODIGE48) could not be included because results were not published in a poolable form</w:t>
            </w:r>
          </w:p>
          <w:p>
            <w:pPr>
              <w:pStyle w:val="ListParagraph"/>
              <w:numPr>
                <w:ilvl w:val="0"/>
                <w:numId w:val="2"/>
              </w:numPr>
              <w:spacing w:after="45"/>
            </w:pPr>
            <w:r>
              <w:rPr>
                <w:sz w:val="15"/>
                <w:szCs w:val="15"/>
              </w:rPr>
              <w:t xml:space="preserve">Four of the nine trials closed early - two for poor accrual, one for outdated chemotherapy and one for superiority at interim analysis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COMPARATORS ACROSS THE POOLED TRIALS ARE NOT INTERCHANGEABLE, AND ONLY ONE INCLUDED TRIAL GAVE THE CONTROL ARM MODERN ADJUVANT THERAPY. The paper's own Table 1 shows the upfront-surgery arms received adjuvant gemcitabine monotherapy (Casadei, Golcher, Jang), S-1 (Prep-02/JSAP-05), gemcitabine/nab-paclitaxel or PEXG (NEONAX, PACT-15), predominantly gemcitabine-based therapy in ESPAC5 (mFOLFIRINOX in only 2 of 43 patients) and mFOLFIRINOX in only NORPACT-1. Pooling these as one 'upfront surgery' comparator means the 0.73 HR is largely a comparison against obsolete adjuvant therapy, and the authors never say so</w:t>
            </w:r>
          </w:p>
          <w:p>
            <w:pPr>
              <w:pStyle w:val="ListParagraph"/>
              <w:numPr>
                <w:ilvl w:val="0"/>
                <w:numId w:val="2"/>
              </w:numPr>
              <w:spacing w:after="45"/>
            </w:pPr>
            <w:r>
              <w:rPr>
                <w:sz w:val="15"/>
                <w:szCs w:val="15"/>
              </w:rPr>
              <w:t xml:space="preserve">THE PAPER'S CONCLUSION OVERREACHES ITS OWN SUBGROUP TEST. It states neoadjuvant therapy 'should be regarded as standard of care' for borderline resectable disease on the basis of a subgroup HR of 0.60 whose between-subgroup interaction test was NOT significant (p=0.081) and whose own confidence interval nearly touches unity. The resectable-versus-borderline distinction is the single most consequential claim in the paper and it rests on an interaction that the data do not establish</w:t>
            </w:r>
          </w:p>
          <w:p>
            <w:pPr>
              <w:pStyle w:val="ListParagraph"/>
              <w:numPr>
                <w:ilvl w:val="0"/>
                <w:numId w:val="2"/>
              </w:numPr>
              <w:spacing w:after="45"/>
            </w:pPr>
            <w:r>
              <w:rPr>
                <w:sz w:val="15"/>
                <w:szCs w:val="15"/>
              </w:rPr>
              <w:t xml:space="preserve">THE OUTLIER REMOVAL IS POST HOC AND REMOVES THE ONE TRIAL WHOSE CONTROL ARM MOST RESEMBLES CURRENT PRACTICE. NORPACT-1 is excluded as an influence outlier precisely because it is the only trial giving upfront surgery plus adjuvant mFOLFIRINOX and the only one favouring upfront surgery. Dropping it tightens heterogeneity to zero by construction and manufactures a precise overall estimate; the honest reading is that the pooled estimate is unstable and depends on whether the modern comparator is included</w:t>
            </w:r>
          </w:p>
          <w:p>
            <w:pPr>
              <w:pStyle w:val="ListParagraph"/>
              <w:numPr>
                <w:ilvl w:val="0"/>
                <w:numId w:val="2"/>
              </w:numPr>
              <w:spacing w:after="45"/>
            </w:pPr>
            <w:r>
              <w:rPr>
                <w:sz w:val="15"/>
                <w:szCs w:val="15"/>
              </w:rPr>
              <w:t xml:space="preserve">DOUBLE-COUNTING AND UNIT-OF-ANALYSIS PROBLEMS: ESPAC5's four arms are entered in multiple ways (three separate neoadjuvant arms in some analyses, a pooled chemotherapy comparison in others), and PREOPANC is entered three times (overall, resectable, borderline). The tables show '9 trials' with '10' and sometimes '9 arms' in the same analysis, and a single upfront-surgery arm shared between several neoadjuvant comparisons inflates precision</w:t>
            </w:r>
          </w:p>
          <w:p>
            <w:pPr>
              <w:pStyle w:val="ListParagraph"/>
              <w:numPr>
                <w:ilvl w:val="0"/>
                <w:numId w:val="2"/>
              </w:numPr>
              <w:spacing w:after="45"/>
            </w:pPr>
            <w:r>
              <w:rPr>
                <w:sz w:val="15"/>
                <w:szCs w:val="15"/>
              </w:rPr>
              <w:t xml:space="preserve">SURVIVAL DATA FOR SEVERAL TRIALS WERE RECONSTRUCTED FROM KAPLAN-MEIER CURVES rather than taken from reported hazard ratios, which adds measurement error that the random-effects model treats as if it were sampling variation only</w:t>
            </w:r>
          </w:p>
          <w:p>
            <w:pPr>
              <w:pStyle w:val="ListParagraph"/>
              <w:numPr>
                <w:ilvl w:val="0"/>
                <w:numId w:val="2"/>
              </w:numPr>
              <w:spacing w:after="45"/>
            </w:pPr>
            <w:r>
              <w:rPr>
                <w:sz w:val="15"/>
                <w:szCs w:val="15"/>
              </w:rPr>
              <w:t xml:space="preserve">THE SERIOUS ADVERSE EVENT ESTIMATE IS INTERNALLY INCONSISTENT: RR 1.92 with a reported confidence interval of 1.28 to 1.89 does not contain its own point estimate (both in the abstract and in Table 4), so the harm estimate as published cannot be relied on even though its direction is clear and clinically important</w:t>
            </w:r>
          </w:p>
          <w:p>
            <w:pPr>
              <w:pStyle w:val="ListParagraph"/>
              <w:numPr>
                <w:ilvl w:val="0"/>
                <w:numId w:val="2"/>
              </w:numPr>
              <w:spacing w:after="45"/>
            </w:pPr>
            <w:r>
              <w:rPr>
                <w:sz w:val="15"/>
                <w:szCs w:val="15"/>
              </w:rPr>
              <w:t xml:space="preserve">FOLLOW-UP RANGES FROM 12 MONTHS (ESPAC5) TO 136 MONTHS, AND THE 12-MONTH TRIAL CARRIES THE MOST EXTREME EFFECT. Pooling hazard ratios across such disparate horizons assumes proportional hazards within and across trials, which PREOPANC's own data (1.4-month median difference with a 14% 5-year difference) directly contradicts</w:t>
            </w:r>
          </w:p>
          <w:p>
            <w:pPr>
              <w:pStyle w:val="ListParagraph"/>
              <w:numPr>
                <w:ilvl w:val="0"/>
                <w:numId w:val="2"/>
              </w:numPr>
              <w:spacing w:after="45"/>
            </w:pPr>
            <w:r>
              <w:rPr>
                <w:sz w:val="15"/>
                <w:szCs w:val="15"/>
              </w:rPr>
              <w:t xml:space="preserve">FOUR OF NINE TRIALS STOPPED EARLY, one of them for superiority at interim analysis (Jang), which systematically inflates the pooled effect; no small-study or early-stopping correction is applied beyond a funnel plot</w:t>
            </w:r>
          </w:p>
          <w:p>
            <w:pPr>
              <w:pStyle w:val="ListParagraph"/>
              <w:numPr>
                <w:ilvl w:val="0"/>
                <w:numId w:val="2"/>
              </w:numPr>
              <w:spacing w:after="45"/>
            </w:pPr>
            <w:r>
              <w:rPr>
                <w:sz w:val="15"/>
                <w:szCs w:val="15"/>
              </w:rPr>
              <w:t xml:space="preserve">The finding that adjuvant therapy rates did NOT differ (57.7% vs 55.6%) undercuts the principal mechanistic rationale for neoadjuvant sequencing, yet it is reported as a non-significant secondary outcome and not carried into the discussion of why the strategy might work</w:t>
            </w:r>
          </w:p>
          <w:p>
            <w:pPr>
              <w:pStyle w:val="ListParagraph"/>
              <w:numPr>
                <w:ilvl w:val="0"/>
                <w:numId w:val="2"/>
              </w:numPr>
              <w:spacing w:after="45"/>
            </w:pPr>
            <w:r>
              <w:rPr>
                <w:sz w:val="15"/>
                <w:szCs w:val="15"/>
              </w:rPr>
              <w:t xml:space="preserve">The authors include ESPAC5 and are the ESPAC5 investigators; no conflict is declared and none is financial, but the trial that contributes the largest single effect estimate was run by the review team</w:t>
            </w:r>
          </w:p>
        </w:tc>
      </w:tr>
    </w:tbl>
    <w:p>
      <w:pPr>
        <w:spacing w:after="0" w:line="276"/>
      </w:pPr>
      <w:r>
        <w:rPr>
          <w:color w:val="5A6069"/>
          <w:sz w:val="14"/>
          <w:szCs w:val="14"/>
        </w:rPr>
        <w:t xml:space="preserve">Funding: The authors declare no funding and no conflict of interest.</w:t>
      </w:r>
    </w:p>
    <w:p>
      <w:pPr>
        <w:keepNext/>
        <w:spacing w:after="50" w:before="260"/>
      </w:pPr>
      <w:r>
        <w:rPr>
          <w:rFonts w:ascii="Cambria" w:cs="Cambria" w:eastAsia="Cambria" w:hAnsi="Cambria"/>
          <w:b/>
          <w:bCs/>
          <w:color w:val="17365D"/>
          <w:sz w:val="20"/>
          <w:szCs w:val="20"/>
        </w:rPr>
        <w:t xml:space="preserve">NORPACT-1</w:t>
      </w:r>
      <w:r>
        <w:rPr>
          <w:b/>
          <w:bCs/>
          <w:color w:val="176A87"/>
          <w:sz w:val="15"/>
          <w:szCs w:val="15"/>
        </w:rPr>
        <w:t xml:space="preserve">   Randomised trial</w:t>
      </w:r>
      <w:r>
        <w:rPr>
          <w:color w:val="5A6069"/>
          <w:sz w:val="15"/>
          <w:szCs w:val="15"/>
        </w:rPr>
        <w:t xml:space="preserve">   PMID 38237621</w:t>
      </w:r>
    </w:p>
    <w:p>
      <w:pPr>
        <w:spacing w:after="50" w:line="276"/>
      </w:pPr>
      <w:r>
        <w:rPr>
          <w:color w:val="5A6069"/>
          <w:sz w:val="17"/>
          <w:szCs w:val="17"/>
        </w:rPr>
        <w:t xml:space="preserve">Neoadjuvant FOLFIRINOX versus upfront surgery for resectable pancreatic head cancer (NORPACT-1): a multicentre, randomised, phase 2 trial.</w:t>
      </w:r>
    </w:p>
    <w:p>
      <w:pPr>
        <w:spacing w:after="50"/>
      </w:pPr>
      <w:r>
        <w:rPr>
          <w:b/>
          <w:bCs/>
          <w:color w:val="176A87"/>
          <w:sz w:val="16"/>
          <w:szCs w:val="16"/>
        </w:rPr>
        <w:t xml:space="preserve">Population. </w:t>
      </w:r>
      <w:r>
        <w:rPr>
          <w:sz w:val="16"/>
          <w:szCs w:val="16"/>
        </w:rPr>
        <w:t xml:space="preserve">140 patients (77 neoadjuvant FOLFIRINOX, 63 upfront surgery); 119 resections; per-protocol population 115</w:t>
      </w:r>
    </w:p>
    <w:p>
      <w:pPr>
        <w:spacing w:after="70"/>
      </w:pPr>
      <w:r>
        <w:rPr>
          <w:b/>
          <w:bCs/>
          <w:color w:val="17365D"/>
          <w:sz w:val="16"/>
          <w:szCs w:val="16"/>
        </w:rPr>
        <w:t xml:space="preserve">Bottom line. </w:t>
      </w:r>
      <w:r>
        <w:rPr>
          <w:sz w:val="16"/>
          <w:szCs w:val="16"/>
        </w:rPr>
        <w:t xml:space="preserve">NORPACT-1 failed to show any survival benefit from four cycles of neoadjuvant FOLFIRINOX in resectable pancreatic head cancer and its ITT primary endpoint favoured upfront surgery (18-month survival 60% vs 73%), but a fifth of the neoadjuvant arm never received the drug and went straight to resection, only 61% of those treated completed four cycles, and the control arm's 38.5-month median is far better than any comparable upfront-surgery cohort - so this is a failed-delivery trial, not evidence that neoadjuvant chemotherapy is harmful.</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Phase 2 design, so the results cannot be viewed as conclusive</w:t>
            </w:r>
          </w:p>
          <w:p>
            <w:pPr>
              <w:pStyle w:val="ListParagraph"/>
              <w:numPr>
                <w:ilvl w:val="0"/>
                <w:numId w:val="2"/>
              </w:numPr>
              <w:spacing w:after="45"/>
            </w:pPr>
            <w:r>
              <w:rPr>
                <w:sz w:val="15"/>
                <w:szCs w:val="15"/>
              </w:rPr>
              <w:t xml:space="preserve">Implementation of neoadjuvant FOLFIRINOX was challenging, and the use of full-dose rather than modified FOLFIRINOX may have increased toxicity and reduced compliance</w:t>
            </w:r>
          </w:p>
          <w:p>
            <w:pPr>
              <w:pStyle w:val="ListParagraph"/>
              <w:numPr>
                <w:ilvl w:val="0"/>
                <w:numId w:val="2"/>
              </w:numPr>
              <w:spacing w:after="45"/>
            </w:pPr>
            <w:r>
              <w:rPr>
                <w:sz w:val="15"/>
                <w:szCs w:val="15"/>
              </w:rPr>
              <w:t xml:space="preserve">Histological proof of PDAC was not mandatory before randomisation, so 11 patients (8%) with non-PDAC and generally better-prognosis diagnoses are included in the ITT analysis</w:t>
            </w:r>
          </w:p>
          <w:p>
            <w:pPr>
              <w:pStyle w:val="ListParagraph"/>
              <w:numPr>
                <w:ilvl w:val="0"/>
                <w:numId w:val="2"/>
              </w:numPr>
              <w:spacing w:after="45"/>
            </w:pPr>
            <w:r>
              <w:rPr>
                <w:sz w:val="15"/>
                <w:szCs w:val="15"/>
              </w:rPr>
              <w:t xml:space="preserve">Caution is needed with the hazard ratios, which are average hazard ratios over follow-up and should not be interpreted causally because baseline covariate balance can change over study time</w:t>
            </w:r>
          </w:p>
          <w:p>
            <w:pPr>
              <w:pStyle w:val="ListParagraph"/>
              <w:numPr>
                <w:ilvl w:val="0"/>
                <w:numId w:val="2"/>
              </w:numPr>
              <w:spacing w:after="45"/>
            </w:pPr>
            <w:r>
              <w:rPr>
                <w:sz w:val="15"/>
                <w:szCs w:val="15"/>
              </w:rPr>
              <w:t xml:space="preserve">The survival in the upfront surgery arm was markedly better than in previous reports, aligning with adjuvant rather than neoadjuvant trial populations</w:t>
            </w:r>
          </w:p>
          <w:p>
            <w:pPr>
              <w:pStyle w:val="ListParagraph"/>
              <w:numPr>
                <w:ilvl w:val="0"/>
                <w:numId w:val="2"/>
              </w:numPr>
              <w:spacing w:after="45"/>
            </w:pPr>
            <w:r>
              <w:rPr>
                <w:sz w:val="15"/>
                <w:szCs w:val="15"/>
              </w:rPr>
              <w:t xml:space="preserve">Only 60% of patients initiating neoadjuvant FOLFIRINOX completed all four cycles</w:t>
            </w:r>
          </w:p>
          <w:p>
            <w:pPr>
              <w:pStyle w:val="ListParagraph"/>
              <w:numPr>
                <w:ilvl w:val="0"/>
                <w:numId w:val="2"/>
              </w:numPr>
              <w:spacing w:after="45"/>
            </w:pPr>
            <w:r>
              <w:rPr>
                <w:sz w:val="15"/>
                <w:szCs w:val="15"/>
              </w:rPr>
              <w:t xml:space="preserve">No central radiology review was performed</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COMPARATOR: upfront surgery followed by adjuvant chemotherapy chosen at the treating oncologist's discretion. Adjuvant therapy was gemcitabine plus capecitabine (or gemcitabine monotherapy) until an August 2018 amendment permitted modified FOLFIRINOX. CONTROL ARM EXPOSURE TO MODERN ADJUVANT THERAPY WAS PARTIAL: only 19/44 (43%) of resected PDAC patients in the upfront arm actually received adjuvant mFOLFIRINOX, and 25/44 received a gemcitabine-based regimen. In the neoadjuvant arm only 13/51 (25%) received adjuvant mFOLFIRINOX. So the trial is not a clean test of neoadjuvant FOLFIRINOX against upfront surgery plus adjuvant mFOLFIRINOX</w:t>
            </w:r>
          </w:p>
          <w:p>
            <w:pPr>
              <w:pStyle w:val="ListParagraph"/>
              <w:numPr>
                <w:ilvl w:val="0"/>
                <w:numId w:val="2"/>
              </w:numPr>
              <w:spacing w:after="45"/>
            </w:pPr>
            <w:r>
              <w:rPr>
                <w:sz w:val="15"/>
                <w:szCs w:val="15"/>
              </w:rPr>
              <w:t xml:space="preserve">NON-RECEIPT OF ALLOCATED TREATMENT IS THE CENTRAL FLAW: 16/77 (21%) allocated to neoadjuvant FOLFIRINOX never received it - and crucially ALL 16 went straight to resection. Reasons were non-diagnostic repeat EUS sampling (6), persistent jaundice after stenting (2), another diagnosis (2), biliary infection (2), kidney failure (1), plus 3 who received a different neoadjuvant regimen. These 16 untreated-but-resected patients are counted in the neoadjuvant arm's ITT survival, which by itself means the ITT comparison is not a comparison of two delivered strategies. Only 1/63 (2%) in the upfront arm failed to undergo surgery</w:t>
            </w:r>
          </w:p>
          <w:p>
            <w:pPr>
              <w:pStyle w:val="ListParagraph"/>
              <w:numPr>
                <w:ilvl w:val="0"/>
                <w:numId w:val="2"/>
              </w:numPr>
              <w:spacing w:after="45"/>
            </w:pPr>
            <w:r>
              <w:rPr>
                <w:sz w:val="15"/>
                <w:szCs w:val="15"/>
              </w:rPr>
              <w:t xml:space="preserve">DILUTION COMPOUNDS NON-RECEIPT: of the 61 who did start FOLFIRINOX, only 37 (61%) finished four cycles and 16 (26%) received one or two cycles. Fewer than half the patients randomised to neoadjuvant therapy received the intended four-cycle course, so the trial tests an incompletely delivered strategy; PREOPANC-2 explicitly attributes NORPACT-1's null result partly to this (46% four-cycle completion vs 81% in PREOPANC-2)</w:t>
            </w:r>
          </w:p>
          <w:p>
            <w:pPr>
              <w:pStyle w:val="ListParagraph"/>
              <w:numPr>
                <w:ilvl w:val="0"/>
                <w:numId w:val="2"/>
              </w:numPr>
              <w:spacing w:after="45"/>
            </w:pPr>
            <w:r>
              <w:rPr>
                <w:sz w:val="15"/>
                <w:szCs w:val="15"/>
              </w:rPr>
              <w:t xml:space="preserve">THE PRIMARY ENDPOINT IS STATISTICALLY SIGNIFICANT IN FAVOUR OF UPFRONT SURGERY ONLY BY ITT AND ONLY AT A NON-STANDARD ALPHA. The trial was designed with a two-sided alpha of 0.15 as an exploratory study, so a p=0.032 difference in proportions and an HR whose lower bound touches 1.00 should not be read as evidence of HARM from neoadjuvant therapy; in the per-protocol analysis both comparisons are non-significant (p=0.14 and p=0.058). A pathway should not cite NORPACT-1 as showing neoadjuvant therapy is worse, only as failing to show it is better</w:t>
            </w:r>
          </w:p>
          <w:p>
            <w:pPr>
              <w:pStyle w:val="ListParagraph"/>
              <w:numPr>
                <w:ilvl w:val="0"/>
                <w:numId w:val="2"/>
              </w:numPr>
              <w:spacing w:after="45"/>
            </w:pPr>
            <w:r>
              <w:rPr>
                <w:sz w:val="15"/>
                <w:szCs w:val="15"/>
              </w:rPr>
              <w:t xml:space="preserve">ASYMMETRIC PRE-TREATMENT WORKUP: EUS-guided sampling and biliary stenting were performed only in the neoadjuvant arm (stenting 57% vs 16%). The upfront arm's path to the operating room was deliberately shorter and free of the stenting, cholangitis and post-ERCP pancreatitis complications that in fact derailed several neoadjuvant patients. The authors defend this as reflecting Nordic practice, but it is an asymmetry in risk exposure that is not part of the chemotherapy question</w:t>
            </w:r>
          </w:p>
          <w:p>
            <w:pPr>
              <w:pStyle w:val="ListParagraph"/>
              <w:numPr>
                <w:ilvl w:val="0"/>
                <w:numId w:val="2"/>
              </w:numPr>
              <w:spacing w:after="45"/>
            </w:pPr>
            <w:r>
              <w:rPr>
                <w:sz w:val="15"/>
                <w:szCs w:val="15"/>
              </w:rPr>
              <w:t xml:space="preserve">THE UPFRONT SURGERY ARM'S 38.5-MONTH MEDIAN IS AN OUTLIER. It far exceeds any comparable upfront-surgery arm (14.3 months in PREOPANC, 16.7 months in NEONAX) and resembles adjuvant-trial populations. Either the arm was favourably selected by chance in a 63-patient group, or the resectable, pancreatic-head-only, WHO 0-1, strongly favourable-biology eligibility produced a population with unusually good prognosis. With 63 patients and only 28 deaths, chance imbalance cannot be excluded, and the headline comparison is driven as much by an unusually good control arm as by a poor experimental one</w:t>
            </w:r>
          </w:p>
          <w:p>
            <w:pPr>
              <w:pStyle w:val="ListParagraph"/>
              <w:numPr>
                <w:ilvl w:val="0"/>
                <w:numId w:val="2"/>
              </w:numPr>
              <w:spacing w:after="45"/>
            </w:pPr>
            <w:r>
              <w:rPr>
                <w:sz w:val="15"/>
                <w:szCs w:val="15"/>
              </w:rPr>
              <w:t xml:space="preserve">SAMPLE SIZE AND POWER WERE REVISED MID-TRIAL (126 to 140 patients) and the primary endpoint itself was changed from a resected-patient analysis to an ITT analysis in 2018 after patients had been enrolled - decisions made with knowledge of accrual and diagnosis mix</w:t>
            </w:r>
          </w:p>
          <w:p>
            <w:pPr>
              <w:pStyle w:val="ListParagraph"/>
              <w:numPr>
                <w:ilvl w:val="0"/>
                <w:numId w:val="2"/>
              </w:numPr>
              <w:spacing w:after="45"/>
            </w:pPr>
            <w:r>
              <w:rPr>
                <w:sz w:val="15"/>
                <w:szCs w:val="15"/>
              </w:rPr>
              <w:t xml:space="preserve">ELEVEN NON-PDAC PATIENTS (8%) WITH BETTER-PROGNOSIS DISEASE REMAIN IN THE ITT DENOMINATOR, including 3 cholangiocarcinomas and 2 pNETs in the upfront surgery arm - enrichment of the control arm with favourable histology that the authors acknowledge but do not quantify in the survival analysis</w:t>
            </w:r>
          </w:p>
          <w:p>
            <w:pPr>
              <w:pStyle w:val="ListParagraph"/>
              <w:numPr>
                <w:ilvl w:val="0"/>
                <w:numId w:val="2"/>
              </w:numPr>
              <w:spacing w:after="45"/>
            </w:pPr>
            <w:r>
              <w:rPr>
                <w:sz w:val="15"/>
                <w:szCs w:val="15"/>
              </w:rPr>
              <w:t xml:space="preserve">Only 55% of patients randomised were followed long enough for events (77/140 deaths at median 22.7 months follow-up), so the median survival estimates, particularly the not-reached upper bound in the control arm, are unstable</w:t>
            </w:r>
          </w:p>
          <w:p>
            <w:pPr>
              <w:pStyle w:val="ListParagraph"/>
              <w:numPr>
                <w:ilvl w:val="0"/>
                <w:numId w:val="2"/>
              </w:numPr>
              <w:spacing w:after="45"/>
            </w:pPr>
            <w:r>
              <w:rPr>
                <w:sz w:val="15"/>
                <w:szCs w:val="15"/>
              </w:rPr>
              <w:t xml:space="preserve">The trial used full-dose, not modified, FOLFIRINOX without protocol-mandated G-CSF, which the authors concede may have driven the 58% grade 3+ toxicity rate and the compliance failure</w:t>
            </w:r>
          </w:p>
        </w:tc>
      </w:tr>
    </w:tbl>
    <w:p>
      <w:pPr>
        <w:spacing w:after="0" w:line="276"/>
      </w:pPr>
      <w:r>
        <w:rPr>
          <w:color w:val="5A6069"/>
          <w:sz w:val="14"/>
          <w:szCs w:val="14"/>
        </w:rPr>
        <w:t xml:space="preserve">Funding: Non-commercial: Norwegian Cancer Society, South Eastern Norwegian Health Authority, the Sjoberg Foundation and Helsinki University Hospital Research Grants. Funders had no role in design, data collection, analysis, interpretation or writing. One author reports honoraria from Pfizer, Amgen and Bristol Myers Squibb; all others declare no competing interests.</w:t>
      </w:r>
    </w:p>
    <w:p>
      <w:pPr>
        <w:keepNext/>
        <w:spacing w:after="50" w:before="260"/>
      </w:pPr>
      <w:r>
        <w:rPr>
          <w:rFonts w:ascii="Cambria" w:cs="Cambria" w:eastAsia="Cambria" w:hAnsi="Cambria"/>
          <w:b/>
          <w:bCs/>
          <w:color w:val="17365D"/>
          <w:sz w:val="20"/>
          <w:szCs w:val="20"/>
        </w:rPr>
        <w:t xml:space="preserve">POLO</w:t>
      </w:r>
      <w:r>
        <w:rPr>
          <w:b/>
          <w:bCs/>
          <w:color w:val="176A87"/>
          <w:sz w:val="15"/>
          <w:szCs w:val="15"/>
        </w:rPr>
        <w:t xml:space="preserve">   Randomised trial</w:t>
      </w:r>
      <w:r>
        <w:rPr>
          <w:color w:val="5A6069"/>
          <w:sz w:val="15"/>
          <w:szCs w:val="15"/>
        </w:rPr>
        <w:t xml:space="preserve">   PMID 31157963</w:t>
      </w:r>
    </w:p>
    <w:p>
      <w:pPr>
        <w:spacing w:after="50" w:line="276"/>
      </w:pPr>
      <w:r>
        <w:rPr>
          <w:color w:val="5A6069"/>
          <w:sz w:val="17"/>
          <w:szCs w:val="17"/>
        </w:rPr>
        <w:t xml:space="preserve">Maintenance Olaparib for Germline BRCA-Mutated Metastatic Pancreatic Cancer.</w:t>
      </w:r>
    </w:p>
    <w:p>
      <w:pPr>
        <w:spacing w:after="50"/>
      </w:pPr>
      <w:r>
        <w:rPr>
          <w:b/>
          <w:bCs/>
          <w:color w:val="176A87"/>
          <w:sz w:val="16"/>
          <w:szCs w:val="16"/>
        </w:rPr>
        <w:t xml:space="preserve">Population. </w:t>
      </w:r>
      <w:r>
        <w:rPr>
          <w:sz w:val="16"/>
          <w:szCs w:val="16"/>
        </w:rPr>
        <w:t xml:space="preserve">154 randomised (92 olaparib, 62 placebo), from 3315 screened</w:t>
      </w:r>
    </w:p>
    <w:p>
      <w:pPr>
        <w:spacing w:after="70"/>
      </w:pPr>
      <w:r>
        <w:rPr>
          <w:b/>
          <w:bCs/>
          <w:color w:val="17365D"/>
          <w:sz w:val="16"/>
          <w:szCs w:val="16"/>
        </w:rPr>
        <w:t xml:space="preserve">Bottom line. </w:t>
      </w:r>
      <w:r>
        <w:rPr>
          <w:sz w:val="16"/>
          <w:szCs w:val="16"/>
        </w:rPr>
        <w:t xml:space="preserve">In the 4.6% of screened patients who have a germline BRCA mutation and have already not progressed on four months of platinum, maintenance olaparib delays radiographic progression by 3.6 months against placebo, but does not improve overall survival or quality of life at this analysis and has not been tested against continued chemotherapy.</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Overall survival was reported at an interim analysis with only 46% data maturity and showed no significant difference</w:t>
            </w:r>
          </w:p>
          <w:p>
            <w:pPr>
              <w:pStyle w:val="ListParagraph"/>
              <w:numPr>
                <w:ilvl w:val="0"/>
                <w:numId w:val="2"/>
              </w:numPr>
              <w:spacing w:after="45"/>
            </w:pPr>
            <w:r>
              <w:rPr>
                <w:sz w:val="15"/>
                <w:szCs w:val="15"/>
              </w:rPr>
              <w:t xml:space="preserve">Overall survival may be confounded by subsequent therapy, including the nine placebo patients (15%) who received a PARP inhibitor after progression, and by placebo-group patients going on to further DNA-damaging agents</w:t>
            </w:r>
          </w:p>
          <w:p>
            <w:pPr>
              <w:pStyle w:val="ListParagraph"/>
              <w:numPr>
                <w:ilvl w:val="0"/>
                <w:numId w:val="2"/>
              </w:numPr>
              <w:spacing w:after="45"/>
            </w:pPr>
            <w:r>
              <w:rPr>
                <w:sz w:val="15"/>
                <w:szCs w:val="15"/>
              </w:rPr>
              <w:t xml:space="preserve">Placebo rather than continued chemotherapy was chosen as comparator on the grounds that cumulative neuropathy and other toxicity limit extended platinum therapy</w:t>
            </w:r>
          </w:p>
          <w:p>
            <w:pPr>
              <w:pStyle w:val="ListParagraph"/>
              <w:numPr>
                <w:ilvl w:val="0"/>
                <w:numId w:val="2"/>
              </w:numPr>
              <w:spacing w:after="45"/>
            </w:pPr>
            <w:r>
              <w:rPr>
                <w:sz w:val="15"/>
                <w:szCs w:val="15"/>
              </w:rPr>
              <w:t xml:space="preserve">The trial used dual selection — germline BRCA mutation plus no progression on at least 16 weeks of platinum — so the population is enriched for benefit; of 3315 screened, 7.5% had a germline BRCA mutation</w:t>
            </w:r>
          </w:p>
          <w:p>
            <w:pPr>
              <w:pStyle w:val="ListParagraph"/>
              <w:numPr>
                <w:ilvl w:val="0"/>
                <w:numId w:val="2"/>
              </w:numPr>
              <w:spacing w:after="45"/>
            </w:pPr>
            <w:r>
              <w:rPr>
                <w:sz w:val="15"/>
                <w:szCs w:val="15"/>
              </w:rPr>
              <w:t xml:space="preserve">Time to second progression is an endpoint without precedent in pancreatic cancer and was interpreted by analogy with other tumour types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COMPARATOR: placebo, not maintenance chemotherapy or a de-escalated fluoropyrimidine. The trial therefore establishes that olaparib beats stopping treatment, not that it beats continuing anything, which is the comparison a pathway actually faces at the 16-week mark</w:t>
            </w:r>
          </w:p>
          <w:p>
            <w:pPr>
              <w:pStyle w:val="ListParagraph"/>
              <w:numPr>
                <w:ilvl w:val="0"/>
                <w:numId w:val="2"/>
              </w:numPr>
              <w:spacing w:after="45"/>
            </w:pPr>
            <w:r>
              <w:rPr>
                <w:sz w:val="15"/>
                <w:szCs w:val="15"/>
              </w:rPr>
              <w:t xml:space="preserve">The 3315-to-154 funnel (4.6% of screened patients randomised) means the result applies to a population that must be found by population-wide germline testing plus four months of platinum response — a conditioning step that is itself the strongest prognostic selection in the trial</w:t>
            </w:r>
          </w:p>
          <w:p>
            <w:pPr>
              <w:pStyle w:val="ListParagraph"/>
              <w:numPr>
                <w:ilvl w:val="0"/>
                <w:numId w:val="2"/>
              </w:numPr>
              <w:spacing w:after="45"/>
            </w:pPr>
            <w:r>
              <w:rPr>
                <w:sz w:val="15"/>
                <w:szCs w:val="15"/>
              </w:rPr>
              <w:t xml:space="preserve">PFS is the only positive endpoint and it is a progression-imaging endpoint in an unblinded-to-progression-pattern disease; the paper does not report sensitivity analyses for differential assessment timing or informative censoring, and the alpha spent on PFS leaves overall survival with no formal success criterion in this report</w:t>
            </w:r>
          </w:p>
          <w:p>
            <w:pPr>
              <w:pStyle w:val="ListParagraph"/>
              <w:numPr>
                <w:ilvl w:val="0"/>
                <w:numId w:val="2"/>
              </w:numPr>
              <w:spacing w:after="45"/>
            </w:pPr>
            <w:r>
              <w:rPr>
                <w:sz w:val="15"/>
                <w:szCs w:val="15"/>
              </w:rPr>
              <w:t xml:space="preserve">A median OS of 18.1 months in the placebo arm of metastatic pancreatic cancer is far above the 6-11 months typical of the disease, confirming how selected this population is; quoting POLO alongside unselected trials is not like-for-like</w:t>
            </w:r>
          </w:p>
          <w:p>
            <w:pPr>
              <w:pStyle w:val="ListParagraph"/>
              <w:numPr>
                <w:ilvl w:val="0"/>
                <w:numId w:val="2"/>
              </w:numPr>
              <w:spacing w:after="45"/>
            </w:pPr>
            <w:r>
              <w:rPr>
                <w:sz w:val="15"/>
                <w:szCs w:val="15"/>
              </w:rPr>
              <w:t xml:space="preserve">Grade 3+ toxicity nearly doubled (40% vs 23%) for a benefit confined to an imaging endpoint with no survival or quality-of-life gain — the harm half of the ledger is quantified but not weighed</w:t>
            </w:r>
          </w:p>
          <w:p>
            <w:pPr>
              <w:pStyle w:val="ListParagraph"/>
              <w:numPr>
                <w:ilvl w:val="0"/>
                <w:numId w:val="2"/>
              </w:numPr>
              <w:spacing w:after="45"/>
            </w:pPr>
            <w:r>
              <w:rPr>
                <w:sz w:val="15"/>
                <w:szCs w:val="15"/>
              </w:rPr>
              <w:t xml:space="preserve">AstraZeneca (in alliance with Merck Sharp &amp; Dohme) funded the trial, supplied the companion diagnostic pathway (BRACAnalysis CDx, Myriad) and provided sponsor-funded medical writing; the choice of placebo over active maintenance is the design decision most favourable to the sponsor and is defended in one sentence</w:t>
            </w:r>
          </w:p>
          <w:p>
            <w:pPr>
              <w:pStyle w:val="ListParagraph"/>
              <w:numPr>
                <w:ilvl w:val="0"/>
                <w:numId w:val="2"/>
              </w:numPr>
              <w:spacing w:after="45"/>
            </w:pPr>
            <w:r>
              <w:rPr>
                <w:sz w:val="15"/>
                <w:szCs w:val="15"/>
              </w:rPr>
              <w:t xml:space="preserve">Nine placebo patients crossing to a PARP inhibitor is cited as biasing OS towards the null, but the direction is asserted rather than quantified, and no sensitivity analysis censoring at crossover is presented</w:t>
            </w:r>
          </w:p>
        </w:tc>
      </w:tr>
    </w:tbl>
    <w:p>
      <w:pPr>
        <w:spacing w:after="0" w:line="276"/>
      </w:pPr>
      <w:r>
        <w:rPr>
          <w:color w:val="5A6069"/>
          <w:sz w:val="14"/>
          <w:szCs w:val="14"/>
        </w:rPr>
        <w:t xml:space="preserve">Funding: AstraZeneca, as part of an alliance between AstraZeneca and Merck Sharp &amp; Dohme (a subsidiary of Merck), and NIH/NCI Cancer Center grant P30-17 CA008748</w:t>
      </w:r>
    </w:p>
    <w:p>
      <w:pPr>
        <w:keepNext/>
        <w:spacing w:after="50" w:before="260"/>
      </w:pPr>
      <w:r>
        <w:rPr>
          <w:rFonts w:ascii="Cambria" w:cs="Cambria" w:eastAsia="Cambria" w:hAnsi="Cambria"/>
          <w:b/>
          <w:bCs/>
          <w:color w:val="17365D"/>
          <w:sz w:val="20"/>
          <w:szCs w:val="20"/>
        </w:rPr>
        <w:t xml:space="preserve">PREOPANC</w:t>
      </w:r>
      <w:r>
        <w:rPr>
          <w:b/>
          <w:bCs/>
          <w:color w:val="176A87"/>
          <w:sz w:val="15"/>
          <w:szCs w:val="15"/>
        </w:rPr>
        <w:t xml:space="preserve">   Randomised trial</w:t>
      </w:r>
      <w:r>
        <w:rPr>
          <w:color w:val="5A6069"/>
          <w:sz w:val="15"/>
          <w:szCs w:val="15"/>
        </w:rPr>
        <w:t xml:space="preserve">   PMID 32105518</w:t>
      </w:r>
    </w:p>
    <w:p>
      <w:pPr>
        <w:spacing w:after="50" w:line="276"/>
      </w:pPr>
      <w:r>
        <w:rPr>
          <w:color w:val="5A6069"/>
          <w:sz w:val="17"/>
          <w:szCs w:val="17"/>
        </w:rPr>
        <w:t xml:space="preserve">Preoperative Chemoradiotherapy Versus Immediate Surgery for Resectable and Borderline Resectable Pancreatic Cancer: Results of the Dutch Randomized Phase III PREOPANC Trial.</w:t>
      </w:r>
    </w:p>
    <w:p>
      <w:pPr>
        <w:spacing w:after="50"/>
      </w:pPr>
      <w:r>
        <w:rPr>
          <w:b/>
          <w:bCs/>
          <w:color w:val="176A87"/>
          <w:sz w:val="16"/>
          <w:szCs w:val="16"/>
        </w:rPr>
        <w:t xml:space="preserve">Population. </w:t>
      </w:r>
      <w:r>
        <w:rPr>
          <w:sz w:val="16"/>
          <w:szCs w:val="16"/>
        </w:rPr>
        <w:t xml:space="preserve">246 eligible patients (119 preoperative chemoradiotherapy, 127 immediate surgery); 164 resections</w:t>
      </w:r>
    </w:p>
    <w:p>
      <w:pPr>
        <w:spacing w:after="70"/>
      </w:pPr>
      <w:r>
        <w:rPr>
          <w:b/>
          <w:bCs/>
          <w:color w:val="17365D"/>
          <w:sz w:val="16"/>
          <w:szCs w:val="16"/>
        </w:rPr>
        <w:t xml:space="preserve">Bottom line. </w:t>
      </w:r>
      <w:r>
        <w:rPr>
          <w:sz w:val="16"/>
          <w:szCs w:val="16"/>
        </w:rPr>
        <w:t xml:space="preserve">PREOPANC's primary analysis did NOT show a survival benefit for neoadjuvant gemcitabine-based chemoradiotherapy over immediate surgery (16.0 vs 14.3 months, P=.096); it establishes better margin, nodal and locoregional outcomes and better treatment delivery, against an adjuvant gemcitabine comparator that is no longer standard, and the quoted large survival gains come from subgroups selected after randomisation.</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Median OS in the immediate surgery arm was better than the 11 months assumed when powering the trial (14.3 months), so the trial was underpowered for its design</w:t>
            </w:r>
          </w:p>
          <w:p>
            <w:pPr>
              <w:pStyle w:val="ListParagraph"/>
              <w:numPr>
                <w:ilvl w:val="0"/>
                <w:numId w:val="2"/>
              </w:numPr>
              <w:spacing w:after="45"/>
            </w:pPr>
            <w:r>
              <w:rPr>
                <w:sz w:val="15"/>
                <w:szCs w:val="15"/>
              </w:rPr>
              <w:t xml:space="preserve">A 24% dropout rate in the chemoradiotherapy arm before starting treatment, including 10 patients whose treatment was delayed by persistent jaundice after biliary drainage</w:t>
            </w:r>
          </w:p>
          <w:p>
            <w:pPr>
              <w:pStyle w:val="ListParagraph"/>
              <w:numPr>
                <w:ilvl w:val="0"/>
                <w:numId w:val="2"/>
              </w:numPr>
              <w:spacing w:after="45"/>
            </w:pPr>
            <w:r>
              <w:rPr>
                <w:sz w:val="15"/>
                <w:szCs w:val="15"/>
              </w:rPr>
              <w:t xml:space="preserve">Fourteen patients (6%) had pathology other than PDAC, 9 cholangiocarcinoma, with a more favourable prognosis</w:t>
            </w:r>
          </w:p>
          <w:p>
            <w:pPr>
              <w:pStyle w:val="ListParagraph"/>
              <w:numPr>
                <w:ilvl w:val="0"/>
                <w:numId w:val="2"/>
              </w:numPr>
              <w:spacing w:after="45"/>
            </w:pPr>
            <w:r>
              <w:rPr>
                <w:sz w:val="15"/>
                <w:szCs w:val="15"/>
              </w:rPr>
              <w:t xml:space="preserve">The authors state the resectable-versus-borderline difference must be interpreted cautiously because the interaction test was not significant</w:t>
            </w:r>
          </w:p>
          <w:p>
            <w:pPr>
              <w:pStyle w:val="ListParagraph"/>
              <w:numPr>
                <w:ilvl w:val="0"/>
                <w:numId w:val="2"/>
              </w:numPr>
              <w:spacing w:after="45"/>
            </w:pPr>
            <w:r>
              <w:rPr>
                <w:sz w:val="15"/>
                <w:szCs w:val="15"/>
              </w:rPr>
              <w:t xml:space="preserve">Comparison with contemporary adjuvant trials (ESPAC-4, PRODIGE-24) is acknowledged as difficult because adjuvant trials exclude patients who progress or do not recover from surgery</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COMPARATOR: the control arm was upfront surgery followed by six cycles of adjuvant GEMCITABINE MONOTHERAPY. This was Dutch standard of care when the trial was designed but was superseded during the trial by ESPAC-4 (gemcitabine/capecitabine, 2017) and PRODIGE-24 (mFOLFIRINOX, 2018). The control arm therefore did NOT receive modern adjuvant therapy, and the trial cannot support a claim about neoadjuvant therapy versus current standard upfront treatment</w:t>
            </w:r>
          </w:p>
          <w:p>
            <w:pPr>
              <w:pStyle w:val="ListParagraph"/>
              <w:numPr>
                <w:ilvl w:val="0"/>
                <w:numId w:val="2"/>
              </w:numPr>
              <w:spacing w:after="45"/>
            </w:pPr>
            <w:r>
              <w:rPr>
                <w:sz w:val="15"/>
                <w:szCs w:val="15"/>
              </w:rPr>
              <w:t xml:space="preserve">NON-RECEIPT OF ALLOCATED TREATMENT: 28/119 (24%) allocated to chemoradiotherapy never started it (13 metastatic at staging laparoscopy, 4 progressed, 3 crossed to urgent surgery, 3 died, plus protocol violations), and 7 crossed over to surgery without neoadjuvant treatment. In the surgery arm 6/127 (5%) never had surgery and only 65/127 (51%) ever received any chemotherapy. Roughly a quarter of each arm did not receive the strategy it was assigned</w:t>
            </w:r>
          </w:p>
          <w:p>
            <w:pPr>
              <w:pStyle w:val="ListParagraph"/>
              <w:numPr>
                <w:ilvl w:val="0"/>
                <w:numId w:val="2"/>
              </w:numPr>
              <w:spacing w:after="45"/>
            </w:pPr>
            <w:r>
              <w:rPr>
                <w:sz w:val="15"/>
                <w:szCs w:val="15"/>
              </w:rPr>
              <w:t xml:space="preserve">The paper's conclusion and the widely quoted 35.2-vs-19.8-month figure rest on a NEGATIVE primary endpoint plus a subgroup of patients selected by surviving to resection and tolerating adjuvant therapy - a post-randomisation selection that cannot be read as a randomised comparison; a pathway should not cite it as the effect of neoadjuvant therapy</w:t>
            </w:r>
          </w:p>
          <w:p>
            <w:pPr>
              <w:pStyle w:val="ListParagraph"/>
              <w:numPr>
                <w:ilvl w:val="0"/>
                <w:numId w:val="2"/>
              </w:numPr>
              <w:spacing w:after="45"/>
            </w:pPr>
            <w:r>
              <w:rPr>
                <w:sz w:val="15"/>
                <w:szCs w:val="15"/>
              </w:rPr>
              <w:t xml:space="preserve">The experimental arm underwent mandatory staging laparoscopy (114/119) while laparoscopy was discretionary in the surgery arm, so occult metastatic disease was systematically removed from the neoadjuvant arm's resection denominator earlier and more reliably - a selection asymmetry that inflates the R0 and nodal comparisons</w:t>
            </w:r>
          </w:p>
          <w:p>
            <w:pPr>
              <w:pStyle w:val="ListParagraph"/>
              <w:numPr>
                <w:ilvl w:val="0"/>
                <w:numId w:val="2"/>
              </w:numPr>
              <w:spacing w:after="45"/>
            </w:pPr>
            <w:r>
              <w:rPr>
                <w:sz w:val="15"/>
                <w:szCs w:val="15"/>
              </w:rPr>
              <w:t xml:space="preserve">R0 rate is reported per resected patient (71% of 72) rather than per randomised patient, which flatters the arm with the lower resection rate; by ITT the R0 difference is much smaller (41% vs 28%, as reported in the 2022 long-term paper)</w:t>
            </w:r>
          </w:p>
          <w:p>
            <w:pPr>
              <w:pStyle w:val="ListParagraph"/>
              <w:numPr>
                <w:ilvl w:val="0"/>
                <w:numId w:val="2"/>
              </w:numPr>
              <w:spacing w:after="45"/>
            </w:pPr>
            <w:r>
              <w:rPr>
                <w:sz w:val="15"/>
                <w:szCs w:val="15"/>
              </w:rPr>
              <w:t xml:space="preserve">The regimen bundles chemotherapy with radiotherapy, so no inference about the contribution of radiotherapy is possible; the trial also used gemcitabine, not a multi-agent neoadjuvant regimen</w:t>
            </w:r>
          </w:p>
          <w:p>
            <w:pPr>
              <w:pStyle w:val="ListParagraph"/>
              <w:numPr>
                <w:ilvl w:val="0"/>
                <w:numId w:val="2"/>
              </w:numPr>
              <w:spacing w:after="45"/>
            </w:pPr>
            <w:r>
              <w:rPr>
                <w:sz w:val="15"/>
                <w:szCs w:val="15"/>
              </w:rPr>
              <w:t xml:space="preserve">Dutch resectability criteria are narrower than NCCN criteria, so a subset of NCCN borderline resectable patients was never eligible, limiting transportability of the borderline subgroup finding</w:t>
            </w:r>
          </w:p>
          <w:p>
            <w:pPr>
              <w:pStyle w:val="ListParagraph"/>
              <w:numPr>
                <w:ilvl w:val="0"/>
                <w:numId w:val="2"/>
              </w:numPr>
              <w:spacing w:after="45"/>
            </w:pPr>
            <w:r>
              <w:rPr>
                <w:sz w:val="15"/>
                <w:szCs w:val="15"/>
              </w:rPr>
              <w:t xml:space="preserve">Open-label design with no central radiology or pathology review reported for the primary analysis</w:t>
            </w:r>
          </w:p>
          <w:p>
            <w:pPr>
              <w:pStyle w:val="ListParagraph"/>
              <w:numPr>
                <w:ilvl w:val="0"/>
                <w:numId w:val="2"/>
              </w:numPr>
              <w:spacing w:after="45"/>
            </w:pPr>
            <w:r>
              <w:rPr>
                <w:sz w:val="15"/>
                <w:szCs w:val="15"/>
              </w:rPr>
              <w:t xml:space="preserve">Baseline imbalance in WHO performance status (58% PS 0 in the neoadjuvant arm vs 39% in the surgery arm) favours the experimental arm and is not adjusted for in the primary analysis</w:t>
            </w:r>
          </w:p>
        </w:tc>
      </w:tr>
    </w:tbl>
    <w:p>
      <w:pPr>
        <w:spacing w:after="0" w:line="276"/>
      </w:pPr>
      <w:r>
        <w:rPr>
          <w:color w:val="5A6069"/>
          <w:sz w:val="14"/>
          <w:szCs w:val="14"/>
        </w:rPr>
        <w:t xml:space="preserve">Funding: Dutch Cancer Society (KWF, UVA 2012-5696), which funded data management and monitoring and is stated not to have influenced design or analysis. Multiple investigators declare consulting, honoraria or institutional research funding from Servier, Celgene, Roche, Merck, Pfizer, Boston Scientific, Cook Medical and others.</w:t>
      </w:r>
    </w:p>
    <w:p>
      <w:pPr>
        <w:keepNext/>
        <w:spacing w:after="50" w:before="260"/>
      </w:pPr>
      <w:r>
        <w:rPr>
          <w:rFonts w:ascii="Cambria" w:cs="Cambria" w:eastAsia="Cambria" w:hAnsi="Cambria"/>
          <w:b/>
          <w:bCs/>
          <w:color w:val="17365D"/>
          <w:sz w:val="20"/>
          <w:szCs w:val="20"/>
        </w:rPr>
        <w:t xml:space="preserve">PREOPANC long-term</w:t>
      </w:r>
      <w:r>
        <w:rPr>
          <w:b/>
          <w:bCs/>
          <w:color w:val="176A87"/>
          <w:sz w:val="15"/>
          <w:szCs w:val="15"/>
        </w:rPr>
        <w:t xml:space="preserve">   Randomised trial</w:t>
      </w:r>
      <w:r>
        <w:rPr>
          <w:color w:val="5A6069"/>
          <w:sz w:val="15"/>
          <w:szCs w:val="15"/>
        </w:rPr>
        <w:t xml:space="preserve">   PMID 35084987</w:t>
      </w:r>
    </w:p>
    <w:p>
      <w:pPr>
        <w:spacing w:after="50" w:line="276"/>
      </w:pPr>
      <w:r>
        <w:rPr>
          <w:color w:val="5A6069"/>
          <w:sz w:val="17"/>
          <w:szCs w:val="17"/>
        </w:rPr>
        <w:t xml:space="preserve">Neoadjuvant Chemoradiotherapy Versus Upfront Surgery for Resectable and Borderline Resectable Pancreatic Cancer: Long-Term Results of the Dutch Randomized PREOPANC Trial.</w:t>
      </w:r>
    </w:p>
    <w:p>
      <w:pPr>
        <w:spacing w:after="50"/>
      </w:pPr>
      <w:r>
        <w:rPr>
          <w:b/>
          <w:bCs/>
          <w:color w:val="176A87"/>
          <w:sz w:val="16"/>
          <w:szCs w:val="16"/>
        </w:rPr>
        <w:t xml:space="preserve">Population. </w:t>
      </w:r>
      <w:r>
        <w:rPr>
          <w:sz w:val="16"/>
          <w:szCs w:val="16"/>
        </w:rPr>
        <w:t xml:space="preserve">246 patients (119 neoadjuvant chemoradiotherapy, 127 upfront surgery); 210 deaths (85%)</w:t>
      </w:r>
    </w:p>
    <w:p>
      <w:pPr>
        <w:spacing w:after="70"/>
      </w:pPr>
      <w:r>
        <w:rPr>
          <w:b/>
          <w:bCs/>
          <w:color w:val="17365D"/>
          <w:sz w:val="16"/>
          <w:szCs w:val="16"/>
        </w:rPr>
        <w:t xml:space="preserve">Bottom line. </w:t>
      </w:r>
      <w:r>
        <w:rPr>
          <w:sz w:val="16"/>
          <w:szCs w:val="16"/>
        </w:rPr>
        <w:t xml:space="preserve">With 59 months of follow-up PREOPANC shows a real long-term survival advantage for neoadjuvant gemcitabine-based chemoradiotherapy over upfront surgery (5-year OS 20.5% vs 6.5%, HR 0.73), but only against adjuvant gemcitabine monotherapy, with a median difference of 1.4 months, a lower resection rate, and a quarter of the neoadjuvant arm never receiving the allocated treatment.</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main stated limitation is that adjuvant gemcitabine monotherapy, used in both arms, is now considered out of date; ESPAC-4 and PRODIGE-24 were published after the trial closed</w:t>
            </w:r>
          </w:p>
          <w:p>
            <w:pPr>
              <w:pStyle w:val="ListParagraph"/>
              <w:numPr>
                <w:ilvl w:val="0"/>
                <w:numId w:val="2"/>
              </w:numPr>
              <w:spacing w:after="45"/>
            </w:pPr>
            <w:r>
              <w:rPr>
                <w:sz w:val="15"/>
                <w:szCs w:val="15"/>
              </w:rPr>
              <w:t xml:space="preserve">No randomised trial has compared gemcitabine-based chemoradiotherapy with multi-agent neoadjuvant regimens, so the optimal neoadjuvant schedule is unknown</w:t>
            </w:r>
          </w:p>
          <w:p>
            <w:pPr>
              <w:pStyle w:val="ListParagraph"/>
              <w:numPr>
                <w:ilvl w:val="0"/>
                <w:numId w:val="2"/>
              </w:numPr>
              <w:spacing w:after="45"/>
            </w:pPr>
            <w:r>
              <w:rPr>
                <w:sz w:val="15"/>
                <w:szCs w:val="15"/>
              </w:rPr>
              <w:t xml:space="preserve">The resectability criteria differ from NCCN criteria, so some NCCN borderline resectable patients were excluded</w:t>
            </w:r>
          </w:p>
          <w:p>
            <w:pPr>
              <w:pStyle w:val="ListParagraph"/>
              <w:numPr>
                <w:ilvl w:val="0"/>
                <w:numId w:val="2"/>
              </w:numPr>
              <w:spacing w:after="45"/>
            </w:pPr>
            <w:r>
              <w:rPr>
                <w:sz w:val="15"/>
                <w:szCs w:val="15"/>
              </w:rPr>
              <w:t xml:space="preserve">It is unclear how much of the benefit comes from radiotherapy as opposed to the timing of treatment, because radiotherapy was bundled into the neoadjuvant regimen</w:t>
            </w:r>
          </w:p>
          <w:p>
            <w:pPr>
              <w:pStyle w:val="ListParagraph"/>
              <w:numPr>
                <w:ilvl w:val="0"/>
                <w:numId w:val="2"/>
              </w:numPr>
              <w:spacing w:after="45"/>
            </w:pPr>
            <w:r>
              <w:rPr>
                <w:sz w:val="15"/>
                <w:szCs w:val="15"/>
              </w:rPr>
              <w:t xml:space="preserve">No safety data were collected beyond the initial report</w:t>
            </w:r>
          </w:p>
          <w:p>
            <w:pPr>
              <w:pStyle w:val="ListParagraph"/>
              <w:numPr>
                <w:ilvl w:val="0"/>
                <w:numId w:val="2"/>
              </w:numPr>
              <w:spacing w:after="45"/>
            </w:pPr>
            <w:r>
              <w:rPr>
                <w:sz w:val="15"/>
                <w:szCs w:val="15"/>
              </w:rPr>
              <w:t xml:space="preserve">Nine percent of resected patients had a diagnosis other than pancreatic adenocarcinoma, mostly cholangiocarcinoma, reflecting diagnostic difficulty</w:t>
            </w:r>
          </w:p>
          <w:p>
            <w:pPr>
              <w:pStyle w:val="ListParagraph"/>
              <w:numPr>
                <w:ilvl w:val="0"/>
                <w:numId w:val="2"/>
              </w:numPr>
              <w:spacing w:after="45"/>
            </w:pPr>
            <w:r>
              <w:rPr>
                <w:sz w:val="15"/>
                <w:szCs w:val="15"/>
              </w:rPr>
              <w:t xml:space="preserve">Survival was lower than in adjuvant trials because of the different, less selected population randomised at diagnosis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COMPARATOR: upfront surgery plus six cycles of adjuvant GEMCITABINE MONOTHERAPY. The control arm did NOT receive modern adjuvant therapy. Because adjuvant mFOLFIRINOX raised median OS to 54.4 months in PRODIGE-24, a 14% absolute 5-year gain over adjuvant gemcitabine cannot be transposed onto a pathway whose comparator is adjuvant mFOLFIRINOX</w:t>
            </w:r>
          </w:p>
          <w:p>
            <w:pPr>
              <w:pStyle w:val="ListParagraph"/>
              <w:numPr>
                <w:ilvl w:val="0"/>
                <w:numId w:val="2"/>
              </w:numPr>
              <w:spacing w:after="45"/>
            </w:pPr>
            <w:r>
              <w:rPr>
                <w:sz w:val="15"/>
                <w:szCs w:val="15"/>
              </w:rPr>
              <w:t xml:space="preserve">NON-RECEIPT OF ALLOCATED TREATMENT: 28/119 (24%) never started neoadjuvant chemoradiotherapy (13 metastatic at staging laparoscopy, 4 progression, 3 urgent surgery indication, 3 died, 5 no laparoscopy); 7 crossed over to surgery. In the upfront surgery arm 6/127 (5%) never had surgery and 49% never received any chemotherapy at all. The trial therefore compares two intention-to-treat strategies with substantial crossover, not two delivered treatments</w:t>
            </w:r>
          </w:p>
          <w:p>
            <w:pPr>
              <w:pStyle w:val="ListParagraph"/>
              <w:numPr>
                <w:ilvl w:val="0"/>
                <w:numId w:val="2"/>
              </w:numPr>
              <w:spacing w:after="45"/>
            </w:pPr>
            <w:r>
              <w:rPr>
                <w:sz w:val="15"/>
                <w:szCs w:val="15"/>
              </w:rPr>
              <w:t xml:space="preserve">The primary endpoint changed from negative to positive with longer follow-up WITHOUT a prespecified plan for this analysis, and no multiplicity adjustment is reported for re-testing the primary endpoint at a second time point - the nominal P=.025 should be read with that in mind</w:t>
            </w:r>
          </w:p>
          <w:p>
            <w:pPr>
              <w:pStyle w:val="ListParagraph"/>
              <w:numPr>
                <w:ilvl w:val="0"/>
                <w:numId w:val="2"/>
              </w:numPr>
              <w:spacing w:after="45"/>
            </w:pPr>
            <w:r>
              <w:rPr>
                <w:sz w:val="15"/>
                <w:szCs w:val="15"/>
              </w:rPr>
              <w:t xml:space="preserve">The claim that the effect is 'consistent across subgroups' rests on non-significant interaction tests in a trial powered for an overall 6-month median difference; it is underpowered to exclude the possibility that the benefit is confined to borderline resectable disease, where the point estimate (0.67) is in fact the only significant subgroup</w:t>
            </w:r>
          </w:p>
          <w:p>
            <w:pPr>
              <w:pStyle w:val="ListParagraph"/>
              <w:numPr>
                <w:ilvl w:val="0"/>
                <w:numId w:val="2"/>
              </w:numPr>
              <w:spacing w:after="45"/>
            </w:pPr>
            <w:r>
              <w:rPr>
                <w:sz w:val="15"/>
                <w:szCs w:val="15"/>
              </w:rPr>
              <w:t xml:space="preserve">A 1.4-month median difference with a 14% 5-year difference means the hazards are far from constant early on, yet the headline HR assumes proportionality over the whole interval; the authors acknowledge the curves cross-over shape but still quote a single HR</w:t>
            </w:r>
          </w:p>
          <w:p>
            <w:pPr>
              <w:pStyle w:val="ListParagraph"/>
              <w:numPr>
                <w:ilvl w:val="0"/>
                <w:numId w:val="2"/>
              </w:numPr>
              <w:spacing w:after="45"/>
            </w:pPr>
            <w:r>
              <w:rPr>
                <w:sz w:val="15"/>
                <w:szCs w:val="15"/>
              </w:rPr>
              <w:t xml:space="preserve">The neoadjuvant arm's advantage in total chemotherapy exposure is partly a design artefact: the comparator was allowed only post-operative chemotherapy, which half the arm could never receive. Any strategy that front-loads chemotherapy will win on exposure, which is not evidence that radiotherapy or chemoradiotherapy specifically helps</w:t>
            </w:r>
          </w:p>
          <w:p>
            <w:pPr>
              <w:pStyle w:val="ListParagraph"/>
              <w:numPr>
                <w:ilvl w:val="0"/>
                <w:numId w:val="2"/>
              </w:numPr>
              <w:spacing w:after="45"/>
            </w:pPr>
            <w:r>
              <w:rPr>
                <w:sz w:val="15"/>
                <w:szCs w:val="15"/>
              </w:rPr>
              <w:t xml:space="preserve">Mandatory staging laparoscopy in the neoadjuvant arm only (114/119) removed occult metastatic patients from that arm's surgical denominator; the upfront arm discovered the same disease at laparotomy (29/127 explored without resection) and those patients remain in the denominator</w:t>
            </w:r>
          </w:p>
          <w:p>
            <w:pPr>
              <w:pStyle w:val="ListParagraph"/>
              <w:numPr>
                <w:ilvl w:val="0"/>
                <w:numId w:val="2"/>
              </w:numPr>
              <w:spacing w:after="45"/>
            </w:pPr>
            <w:r>
              <w:rPr>
                <w:sz w:val="15"/>
                <w:szCs w:val="15"/>
              </w:rPr>
              <w:t xml:space="preserve">Baseline performance status was imbalanced in favour of the neoadjuvant arm (58% vs 39% WHO 0) and the primary model stratifies only by resectability</w:t>
            </w:r>
          </w:p>
          <w:p>
            <w:pPr>
              <w:pStyle w:val="ListParagraph"/>
              <w:numPr>
                <w:ilvl w:val="0"/>
                <w:numId w:val="2"/>
              </w:numPr>
              <w:spacing w:after="45"/>
            </w:pPr>
            <w:r>
              <w:rPr>
                <w:sz w:val="15"/>
                <w:szCs w:val="15"/>
              </w:rPr>
              <w:t xml:space="preserve">Roughly half the patients in each arm received NO treatment at recurrence, so the survival curves also reflect limited salvage therapy and may not generalise to settings with higher second-line uptake</w:t>
            </w:r>
          </w:p>
        </w:tc>
      </w:tr>
    </w:tbl>
    <w:p>
      <w:pPr>
        <w:spacing w:after="0" w:line="276"/>
      </w:pPr>
      <w:r>
        <w:rPr>
          <w:color w:val="5A6069"/>
          <w:sz w:val="14"/>
          <w:szCs w:val="14"/>
        </w:rPr>
        <w:t xml:space="preserve">Funding: Dutch Cancer Foundation (KWF, UVA 2012-5696), funding data management and monitoring only; stated not to have influenced design or analysis. Several authors report consulting or institutional research funding from Servier, Celgene, Merck, AstraZeneca, Intuitive Surgical, Medtronic, Roche and others.</w:t>
      </w:r>
    </w:p>
    <w:p>
      <w:pPr>
        <w:keepNext/>
        <w:spacing w:after="50" w:before="260"/>
      </w:pPr>
      <w:r>
        <w:rPr>
          <w:rFonts w:ascii="Cambria" w:cs="Cambria" w:eastAsia="Cambria" w:hAnsi="Cambria"/>
          <w:b/>
          <w:bCs/>
          <w:color w:val="17365D"/>
          <w:sz w:val="20"/>
          <w:szCs w:val="20"/>
        </w:rPr>
        <w:t xml:space="preserve">PREOPANC-2</w:t>
      </w:r>
      <w:r>
        <w:rPr>
          <w:b/>
          <w:bCs/>
          <w:color w:val="176A87"/>
          <w:sz w:val="15"/>
          <w:szCs w:val="15"/>
        </w:rPr>
        <w:t xml:space="preserve">   Randomised trial</w:t>
      </w:r>
      <w:r>
        <w:rPr>
          <w:color w:val="5A6069"/>
          <w:sz w:val="15"/>
          <w:szCs w:val="15"/>
        </w:rPr>
        <w:t xml:space="preserve">   PMID 40945523</w:t>
      </w:r>
    </w:p>
    <w:p>
      <w:pPr>
        <w:spacing w:after="50" w:line="276"/>
      </w:pPr>
      <w:r>
        <w:rPr>
          <w:color w:val="5A6069"/>
          <w:sz w:val="17"/>
          <w:szCs w:val="17"/>
        </w:rPr>
        <w:t xml:space="preserve">Neoadjuvant FOLFIRINOX versus neoadjuvant gemcitabine-based chemoradiotherapy in resectable and borderline resectable pancreatic cancer (PREOPANC-2): a multicentre, open-label, phase 3 randomised trial.</w:t>
      </w:r>
    </w:p>
    <w:p>
      <w:pPr>
        <w:spacing w:after="50"/>
      </w:pPr>
      <w:r>
        <w:rPr>
          <w:b/>
          <w:bCs/>
          <w:color w:val="176A87"/>
          <w:sz w:val="16"/>
          <w:szCs w:val="16"/>
        </w:rPr>
        <w:t xml:space="preserve">Population. </w:t>
      </w:r>
      <w:r>
        <w:rPr>
          <w:sz w:val="16"/>
          <w:szCs w:val="16"/>
        </w:rPr>
        <w:t xml:space="preserve">369 patients in the modified ITT population (185 FOLFIRINOX, 184 chemoradiotherapy) of 375 randomised; 280 resections, 263 with PDAC confirmed</w:t>
      </w:r>
    </w:p>
    <w:p>
      <w:pPr>
        <w:spacing w:after="70"/>
      </w:pPr>
      <w:r>
        <w:rPr>
          <w:b/>
          <w:bCs/>
          <w:color w:val="17365D"/>
          <w:sz w:val="16"/>
          <w:szCs w:val="16"/>
        </w:rPr>
        <w:t xml:space="preserve">Bottom line. </w:t>
      </w:r>
      <w:r>
        <w:rPr>
          <w:sz w:val="16"/>
          <w:szCs w:val="16"/>
        </w:rPr>
        <w:t xml:space="preserve">PREOPANC-2 shows that neoadjuvant full-dose FOLFIRINOX does not improve overall survival over neoadjuvant gemcitabine-based chemoradiotherapy (21.9 vs 21.3 months, HR 0.88, p=0.32), making gemcitabine chemoradiotherapy a defensible option when FOLFIRINOX is unsuitable; it says nothing about either regimen versus upfront surgery with modern adjuvant chemotherapy, and its wide confidence interval does not establish equivalence.</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cohort was heterogeneous, mixing resectable (65%) and borderline resectable (35%) disease, although Dutch criteria restricted borderline disease to limited vascular contact compared with NCCN definitions</w:t>
            </w:r>
          </w:p>
          <w:p>
            <w:pPr>
              <w:pStyle w:val="ListParagraph"/>
              <w:numPr>
                <w:ilvl w:val="0"/>
                <w:numId w:val="2"/>
              </w:numPr>
              <w:spacing w:after="45"/>
            </w:pPr>
            <w:r>
              <w:rPr>
                <w:sz w:val="15"/>
                <w:szCs w:val="15"/>
              </w:rPr>
              <w:t xml:space="preserve">No centralised review of radiology or pathology was performed, mitigated by nationally standardised radiology reporting and expert multidisciplinary review</w:t>
            </w:r>
          </w:p>
          <w:p>
            <w:pPr>
              <w:pStyle w:val="ListParagraph"/>
              <w:numPr>
                <w:ilvl w:val="0"/>
                <w:numId w:val="2"/>
              </w:numPr>
              <w:spacing w:after="45"/>
            </w:pPr>
            <w:r>
              <w:rPr>
                <w:sz w:val="15"/>
                <w:szCs w:val="15"/>
              </w:rPr>
              <w:t xml:space="preserve">Full-dose rather than modified FOLFIRINOX was scheduled, which may have increased toxicity relative to other recent trials</w:t>
            </w:r>
          </w:p>
          <w:p>
            <w:pPr>
              <w:pStyle w:val="ListParagraph"/>
              <w:numPr>
                <w:ilvl w:val="0"/>
                <w:numId w:val="2"/>
              </w:numPr>
              <w:spacing w:after="45"/>
            </w:pPr>
            <w:r>
              <w:rPr>
                <w:sz w:val="15"/>
                <w:szCs w:val="15"/>
              </w:rPr>
              <w:t xml:space="preserve">Data on subsequent anti-cancer treatment after recurrence were not collected</w:t>
            </w:r>
          </w:p>
          <w:p>
            <w:pPr>
              <w:pStyle w:val="ListParagraph"/>
              <w:numPr>
                <w:ilvl w:val="0"/>
                <w:numId w:val="2"/>
              </w:numPr>
              <w:spacing w:after="45"/>
            </w:pPr>
            <w:r>
              <w:rPr>
                <w:sz w:val="15"/>
                <w:szCs w:val="15"/>
              </w:rPr>
              <w:t xml:space="preserve">Quality of life, cost-effectiveness, biomarkers, recurrence patterns and surgical complications are reported separately, so this paper does not present the full secondary endpoint set</w:t>
            </w:r>
          </w:p>
          <w:p>
            <w:pPr>
              <w:pStyle w:val="ListParagraph"/>
              <w:numPr>
                <w:ilvl w:val="0"/>
                <w:numId w:val="2"/>
              </w:numPr>
              <w:spacing w:after="45"/>
            </w:pPr>
            <w:r>
              <w:rPr>
                <w:sz w:val="15"/>
                <w:szCs w:val="15"/>
              </w:rPr>
              <w:t xml:space="preserve">Only grade 3-5 adverse events were collected</w:t>
            </w:r>
          </w:p>
          <w:p>
            <w:pPr>
              <w:pStyle w:val="ListParagraph"/>
              <w:numPr>
                <w:ilvl w:val="0"/>
                <w:numId w:val="2"/>
              </w:numPr>
              <w:spacing w:after="45"/>
            </w:pPr>
            <w:r>
              <w:rPr>
                <w:sz w:val="15"/>
                <w:szCs w:val="15"/>
              </w:rPr>
              <w:t xml:space="preserve">The authors note the available evidence does not exclude a long-term survival benefit of neoadjuvant FOLFIRINOX</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COMPARATOR: this trial does NOT contain an upfront-surgery arm. Its comparator is the PREOPANC experimental regimen (neoadjuvant gemcitabine chemoradiotherapy plus adjuvant gemcitabine). The trial therefore cannot be cited for or against neoadjuvant therapy versus upfront surgery - only for the choice between two neoadjuvant regimens</w:t>
            </w:r>
          </w:p>
          <w:p>
            <w:pPr>
              <w:pStyle w:val="ListParagraph"/>
              <w:numPr>
                <w:ilvl w:val="0"/>
                <w:numId w:val="2"/>
              </w:numPr>
              <w:spacing w:after="45"/>
            </w:pPr>
            <w:r>
              <w:rPr>
                <w:sz w:val="15"/>
                <w:szCs w:val="15"/>
              </w:rPr>
              <w:t xml:space="preserve">NEITHER ARM RECEIVED MODERN ADJUVANT THERAPY. The FOLFIRINOX arm was scheduled for NO adjuvant treatment at all, and the comparator arm received adjuvant gemcitabine monotherapy, delivered in full to only 40% of randomised patients. A pathway that gives neoadjuvant chemotherapy and then adjuvant mFOLFIRINOX is not the strategy tested here, and the two arms are not matched on total intended systemic therapy (22 weeks vs 40 weeks of scheduled treatment)</w:t>
            </w:r>
          </w:p>
          <w:p>
            <w:pPr>
              <w:pStyle w:val="ListParagraph"/>
              <w:numPr>
                <w:ilvl w:val="0"/>
                <w:numId w:val="2"/>
              </w:numPr>
              <w:spacing w:after="45"/>
            </w:pPr>
            <w:r>
              <w:rPr>
                <w:sz w:val="15"/>
                <w:szCs w:val="15"/>
              </w:rPr>
              <w:t xml:space="preserve">NON-RECEIPT OF ALLOCATED TREATMENT: 10/185 (5%) in the FOLFIRINOX arm and 8/184 (4%) in the chemoradiotherapy arm never started allocated neoadjuvant therapy (early progression in 11 of these 18); 5 patients had surgery with no neoadjuvant study treatment; 2 chemoradiotherapy patients switched to FOLFIRINOX on local progression. Non-receipt was low and well balanced, which is a genuine strength relative to NORPACT-1</w:t>
            </w:r>
          </w:p>
          <w:p>
            <w:pPr>
              <w:pStyle w:val="ListParagraph"/>
              <w:numPr>
                <w:ilvl w:val="0"/>
                <w:numId w:val="2"/>
              </w:numPr>
              <w:spacing w:after="45"/>
            </w:pPr>
            <w:r>
              <w:rPr>
                <w:sz w:val="15"/>
                <w:szCs w:val="15"/>
              </w:rPr>
              <w:t xml:space="preserve">The analysis is MODIFIED intention-to-treat: 6 patients (3 per arm) were excluded after randomisation for retrospective ineligibility or immediate consent withdrawal. The exclusions are small and balanced, but this is not a pure ITT analysis</w:t>
            </w:r>
          </w:p>
          <w:p>
            <w:pPr>
              <w:pStyle w:val="ListParagraph"/>
              <w:numPr>
                <w:ilvl w:val="0"/>
                <w:numId w:val="2"/>
              </w:numPr>
              <w:spacing w:after="45"/>
            </w:pPr>
            <w:r>
              <w:rPr>
                <w:sz w:val="15"/>
                <w:szCs w:val="15"/>
              </w:rPr>
              <w:t xml:space="preserve">The design is a superiority trial that failed, not an equivalence or non-inferiority trial. The 95% CI for the HR extends to 1.13, so a 12% relative benefit for FOLFIRINOX is not excluded; the conclusion that 'both regimens may be considered' is a reasonable clinical reading but is NOT a demonstration of equivalence, and a pathway should not cite PREOPANC-2 as proof that the regimens are equal</w:t>
            </w:r>
          </w:p>
          <w:p>
            <w:pPr>
              <w:pStyle w:val="ListParagraph"/>
              <w:numPr>
                <w:ilvl w:val="0"/>
                <w:numId w:val="2"/>
              </w:numPr>
              <w:spacing w:after="45"/>
            </w:pPr>
            <w:r>
              <w:rPr>
                <w:sz w:val="15"/>
                <w:szCs w:val="15"/>
              </w:rPr>
              <w:t xml:space="preserve">Dose intensity in the FOLFIRINOX arm was substantially compromised (82% needed reductions, only 62% completed eight cycles, median relative dose intensity 0.81), so the trial tests a delivered regimen weaker than the protocol intended - a null result is partly a delivery result</w:t>
            </w:r>
          </w:p>
          <w:p>
            <w:pPr>
              <w:pStyle w:val="ListParagraph"/>
              <w:numPr>
                <w:ilvl w:val="0"/>
                <w:numId w:val="2"/>
              </w:numPr>
              <w:spacing w:after="45"/>
            </w:pPr>
            <w:r>
              <w:rPr>
                <w:sz w:val="15"/>
                <w:szCs w:val="15"/>
              </w:rPr>
              <w:t xml:space="preserve">The ypN0 and occult-metastasis differences run in opposite directions (nodal status favours chemoradiotherapy, avoidance of futile laparotomy favours FOLFIRINOX) and neither affected survival, reinforcing that nodal and margin status are poor surrogates in the neoadjuvant setting</w:t>
            </w:r>
          </w:p>
          <w:p>
            <w:pPr>
              <w:pStyle w:val="ListParagraph"/>
              <w:numPr>
                <w:ilvl w:val="0"/>
                <w:numId w:val="2"/>
              </w:numPr>
              <w:spacing w:after="45"/>
            </w:pPr>
            <w:r>
              <w:rPr>
                <w:sz w:val="15"/>
                <w:szCs w:val="15"/>
              </w:rPr>
              <w:t xml:space="preserve">Adjuvant gemcitabine in the comparator arm was given at the investigators' ability to deliver it rather than by protocol mandate, so the comparator arm is a mixture of strategies</w:t>
            </w:r>
          </w:p>
          <w:p>
            <w:pPr>
              <w:pStyle w:val="ListParagraph"/>
              <w:numPr>
                <w:ilvl w:val="0"/>
                <w:numId w:val="2"/>
              </w:numPr>
              <w:spacing w:after="45"/>
            </w:pPr>
            <w:r>
              <w:rPr>
                <w:sz w:val="15"/>
                <w:szCs w:val="15"/>
              </w:rPr>
              <w:t xml:space="preserve">No multiplicity adjustment was performed across the large secondary endpoint set, so the single significant nodal finding should be treated as exploratory</w:t>
            </w:r>
          </w:p>
        </w:tc>
      </w:tr>
    </w:tbl>
    <w:p>
      <w:pPr>
        <w:spacing w:after="0" w:line="276"/>
      </w:pPr>
      <w:r>
        <w:rPr>
          <w:color w:val="5A6069"/>
          <w:sz w:val="14"/>
          <w:szCs w:val="14"/>
        </w:rPr>
        <w:t xml:space="preserve">Funding: Dutch Cancer Society and ZonMw (institutional, investigator-initiated); funders stated to have had no role in design, data collection, analysis, interpretation or writing. Several authors report institutional research funding or consulting from Servier, MSD, AstraZeneca, Medtronic, Intuitive Surgical, Roche, Oncosil, Galvani Bioelectronics, Nordic and others.</w:t>
      </w:r>
    </w:p>
    <w:p>
      <w:pPr>
        <w:keepNext/>
        <w:spacing w:after="50" w:before="260"/>
      </w:pPr>
      <w:r>
        <w:rPr>
          <w:rFonts w:ascii="Cambria" w:cs="Cambria" w:eastAsia="Cambria" w:hAnsi="Cambria"/>
          <w:b/>
          <w:bCs/>
          <w:color w:val="17365D"/>
          <w:sz w:val="20"/>
          <w:szCs w:val="20"/>
        </w:rPr>
        <w:t xml:space="preserve">Preoperative drainage RCT</w:t>
      </w:r>
      <w:r>
        <w:rPr>
          <w:b/>
          <w:bCs/>
          <w:color w:val="176A87"/>
          <w:sz w:val="15"/>
          <w:szCs w:val="15"/>
        </w:rPr>
        <w:t xml:space="preserve">   Randomised trial</w:t>
      </w:r>
      <w:r>
        <w:rPr>
          <w:color w:val="5A6069"/>
          <w:sz w:val="15"/>
          <w:szCs w:val="15"/>
        </w:rPr>
        <w:t xml:space="preserve">   PMID 20071702</w:t>
      </w:r>
    </w:p>
    <w:p>
      <w:pPr>
        <w:spacing w:after="50" w:line="276"/>
      </w:pPr>
      <w:r>
        <w:rPr>
          <w:color w:val="5A6069"/>
          <w:sz w:val="17"/>
          <w:szCs w:val="17"/>
        </w:rPr>
        <w:t xml:space="preserve">Preoperative Biliary Drainage for Cancer of the Head of the Pancreas.</w:t>
      </w:r>
    </w:p>
    <w:p>
      <w:pPr>
        <w:spacing w:after="50"/>
      </w:pPr>
      <w:r>
        <w:rPr>
          <w:b/>
          <w:bCs/>
          <w:color w:val="176A87"/>
          <w:sz w:val="16"/>
          <w:szCs w:val="16"/>
        </w:rPr>
        <w:t xml:space="preserve">Population. </w:t>
      </w:r>
      <w:r>
        <w:rPr>
          <w:sz w:val="16"/>
          <w:szCs w:val="16"/>
        </w:rPr>
        <w:t xml:space="preserve">202 randomised, 196 analysed (94 early surgery, 102 biliary drainage); 120 resections</w:t>
      </w:r>
    </w:p>
    <w:p>
      <w:pPr>
        <w:spacing w:after="70"/>
      </w:pPr>
      <w:r>
        <w:rPr>
          <w:b/>
          <w:bCs/>
          <w:color w:val="17365D"/>
          <w:sz w:val="16"/>
          <w:szCs w:val="16"/>
        </w:rPr>
        <w:t xml:space="preserve">Bottom line. </w:t>
      </w:r>
      <w:r>
        <w:rPr>
          <w:sz w:val="16"/>
          <w:szCs w:val="16"/>
        </w:rPr>
        <w:t xml:space="preserve">The DROP trial showed that routinely draining the bile duct with a plastic stent for 4-6 weeks before pancreatoduodenectomy nearly doubles serious complications (74% vs 39%, RR 0.54) without reducing surgical complications or mortality, so surgery within a week is preferable when it can be delivered - but it used plastic stents only, capped bilirubin at 250 micromol/L and excluded neoadjuvant chemotherapy, so it does not settle how to manage jaundice during months of preoperative treatment.</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authors note the optimal duration of biliary drainage before surgery has not been established, with experimental and clinical data suggesting at least 4-6 weeks is needed</w:t>
            </w:r>
          </w:p>
          <w:p>
            <w:pPr>
              <w:pStyle w:val="ListParagraph"/>
              <w:numPr>
                <w:ilvl w:val="0"/>
                <w:numId w:val="2"/>
              </w:numPr>
              <w:spacing w:after="45"/>
            </w:pPr>
            <w:r>
              <w:rPr>
                <w:sz w:val="15"/>
                <w:szCs w:val="15"/>
              </w:rPr>
              <w:t xml:space="preserve">Earlier randomised studies used percutaneous rather than endoscopic drainage, which the authors invoke to explain why their hospital stay result differs from previous trials</w:t>
            </w:r>
          </w:p>
          <w:p>
            <w:pPr>
              <w:pStyle w:val="ListParagraph"/>
              <w:numPr>
                <w:ilvl w:val="0"/>
                <w:numId w:val="2"/>
              </w:numPr>
              <w:spacing w:after="45"/>
            </w:pPr>
            <w:r>
              <w:rPr>
                <w:sz w:val="15"/>
                <w:szCs w:val="15"/>
              </w:rPr>
              <w:t xml:space="preserve">Older trials mixed proximal and distal bile-duct obstruction, now regarded as different diseases needing different treatment</w:t>
            </w:r>
          </w:p>
          <w:p>
            <w:pPr>
              <w:pStyle w:val="ListParagraph"/>
              <w:numPr>
                <w:ilvl w:val="0"/>
                <w:numId w:val="2"/>
              </w:numPr>
              <w:spacing w:after="45"/>
            </w:pPr>
            <w:r>
              <w:rPr>
                <w:sz w:val="15"/>
                <w:szCs w:val="15"/>
              </w:rPr>
              <w:t xml:space="preserve">The authors explicitly flag that with the advent of neoadjuvant chemotherapy the question becomes clinically relevant again, and that given their poor results with PLASTIC stents, drainage during neoadjuvant treatment might be better achieved with METAL stents, which have higher patency and do not affect surgical outcome</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COMPARATOR: surgery within one week of diagnosis, which required dedicated operating-room capacity guaranteed by all 13 hospitals specifically for the trial. This is the key external-validity problem: the control strategy is only available where a jaundiced patient can be operated on within seven days. A pathway that cannot deliver that has not got the comparator the trial tested, and delay without drainage is not what was studied</w:t>
            </w:r>
          </w:p>
          <w:p>
            <w:pPr>
              <w:pStyle w:val="ListParagraph"/>
              <w:numPr>
                <w:ilvl w:val="0"/>
                <w:numId w:val="2"/>
              </w:numPr>
              <w:spacing w:after="45"/>
            </w:pPr>
            <w:r>
              <w:rPr>
                <w:sz w:val="15"/>
                <w:szCs w:val="15"/>
              </w:rPr>
              <w:t xml:space="preserve">PLASTIC STENTS ONLY - AND THE AUTHORS SAY THIS IS THE PROBLEM. The 26% cholangitis and 30% stent-exchange rates are largely properties of plastic endoprostheses over 4-6 weeks. Self-expanding metal stents, which every neoadjuvant protocol in this depot (PREOPANC, PREOPANC-2, NORPACT-1, ESPAC5) specifies or prefers, were not tested. Citing this trial against biliary drainage before neoadjuvant chemotherapy is citing it outside its evidence</w:t>
            </w:r>
          </w:p>
          <w:p>
            <w:pPr>
              <w:pStyle w:val="ListParagraph"/>
              <w:numPr>
                <w:ilvl w:val="0"/>
                <w:numId w:val="2"/>
              </w:numPr>
              <w:spacing w:after="45"/>
            </w:pPr>
            <w:r>
              <w:rPr>
                <w:sz w:val="15"/>
                <w:szCs w:val="15"/>
              </w:rPr>
              <w:t xml:space="preserve">NEOADJUVANT CHEMOTHERAPY WAS AN EXCLUSION CRITERION, so the trial has nothing to say about the situation in which drainage is now most often needed - bridging a jaundiced patient through months of chemotherapy. NORPACT-1 stented 57% of its neoadjuvant arm and had 2 patients derailed by persistent jaundice; PREOPANC had 10 patients whose treatment was delayed by it. That is the modern question and this trial predates it</w:t>
            </w:r>
          </w:p>
          <w:p>
            <w:pPr>
              <w:pStyle w:val="ListParagraph"/>
              <w:numPr>
                <w:ilvl w:val="0"/>
                <w:numId w:val="2"/>
              </w:numPr>
              <w:spacing w:after="45"/>
            </w:pPr>
            <w:r>
              <w:rPr>
                <w:sz w:val="15"/>
                <w:szCs w:val="15"/>
              </w:rPr>
              <w:t xml:space="preserve">NON-RECEIPT AND CROSSOVER: 6/202 were excluded after randomisation (2 withdrew consent, 4 had out-of-range bilirubin). Two early-surgery patients had their operation cancelled and 7 drainage patients never reached surgery. Two early-surgery patients nonetheless had drainage-related complications, implying some crossover to stenting before operation</w:t>
            </w:r>
          </w:p>
          <w:p>
            <w:pPr>
              <w:pStyle w:val="ListParagraph"/>
              <w:numPr>
                <w:ilvl w:val="0"/>
                <w:numId w:val="2"/>
              </w:numPr>
              <w:spacing w:after="45"/>
            </w:pPr>
            <w:r>
              <w:rPr>
                <w:sz w:val="15"/>
                <w:szCs w:val="15"/>
              </w:rPr>
              <w:t xml:space="preserve">THE PRIMARY OUTCOME COUNTS DRAINAGE COMPLICATIONS AND SURGICAL COMPLICATIONS IN ONE TOTAL, WHICH GUARANTEES THE RESULT. A strategy with an extra procedure will have extra procedural complications; the informative question is whether drainage made the OPERATION safer, and on that the trial is null (RR 0.79, CI 0.57-1.11). The 39%-versus-74% headline is therefore partly definitional, and the trial is underpowered for the surgical-complication comparison it was designed around</w:t>
            </w:r>
          </w:p>
          <w:p>
            <w:pPr>
              <w:pStyle w:val="ListParagraph"/>
              <w:numPr>
                <w:ilvl w:val="0"/>
                <w:numId w:val="2"/>
              </w:numPr>
              <w:spacing w:after="45"/>
            </w:pPr>
            <w:r>
              <w:rPr>
                <w:sz w:val="15"/>
                <w:szCs w:val="15"/>
              </w:rPr>
              <w:t xml:space="preserve">DESIGNED FOR NON-INFERIORITY WITH A 10-PERCENTAGE-POINT MARGIN AND 94 PATIENTS PER ARM, assuming complication rates of 38% and 48%. The observed 74% in the drainage arm far exceeded the assumption, so the trial is well powered for its headline but not for mortality (CI 0.42-1.72), resection rate (P=0.11) or surgical complications</w:t>
            </w:r>
          </w:p>
          <w:p>
            <w:pPr>
              <w:pStyle w:val="ListParagraph"/>
              <w:numPr>
                <w:ilvl w:val="0"/>
                <w:numId w:val="2"/>
              </w:numPr>
              <w:spacing w:after="45"/>
            </w:pPr>
            <w:r>
              <w:rPr>
                <w:sz w:val="15"/>
                <w:szCs w:val="15"/>
              </w:rPr>
              <w:t xml:space="preserve">BILIRUBIN WAS CAPPED AT 250 micromol/L, excluding the most deeply jaundiced patients - exactly those in whom drainage is most often considered unavoidable. PREOPANC used 250 micromol/L as the threshold ABOVE which it recommended drainage, so the two trials address non-overlapping populations</w:t>
            </w:r>
          </w:p>
          <w:p>
            <w:pPr>
              <w:pStyle w:val="ListParagraph"/>
              <w:numPr>
                <w:ilvl w:val="0"/>
                <w:numId w:val="2"/>
              </w:numPr>
              <w:spacing w:after="45"/>
            </w:pPr>
            <w:r>
              <w:rPr>
                <w:sz w:val="15"/>
                <w:szCs w:val="15"/>
              </w:rPr>
              <w:t xml:space="preserve">FIFTEEN OF 196 PATIENTS (8%) DID NOT HAVE ADENOCARCINOMA, including 5 with chronic pancreatitis and 3 with stones, and they remain in the analysis - a reminder that the preoperative diagnosis is wrong in roughly one in twelve jaundiced patients taken to pancreatoduodenectomy</w:t>
            </w:r>
          </w:p>
          <w:p>
            <w:pPr>
              <w:pStyle w:val="ListParagraph"/>
              <w:numPr>
                <w:ilvl w:val="0"/>
                <w:numId w:val="2"/>
              </w:numPr>
              <w:spacing w:after="45"/>
            </w:pPr>
            <w:r>
              <w:rPr>
                <w:sz w:val="15"/>
                <w:szCs w:val="15"/>
              </w:rPr>
              <w:t xml:space="preserve">THE 7% OVERALL MORTALITY IS HIGH for centres performing at least 10 resections a year and is presented as acceptable because it did not differ between arms; the authors use it to argue for centralisation, but it also means the trial's complication rates come from an era and a volume standard below modern expectations</w:t>
            </w:r>
          </w:p>
          <w:p>
            <w:pPr>
              <w:pStyle w:val="ListParagraph"/>
              <w:numPr>
                <w:ilvl w:val="0"/>
                <w:numId w:val="2"/>
              </w:numPr>
              <w:spacing w:after="45"/>
            </w:pPr>
            <w:r>
              <w:rPr>
                <w:sz w:val="15"/>
                <w:szCs w:val="15"/>
              </w:rPr>
              <w:t xml:space="preserve">Complications were adjudicated blind, which is a real strength, but the treating teams and patients were unblinded and readmission decisions - the outcome with the largest relative difference - are clinician-dependent</w:t>
            </w:r>
          </w:p>
        </w:tc>
      </w:tr>
    </w:tbl>
    <w:p>
      <w:pPr>
        <w:spacing w:after="0" w:line="276"/>
      </w:pPr>
      <w:r>
        <w:rPr>
          <w:color w:val="5A6069"/>
          <w:sz w:val="14"/>
          <w:szCs w:val="14"/>
        </w:rPr>
        <w:t xml:space="preserve">Funding: Netherlands Organization for Health Research and Development, which had no access to outcome data during the trial and did not participate in analysis or manuscript preparation. No endoscopic equipment or stents were donated by manufacturers. Two authors report lecture fees from Boston Scientific and consulting or lecture fees from GI Dynamics, Covidien and Johnson &amp; Johnson.</w:t>
      </w:r>
    </w:p>
    <w:p>
      <w:pPr>
        <w:keepNext/>
        <w:spacing w:after="50" w:before="260"/>
      </w:pPr>
      <w:r>
        <w:rPr>
          <w:rFonts w:ascii="Cambria" w:cs="Cambria" w:eastAsia="Cambria" w:hAnsi="Cambria"/>
          <w:b/>
          <w:bCs/>
          <w:color w:val="17365D"/>
          <w:sz w:val="20"/>
          <w:szCs w:val="20"/>
        </w:rPr>
        <w:t xml:space="preserve">PRODIGE 24</w:t>
      </w:r>
      <w:r>
        <w:rPr>
          <w:b/>
          <w:bCs/>
          <w:color w:val="176A87"/>
          <w:sz w:val="15"/>
          <w:szCs w:val="15"/>
        </w:rPr>
        <w:t xml:space="preserve">   Randomised trial</w:t>
      </w:r>
      <w:r>
        <w:rPr>
          <w:color w:val="5A6069"/>
          <w:sz w:val="15"/>
          <w:szCs w:val="15"/>
        </w:rPr>
        <w:t xml:space="preserve">   PMID 30575490</w:t>
      </w:r>
    </w:p>
    <w:p>
      <w:pPr>
        <w:spacing w:after="50" w:line="276"/>
      </w:pPr>
      <w:r>
        <w:rPr>
          <w:color w:val="5A6069"/>
          <w:sz w:val="17"/>
          <w:szCs w:val="17"/>
        </w:rPr>
        <w:t xml:space="preserve">FOLFIRINOX or Gemcitabine as Adjuvant Therapy for Pancreatic Cancer.</w:t>
      </w:r>
    </w:p>
    <w:p>
      <w:pPr>
        <w:spacing w:after="50"/>
      </w:pPr>
      <w:r>
        <w:rPr>
          <w:b/>
          <w:bCs/>
          <w:color w:val="176A87"/>
          <w:sz w:val="16"/>
          <w:szCs w:val="16"/>
        </w:rPr>
        <w:t xml:space="preserve">Population. </w:t>
      </w:r>
      <w:r>
        <w:rPr>
          <w:sz w:val="16"/>
          <w:szCs w:val="16"/>
        </w:rPr>
        <w:t xml:space="preserve">493 patients (247 modified FOLFIRINOX, 246 gemcitabine); 314 disease-free survival events (91.8% of target) and 192 deaths at this analysis</w:t>
      </w:r>
    </w:p>
    <w:p>
      <w:pPr>
        <w:spacing w:after="70"/>
      </w:pPr>
      <w:r>
        <w:rPr>
          <w:b/>
          <w:bCs/>
          <w:color w:val="17365D"/>
          <w:sz w:val="16"/>
          <w:szCs w:val="16"/>
        </w:rPr>
        <w:t xml:space="preserve">Bottom line. </w:t>
      </w:r>
      <w:r>
        <w:rPr>
          <w:sz w:val="16"/>
          <w:szCs w:val="16"/>
        </w:rPr>
        <w:t xml:space="preserve">PRODIGE-24 established adjuvant modified FOLFIRINOX as the standard for fit patients after resection, nearly doubling median disease-free survival (21.6 vs 12.8 months) and adding 19.4 months of median overall survival over gemcitabine at the cost of 76% grade 3-4 toxicity - but in a population selected for age under 80, no cardiac disease, full surgical recovery and postoperative CA19-9 below 180 U/mL, against an already-outdated comparator, with heavy FOLFIRINOX crossover in the control arm and early stopping for benefit.</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data were acknowledged as immature at this analysis, with 61% of all patients still alive</w:t>
            </w:r>
          </w:p>
          <w:p>
            <w:pPr>
              <w:pStyle w:val="ListParagraph"/>
              <w:numPr>
                <w:ilvl w:val="0"/>
                <w:numId w:val="2"/>
              </w:numPr>
              <w:spacing w:after="45"/>
            </w:pPr>
            <w:r>
              <w:rPr>
                <w:sz w:val="15"/>
                <w:szCs w:val="15"/>
              </w:rPr>
              <w:t xml:space="preserve">The authors note that the unusually long overall survival in the gemcitabine arm (35.0 months versus 20.1-26.5 months in previous trials) may be due to the high use of FOLFIRINOX after relapse in that arm (76% of patients)</w:t>
            </w:r>
          </w:p>
          <w:p>
            <w:pPr>
              <w:pStyle w:val="ListParagraph"/>
              <w:numPr>
                <w:ilvl w:val="0"/>
                <w:numId w:val="2"/>
              </w:numPr>
              <w:spacing w:after="45"/>
            </w:pPr>
            <w:r>
              <w:rPr>
                <w:sz w:val="15"/>
                <w:szCs w:val="15"/>
              </w:rPr>
              <w:t xml:space="preserve">Disease-free survival is not validated as a surrogate endpoint for overall survival in adjuvant pancreatic trials; it was chosen for earlier assessment and fewer patients, and the authors argue it correlated with overall survival here</w:t>
            </w:r>
          </w:p>
          <w:p>
            <w:pPr>
              <w:pStyle w:val="ListParagraph"/>
              <w:numPr>
                <w:ilvl w:val="0"/>
                <w:numId w:val="2"/>
              </w:numPr>
              <w:spacing w:after="45"/>
            </w:pPr>
            <w:r>
              <w:rPr>
                <w:sz w:val="15"/>
                <w:szCs w:val="15"/>
              </w:rPr>
              <w:t xml:space="preserve">Eligibility required patients fit enough for modified FOLFIRINOX, a postoperative CT or MRI and a postoperative CA 19-9 below 180 U/mL in order to minimise inclusion of occult metastatic disease - the authors present this as quality control</w:t>
            </w:r>
          </w:p>
          <w:p>
            <w:pPr>
              <w:pStyle w:val="ListParagraph"/>
              <w:numPr>
                <w:ilvl w:val="0"/>
                <w:numId w:val="2"/>
              </w:numPr>
              <w:spacing w:after="45"/>
            </w:pPr>
            <w:r>
              <w:rPr>
                <w:sz w:val="15"/>
                <w:szCs w:val="15"/>
              </w:rPr>
              <w:t xml:space="preserve">The database was locked early (April 2018) on the data and safety monitoring committee's recommendation for ethical reasons at 91.8% of expected DFS events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COMPARATOR: adjuvant gemcitabine monotherapy. By the time this trial reported, ESPAC-4 (published January 2017) had already shown gemcitabine plus capecitabine superior to gemcitabine. PRODIGE-24 therefore never tested mFOLFIRINOX against the best available comparator, and the 19.4-month median survival gain is measured against a regimen already known to be inferior to an easier combination</w:t>
            </w:r>
          </w:p>
          <w:p>
            <w:pPr>
              <w:pStyle w:val="ListParagraph"/>
              <w:numPr>
                <w:ilvl w:val="0"/>
                <w:numId w:val="2"/>
              </w:numPr>
              <w:spacing w:after="45"/>
            </w:pPr>
            <w:r>
              <w:rPr>
                <w:sz w:val="15"/>
                <w:szCs w:val="15"/>
              </w:rPr>
              <w:t xml:space="preserve">THE 54.4-MONTH MEDIAN SURVIVAL IS THE SINGLE MOST MISUSED NUMBER IN PANCREATIC ONCOLOGY AND APPLIES TO A HEAVILY PRE-SELECTED POPULATION. Patients had to be 79 or younger, free of coronary disease, WHO 0-1, fully recovered from surgery, with a clear postoperative scan AND a postoperative CA19-9 below 180 U/mL. ESPAC-4 showed that excluding CA19-9 above 92.5 kU/L alone removes a group whose median survival is 13.1 months. Neoadjuvant trials randomise at diagnosis and cannot be compared with this number, and a pathway that quotes 54.4 months as the expectation for resected PDAC is quoting the outcome of the fittest fifth of the disease</w:t>
            </w:r>
          </w:p>
          <w:p>
            <w:pPr>
              <w:pStyle w:val="ListParagraph"/>
              <w:numPr>
                <w:ilvl w:val="0"/>
                <w:numId w:val="2"/>
              </w:numPr>
              <w:spacing w:after="45"/>
            </w:pPr>
            <w:r>
              <w:rPr>
                <w:sz w:val="15"/>
                <w:szCs w:val="15"/>
              </w:rPr>
              <w:t xml:space="preserve">NON-RECEIPT OF ALLOCATED TREATMENT: 9/247 (3.6%) in the mFOLFIRINOX arm (6 withdrew consent, 2 metastatic, 1 physician withdrawal) and 3/246 (1.2%) in the gemcitabine arm never received the drug - low and reasonably balanced. The larger issue is incomplete delivery: only 66% completed all 12 mFOLFIRINOX cycles and fewer than half achieved a relative dose intensity of 0.70</w:t>
            </w:r>
          </w:p>
          <w:p>
            <w:pPr>
              <w:pStyle w:val="ListParagraph"/>
              <w:numPr>
                <w:ilvl w:val="0"/>
                <w:numId w:val="2"/>
              </w:numPr>
              <w:spacing w:after="45"/>
            </w:pPr>
            <w:r>
              <w:rPr>
                <w:sz w:val="15"/>
                <w:szCs w:val="15"/>
              </w:rPr>
              <w:t xml:space="preserve">FIFTEEN PATIENTS (9 AND 6) HAD MAJOR ELIGIBILITY VIOLATIONS, MOSTLY OCCULT METASTATIC DISEASE (8 and 5), and 13 patients were stage IV at baseline; they remain in the intention-to-treat population</w:t>
            </w:r>
          </w:p>
          <w:p>
            <w:pPr>
              <w:pStyle w:val="ListParagraph"/>
              <w:numPr>
                <w:ilvl w:val="0"/>
                <w:numId w:val="2"/>
              </w:numPr>
              <w:spacing w:after="45"/>
            </w:pPr>
            <w:r>
              <w:rPr>
                <w:sz w:val="15"/>
                <w:szCs w:val="15"/>
              </w:rPr>
              <w:t xml:space="preserve">THE PRIMARY ENDPOINT WAS DISEASE-FREE SURVIVAL, WHICH THE AUTHORS CONCEDE IS NOT A VALIDATED SURROGATE, assessed without blinded central radiology review in an open-label trial. The APACT trial later showed that independent blinded review and investigator assessment of recurrence in this setting diverge substantially (18.8 vs 13.7 months in the same gemcitabine arm), which means an open-label DFS endpoint in pancreatic adjuvant trials is genuinely fragile</w:t>
            </w:r>
          </w:p>
          <w:p>
            <w:pPr>
              <w:pStyle w:val="ListParagraph"/>
              <w:numPr>
                <w:ilvl w:val="0"/>
                <w:numId w:val="2"/>
              </w:numPr>
              <w:spacing w:after="45"/>
            </w:pPr>
            <w:r>
              <w:rPr>
                <w:sz w:val="15"/>
                <w:szCs w:val="15"/>
              </w:rPr>
              <w:t xml:space="preserve">THE TRIAL WAS STOPPED EARLY FOR EFFICACY at 91.8% of expected events, which inflates the effect estimate; the 5-year report (Conroy 2022) duly shows attenuation (DFS HR 0.58 to 0.66, OS HR 0.64 to 0.68, median OS 54.4 to 53.5 months)</w:t>
            </w:r>
          </w:p>
          <w:p>
            <w:pPr>
              <w:pStyle w:val="ListParagraph"/>
              <w:numPr>
                <w:ilvl w:val="0"/>
                <w:numId w:val="2"/>
              </w:numPr>
              <w:spacing w:after="45"/>
            </w:pPr>
            <w:r>
              <w:rPr>
                <w:sz w:val="15"/>
                <w:szCs w:val="15"/>
              </w:rPr>
              <w:t xml:space="preserve">ASYMMETRIC CROSSOVER AT RELAPSE CUTS BOTH WAYS AND IS NOT ADDRESSED. Seventy-six percent of relapsing gemcitabine patients received FOLFIRINOX, which the authors invoke to explain the unusually good 35-month control arm - but this means the trial measures the benefit of GIVING mFOLFIRINOX EARLY rather than at relapse, not the benefit of the drug itself. The same logic the authors apply to the control arm undermines the magnitude of the headline difference</w:t>
            </w:r>
          </w:p>
          <w:p>
            <w:pPr>
              <w:pStyle w:val="ListParagraph"/>
              <w:numPr>
                <w:ilvl w:val="0"/>
                <w:numId w:val="2"/>
              </w:numPr>
              <w:spacing w:after="45"/>
            </w:pPr>
            <w:r>
              <w:rPr>
                <w:sz w:val="15"/>
                <w:szCs w:val="15"/>
              </w:rPr>
              <w:t xml:space="preserve">BASELINE IMBALANCE IN LYMPHOVASCULAR INVASION FAVOURED THE CONTROL ARM (73.7% in mFOLFIRINOX vs 63.1% in gemcitabine, P=0.02) - the only significant baseline difference, and it runs against the experimental arm, so it does not explain the result</w:t>
            </w:r>
          </w:p>
          <w:p>
            <w:pPr>
              <w:pStyle w:val="ListParagraph"/>
              <w:numPr>
                <w:ilvl w:val="0"/>
                <w:numId w:val="2"/>
              </w:numPr>
              <w:spacing w:after="45"/>
            </w:pPr>
            <w:r>
              <w:rPr>
                <w:sz w:val="15"/>
                <w:szCs w:val="15"/>
              </w:rPr>
              <w:t xml:space="preserve">G-CSF WAS GIVEN TO 62% OF mFOLFIRINOX PATIENTS AND 3.7% OF GEMCITABINE PATIENTS. The regimens were not supported equally, which matters for any claim that neutropenia rates were 'similar' between arms</w:t>
            </w:r>
          </w:p>
          <w:p>
            <w:pPr>
              <w:pStyle w:val="ListParagraph"/>
              <w:numPr>
                <w:ilvl w:val="0"/>
                <w:numId w:val="2"/>
              </w:numPr>
              <w:spacing w:after="45"/>
            </w:pPr>
            <w:r>
              <w:rPr>
                <w:sz w:val="15"/>
                <w:szCs w:val="15"/>
              </w:rPr>
              <w:t xml:space="preserve">THE REGIMEN DELIVERED IS NOT THE REGIMEN NAMED. Irinotecan was cut from 180 to 150 mg/m2 mid-trial, bolus fluorouracil was omitted from the start, and 34% of patients never completed 12 cycles; 'adjuvant mFOLFIRINOX' in practice means a dose-attenuated, incompletely delivered regimen</w:t>
            </w:r>
          </w:p>
          <w:p>
            <w:pPr>
              <w:pStyle w:val="ListParagraph"/>
              <w:numPr>
                <w:ilvl w:val="0"/>
                <w:numId w:val="2"/>
              </w:numPr>
              <w:spacing w:after="45"/>
            </w:pPr>
            <w:r>
              <w:rPr>
                <w:sz w:val="15"/>
                <w:szCs w:val="15"/>
              </w:rPr>
              <w:t xml:space="preserve">In routine practice up to 30% of resected patients never start adjuvant chemotherapy at all; this trial randomised only those who had already recovered, so it quantifies the benefit conditional on reaching that point and not the benefit of a surgery-first strategy</w:t>
            </w:r>
          </w:p>
          <w:p>
            <w:pPr>
              <w:pStyle w:val="ListParagraph"/>
              <w:numPr>
                <w:ilvl w:val="0"/>
                <w:numId w:val="2"/>
              </w:numPr>
              <w:spacing w:after="45"/>
            </w:pPr>
            <w:r>
              <w:rPr>
                <w:sz w:val="15"/>
                <w:szCs w:val="15"/>
              </w:rPr>
              <w:t xml:space="preserve">R&amp;D Unicancer, a co-sponsor, received a grant from Chugai Pharmaceutical, employed two of the authors, collected and analysed the data and funded the editorial and writing assistance; Sanofi-Aventis Canada supplied oxaliplatin. Nearly every clinical author declares industry payments. The drugs are generic, which limits commercial motive, but the sponsor controlled the data and the write-up</w:t>
            </w:r>
          </w:p>
        </w:tc>
      </w:tr>
    </w:tbl>
    <w:p>
      <w:pPr>
        <w:spacing w:after="0" w:line="276"/>
      </w:pPr>
      <w:r>
        <w:rPr>
          <w:color w:val="5A6069"/>
          <w:sz w:val="14"/>
          <w:szCs w:val="14"/>
        </w:rPr>
        <w:t xml:space="preserve">Funding: R&amp;D Unicancer (which received a grant from Chugai Pharmaceutical), a Clinical Research Hospital Program grant (PHRC11-006) from the French Ministry of Health and the Institut National du Cancer, the French National League against Cancer, a Canadian Cancer Society program grant (704970) and grants from 7 Days in May. Oxaliplatin was supplied to Canadian centres by Sanofi-Aventis Canada, stated to have had no role. R&amp;D Unicancer collected and analysed the data, two authors are its employees, and it funded editorial and writing assistance. Most clinical authors declare consulting, lecture or travel fees from Celgene, Roche, Bayer, Amgen, Servier, Merck Serono, Sanofi, Ipsen and others.</w:t>
      </w:r>
    </w:p>
    <w:p>
      <w:pPr>
        <w:keepNext/>
        <w:spacing w:after="50" w:before="260"/>
      </w:pPr>
      <w:r>
        <w:rPr>
          <w:rFonts w:ascii="Cambria" w:cs="Cambria" w:eastAsia="Cambria" w:hAnsi="Cambria"/>
          <w:b/>
          <w:bCs/>
          <w:color w:val="17365D"/>
          <w:sz w:val="20"/>
          <w:szCs w:val="20"/>
        </w:rPr>
        <w:t xml:space="preserve">PRODIGE 24 five-year</w:t>
      </w:r>
      <w:r>
        <w:rPr>
          <w:b/>
          <w:bCs/>
          <w:color w:val="176A87"/>
          <w:sz w:val="15"/>
          <w:szCs w:val="15"/>
        </w:rPr>
        <w:t xml:space="preserve">   Randomised trial</w:t>
      </w:r>
      <w:r>
        <w:rPr>
          <w:color w:val="5A6069"/>
          <w:sz w:val="15"/>
          <w:szCs w:val="15"/>
        </w:rPr>
        <w:t xml:space="preserve">   PMID 36048453</w:t>
      </w:r>
    </w:p>
    <w:p>
      <w:pPr>
        <w:spacing w:after="50" w:line="276"/>
      </w:pPr>
      <w:r>
        <w:rPr>
          <w:color w:val="5A6069"/>
          <w:sz w:val="17"/>
          <w:szCs w:val="17"/>
        </w:rPr>
        <w:t xml:space="preserve">Five-Year Outcomes of FOLFIRINOX vs Gemcitabine as Adjuvant Therapy for Pancreatic Cancer: A Randomized Clinical Trial.</w:t>
      </w:r>
    </w:p>
    <w:p>
      <w:pPr>
        <w:spacing w:after="50"/>
      </w:pPr>
      <w:r>
        <w:rPr>
          <w:b/>
          <w:bCs/>
          <w:color w:val="176A87"/>
          <w:sz w:val="16"/>
          <w:szCs w:val="16"/>
        </w:rPr>
        <w:t xml:space="preserve">Population. </w:t>
      </w:r>
      <w:r>
        <w:rPr>
          <w:sz w:val="16"/>
          <w:szCs w:val="16"/>
        </w:rPr>
        <w:t xml:space="preserve">493 patients (247 modified FOLFIRINOX, 246 gemcitabine); 367 disease-free survival events and 304 deaths at 69.7 months median follow-up</w:t>
      </w:r>
    </w:p>
    <w:p>
      <w:pPr>
        <w:spacing w:after="70"/>
      </w:pPr>
      <w:r>
        <w:rPr>
          <w:b/>
          <w:bCs/>
          <w:color w:val="17365D"/>
          <w:sz w:val="16"/>
          <w:szCs w:val="16"/>
        </w:rPr>
        <w:t xml:space="preserve">Bottom line. </w:t>
      </w:r>
      <w:r>
        <w:rPr>
          <w:sz w:val="16"/>
          <w:szCs w:val="16"/>
        </w:rPr>
        <w:t xml:space="preserve">With mature 5-year data PRODIGE-24 confirms adjuvant mFOLFIRINOX over gemcitabine (median OS 53.5 vs 35.5 months, 5-year OS 43.2% vs 31.4%), but the effect is smaller than the 3-year report implied, 5-year disease-free survival differs by only 7 points, post-relapse survival and access to relapse chemotherapy were worse in the mFOLFIRINOX arm, and the much-quoted prognostic findings on treatment completion and centre volume are post hoc analyses vulnerable to healthy-adherer and case-mix confounding.</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Quality of life was not planned as a secondary objective and so was not assessed</w:t>
            </w:r>
          </w:p>
          <w:p>
            <w:pPr>
              <w:pStyle w:val="ListParagraph"/>
              <w:numPr>
                <w:ilvl w:val="0"/>
                <w:numId w:val="2"/>
              </w:numPr>
              <w:spacing w:after="45"/>
            </w:pPr>
            <w:r>
              <w:rPr>
                <w:sz w:val="15"/>
                <w:szCs w:val="15"/>
              </w:rPr>
              <w:t xml:space="preserve">Despite an upper age limit of 80, only 20.5% of patients were 70 or older, while increasing numbers of older patients are now being considered for resection and adjuvant chemotherapy</w:t>
            </w:r>
          </w:p>
          <w:p>
            <w:pPr>
              <w:pStyle w:val="ListParagraph"/>
              <w:numPr>
                <w:ilvl w:val="0"/>
                <w:numId w:val="2"/>
              </w:numPr>
              <w:spacing w:after="45"/>
            </w:pPr>
            <w:r>
              <w:rPr>
                <w:sz w:val="15"/>
                <w:szCs w:val="15"/>
              </w:rPr>
              <w:t xml:space="preserve">Inclusion criteria selected patients with no cardiac ischaemia and good performance status (WHO 0-1)</w:t>
            </w:r>
          </w:p>
          <w:p>
            <w:pPr>
              <w:pStyle w:val="ListParagraph"/>
              <w:numPr>
                <w:ilvl w:val="0"/>
                <w:numId w:val="2"/>
              </w:numPr>
              <w:spacing w:after="45"/>
            </w:pPr>
            <w:r>
              <w:rPr>
                <w:sz w:val="15"/>
                <w:szCs w:val="15"/>
              </w:rPr>
              <w:t xml:space="preserve">In routine practice up to 30% of patients do not receive adjuvant chemotherapy because of the morbidity of pancreatectomy, slow recovery, comorbidity, early recurrence or reduced performance status; the trial allowed inclusion up to 12 weeks after resection specifically to maximise the chance of receiving chemotherapy</w:t>
            </w:r>
          </w:p>
          <w:p>
            <w:pPr>
              <w:pStyle w:val="ListParagraph"/>
              <w:numPr>
                <w:ilvl w:val="0"/>
                <w:numId w:val="2"/>
              </w:numPr>
              <w:spacing w:after="45"/>
            </w:pPr>
            <w:r>
              <w:rPr>
                <w:sz w:val="15"/>
                <w:szCs w:val="15"/>
              </w:rPr>
              <w:t xml:space="preserve">Perioperative chemotherapy may deliver systemic treatment earlier and increase completion of multimodal treatment; ongoing trials will define the role of preoperative mFOLFIRINOX</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COMPARATOR: still adjuvant gemcitabine monotherapy, already superseded by ESPAC-4 before this trial reported. The control arm did NOT receive the modern alternative, so the 11.8-point 5-year gain is against a regimen no pathway would now offer a fit patient</w:t>
            </w:r>
          </w:p>
          <w:p>
            <w:pPr>
              <w:pStyle w:val="ListParagraph"/>
              <w:numPr>
                <w:ilvl w:val="0"/>
                <w:numId w:val="2"/>
              </w:numPr>
              <w:spacing w:after="45"/>
            </w:pPr>
            <w:r>
              <w:rPr>
                <w:sz w:val="15"/>
                <w:szCs w:val="15"/>
              </w:rPr>
              <w:t xml:space="preserve">NON-RECEIPT OF ALLOCATED TREATMENT: 9/247 and 3/246 never received their drug (as in the primary report). The clinically decisive figure, however, is that only 33.6% of mFOLFIRINOX patients achieved a relative dose intensity of 0.80 or above and 55% discontinued oxaliplatin at least once</w:t>
            </w:r>
          </w:p>
          <w:p>
            <w:pPr>
              <w:pStyle w:val="ListParagraph"/>
              <w:numPr>
                <w:ilvl w:val="0"/>
                <w:numId w:val="2"/>
              </w:numPr>
              <w:spacing w:after="45"/>
            </w:pPr>
            <w:r>
              <w:rPr>
                <w:sz w:val="15"/>
                <w:szCs w:val="15"/>
              </w:rPr>
              <w:t xml:space="preserve">THE ATTENUATION FROM 3 TO 5 YEARS IS THE STORY AND IS DOWNPLAYED. DFS HR moved 0.58 to 0.66, OS HR 0.64 to 0.68, median OS 54.4 to 53.5 months and 3-year OS 63.4% fell to a 5-year OS of 43.2%. This is the expected consequence of early stopping for benefit, and it means the widely cited 54.4-month figure was an artefact of an immature database</w:t>
            </w:r>
          </w:p>
          <w:p>
            <w:pPr>
              <w:pStyle w:val="ListParagraph"/>
              <w:numPr>
                <w:ilvl w:val="0"/>
                <w:numId w:val="2"/>
              </w:numPr>
              <w:spacing w:after="45"/>
            </w:pPr>
            <w:r>
              <w:rPr>
                <w:sz w:val="15"/>
                <w:szCs w:val="15"/>
              </w:rPr>
              <w:t xml:space="preserve">THE 5-YEAR DISEASE-FREE SURVIVAL DIFFERENCE IS ONLY 26.1% vs 19.0%. Most patients in both arms relapse, and mFOLFIRINOX delays rather than prevents recurrence in the large majority; a 7-point difference in 5-year DFS alongside an 11.8-point difference in 5-year OS implies part of the survival gain accrues after relapse, which is hard to attribute to the adjuvant regimen</w:t>
            </w:r>
          </w:p>
          <w:p>
            <w:pPr>
              <w:pStyle w:val="ListParagraph"/>
              <w:numPr>
                <w:ilvl w:val="0"/>
                <w:numId w:val="2"/>
              </w:numPr>
              <w:spacing w:after="45"/>
            </w:pPr>
            <w:r>
              <w:rPr>
                <w:sz w:val="15"/>
                <w:szCs w:val="15"/>
              </w:rPr>
              <w:t xml:space="preserve">POST-RELAPSE SURVIVAL WAS WORSE IN THE mFOLFIRINOX ARM (13.1 vs 15.0 months) AND ONLY 66.9% OF ITS RELAPSING PATIENTS GOT CHEMOTHERAPY VERSUS 83.0% IN THE CONTROL ARM. Patients who have already had four months of mFOLFIRINOX have fewer options and more residual neuropathy at relapse; the trial does not weigh this against the upfront gain, and 93% of the whole cohort received relapse treatment, far above real-world rates</w:t>
            </w:r>
          </w:p>
          <w:p>
            <w:pPr>
              <w:pStyle w:val="ListParagraph"/>
              <w:numPr>
                <w:ilvl w:val="0"/>
                <w:numId w:val="2"/>
              </w:numPr>
              <w:spacing w:after="45"/>
            </w:pPr>
            <w:r>
              <w:rPr>
                <w:sz w:val="15"/>
                <w:szCs w:val="15"/>
              </w:rPr>
              <w:t xml:space="preserve">THE RECURRENCE-PATTERN FINDING IS UNADJUSTED AND CIRCULAR. More lung-only recurrence in the mFOLFIRINOX arm is reported as a favourable shift, but lung-only recurrence both occurs later and carries better prognosis, so patients who survive longer on more effective therapy have more opportunity to present with it. This is competing-risk confounding reported as a biological effect</w:t>
            </w:r>
          </w:p>
          <w:p>
            <w:pPr>
              <w:pStyle w:val="ListParagraph"/>
              <w:numPr>
                <w:ilvl w:val="0"/>
                <w:numId w:val="2"/>
              </w:numPr>
              <w:spacing w:after="45"/>
            </w:pPr>
            <w:r>
              <w:rPr>
                <w:sz w:val="15"/>
                <w:szCs w:val="15"/>
              </w:rPr>
              <w:t xml:space="preserve">THE PROGNOSTIC MODELLING IS ENTIRELY POST HOC with variables selected by stepwise procedures at P&lt;.20 and no correction for multiplicity, yet 'larger-volume center' is presented as a novel finding. Centre volume in a trial of 77 hospitals is confounded with case mix, surgical quality, access to relapse therapy and country, none of which is adjusted for</w:t>
            </w:r>
          </w:p>
          <w:p>
            <w:pPr>
              <w:pStyle w:val="ListParagraph"/>
              <w:numPr>
                <w:ilvl w:val="0"/>
                <w:numId w:val="2"/>
              </w:numPr>
              <w:spacing w:after="45"/>
            </w:pPr>
            <w:r>
              <w:rPr>
                <w:sz w:val="15"/>
                <w:szCs w:val="15"/>
              </w:rPr>
              <w:t xml:space="preserve">THE LANDMARK ANALYSIS OF TREATMENT COMPLETION IS A CLASSIC HEALTHY-ADHERER COMPARISON. Patients who complete all cycles are those who did not relapse, deteriorate or become toxic during treatment; the 8-month landmark reduces but does not remove this, and the authors' own finding that DOSE INTENSITY did NOT predict survival (HR 1.01) is the clue that completion is marking patient fitness rather than drug effect. Presenting completion as a predictor invites the inference that pushing patients through all 12 cycles improves survival, which these data cannot support</w:t>
            </w:r>
          </w:p>
          <w:p>
            <w:pPr>
              <w:pStyle w:val="ListParagraph"/>
              <w:numPr>
                <w:ilvl w:val="0"/>
                <w:numId w:val="2"/>
              </w:numPr>
              <w:spacing w:after="45"/>
            </w:pPr>
            <w:r>
              <w:rPr>
                <w:sz w:val="15"/>
                <w:szCs w:val="15"/>
              </w:rPr>
              <w:t xml:space="preserve">ONLY 20.5% OF PATIENTS WERE 70 OR OLDER AND THE AGE-70 SUBGROUP SHOWED NO SIGNIFICANT BENEFIT in the primary report (HR 0.86 for DFS); the multivariable model here identifies age under 70 as an independent favourable factor. A pathway applying mFOLFIRINOX to a median-age PDAC population (around 70) is extrapolating</w:t>
            </w:r>
          </w:p>
          <w:p>
            <w:pPr>
              <w:pStyle w:val="ListParagraph"/>
              <w:numPr>
                <w:ilvl w:val="0"/>
                <w:numId w:val="2"/>
              </w:numPr>
              <w:spacing w:after="45"/>
            </w:pPr>
            <w:r>
              <w:rPr>
                <w:sz w:val="15"/>
                <w:szCs w:val="15"/>
              </w:rPr>
              <w:t xml:space="preserve">The cross-trial table comparing 5-year survival across CONKO-001, ESPAC-3/4, JASPAC-01, APACT and PRODIGE-24 is presented without adjustment for the very different CA19-9 ceilings, age limits and salvage-therapy rates the authors elsewhere identify as decisive, inviting exactly the naive cross-trial comparison the paper warns against for neoadjuvant trials</w:t>
            </w:r>
          </w:p>
          <w:p>
            <w:pPr>
              <w:pStyle w:val="ListParagraph"/>
              <w:numPr>
                <w:ilvl w:val="0"/>
                <w:numId w:val="2"/>
              </w:numPr>
              <w:spacing w:after="45"/>
            </w:pPr>
            <w:r>
              <w:rPr>
                <w:sz w:val="15"/>
                <w:szCs w:val="15"/>
              </w:rPr>
              <w:t xml:space="preserve">Safety is not re-analysed ('no new safety signals'), so the long-term neuropathy and quality-of-life cost of 12 cycles of mFOLFIRINOX remains unquantified at 5 years - and quality of life was never collected</w:t>
            </w:r>
          </w:p>
        </w:tc>
      </w:tr>
    </w:tbl>
    <w:p>
      <w:pPr>
        <w:spacing w:after="0" w:line="276"/>
      </w:pPr>
      <w:r>
        <w:rPr>
          <w:color w:val="5A6069"/>
          <w:sz w:val="14"/>
          <w:szCs w:val="14"/>
        </w:rPr>
        <w:t xml:space="preserve">Funding: R&amp;D Unicancer, a Clinical Research Hospital Program grant (PHRC 11-001) from the French Ministry of Health and the Institut National du Cancer, the French National League against Cancer, a Canadian Cancer Society program grant (704970) and grants from 7 Days in May. The funding organisations are stated to have had no role in design, conduct, analysis, manuscript preparation or the decision to submit; medical writing assistance was provided by Angloscribe and funded by R&amp;D Unicancer. Most authors declare personal fees from AstraZeneca, Servier, Amgen, Merck, Roche, Celgene, Ipsen, Pierre Fabre, Mylan and others.</w:t>
      </w:r>
    </w:p>
    <w:p>
      <w:pPr>
        <w:keepNext/>
        <w:spacing w:after="50" w:before="260"/>
      </w:pPr>
      <w:r>
        <w:rPr>
          <w:rFonts w:ascii="Cambria" w:cs="Cambria" w:eastAsia="Cambria" w:hAnsi="Cambria"/>
          <w:b/>
          <w:bCs/>
          <w:color w:val="17365D"/>
          <w:sz w:val="20"/>
          <w:szCs w:val="20"/>
        </w:rPr>
        <w:t xml:space="preserve">PRODIGE 4 / ACCORD 11</w:t>
      </w:r>
      <w:r>
        <w:rPr>
          <w:b/>
          <w:bCs/>
          <w:color w:val="176A87"/>
          <w:sz w:val="15"/>
          <w:szCs w:val="15"/>
        </w:rPr>
        <w:t xml:space="preserve">   Randomised trial</w:t>
      </w:r>
      <w:r>
        <w:rPr>
          <w:color w:val="5A6069"/>
          <w:sz w:val="15"/>
          <w:szCs w:val="15"/>
        </w:rPr>
        <w:t xml:space="preserve">   PMID 21561347</w:t>
      </w:r>
    </w:p>
    <w:p>
      <w:pPr>
        <w:spacing w:after="50" w:line="276"/>
      </w:pPr>
      <w:r>
        <w:rPr>
          <w:color w:val="5A6069"/>
          <w:sz w:val="17"/>
          <w:szCs w:val="17"/>
        </w:rPr>
        <w:t xml:space="preserve">FOLFIRINOX versus Gemcitabine for Metastatic Pancreatic Cancer.</w:t>
      </w:r>
    </w:p>
    <w:p>
      <w:pPr>
        <w:spacing w:after="50"/>
      </w:pPr>
      <w:r>
        <w:rPr>
          <w:b/>
          <w:bCs/>
          <w:color w:val="176A87"/>
          <w:sz w:val="16"/>
          <w:szCs w:val="16"/>
        </w:rPr>
        <w:t xml:space="preserve">Population. </w:t>
      </w:r>
      <w:r>
        <w:rPr>
          <w:sz w:val="16"/>
          <w:szCs w:val="16"/>
        </w:rPr>
        <w:t xml:space="preserve">342 patients (171 per arm by ITT; safety population 167 and 169); 273 deaths (79.8%)</w:t>
      </w:r>
    </w:p>
    <w:p>
      <w:pPr>
        <w:spacing w:after="70"/>
      </w:pPr>
      <w:r>
        <w:rPr>
          <w:b/>
          <w:bCs/>
          <w:color w:val="17365D"/>
          <w:sz w:val="16"/>
          <w:szCs w:val="16"/>
        </w:rPr>
        <w:t xml:space="preserve">Bottom line. </w:t>
      </w:r>
      <w:r>
        <w:rPr>
          <w:sz w:val="16"/>
          <w:szCs w:val="16"/>
        </w:rPr>
        <w:t xml:space="preserve">PRODIGE 4/ACCORD 11 established FOLFIRINOX as first-line therapy for metastatic pancreatic cancer, raising median survival from 6.8 to 11.1 months (HR 0.57) and delaying quality-of-life deterioration despite markedly more neutropenia, diarrhoea and neuropathy - but only in patients under 76 with ECOG 0-1, no cardiac disease and near-normal bilirubin, with heavy crossover to the other regimen at progression, and it provides no evidence for FOLFIRINOX in the neoadjuvant or adjuvant setting.</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No separate limitations section; the authors frame their own eligibility criteria as the boundary of applicability, concluding FOLFIRINOX is an option for patients under 76 with ECOG 0-1, no cardiac ischaemia and normal or near-normal bilirubin</w:t>
            </w:r>
          </w:p>
          <w:p>
            <w:pPr>
              <w:pStyle w:val="ListParagraph"/>
              <w:numPr>
                <w:ilvl w:val="0"/>
                <w:numId w:val="2"/>
              </w:numPr>
              <w:spacing w:after="45"/>
            </w:pPr>
            <w:r>
              <w:rPr>
                <w:sz w:val="15"/>
                <w:szCs w:val="15"/>
              </w:rPr>
              <w:t xml:space="preserve">There were fewer measurable lung metastases in the FOLFIRINOX group (19.5% vs 28.7%, P=0.05), and the authors state results were similar when adjusted for pulmonary metastases</w:t>
            </w:r>
          </w:p>
          <w:p>
            <w:pPr>
              <w:pStyle w:val="ListParagraph"/>
              <w:numPr>
                <w:ilvl w:val="0"/>
                <w:numId w:val="2"/>
              </w:numPr>
              <w:spacing w:after="45"/>
            </w:pPr>
            <w:r>
              <w:rPr>
                <w:sz w:val="15"/>
                <w:szCs w:val="15"/>
              </w:rPr>
              <w:t xml:space="preserve">Filgrastim was not recommended as primary prophylaxis but could be used for high-risk patients, which the authors note in describing the toxicity profile</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paper has no limitations section, so every point below is unstated</w:t>
            </w:r>
          </w:p>
          <w:p>
            <w:pPr>
              <w:pStyle w:val="ListParagraph"/>
              <w:numPr>
                <w:ilvl w:val="0"/>
                <w:numId w:val="2"/>
              </w:numPr>
              <w:spacing w:after="45"/>
            </w:pPr>
            <w:r>
              <w:rPr>
                <w:sz w:val="15"/>
                <w:szCs w:val="15"/>
              </w:rPr>
              <w:t xml:space="preserve">COMPARATOR: single-agent gemcitabine, which was the genuine standard of care in 2005-2009 - one of the few trials in this depot whose comparator was appropriate at the time it ran. Nothing in the trial addresses adjuvant or neoadjuvant use, yet PRODIGE-24, NORPACT-1, PREOPANC-2, SWOG S1505 and A021501 all justify their regimen by extrapolating from this metastatic result, an extrapolation PREOPANC-2 explicitly shows does not hold</w:t>
            </w:r>
          </w:p>
          <w:p>
            <w:pPr>
              <w:pStyle w:val="ListParagraph"/>
              <w:numPr>
                <w:ilvl w:val="0"/>
                <w:numId w:val="2"/>
              </w:numPr>
              <w:spacing w:after="45"/>
            </w:pPr>
            <w:r>
              <w:rPr>
                <w:sz w:val="15"/>
                <w:szCs w:val="15"/>
              </w:rPr>
              <w:t xml:space="preserve">NON-RECEIPT OF ALLOCATED TREATMENT: 4/171 in the FOLFIRINOX arm and 2/171 in the gemcitabine arm never received treatment (safety populations of 167 and 169), and 8 and 7 patients had minor eligibility violations. Non-receipt was minimal and balanced - a genuine strength</w:t>
            </w:r>
          </w:p>
          <w:p>
            <w:pPr>
              <w:pStyle w:val="ListParagraph"/>
              <w:numPr>
                <w:ilvl w:val="0"/>
                <w:numId w:val="2"/>
              </w:numPr>
              <w:spacing w:after="45"/>
            </w:pPr>
            <w:r>
              <w:rPr>
                <w:sz w:val="15"/>
                <w:szCs w:val="15"/>
              </w:rPr>
              <w:t xml:space="preserve">THE POPULATION IS NARROW AND THE PAPER'S OWN CONCLUSION SAYS SO: age under 76, ECOG 0-1, no cardiac disease, bilirubin at or below 1.5x normal, no chronic diarrhoea, MEASURABLE disease. MPACT, run concurrently, included patients up to 88 and 8% with ECOG 2 equivalent. Real-world metastatic PDAC populations are older, frailer and frequently jaundiced; the 11.1-month median is not their expectation</w:t>
            </w:r>
          </w:p>
          <w:p>
            <w:pPr>
              <w:pStyle w:val="ListParagraph"/>
              <w:numPr>
                <w:ilvl w:val="0"/>
                <w:numId w:val="2"/>
              </w:numPr>
              <w:spacing w:after="45"/>
            </w:pPr>
            <w:r>
              <w:rPr>
                <w:sz w:val="15"/>
                <w:szCs w:val="15"/>
              </w:rPr>
              <w:t xml:space="preserve">PHASE 2 AND PHASE 3 PATIENTS WERE POOLED. The 88 phase 2 patients, enrolled at 15 centres under a response-rate endpoint, are included in the phase 3 survival analysis. The trial was continued only because the phase 2 response gate was met, so the pooled estimate incorporates a selection step conditional on early efficacy</w:t>
            </w:r>
          </w:p>
          <w:p>
            <w:pPr>
              <w:pStyle w:val="ListParagraph"/>
              <w:numPr>
                <w:ilvl w:val="0"/>
                <w:numId w:val="2"/>
              </w:numPr>
              <w:spacing w:after="45"/>
            </w:pPr>
            <w:r>
              <w:rPr>
                <w:sz w:val="15"/>
                <w:szCs w:val="15"/>
              </w:rPr>
              <w:t xml:space="preserve">THE QUALITY-OF-LIFE RESULT IS THE MOST SURPRISING AND LEAST SCRUTINISED FINDING. Time to definitive deterioration is a time-to-event endpoint in which patients who die or progress stop contributing; a regimen that delays progression by 3.1 months will delay quality-of-life deterioration almost mechanically. Interpreting 31% versus 66% as showing FOLFIRINOX improves quality of life despite far worse toxicity requires assuming the deterioration measure is independent of survival, which it is not</w:t>
            </w:r>
          </w:p>
          <w:p>
            <w:pPr>
              <w:pStyle w:val="ListParagraph"/>
              <w:numPr>
                <w:ilvl w:val="0"/>
                <w:numId w:val="2"/>
              </w:numPr>
              <w:spacing w:after="45"/>
            </w:pPr>
            <w:r>
              <w:rPr>
                <w:sz w:val="15"/>
                <w:szCs w:val="15"/>
              </w:rPr>
              <w:t xml:space="preserve">THE TOXICITY COMPARISON IS NOT LIKE FOR LIKE ON SUPPORTIVE CARE: 42.5% of FOLFIRINOX patients received filgrastim versus 5.3% of gemcitabine patients, so the observed 45.7% grade 3-4 neutropenia rate is already a growth-factor-supported figure, and the exposure differed two-fold (10 vs 6 cycles), meaning the FOLFIRINOX arm had more time at risk for cumulative toxicity</w:t>
            </w:r>
          </w:p>
          <w:p>
            <w:pPr>
              <w:pStyle w:val="ListParagraph"/>
              <w:numPr>
                <w:ilvl w:val="0"/>
                <w:numId w:val="2"/>
              </w:numPr>
              <w:spacing w:after="45"/>
            </w:pPr>
            <w:r>
              <w:rPr>
                <w:sz w:val="15"/>
                <w:szCs w:val="15"/>
              </w:rPr>
              <w:t xml:space="preserve">SUBSEQUENT THERAPY CROSSED OVER HEAVILY AND ASYMMETRICALLY: 82.5% of FOLFIRINOX patients got gemcitabine afterwards and about half of gemcitabine patients got an oxaliplatin-based regimen. Post-second-line survival was identical at 4.4 months in both arms, so the 4.3-month difference reflects first-line sequencing rather than any effect unique to the four-drug combination</w:t>
            </w:r>
          </w:p>
          <w:p>
            <w:pPr>
              <w:pStyle w:val="ListParagraph"/>
              <w:numPr>
                <w:ilvl w:val="0"/>
                <w:numId w:val="2"/>
              </w:numPr>
              <w:spacing w:after="45"/>
            </w:pPr>
            <w:r>
              <w:rPr>
                <w:sz w:val="15"/>
                <w:szCs w:val="15"/>
              </w:rPr>
              <w:t xml:space="preserve">BASELINE IMBALANCE IN LUNG METASTASES FAVOURED FOLFIRINOX (19.4% vs 28.7%, P=0.05), acknowledged and adjusted for, but in a 342-patient trial other unmeasured imbalances cannot be excluded</w:t>
            </w:r>
          </w:p>
          <w:p>
            <w:pPr>
              <w:pStyle w:val="ListParagraph"/>
              <w:numPr>
                <w:ilvl w:val="0"/>
                <w:numId w:val="2"/>
              </w:numPr>
              <w:spacing w:after="45"/>
            </w:pPr>
            <w:r>
              <w:rPr>
                <w:sz w:val="15"/>
                <w:szCs w:val="15"/>
              </w:rPr>
              <w:t xml:space="preserve">RELATIVE DOSE INTENSITY OF 78-82% MEANS THE REGIMEN AS DELIVERED WAS ALREADY DOSE-ATTENUATED, which is part of why the later 'modified' FOLFIRINOX (no bolus, lower irinotecan) performs similarly; the trial does not establish that full-dose FOLFIRINOX is necessary</w:t>
            </w:r>
          </w:p>
          <w:p>
            <w:pPr>
              <w:pStyle w:val="ListParagraph"/>
              <w:numPr>
                <w:ilvl w:val="0"/>
                <w:numId w:val="2"/>
              </w:numPr>
              <w:spacing w:after="45"/>
            </w:pPr>
            <w:r>
              <w:rPr>
                <w:sz w:val="15"/>
                <w:szCs w:val="15"/>
              </w:rPr>
              <w:t xml:space="preserve">Oxaliplatin and irinotecan were DONATED by Sanofi-Aventis and Pfizer and the trial received grants from Amgen (maker of filgrastim, used in 42.5% of the experimental arm); the manufacturers are stated to have had no role in design, accrual, analysis or writing, and writing assistance came from the sponsor Unicancer and a medical communications company</w:t>
            </w:r>
          </w:p>
        </w:tc>
      </w:tr>
    </w:tbl>
    <w:p>
      <w:pPr>
        <w:spacing w:after="0" w:line="276"/>
      </w:pPr>
      <w:r>
        <w:rPr>
          <w:color w:val="5A6069"/>
          <w:sz w:val="14"/>
          <w:szCs w:val="14"/>
        </w:rPr>
        <w:t xml:space="preserve">Funding: Clinical Research Hospital Program grants (PHRC 2004 and 2007) from the French Ministry of Health, grants from Amgen, and the French National League against Cancer. Oxaliplatin and irinotecan were donated by Sanofi-Aventis and Pfizer, stated to have had no role in design, accrual, analysis or manuscript preparation. Writing assistance was provided by an employee of the sponsor (Unicancer) and by Miller Medical Communications. Several authors report advisory board and lecture fees from Pfizer, Sanofi-Aventis, Roche, Amgen, Bayer, Merck and Novartis.</w:t>
      </w:r>
    </w:p>
    <w:p>
      <w:pPr>
        <w:keepNext/>
        <w:spacing w:after="50" w:before="260"/>
      </w:pPr>
      <w:r>
        <w:rPr>
          <w:rFonts w:ascii="Cambria" w:cs="Cambria" w:eastAsia="Cambria" w:hAnsi="Cambria"/>
          <w:b/>
          <w:bCs/>
          <w:color w:val="17365D"/>
          <w:sz w:val="20"/>
          <w:szCs w:val="20"/>
        </w:rPr>
        <w:t xml:space="preserve">RASolute 302</w:t>
      </w:r>
      <w:r>
        <w:rPr>
          <w:b/>
          <w:bCs/>
          <w:color w:val="176A87"/>
          <w:sz w:val="15"/>
          <w:szCs w:val="15"/>
        </w:rPr>
        <w:t xml:space="preserve">   Randomised trial</w:t>
      </w:r>
      <w:r>
        <w:rPr>
          <w:color w:val="5A6069"/>
          <w:sz w:val="15"/>
          <w:szCs w:val="15"/>
        </w:rPr>
        <w:t xml:space="preserve">   PMID 42223072</w:t>
      </w:r>
    </w:p>
    <w:p>
      <w:pPr>
        <w:spacing w:after="50" w:line="276"/>
      </w:pPr>
      <w:r>
        <w:rPr>
          <w:color w:val="5A6069"/>
          <w:sz w:val="17"/>
          <w:szCs w:val="17"/>
        </w:rPr>
        <w:t xml:space="preserve">Daraxonrasib versus Chemotherapy in Previously Treated Metastatic Pancreatic Ductal Adenocarcinoma.</w:t>
      </w:r>
    </w:p>
    <w:p>
      <w:pPr>
        <w:spacing w:after="50"/>
      </w:pPr>
      <w:r>
        <w:rPr>
          <w:b/>
          <w:bCs/>
          <w:color w:val="176A87"/>
          <w:sz w:val="16"/>
          <w:szCs w:val="16"/>
        </w:rPr>
        <w:t xml:space="preserve">Population. </w:t>
      </w:r>
      <w:r>
        <w:rPr>
          <w:sz w:val="16"/>
          <w:szCs w:val="16"/>
        </w:rPr>
        <w:t xml:space="preserve">500 randomised (248 daraxonrasib, 252 chemotherapy); more than 90% with RAS G12 mutations</w:t>
      </w:r>
    </w:p>
    <w:p>
      <w:pPr>
        <w:spacing w:after="70"/>
      </w:pPr>
      <w:r>
        <w:rPr>
          <w:b/>
          <w:bCs/>
          <w:color w:val="17365D"/>
          <w:sz w:val="16"/>
          <w:szCs w:val="16"/>
        </w:rPr>
        <w:t xml:space="preserve">Bottom line. </w:t>
      </w:r>
      <w:r>
        <w:rPr>
          <w:sz w:val="16"/>
          <w:szCs w:val="16"/>
        </w:rPr>
        <w:t xml:space="preserve">The first randomised trial to show a survival gain from RAS inhibition in pancreatic cancer — median overall survival 13.2 vs 6.6 months, HR 0.40 in RAS G12 disease — but the size of the effect is inseparable from a control arm in which 15.1% never received their allocated chemotherapy and 11.2% stopped it for toxicity, and the non-G12 subgroup shows no benefit.</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open-label design may have influenced adverse-event reporting, treatment modifications, and the decision not to begin treatment after randomisation; treatment was not initiated in 15.1% of the chemotherapy group, mostly by patient decision</w:t>
            </w:r>
          </w:p>
          <w:p>
            <w:pPr>
              <w:pStyle w:val="ListParagraph"/>
              <w:numPr>
                <w:ilvl w:val="0"/>
                <w:numId w:val="2"/>
              </w:numPr>
              <w:spacing w:after="45"/>
            </w:pPr>
            <w:r>
              <w:rPr>
                <w:sz w:val="15"/>
                <w:szCs w:val="15"/>
              </w:rPr>
              <w:t xml:space="preserve">Subgroup analyses were exploratory and limited by small sample sizes, particularly for uncommon RAS subtypes and patients with no identified RAS mutation</w:t>
            </w:r>
          </w:p>
          <w:p>
            <w:pPr>
              <w:pStyle w:val="ListParagraph"/>
              <w:numPr>
                <w:ilvl w:val="0"/>
                <w:numId w:val="2"/>
              </w:numPr>
              <w:spacing w:after="45"/>
            </w:pPr>
            <w:r>
              <w:rPr>
                <w:sz w:val="15"/>
                <w:szCs w:val="15"/>
              </w:rPr>
              <w:t xml:space="preserve">Given the rarity of those subgroups in PDAC, subgroup results should be interpreted descriptively</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COMPARATOR: investigator's choice from gemcitabine plus nab-paclitaxel, modified FOLFIRINOX, FOLFOX or liposomal irinotecan with fluorouracil, given per local prescribing practice. A median overall survival of 6.6 months in that arm is at the lower end of published second-line PDAC outcomes, and because regimen choice and dosing were unconstrained the control arm's quality is not auditable from this report</w:t>
            </w:r>
          </w:p>
          <w:p>
            <w:pPr>
              <w:pStyle w:val="ListParagraph"/>
              <w:numPr>
                <w:ilvl w:val="0"/>
                <w:numId w:val="2"/>
              </w:numPr>
              <w:spacing w:after="45"/>
            </w:pPr>
            <w:r>
              <w:rPr>
                <w:sz w:val="15"/>
                <w:szCs w:val="15"/>
              </w:rPr>
              <w:t xml:space="preserve">NON-RECEIPT OF ALLOCATED TREATMENT is the single most important asymmetry: 15.1% of the chemotherapy arm versus 2.8% of the daraxonrasib arm never started treatment, a five-fold difference. The authors attribute most of it to patient decision in an open-label trial, but patients who never start intravenous chemotherapy and are then counted in its intention-to-treat survival curve depress the comparator; no sensitivity analysis excluding or reweighting these patients is presented</w:t>
            </w:r>
          </w:p>
          <w:p>
            <w:pPr>
              <w:pStyle w:val="ListParagraph"/>
              <w:numPr>
                <w:ilvl w:val="0"/>
                <w:numId w:val="2"/>
              </w:numPr>
              <w:spacing w:after="45"/>
            </w:pPr>
            <w:r>
              <w:rPr>
                <w:sz w:val="15"/>
                <w:szCs w:val="15"/>
              </w:rPr>
              <w:t xml:space="preserve">Some chemotherapy-arm patients are stated to have become ineligible (ECOG above 1) between randomisation and treatment, which means the arms were not clinically equivalent at the moment treatment began — a problem an oral agent started the same day does not face</w:t>
            </w:r>
          </w:p>
          <w:p>
            <w:pPr>
              <w:pStyle w:val="ListParagraph"/>
              <w:numPr>
                <w:ilvl w:val="0"/>
                <w:numId w:val="2"/>
              </w:numPr>
              <w:spacing w:after="45"/>
            </w:pPr>
            <w:r>
              <w:rPr>
                <w:sz w:val="15"/>
                <w:szCs w:val="15"/>
              </w:rPr>
              <w:t xml:space="preserve">The primary population is the RAS G12 subpopulation, not all randomised patients; the all-comer result is a secondary endpoint and the non-G12 patients show HR 1.38 (0.60-3.17). A pathway should state that the benefit is established only for RAS G12 disease and that the non-G12 estimate points the other way</w:t>
            </w:r>
          </w:p>
          <w:p>
            <w:pPr>
              <w:pStyle w:val="ListParagraph"/>
              <w:numPr>
                <w:ilvl w:val="0"/>
                <w:numId w:val="2"/>
              </w:numPr>
              <w:spacing w:after="45"/>
            </w:pPr>
            <w:r>
              <w:rPr>
                <w:sz w:val="15"/>
                <w:szCs w:val="15"/>
              </w:rPr>
              <w:t xml:space="preserve">Blinded central review protects the progression-free survival endpoint, but overall survival in an open-label trial is still exposed to differential post-progression therapy, and the report does not detail subsequent treatments by arm</w:t>
            </w:r>
          </w:p>
          <w:p>
            <w:pPr>
              <w:pStyle w:val="ListParagraph"/>
              <w:numPr>
                <w:ilvl w:val="0"/>
                <w:numId w:val="2"/>
              </w:numPr>
              <w:spacing w:after="45"/>
            </w:pPr>
            <w:r>
              <w:rPr>
                <w:sz w:val="15"/>
                <w:szCs w:val="15"/>
              </w:rPr>
              <w:t xml:space="preserve">An HR of 0.40 for overall survival is extraordinarily large for second-line PDAC and should prompt the question of how much of it reflects a weakened comparator rather than drug effect; the toxicity data (grade 3+ 61.8% vs 69.6%, discontinuation 1.2% vs 11.2%) point the same way, in that the chemotherapy arm was both more toxic and far less adhered to</w:t>
            </w:r>
          </w:p>
          <w:p>
            <w:pPr>
              <w:pStyle w:val="ListParagraph"/>
              <w:numPr>
                <w:ilvl w:val="0"/>
                <w:numId w:val="2"/>
              </w:numPr>
              <w:spacing w:after="45"/>
            </w:pPr>
            <w:r>
              <w:rPr>
                <w:sz w:val="15"/>
                <w:szCs w:val="15"/>
              </w:rPr>
              <w:t xml:space="preserve">Revolution Medicines supported the trial, and the statistical analyses were performed and validated by the sponsor, with five author-employees of the sponsor; the sponsor also designed and funded the preceding phase 1-2 study</w:t>
            </w:r>
          </w:p>
          <w:p>
            <w:pPr>
              <w:pStyle w:val="ListParagraph"/>
              <w:numPr>
                <w:ilvl w:val="0"/>
                <w:numId w:val="2"/>
              </w:numPr>
              <w:spacing w:after="45"/>
            </w:pPr>
            <w:r>
              <w:rPr>
                <w:sz w:val="15"/>
                <w:szCs w:val="15"/>
              </w:rPr>
              <w:t xml:space="preserve">Quality-of-life and pain endpoints are time-to-deterioration measures in an unblinded trial, where knowledge of assignment affects both reporting and the timing of assessment</w:t>
            </w:r>
          </w:p>
        </w:tc>
      </w:tr>
    </w:tbl>
    <w:p>
      <w:pPr>
        <w:spacing w:after="0" w:line="276"/>
      </w:pPr>
      <w:r>
        <w:rPr>
          <w:color w:val="5A6069"/>
          <w:sz w:val="14"/>
          <w:szCs w:val="14"/>
        </w:rPr>
        <w:t xml:space="preserve">Funding: Revolution Medicines; statistical analyses performed and validated by the sponsor</w:t>
      </w:r>
    </w:p>
    <w:p>
      <w:pPr>
        <w:keepNext/>
        <w:spacing w:after="50" w:before="260"/>
      </w:pPr>
      <w:r>
        <w:rPr>
          <w:rFonts w:ascii="Cambria" w:cs="Cambria" w:eastAsia="Cambria" w:hAnsi="Cambria"/>
          <w:b/>
          <w:bCs/>
          <w:color w:val="17365D"/>
          <w:sz w:val="20"/>
          <w:szCs w:val="20"/>
        </w:rPr>
        <w:t xml:space="preserve">SAR/APA template</w:t>
      </w:r>
      <w:r>
        <w:rPr>
          <w:b/>
          <w:bCs/>
          <w:color w:val="176A87"/>
          <w:sz w:val="15"/>
          <w:szCs w:val="15"/>
        </w:rPr>
        <w:t xml:space="preserve">   Consensus statement</w:t>
      </w:r>
      <w:r>
        <w:rPr>
          <w:color w:val="5A6069"/>
          <w:sz w:val="15"/>
          <w:szCs w:val="15"/>
        </w:rPr>
        <w:t xml:space="preserve">   PMID 24354378</w:t>
      </w:r>
    </w:p>
    <w:p>
      <w:pPr>
        <w:spacing w:after="50" w:line="276"/>
      </w:pPr>
      <w:r>
        <w:rPr>
          <w:color w:val="5A6069"/>
          <w:sz w:val="17"/>
          <w:szCs w:val="17"/>
        </w:rPr>
        <w:t xml:space="preserve">Pancreatic Ductal Adenocarcinoma Radiology Reporting Template: Consensus Statement of the Society of Abdominal Radiology and the American Pancreatic Association.</w:t>
      </w:r>
    </w:p>
    <w:p>
      <w:pPr>
        <w:spacing w:after="70"/>
      </w:pPr>
      <w:r>
        <w:rPr>
          <w:b/>
          <w:bCs/>
          <w:color w:val="17365D"/>
          <w:sz w:val="16"/>
          <w:szCs w:val="16"/>
        </w:rPr>
        <w:t xml:space="preserve">Bottom line. </w:t>
      </w:r>
      <w:r>
        <w:rPr>
          <w:sz w:val="16"/>
          <w:szCs w:val="16"/>
        </w:rPr>
        <w:t xml:space="preserve">Provides the standardised vocabulary and reporting template that lets resectability be described consistently, including the 180-degree abutment/encasement rule, but it is expert consensus from a single 2011 meeting with no validation of reproducibility or of any effect on patient outcomes.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authors state the problem the template addresses — variability in expertise, variability in terminology defining disease extent, and incomplete documentation of findings — rather than limitations of the template itself</w:t>
            </w:r>
          </w:p>
          <w:p>
            <w:pPr>
              <w:pStyle w:val="ListParagraph"/>
              <w:numPr>
                <w:ilvl w:val="0"/>
                <w:numId w:val="2"/>
              </w:numPr>
              <w:spacing w:after="45"/>
            </w:pPr>
            <w:r>
              <w:rPr>
                <w:sz w:val="15"/>
                <w:szCs w:val="15"/>
              </w:rPr>
              <w:t xml:space="preserve">They note that imaging performance in defining resectability is imperfect, which is why standardised reporting is proposed</w:t>
            </w:r>
          </w:p>
          <w:p>
            <w:pPr>
              <w:pStyle w:val="ListParagraph"/>
              <w:numPr>
                <w:ilvl w:val="0"/>
                <w:numId w:val="2"/>
              </w:numPr>
              <w:spacing w:after="45"/>
            </w:pPr>
            <w:r>
              <w:rPr>
                <w:sz w:val="15"/>
                <w:szCs w:val="15"/>
              </w:rPr>
              <w:t xml:space="preserve">No stated limitations section for the consensus process itself</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A single consensus meeting in November 2011 with no Delphi process, no voting, no reported level of agreement and no grading of evidence behind any item; the only process described after the meeting is that the lead author prepared a draft and circulated it for comment and approval</w:t>
            </w:r>
          </w:p>
          <w:p>
            <w:pPr>
              <w:pStyle w:val="ListParagraph"/>
              <w:numPr>
                <w:ilvl w:val="0"/>
                <w:numId w:val="2"/>
              </w:numPr>
              <w:spacing w:after="45"/>
            </w:pPr>
            <w:r>
              <w:rPr>
                <w:sz w:val="15"/>
                <w:szCs w:val="15"/>
              </w:rPr>
              <w:t xml:space="preserve">No systematic literature review is described; items were chosen 'based on the state of knowledge and available pertinent literature', which is an unauditable basis</w:t>
            </w:r>
          </w:p>
          <w:p>
            <w:pPr>
              <w:pStyle w:val="ListParagraph"/>
              <w:numPr>
                <w:ilvl w:val="0"/>
                <w:numId w:val="2"/>
              </w:numPr>
              <w:spacing w:after="45"/>
            </w:pPr>
            <w:r>
              <w:rPr>
                <w:sz w:val="15"/>
                <w:szCs w:val="15"/>
              </w:rPr>
              <w:t xml:space="preserve">The 180-degree threshold that governs the borderline/unresectable boundary is adopted from existing NCCN criteria rather than derived or validated here, and no inter-reader reproducibility data for measuring circumferential contact are presented — yet the whole template rests on that measurement</w:t>
            </w:r>
          </w:p>
          <w:p>
            <w:pPr>
              <w:pStyle w:val="ListParagraph"/>
              <w:numPr>
                <w:ilvl w:val="0"/>
                <w:numId w:val="2"/>
              </w:numPr>
              <w:spacing w:after="45"/>
            </w:pPr>
            <w:r>
              <w:rPr>
                <w:sz w:val="15"/>
                <w:szCs w:val="15"/>
              </w:rPr>
              <w:t xml:space="preserve">No validation of any kind: the paper does not show that use of the template changes report completeness, inter-radiologist agreement, multidisciplinary decisions, resection rates or margins. It asserts that adoption 'should improve the decision-making process'</w:t>
            </w:r>
          </w:p>
          <w:p>
            <w:pPr>
              <w:pStyle w:val="ListParagraph"/>
              <w:numPr>
                <w:ilvl w:val="0"/>
                <w:numId w:val="2"/>
              </w:numPr>
              <w:spacing w:after="45"/>
            </w:pPr>
            <w:r>
              <w:rPr>
                <w:sz w:val="15"/>
                <w:szCs w:val="15"/>
              </w:rPr>
              <w:t xml:space="preserve">Published 2014 and referencing NCCN criteria of that era; resectability definitions have since diverged (anatomical versus the biological and conditional criteria of the later International Association of Pancreatology consensus), so a pathway citing this as current practice is citing a superseded anatomical-only framework</w:t>
            </w:r>
          </w:p>
          <w:p>
            <w:pPr>
              <w:pStyle w:val="ListParagraph"/>
              <w:numPr>
                <w:ilvl w:val="0"/>
                <w:numId w:val="2"/>
              </w:numPr>
              <w:spacing w:after="45"/>
            </w:pPr>
            <w:r>
              <w:rPr>
                <w:sz w:val="15"/>
                <w:szCs w:val="15"/>
              </w:rPr>
              <w:t xml:space="preserve">The paper makes no funding statement and does not describe conflict-of-interest management for the writing group; this cannot be verified from the extraction</w:t>
            </w:r>
          </w:p>
          <w:p>
            <w:pPr>
              <w:pStyle w:val="ListParagraph"/>
              <w:numPr>
                <w:ilvl w:val="0"/>
                <w:numId w:val="2"/>
              </w:numPr>
              <w:spacing w:after="45"/>
            </w:pPr>
            <w:r>
              <w:rPr>
                <w:sz w:val="15"/>
                <w:szCs w:val="15"/>
              </w:rPr>
              <w:t xml:space="preserve">A reporting template is a process intervention; quoting it as evidence for a resectability threshold conflates the lexicon with the evidence for where the threshold should sit</w:t>
            </w:r>
          </w:p>
        </w:tc>
      </w:tr>
    </w:tbl>
    <w:p>
      <w:pPr>
        <w:keepNext/>
        <w:spacing w:after="50" w:before="260"/>
      </w:pPr>
      <w:r>
        <w:rPr>
          <w:rFonts w:ascii="Cambria" w:cs="Cambria" w:eastAsia="Cambria" w:hAnsi="Cambria"/>
          <w:b/>
          <w:bCs/>
          <w:color w:val="17365D"/>
          <w:sz w:val="20"/>
          <w:szCs w:val="20"/>
        </w:rPr>
        <w:t xml:space="preserve">Sotorasib CodeBreaK 100</w:t>
      </w:r>
      <w:r>
        <w:rPr>
          <w:b/>
          <w:bCs/>
          <w:color w:val="176A87"/>
          <w:sz w:val="15"/>
          <w:szCs w:val="15"/>
        </w:rPr>
        <w:t xml:space="preserve">   Prospective cohort</w:t>
      </w:r>
      <w:r>
        <w:rPr>
          <w:color w:val="5A6069"/>
          <w:sz w:val="15"/>
          <w:szCs w:val="15"/>
        </w:rPr>
        <w:t xml:space="preserve">   PMID 36546651</w:t>
      </w:r>
    </w:p>
    <w:p>
      <w:pPr>
        <w:spacing w:after="50" w:line="276"/>
      </w:pPr>
      <w:r>
        <w:rPr>
          <w:color w:val="5A6069"/>
          <w:sz w:val="17"/>
          <w:szCs w:val="17"/>
        </w:rPr>
        <w:t xml:space="preserve">Sotorasib in KRAS p.G12C-Mutated Advanced Pancreatic Cancer.</w:t>
      </w:r>
    </w:p>
    <w:p>
      <w:pPr>
        <w:spacing w:after="50"/>
      </w:pPr>
      <w:r>
        <w:rPr>
          <w:b/>
          <w:bCs/>
          <w:color w:val="176A87"/>
          <w:sz w:val="16"/>
          <w:szCs w:val="16"/>
        </w:rPr>
        <w:t xml:space="preserve">Population. </w:t>
      </w:r>
      <w:r>
        <w:rPr>
          <w:sz w:val="16"/>
          <w:szCs w:val="16"/>
        </w:rPr>
        <w:t xml:space="preserve">38 patients with KRAS p.G12C-mutated pancreatic cancer, all of whom received sotorasib</w:t>
      </w:r>
    </w:p>
    <w:p>
      <w:pPr>
        <w:spacing w:after="70"/>
      </w:pPr>
      <w:r>
        <w:rPr>
          <w:b/>
          <w:bCs/>
          <w:color w:val="17365D"/>
          <w:sz w:val="16"/>
          <w:szCs w:val="16"/>
        </w:rPr>
        <w:t xml:space="preserve">Bottom line. </w:t>
      </w:r>
      <w:r>
        <w:rPr>
          <w:sz w:val="16"/>
          <w:szCs w:val="16"/>
        </w:rPr>
        <w:t xml:space="preserve">Shows that a KRAS G12C inhibitor produces measurable tumour shrinkage in about a fifth of the 1-2% of pancreatic cancers carrying that allele, but with no control arm, no prespecified benchmark and no hypothesis test it establishes a signal rather than a benefit.</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trial is nonrandomised and single-group, which the authors contrast directly with the randomised, placebo-controlled POLO trial when comparing response rates</w:t>
            </w:r>
          </w:p>
          <w:p>
            <w:pPr>
              <w:pStyle w:val="ListParagraph"/>
              <w:numPr>
                <w:ilvl w:val="0"/>
                <w:numId w:val="2"/>
              </w:numPr>
              <w:spacing w:after="45"/>
            </w:pPr>
            <w:r>
              <w:rPr>
                <w:sz w:val="15"/>
                <w:szCs w:val="15"/>
              </w:rPr>
              <w:t xml:space="preserve">The population was heavily pretreated (about 79% with two or more previous lines), unlike POLO, which enriched for platinum-sensitive patients</w:t>
            </w:r>
          </w:p>
          <w:p>
            <w:pPr>
              <w:pStyle w:val="ListParagraph"/>
              <w:numPr>
                <w:ilvl w:val="0"/>
                <w:numId w:val="2"/>
              </w:numPr>
              <w:spacing w:after="45"/>
            </w:pPr>
            <w:r>
              <w:rPr>
                <w:sz w:val="15"/>
                <w:szCs w:val="15"/>
              </w:rPr>
              <w:t xml:space="preserve">Comparison with published second-line chemotherapy response rates of under 10% is made against external literature, not a concurrent control</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With 38 patients, no control arm, no prespecified benchmark and no hypothesis test, this is a signal-finding exercise; the 95% CI on response (10-37%) is compatible with the under-10% historical second-line benchmark the authors invoke as the thing being beaten</w:t>
            </w:r>
          </w:p>
          <w:p>
            <w:pPr>
              <w:pStyle w:val="ListParagraph"/>
              <w:numPr>
                <w:ilvl w:val="0"/>
                <w:numId w:val="2"/>
              </w:numPr>
              <w:spacing w:after="45"/>
            </w:pPr>
            <w:r>
              <w:rPr>
                <w:sz w:val="15"/>
                <w:szCs w:val="15"/>
              </w:rPr>
              <w:t xml:space="preserve">A pooled analysis across phase 1 dose exploration, phase 1 expansion and phase 2 mixes dose levels and eligibility thresholds (ECOG 2 allowed in phase 1, 0-1 in phase 2); the response rate is a weighted average over non-equivalent cohorts and is not reported by cohort or dose in the main text</w:t>
            </w:r>
          </w:p>
          <w:p>
            <w:pPr>
              <w:pStyle w:val="ListParagraph"/>
              <w:numPr>
                <w:ilvl w:val="0"/>
                <w:numId w:val="2"/>
              </w:numPr>
              <w:spacing w:after="45"/>
            </w:pPr>
            <w:r>
              <w:rPr>
                <w:sz w:val="15"/>
                <w:szCs w:val="15"/>
              </w:rPr>
              <w:t xml:space="preserve">Median OS of 6.9 months in a third-line-or-later population is indistinguishable from the natural history of that population; the paper does not claim otherwise, but a pathway citing 'activity in KRAS G12C pancreatic cancer' is reading a survival claim into an ORR</w:t>
            </w:r>
          </w:p>
          <w:p>
            <w:pPr>
              <w:pStyle w:val="ListParagraph"/>
              <w:numPr>
                <w:ilvl w:val="0"/>
                <w:numId w:val="2"/>
              </w:numPr>
              <w:spacing w:after="45"/>
            </w:pPr>
            <w:r>
              <w:rPr>
                <w:sz w:val="15"/>
                <w:szCs w:val="15"/>
              </w:rPr>
              <w:t xml:space="preserve">KRAS G12C is present in roughly 1-2% of PDAC, so the denominator for this result is a small fraction of the disease; the paper does not report how many patients were screened to find 38, so the testing burden implied is invisible</w:t>
            </w:r>
          </w:p>
          <w:p>
            <w:pPr>
              <w:pStyle w:val="ListParagraph"/>
              <w:numPr>
                <w:ilvl w:val="0"/>
                <w:numId w:val="2"/>
              </w:numPr>
              <w:spacing w:after="45"/>
            </w:pPr>
            <w:r>
              <w:rPr>
                <w:sz w:val="15"/>
                <w:szCs w:val="15"/>
              </w:rPr>
              <w:t xml:space="preserve">Grade 3 or higher adverse events in 63% of a 38-patient cohort with no comparator cannot be attributed between drug and disease, and the 16% treatment-related figure depends entirely on investigator attribution in an unblinded single-arm trial</w:t>
            </w:r>
          </w:p>
          <w:p>
            <w:pPr>
              <w:pStyle w:val="ListParagraph"/>
              <w:numPr>
                <w:ilvl w:val="0"/>
                <w:numId w:val="2"/>
              </w:numPr>
              <w:spacing w:after="45"/>
            </w:pPr>
            <w:r>
              <w:rPr>
                <w:sz w:val="15"/>
                <w:szCs w:val="15"/>
              </w:rPr>
              <w:t xml:space="preserve">Amgen funded, designed and analysed the trial; the decision not to prespecify a benchmark means there is no threshold the result could have failed to meet</w:t>
            </w:r>
          </w:p>
        </w:tc>
      </w:tr>
    </w:tbl>
    <w:p>
      <w:pPr>
        <w:spacing w:after="0" w:line="276"/>
      </w:pPr>
      <w:r>
        <w:rPr>
          <w:color w:val="5A6069"/>
          <w:sz w:val="14"/>
          <w:szCs w:val="14"/>
        </w:rPr>
        <w:t xml:space="preserve">Funding: Amgen, with a Cancer Center Core Grant (P30 CA) and other support as stated</w:t>
      </w:r>
    </w:p>
    <w:p>
      <w:pPr>
        <w:keepNext/>
        <w:spacing w:after="50" w:before="260"/>
      </w:pPr>
      <w:r>
        <w:rPr>
          <w:rFonts w:ascii="Cambria" w:cs="Cambria" w:eastAsia="Cambria" w:hAnsi="Cambria"/>
          <w:b/>
          <w:bCs/>
          <w:color w:val="17365D"/>
          <w:sz w:val="20"/>
          <w:szCs w:val="20"/>
        </w:rPr>
        <w:t xml:space="preserve">SWOG S1505</w:t>
      </w:r>
      <w:r>
        <w:rPr>
          <w:b/>
          <w:bCs/>
          <w:color w:val="176A87"/>
          <w:sz w:val="15"/>
          <w:szCs w:val="15"/>
        </w:rPr>
        <w:t xml:space="preserve">   Randomised trial</w:t>
      </w:r>
      <w:r>
        <w:rPr>
          <w:color w:val="5A6069"/>
          <w:sz w:val="15"/>
          <w:szCs w:val="15"/>
        </w:rPr>
        <w:t xml:space="preserve">   PMID 33475684</w:t>
      </w:r>
    </w:p>
    <w:p>
      <w:pPr>
        <w:spacing w:after="50" w:line="276"/>
      </w:pPr>
      <w:r>
        <w:rPr>
          <w:color w:val="5A6069"/>
          <w:sz w:val="17"/>
          <w:szCs w:val="17"/>
        </w:rPr>
        <w:t xml:space="preserve">Efficacy of Perioperative Chemotherapy for Resectable Pancreatic Adenocarcinoma: A Phase 2 Randomized Clinical Trial.</w:t>
      </w:r>
    </w:p>
    <w:p>
      <w:pPr>
        <w:spacing w:after="50"/>
      </w:pPr>
      <w:r>
        <w:rPr>
          <w:b/>
          <w:bCs/>
          <w:color w:val="176A87"/>
          <w:sz w:val="16"/>
          <w:szCs w:val="16"/>
        </w:rPr>
        <w:t xml:space="preserve">Population. </w:t>
      </w:r>
      <w:r>
        <w:rPr>
          <w:sz w:val="16"/>
          <w:szCs w:val="16"/>
        </w:rPr>
        <w:t xml:space="preserve">147 enrolled; 102 eligible and evaluable (55 mFOLFIRINOX, 47 gemcitabine/nab-paclitaxel); 73 resections. 43 of 146 reviewed (29%) were ineligible on central radiology review</w:t>
      </w:r>
    </w:p>
    <w:p>
      <w:pPr>
        <w:spacing w:after="70"/>
      </w:pPr>
      <w:r>
        <w:rPr>
          <w:b/>
          <w:bCs/>
          <w:color w:val="17365D"/>
          <w:sz w:val="16"/>
          <w:szCs w:val="16"/>
        </w:rPr>
        <w:t xml:space="preserve">Bottom line. </w:t>
      </w:r>
      <w:r>
        <w:rPr>
          <w:sz w:val="16"/>
          <w:szCs w:val="16"/>
        </w:rPr>
        <w:t xml:space="preserve">S1505 shows that perioperative mFOLFIRINOX and gemcitabine plus nab-paclitaxel are deliverable in resectable PDAC with 70-73% resection rates and 85% R0 rates but produce only about 23 months median and 47-48% 2-year survival, neither arm beating a historical adjuvant-trial benchmark of 40%; it has no randomised control, excludes 31% of enrolled patients from its analysis, and its most durable contribution is the demonstration that 29% of patients called resectable by their own centres were not.</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study was not designed or powered for a between-arm comparison, so the similarity of the two regimens is descriptive only</w:t>
            </w:r>
          </w:p>
          <w:p>
            <w:pPr>
              <w:pStyle w:val="ListParagraph"/>
              <w:numPr>
                <w:ilvl w:val="0"/>
                <w:numId w:val="2"/>
              </w:numPr>
              <w:spacing w:after="45"/>
            </w:pPr>
            <w:r>
              <w:rPr>
                <w:sz w:val="15"/>
                <w:szCs w:val="15"/>
              </w:rPr>
              <w:t xml:space="preserve">The marked difficulty in delineating resectability is a limitation of the trial's own population definition: 29% of enrolled patients did not meet radiologic criteria on central review</w:t>
            </w:r>
          </w:p>
          <w:p>
            <w:pPr>
              <w:pStyle w:val="ListParagraph"/>
              <w:numPr>
                <w:ilvl w:val="0"/>
                <w:numId w:val="2"/>
              </w:numPr>
              <w:spacing w:after="45"/>
            </w:pPr>
            <w:r>
              <w:rPr>
                <w:sz w:val="15"/>
                <w:szCs w:val="15"/>
              </w:rPr>
              <w:t xml:space="preserve">Central radiology review was retrospective rather than real time, so ineligible patients were not identified before treatment and enrolling sites were not notified</w:t>
            </w:r>
          </w:p>
          <w:p>
            <w:pPr>
              <w:pStyle w:val="ListParagraph"/>
              <w:numPr>
                <w:ilvl w:val="0"/>
                <w:numId w:val="2"/>
              </w:numPr>
              <w:spacing w:after="45"/>
            </w:pPr>
            <w:r>
              <w:rPr>
                <w:sz w:val="15"/>
                <w:szCs w:val="15"/>
              </w:rPr>
              <w:t xml:space="preserve">Pathologic assessments were performed locally rather than centrally</w:t>
            </w:r>
          </w:p>
          <w:p>
            <w:pPr>
              <w:pStyle w:val="ListParagraph"/>
              <w:numPr>
                <w:ilvl w:val="0"/>
                <w:numId w:val="2"/>
              </w:numPr>
              <w:spacing w:after="45"/>
            </w:pPr>
            <w:r>
              <w:rPr>
                <w:sz w:val="15"/>
                <w:szCs w:val="15"/>
              </w:rPr>
              <w:t xml:space="preserve">Prophylactic growth factor support was not allowed at treatment initiation, which may have affected tolerability</w:t>
            </w:r>
          </w:p>
          <w:p>
            <w:pPr>
              <w:pStyle w:val="ListParagraph"/>
              <w:numPr>
                <w:ilvl w:val="0"/>
                <w:numId w:val="2"/>
              </w:numPr>
              <w:spacing w:after="45"/>
            </w:pPr>
            <w:r>
              <w:rPr>
                <w:sz w:val="15"/>
                <w:szCs w:val="15"/>
              </w:rPr>
              <w:t xml:space="preserve">Tumour markers were not followed and were not used for patient selection or treatment decisions, unlike the adjuvant trials used as the historical comparator</w:t>
            </w:r>
          </w:p>
          <w:p>
            <w:pPr>
              <w:pStyle w:val="ListParagraph"/>
              <w:numPr>
                <w:ilvl w:val="0"/>
                <w:numId w:val="2"/>
              </w:numPr>
              <w:spacing w:after="45"/>
            </w:pPr>
            <w:r>
              <w:rPr>
                <w:sz w:val="15"/>
                <w:szCs w:val="15"/>
              </w:rPr>
              <w:t xml:space="preserve">The trial was not intended as an adjuvant-versus-neoadjuvant comparison, and radiation was not used</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COMPARATOR: THERE IS NO CONTROL ARM. Both arms were compared with a HISTORICAL 2-year survival of 40% taken from adjuvant trials. The authors themselves point out that adjuvant trial populations are highly selected - patients who did not progress before resection, had no intraoperative metastases, recovered to performance status 0-1 and, in PRODIGE-24, were further selected by postoperative CA19-9. Comparing a cohort randomised at diagnosis with a cohort randomised after successful recovery from surgery biases against the perioperative strategy, and the trial's 'failure' to beat 40% should not be read as perioperative chemotherapy being inferior</w:t>
            </w:r>
          </w:p>
          <w:p>
            <w:pPr>
              <w:pStyle w:val="ListParagraph"/>
              <w:numPr>
                <w:ilvl w:val="0"/>
                <w:numId w:val="2"/>
              </w:numPr>
              <w:spacing w:after="45"/>
            </w:pPr>
            <w:r>
              <w:rPr>
                <w:sz w:val="15"/>
                <w:szCs w:val="15"/>
              </w:rPr>
              <w:t xml:space="preserve">NO MODERN ADJUVANT THERAPY COMPARATOR EXISTS IN THIS TRIAL AT ALL: the postoperative component was simply a continuation of the same perioperative regimen (6 more doses of mFOLFIRINOX or 9 more of gemcitabine/nab-paclitaxel), reached by only 56% and 55% of eligible patients and completed by 49% and 40%. Nobody in this trial received upfront surgery followed by adjuvant mFOLFIRINOX</w:t>
            </w:r>
          </w:p>
          <w:p>
            <w:pPr>
              <w:pStyle w:val="ListParagraph"/>
              <w:numPr>
                <w:ilvl w:val="0"/>
                <w:numId w:val="2"/>
              </w:numPr>
              <w:spacing w:after="45"/>
            </w:pPr>
            <w:r>
              <w:rPr>
                <w:sz w:val="15"/>
                <w:szCs w:val="15"/>
              </w:rPr>
              <w:t xml:space="preserve">NON-RECEIPT OF ALLOCATED TREATMENT: 2/55 and 2/47 of eligible patients never started preoperative chemotherapy, and 1 patient withdrew consent before any therapy and was deemed non-evaluable. The larger problem is upstream: 45 of 147 randomised patients (31%) were removed from the analysed population - 43 for failing central radiology review and 1 for an incorrect primary tumour - even though all of them received protocol therapy. The reported denominators are therefore a centrally adjudicated subset of the randomised cohort, which is a selection step applied after randomisation</w:t>
            </w:r>
          </w:p>
          <w:p>
            <w:pPr>
              <w:pStyle w:val="ListParagraph"/>
              <w:numPr>
                <w:ilvl w:val="0"/>
                <w:numId w:val="2"/>
              </w:numPr>
              <w:spacing w:after="45"/>
            </w:pPr>
            <w:r>
              <w:rPr>
                <w:sz w:val="15"/>
                <w:szCs w:val="15"/>
              </w:rPr>
              <w:t xml:space="preserve">THE 29% CENTRAL-REVIEW INELIGIBILITY RATE IS THE MOST IMPORTANT FINDING FOR A PATHWAY AND IS BURIED AS A SECONDARY OBSERVATION. Over half the ineligible patients had arterial interface and nearly two thirds had suspicion of distant disease, meaning that in real-world multidisciplinary practice across 20-plus experienced centres, roughly a third of patients called resectable were not. Any pathway that assigns treatment by resectability category must account for this misclassification rate, and the trial shows a site-level checklist barely improves it</w:t>
            </w:r>
          </w:p>
          <w:p>
            <w:pPr>
              <w:pStyle w:val="ListParagraph"/>
              <w:numPr>
                <w:ilvl w:val="0"/>
                <w:numId w:val="2"/>
              </w:numPr>
              <w:spacing w:after="45"/>
            </w:pPr>
            <w:r>
              <w:rPr>
                <w:sz w:val="15"/>
                <w:szCs w:val="15"/>
              </w:rPr>
              <w:t xml:space="preserve">AGE WAS CAPPED AT 75 AND PERFORMANCE STATUS AT ZUBROD 0-1, so the population is substantially fitter than the patients a pathway will see; the median age was 64-66</w:t>
            </w:r>
          </w:p>
          <w:p>
            <w:pPr>
              <w:pStyle w:val="ListParagraph"/>
              <w:numPr>
                <w:ilvl w:val="0"/>
                <w:numId w:val="2"/>
              </w:numPr>
              <w:spacing w:after="45"/>
            </w:pPr>
            <w:r>
              <w:rPr>
                <w:sz w:val="15"/>
                <w:szCs w:val="15"/>
              </w:rPr>
              <w:t xml:space="preserve">The 85% R0 rate and 25-42% pathologic response rates are reported in a RESECTED-ONLY denominator (40 and 33 patients) that excludes the 27-30% who never reached surgery because of toxicity, deterioration or progression</w:t>
            </w:r>
          </w:p>
          <w:p>
            <w:pPr>
              <w:pStyle w:val="ListParagraph"/>
              <w:numPr>
                <w:ilvl w:val="0"/>
                <w:numId w:val="2"/>
              </w:numPr>
              <w:spacing w:after="45"/>
            </w:pPr>
            <w:r>
              <w:rPr>
                <w:sz w:val="15"/>
                <w:szCs w:val="15"/>
              </w:rPr>
              <w:t xml:space="preserve">Pathologic response was graded locally with no central review, and the numerically higher major response rate with gemcitabine/nab-paclitaxel (42% vs 25%) sits oddly beside its identical survival - an inconsistency the authors acknowledge but which also undercuts pathologic response as a surrogate</w:t>
            </w:r>
          </w:p>
          <w:p>
            <w:pPr>
              <w:pStyle w:val="ListParagraph"/>
              <w:numPr>
                <w:ilvl w:val="0"/>
                <w:numId w:val="2"/>
              </w:numPr>
              <w:spacing w:after="45"/>
            </w:pPr>
            <w:r>
              <w:rPr>
                <w:sz w:val="15"/>
                <w:szCs w:val="15"/>
              </w:rPr>
              <w:t xml:space="preserve">Enrolment was halted and the sample size expanded mid-trial in response to the ineligibility rate, and the study reopened with a revised protocol - a design change made with knowledge of accumulating data</w:t>
            </w:r>
          </w:p>
          <w:p>
            <w:pPr>
              <w:pStyle w:val="ListParagraph"/>
              <w:numPr>
                <w:ilvl w:val="0"/>
                <w:numId w:val="2"/>
              </w:numPr>
              <w:spacing w:after="45"/>
            </w:pPr>
            <w:r>
              <w:rPr>
                <w:sz w:val="15"/>
                <w:szCs w:val="15"/>
              </w:rPr>
              <w:t xml:space="preserve">The two regimens differ in scheduled dose density and in growth factor policy, so 'equally toxic' and 'equally effective' conclusions rest on a comparison the design forbids and on 102 patients</w:t>
            </w:r>
          </w:p>
          <w:p>
            <w:pPr>
              <w:pStyle w:val="ListParagraph"/>
              <w:numPr>
                <w:ilvl w:val="0"/>
                <w:numId w:val="2"/>
              </w:numPr>
              <w:spacing w:after="45"/>
            </w:pPr>
            <w:r>
              <w:rPr>
                <w:sz w:val="15"/>
                <w:szCs w:val="15"/>
              </w:rPr>
              <w:t xml:space="preserve">Several authors declare industry relationships including with Celgene, the manufacturer of nab-paclitaxel, one of the two tested regimens</w:t>
            </w:r>
          </w:p>
        </w:tc>
      </w:tr>
    </w:tbl>
    <w:p>
      <w:pPr>
        <w:spacing w:after="0" w:line="276"/>
      </w:pPr>
      <w:r>
        <w:rPr>
          <w:color w:val="5A6069"/>
          <w:sz w:val="14"/>
          <w:szCs w:val="14"/>
        </w:rPr>
        <w:t xml:space="preserve">Funding: US National Institutes of Health / National Cancer Institute (grants CA180888, CA180819, CA180820, CA180821 and many others). The NIH had no role in design, conduct, analysis, manuscript preparation or the decision to submit. Several authors report personal fees from Celgene, Perthera, Incyte, Ability Pharma, AstraZeneca, Merck, Array, Ipsen, HUYA and Rafael, and institutional grants from numerous companies.</w:t>
      </w:r>
    </w:p>
    <w:p>
      <w:pPr>
        <w:pStyle w:val="Heading2"/>
        <w:keepNext/>
        <w:spacing w:after="110" w:before="320"/>
      </w:pPr>
      <w:r>
        <w:rPr>
          <w:rFonts w:ascii="Cambria" w:cs="Cambria" w:eastAsia="Cambria" w:hAnsi="Cambria"/>
          <w:b/>
          <w:bCs/>
          <w:color w:val="17365D"/>
          <w:sz w:val="26"/>
          <w:szCs w:val="26"/>
        </w:rPr>
        <w:t xml:space="preserve">Sources not abstracted in full</w:t>
      </w:r>
    </w:p>
    <w:p>
      <w:pPr>
        <w:spacing w:after="120" w:line="276"/>
      </w:pPr>
      <w:r>
        <w:rPr>
          <w:i/>
          <w:iCs/>
          <w:color w:val="5A6069"/>
          <w:sz w:val="20"/>
          <w:szCs w:val="20"/>
        </w:rPr>
        <w:t xml:space="preserve">These carry no entry above. A guideline or policy document is cited for what it states rather than for a result, and a paper listed here without a PMID could not be retrieved — in either case the roadmap's claim rests on the source as quoted, not on a full-text read of it.</w:t>
      </w:r>
    </w:p>
    <w:p>
      <w:pPr>
        <w:pStyle w:val="ListParagraph"/>
        <w:numPr>
          <w:ilvl w:val="0"/>
          <w:numId w:val="2"/>
        </w:numPr>
        <w:spacing w:after="60" w:line="268"/>
      </w:pPr>
      <w:r>
        <w:rPr>
          <w:color w:val="15181F"/>
          <w:sz w:val="16"/>
          <w:szCs w:val="16"/>
        </w:rPr>
        <w:t xml:space="preserve">Alliance A021806 registry record — Alliance for Clinical Trials in Oncology. A phase III trial of perioperative versus adjuvant chemotherapy for resectable pancreatic cancer (A021806). ClinicalTrials.gov NCT04340141. Phase 3, enrolment 358, primary endpoi</w:t>
      </w:r>
    </w:p>
    <w:p>
      <w:pPr>
        <w:pStyle w:val="ListParagraph"/>
        <w:numPr>
          <w:ilvl w:val="0"/>
          <w:numId w:val="2"/>
        </w:numPr>
        <w:spacing w:after="60" w:line="268"/>
      </w:pPr>
      <w:r>
        <w:rPr>
          <w:color w:val="15181F"/>
          <w:sz w:val="16"/>
          <w:szCs w:val="16"/>
        </w:rPr>
        <w:t xml:space="preserve">CAP pancreas protocol — College of American Pathologists. Protocol for the examination of specimens from patients with carcinoma of the exocrine pancreas. Cited through NCCN for the rule that tumour at or within 1 mm of a resection margin const</w:t>
      </w:r>
    </w:p>
    <w:p>
      <w:pPr>
        <w:pStyle w:val="ListParagraph"/>
        <w:numPr>
          <w:ilvl w:val="0"/>
          <w:numId w:val="2"/>
        </w:numPr>
        <w:spacing w:after="60" w:line="268"/>
      </w:pPr>
      <w:r>
        <w:rPr>
          <w:color w:val="15181F"/>
          <w:sz w:val="16"/>
          <w:szCs w:val="16"/>
        </w:rPr>
        <w:t xml:space="preserve">CONKO-004 — Randomised trial of prophylactic enoxaparin in advanced pancreatic cancer (n=160 versus 152): cumulative incidence of symptomatic venous thromboembolism lower with enoxaparin, hazard ratio 0.40 (95% CI 0.19–0.83), P=.01,</w:t>
      </w:r>
    </w:p>
    <w:p>
      <w:pPr>
        <w:pStyle w:val="ListParagraph"/>
        <w:numPr>
          <w:ilvl w:val="0"/>
          <w:numId w:val="2"/>
        </w:numPr>
        <w:spacing w:after="60" w:line="268"/>
      </w:pPr>
      <w:r>
        <w:rPr>
          <w:color w:val="15181F"/>
          <w:sz w:val="16"/>
          <w:szCs w:val="16"/>
        </w:rPr>
        <w:t xml:space="preserve">ESPAC-3 completion analysis — Retrospective analysis of the ESPAC-3 trial finding that completion of the six-course adjuvant chemotherapy, but not the time to initiate it, was an independent prognostic factor for survival. Reported on this page throu</w:t>
      </w:r>
    </w:p>
    <w:p>
      <w:pPr>
        <w:pStyle w:val="ListParagraph"/>
        <w:numPr>
          <w:ilvl w:val="0"/>
          <w:numId w:val="2"/>
        </w:numPr>
        <w:spacing w:after="60" w:line="268"/>
      </w:pPr>
      <w:r>
        <w:rPr>
          <w:color w:val="15181F"/>
          <w:sz w:val="16"/>
          <w:szCs w:val="16"/>
        </w:rPr>
        <w:t xml:space="preserve">ISGPS lymphadenectomy — Tol JAMG, Gouma DJ, Bassi C, et al. Definition of a standard lymphadenectomy in surgery for pancreatic ductal adenocarcinoma: a consensus statement by the International Study Group on Pancreatic Surgery (ISGPS). Surgery.</w:t>
      </w:r>
    </w:p>
    <w:p>
      <w:pPr>
        <w:pStyle w:val="ListParagraph"/>
        <w:numPr>
          <w:ilvl w:val="0"/>
          <w:numId w:val="2"/>
        </w:numPr>
        <w:spacing w:after="60" w:line="268"/>
      </w:pPr>
      <w:r>
        <w:rPr>
          <w:color w:val="15181F"/>
          <w:sz w:val="16"/>
          <w:szCs w:val="16"/>
        </w:rPr>
        <w:t xml:space="preserve">ISGPS lymphadenectomy — abstract only — Tol JAMG, Gouma DJ, Bassi C, et al. Definition of a standard lymphadenectomy in surgery for pancreatic ductal adenocarcinoma: a consensus statement by the International Study Group on Pancreatic Surgery (ISGPS). Surgery.</w:t>
      </w:r>
    </w:p>
    <w:p>
      <w:pPr>
        <w:pStyle w:val="ListParagraph"/>
        <w:numPr>
          <w:ilvl w:val="0"/>
          <w:numId w:val="2"/>
        </w:numPr>
        <w:spacing w:after="60" w:line="268"/>
      </w:pPr>
      <w:r>
        <w:rPr>
          <w:color w:val="15181F"/>
          <w:sz w:val="16"/>
          <w:szCs w:val="16"/>
        </w:rPr>
        <w:t xml:space="preserve">PAXG randomised phase 3 — Randomised phase 3 trial across 17 Italian academic hospitals (n=260) of PAXG — cisplatin, nab-paclitaxel, capecitabine and gemcitabine — against mFOLFIRINOX in pathologically confirmed resectable or borderline resectabl</w:t>
      </w:r>
    </w:p>
    <w:p>
      <w:pPr>
        <w:pStyle w:val="ListParagraph"/>
        <w:numPr>
          <w:ilvl w:val="0"/>
          <w:numId w:val="2"/>
        </w:numPr>
        <w:spacing w:after="60" w:line="268"/>
      </w:pPr>
      <w:r>
        <w:rPr>
          <w:color w:val="15181F"/>
          <w:sz w:val="16"/>
          <w:szCs w:val="16"/>
        </w:rPr>
        <w:t xml:space="preserve">RTOG 0848 — Randomised trial of fluoropyrimidine-based chemoradiation after adjuvant gemcitabine-based chemotherapy in resected adenocarcinoma of the pancreatic head. Reported on this page through the NCCN discussion text only: long</w:t>
      </w:r>
    </w:p>
    <w:p>
      <w:pPr>
        <w:pStyle w:val="Heading1"/>
        <w:widowControl/>
        <w:keepNext/>
      </w:pPr>
      <w:r>
        <w:t xml:space="preserve">Revision history</w:t>
      </w:r>
    </w:p>
    <w:p>
      <w:pPr>
        <w:pStyle w:val="Normal"/>
        <w:widowControl/>
        <w:spacing w:after="120"/>
      </w:pPr>
      <w:r>
        <w:t xml:space="preserve">2026-10-25 04:38 CDT. Problem and correction: Add/update the tumor-specific systemic matrix and full-text appraisals with point-of-use source/PDF links. Preserve ordinary balanced LRT treatment of RASER/LEGACY and existing surgical context. This is a cancer-treatment roadmap update only. The withdrawn PDAC liver-transplant pathway remains closed; chemotherapy response does not reopen it.</w:t>
      </w:r>
    </w:p>
    <w:p>
      <w:pPr>
        <w:pStyle w:val="Normal"/>
        <w:widowControl/>
        <w:spacing w:after="120"/>
      </w:pPr>
      <w:r>
        <w:t xml:space="preserve">Review scope: all pages of the 14 newly supplied main PDFs were read; separately linked supplements and every older retained reference were not reread. Existing formatting and prior material are retained. New clinical proposals remain OPEN. Live EndNote field structures and document-specific XML/RIS exports are included; native Word/EndNote CWYW execution has not been verified.</w:t>
      </w:r>
    </w:p>
    <w:p>
      <w:pPr>
        <w:pStyle w:val="Normal"/>
      </w:pPr>
      <w:r>
        <w:t>26 October 2026, 09:30 CDT. Presentation revision: removed release-specific emphasis and grouped evidence with the clinical question it informs. Website navigation is separate from patient findings; selecting a topic or opening a care plan does not establish eligibility. Clinical thresholds, negative results, uncertainty, source links, EndNote field data and OPEN decision status are retained.</w:t>
      </w:r>
    </w:p>
    <w:p>
      <w:pPr>
        <w:pStyle w:val="Heading1"/>
        <w:widowControl/>
        <w:keepNext/>
      </w:pPr>
      <w:r>
        <w:t xml:space="preserve">References</w:t>
      </w:r>
    </w:p>
    <w:p>
      <w:pPr>
        <w:pStyle w:val="Normal"/>
        <w:widowControl/>
        <w:spacing w:after="120"/>
      </w:pPr>
      <w:r>
        <w:t xml:space="preserve"/>
      </w:r>
      <w:r>
        <w:fldChar w:fldCharType="begin"/>
      </w:r>
      <w:r>
        <w:instrText xml:space="preserve"> ADDIN EN.REFLIST </w:instrText>
      </w:r>
      <w:r>
        <w:fldChar w:fldCharType="separate"/>
      </w:r>
      <w:r>
        <w:t xml:space="preserve">[V16-1] Conroy T; Castan F; Lopez A; et al. Five-Year Outcomes of FOLFIRINOX vs Gemcitabine as Adjuvant Therapy for Pancreatic Cancer: A Randomized Clinical Trial.. JAMA oncology. 2022; 8(11):1571-1578. </w:t>
      </w:r>
      <w:hyperlink r:id="rId96">
        <w:r>
          <w:rPr>
            <w:color w:val="0563C1"/>
            <w:u w:val="single"/>
          </w:rPr>
          <w:t>Source</w:t>
        </w:r>
      </w:hyperlink>
      <w:r>
        <w:t xml:space="preserve"> | </w:t>
      </w:r>
      <w:hyperlink r:id="rId97">
        <w:r>
          <w:rPr>
            <w:color w:val="0563C1"/>
            <w:u w:val="single"/>
          </w:rPr>
          <w:t>Full-text access</w:t>
        </w:r>
      </w:hyperlink>
    </w:p>
    <w:p>
      <w:pPr>
        <w:pStyle w:val="Normal"/>
        <w:widowControl/>
        <w:spacing w:after="120"/>
      </w:pPr>
      <w:r>
        <w:t xml:space="preserve"/>
      </w:r>
      <w:r>
        <w:t xml:space="preserve">[V16-2] Conroy T; Pfeiffer P; Vilgrain V; et al. Pancreatic cancer: ESMO Clinical Practice Guideline for diagnosis, treatment and follow-up.. Annals of oncology : official journal of the European Society for Medical Oncology. 2023; 34(11):987-1002. </w:t>
      </w:r>
      <w:hyperlink r:id="rId98">
        <w:r>
          <w:rPr>
            <w:color w:val="0563C1"/>
            <w:u w:val="single"/>
          </w:rPr>
          <w:t>Source</w:t>
        </w:r>
      </w:hyperlink>
      <w:r>
        <w:t xml:space="preserve"> | </w:t>
      </w:r>
      <w:hyperlink r:id="rId99">
        <w:r>
          <w:rPr>
            <w:color w:val="0563C1"/>
            <w:u w:val="single"/>
          </w:rPr>
          <w:t>Full-text access</w:t>
        </w:r>
      </w:hyperlink>
    </w:p>
    <w:p>
      <w:pPr>
        <w:pStyle w:val="Normal"/>
        <w:widowControl/>
        <w:spacing w:after="120"/>
      </w:pPr>
      <w:r>
        <w:t xml:space="preserve"/>
      </w:r>
      <w:r>
        <w:t xml:space="preserve">[V16-3] Neoptolemos JP; Palmer DH; Ghaneh P; et al. Comparison of adjuvant gemcitabine and capecitabine with gemcitabine monotherapy in patients with resected pancreatic cancer (ESPAC-4): a multicentre, open-label, randomised, phase 3 trial.. Lancet (London, England). 2017; 389(10073):1011-1024. </w:t>
      </w:r>
      <w:hyperlink r:id="rId100">
        <w:r>
          <w:rPr>
            <w:color w:val="0563C1"/>
            <w:u w:val="single"/>
          </w:rPr>
          <w:t>Source</w:t>
        </w:r>
      </w:hyperlink>
      <w:r>
        <w:t xml:space="preserve"> | </w:t>
      </w:r>
      <w:hyperlink r:id="rId101">
        <w:r>
          <w:rPr>
            <w:color w:val="0563C1"/>
            <w:u w:val="single"/>
          </w:rPr>
          <w:t>Full-text access</w:t>
        </w:r>
      </w:hyperlink>
    </w:p>
    <w:p>
      <w:pPr>
        <w:pStyle w:val="Normal"/>
        <w:widowControl/>
        <w:spacing w:after="120"/>
      </w:pPr>
      <w:r>
        <w:t xml:space="preserve"/>
      </w:r>
      <w:r>
        <w:t xml:space="preserve">[V16-4] Katz MHG; Shi Q; Meyers J; et al. Efficacy of Preoperative mFOLFIRINOX vs mFOLFIRINOX Plus Hypofractionated Radiotherapy for Borderline Resectable Adenocarcinoma of the Pancreas: The A021501 Phase 2 Randomized Clinical Trial.. JAMA oncology. 2022; 8(9):1263-1270. </w:t>
      </w:r>
      <w:hyperlink r:id="rId102">
        <w:r>
          <w:rPr>
            <w:color w:val="0563C1"/>
            <w:u w:val="single"/>
          </w:rPr>
          <w:t>Source</w:t>
        </w:r>
      </w:hyperlink>
      <w:r>
        <w:t xml:space="preserve"> | </w:t>
      </w:r>
      <w:hyperlink r:id="rId103">
        <w:r>
          <w:rPr>
            <w:color w:val="0563C1"/>
            <w:u w:val="single"/>
          </w:rPr>
          <w:t>Full-text access</w:t>
        </w:r>
      </w:hyperlink>
    </w:p>
    <w:p>
      <w:pPr>
        <w:pStyle w:val="Normal"/>
        <w:widowControl/>
        <w:spacing w:after="120"/>
      </w:pPr>
      <w:r>
        <w:t xml:space="preserve"/>
      </w:r>
      <w:r>
        <w:t xml:space="preserve">[V16-5] Labori KJ; Bratlie SO; Andersson B; et al. Neoadjuvant FOLFIRINOX versus upfront surgery for resectable pancreatic head cancer (NORPACT-1): a multicentre, randomised, phase 2 trial.. The lancet. Gastroenterology &amp; hepatology. 2024; 9(3):205-217. </w:t>
      </w:r>
      <w:hyperlink r:id="rId104">
        <w:r>
          <w:rPr>
            <w:color w:val="0563C1"/>
            <w:u w:val="single"/>
          </w:rPr>
          <w:t>Source</w:t>
        </w:r>
      </w:hyperlink>
      <w:r>
        <w:t xml:space="preserve"> | </w:t>
      </w:r>
      <w:hyperlink r:id="rId105">
        <w:r>
          <w:rPr>
            <w:color w:val="0563C1"/>
            <w:u w:val="single"/>
          </w:rPr>
          <w:t>Full-text access</w:t>
        </w:r>
      </w:hyperlink>
    </w:p>
    <w:p>
      <w:pPr>
        <w:pStyle w:val="Normal"/>
        <w:widowControl/>
        <w:spacing w:after="120"/>
      </w:pPr>
      <w:r>
        <w:t xml:space="preserve"/>
      </w:r>
      <w:r>
        <w:t xml:space="preserve">[V16-6] Reni M; Macchini M; Orsi G; et al. Preoperative mFOLFIRINOX versus PAXG for stage I–III resectable and borderline resectable pancreatic ductal adenocarcinoma (PACT-21 CASSANDRA): results of the first randomisation analysis of a randomised, open-label, 2 × 2 factorial phase 3 trial. Lancet (London, England). 2026; 406(10522):2945-2956. </w:t>
      </w:r>
      <w:hyperlink r:id="rId106">
        <w:r>
          <w:rPr>
            <w:color w:val="0563C1"/>
            <w:u w:val="single"/>
          </w:rPr>
          <w:t>Source</w:t>
        </w:r>
      </w:hyperlink>
      <w:r>
        <w:t xml:space="preserve"> | </w:t>
      </w:r>
      <w:hyperlink r:id="rId107">
        <w:r>
          <w:rPr>
            <w:color w:val="0563C1"/>
            <w:u w:val="single"/>
          </w:rPr>
          <w:t>Full-text access</w:t>
        </w:r>
      </w:hyperlink>
    </w:p>
    <w:p>
      <w:pPr>
        <w:pStyle w:val="Normal"/>
        <w:widowControl/>
        <w:spacing w:after="120"/>
      </w:pPr>
      <w:r>
        <w:t xml:space="preserve"/>
      </w:r>
      <w:r>
        <w:t xml:space="preserve">[V16-7] Conroy T; Desseigne F; Ychou M; et al. FOLFIRINOX versus gemcitabine for metastatic pancreatic cancer.. The New England journal of medicine. 2011; 364(19):1817-25. </w:t>
      </w:r>
      <w:hyperlink r:id="rId108">
        <w:r>
          <w:rPr>
            <w:color w:val="0563C1"/>
            <w:u w:val="single"/>
          </w:rPr>
          <w:t>Source</w:t>
        </w:r>
      </w:hyperlink>
      <w:r>
        <w:t xml:space="preserve"> | </w:t>
      </w:r>
      <w:hyperlink r:id="rId109">
        <w:r>
          <w:rPr>
            <w:color w:val="0563C1"/>
            <w:u w:val="single"/>
          </w:rPr>
          <w:t>Full-text access</w:t>
        </w:r>
      </w:hyperlink>
    </w:p>
    <w:p>
      <w:pPr>
        <w:pStyle w:val="Normal"/>
        <w:widowControl/>
        <w:spacing w:after="120"/>
      </w:pPr>
      <w:r>
        <w:t xml:space="preserve"/>
      </w:r>
      <w:r>
        <w:t xml:space="preserve">[V16-8] Wainberg ZA; Melisi D; Macarulla T; et al. NALIRIFOX versus nab-paclitaxel and gemcitabine in treatment-naive patients with metastatic pancreatic ductal adenocarcinoma (NAPOLI 3): a randomised, open-label, phase 3 trial.. Lancet (London, England). 2023; 402(10409):1272-1281. </w:t>
      </w:r>
      <w:hyperlink r:id="rId110">
        <w:r>
          <w:rPr>
            <w:color w:val="0563C1"/>
            <w:u w:val="single"/>
          </w:rPr>
          <w:t>Source</w:t>
        </w:r>
      </w:hyperlink>
      <w:r>
        <w:t xml:space="preserve"> | </w:t>
      </w:r>
      <w:hyperlink r:id="rId111">
        <w:r>
          <w:rPr>
            <w:color w:val="0563C1"/>
            <w:u w:val="single"/>
          </w:rPr>
          <w:t>Full-text access</w:t>
        </w:r>
      </w:hyperlink>
    </w:p>
    <w:p>
      <w:pPr>
        <w:pStyle w:val="Normal"/>
        <w:widowControl/>
        <w:spacing w:after="120"/>
      </w:pPr>
      <w:r>
        <w:t xml:space="preserve"/>
      </w:r>
      <w:r>
        <w:t xml:space="preserve">[V16-9] Von Hoff DD; Ervin T; Arena FP; et al. Increased survival in pancreatic cancer with nab-paclitaxel plus gemcitabine.. The New England journal of medicine. 2013; 369(18):1691-703. </w:t>
      </w:r>
      <w:hyperlink r:id="rId112">
        <w:r>
          <w:rPr>
            <w:color w:val="0563C1"/>
            <w:u w:val="single"/>
          </w:rPr>
          <w:t>Source</w:t>
        </w:r>
      </w:hyperlink>
      <w:r>
        <w:t xml:space="preserve"> | </w:t>
      </w:r>
      <w:hyperlink r:id="rId113">
        <w:r>
          <w:rPr>
            <w:color w:val="0563C1"/>
            <w:u w:val="single"/>
          </w:rPr>
          <w:t>Full-text access</w:t>
        </w:r>
      </w:hyperlink>
    </w:p>
    <w:p>
      <w:pPr>
        <w:pStyle w:val="Normal"/>
        <w:widowControl/>
        <w:spacing w:after="120"/>
      </w:pPr>
      <w:r>
        <w:t xml:space="preserve"/>
      </w:r>
      <w:r>
        <w:t xml:space="preserve">[V16-10] Wang-Gillam A; Li CP; Bodoky G; et al. Nanoliposomal irinotecan with fluorouracil and folinic acid in metastatic pancreatic cancer after previous gemcitabine-based therapy (NAPOLI-1): a global, randomised, open-label, phase 3 trial.. Lancet (London, England). 2016; 387(10018):545-557. </w:t>
      </w:r>
      <w:hyperlink r:id="rId114">
        <w:r>
          <w:rPr>
            <w:color w:val="0563C1"/>
            <w:u w:val="single"/>
          </w:rPr>
          <w:t>Source</w:t>
        </w:r>
      </w:hyperlink>
      <w:r>
        <w:t xml:space="preserve"> | </w:t>
      </w:r>
      <w:hyperlink r:id="rId115">
        <w:r>
          <w:rPr>
            <w:color w:val="0563C1"/>
            <w:u w:val="single"/>
          </w:rPr>
          <w:t>Full-text access</w:t>
        </w:r>
      </w:hyperlink>
    </w:p>
    <w:p>
      <w:pPr>
        <w:pStyle w:val="Normal"/>
        <w:widowControl/>
        <w:spacing w:after="120"/>
      </w:pPr>
      <w:r>
        <w:t xml:space="preserve"/>
      </w:r>
      <w:r>
        <w:t xml:space="preserve">[V16-11] O'Reilly EM; Wainberg ZA; Hendifar AE; et al. Daraxonrasib or Chemotherapy in Previously Treated Metastatic Pancreatic Cancer.. The New England journal of medicine. 2026; 395(4):325-337. </w:t>
      </w:r>
      <w:hyperlink r:id="rId116">
        <w:r>
          <w:rPr>
            <w:color w:val="0563C1"/>
            <w:u w:val="single"/>
          </w:rPr>
          <w:t>Source</w:t>
        </w:r>
      </w:hyperlink>
      <w:r>
        <w:t xml:space="preserve"> | </w:t>
      </w:r>
      <w:hyperlink r:id="rId117">
        <w:r>
          <w:rPr>
            <w:color w:val="0563C1"/>
            <w:u w:val="single"/>
          </w:rPr>
          <w:t>Full-text access</w:t>
        </w:r>
      </w:hyperlink>
    </w:p>
    <w:p>
      <w:pPr>
        <w:pStyle w:val="Normal"/>
        <w:widowControl/>
        <w:spacing w:after="120"/>
      </w:pPr>
      <w:r>
        <w:t xml:space="preserve"/>
      </w:r>
      <w:r>
        <w:t xml:space="preserve">[V16-12] US Food and Drug Administration. FDA approves daraxonrasib for metastatic pancreatic adenocarcinoma. FDA approval announcement. 2026. </w:t>
      </w:r>
      <w:hyperlink r:id="rId118">
        <w:r>
          <w:rPr>
            <w:color w:val="0563C1"/>
            <w:u w:val="single"/>
          </w:rPr>
          <w:t>Source</w:t>
        </w:r>
      </w:hyperlink>
      <w:r>
        <w:t xml:space="preserve"> | Local PDF not available in this update</w:t>
      </w:r>
    </w:p>
    <w:p>
      <w:pPr>
        <w:pStyle w:val="Normal"/>
        <w:widowControl/>
        <w:spacing w:after="120"/>
      </w:pPr>
      <w:r>
        <w:t xml:space="preserve"/>
      </w:r>
      <w:r>
        <w:t xml:space="preserve">[V16-13] Golan T; Hammel P; Reni M; et al. Maintenance Olaparib for Germline BRCA-Mutated Metastatic Pancreatic Cancer.. The New England journal of medicine. 2019; 381(4):317-327. </w:t>
      </w:r>
      <w:hyperlink r:id="rId119">
        <w:r>
          <w:rPr>
            <w:color w:val="0563C1"/>
            <w:u w:val="single"/>
          </w:rPr>
          <w:t>Source</w:t>
        </w:r>
      </w:hyperlink>
      <w:r>
        <w:t xml:space="preserve"> | </w:t>
      </w:r>
      <w:hyperlink r:id="rId120">
        <w:r>
          <w:rPr>
            <w:color w:val="0563C1"/>
            <w:u w:val="single"/>
          </w:rPr>
          <w:t>Full-text access</w:t>
        </w:r>
      </w:hyperlink>
    </w:p>
    <w:p>
      <w:pPr>
        <w:pStyle w:val="Normal"/>
        <w:widowControl/>
        <w:spacing w:after="120"/>
      </w:pPr>
      <w:r>
        <w:t xml:space="preserve"/>
      </w:r>
      <w:r>
        <w:t xml:space="preserve">[V16-14] Schram AM; Goto K; Kim DW; et al. Efficacy of Zenocutuzumab in NRG1 Fusion-Positive Cancer.. The New England journal of medicine. 2025; 392(6):566-576. </w:t>
      </w:r>
      <w:hyperlink r:id="rId121">
        <w:r>
          <w:rPr>
            <w:color w:val="0563C1"/>
            <w:u w:val="single"/>
          </w:rPr>
          <w:t>Source</w:t>
        </w:r>
      </w:hyperlink>
      <w:r>
        <w:t xml:space="preserve"> | </w:t>
      </w:r>
      <w:hyperlink r:id="rId122">
        <w:r>
          <w:rPr>
            <w:color w:val="0563C1"/>
            <w:u w:val="single"/>
          </w:rPr>
          <w:t>Full-text access</w:t>
        </w:r>
      </w:hyperlink>
    </w:p>
    <w:p>
      <w:pPr>
        <w:pStyle w:val="Normal"/>
        <w:widowControl/>
        <w:spacing w:after="120"/>
      </w:pPr>
      <w:r>
        <w:t xml:space="preserve"/>
      </w:r>
      <w:r>
        <w:t xml:space="preserve">[V16-15] Hank, Thomas; Klaiber, Ulla; Hinz, Ulf; et al. Oncological Outcome of Conversion Surgery After Preoperative Chemotherapy for Metastatic Pancreatic Cancer. Annals of surgery. 2022; 277(5):e1089-e1098. </w:t>
      </w:r>
      <w:hyperlink r:id="rId123">
        <w:r>
          <w:rPr>
            <w:color w:val="0563C1"/>
            <w:u w:val="single"/>
          </w:rPr>
          <w:t>Source</w:t>
        </w:r>
      </w:hyperlink>
      <w:r>
        <w:t xml:space="preserve"> | Local PDF not available in this update</w:t>
      </w:r>
    </w:p>
    <w:p>
      <w:pPr>
        <w:pStyle w:val="Normal"/>
        <w:widowControl/>
        <w:spacing w:after="120"/>
      </w:pPr>
      <w:r>
        <w:t xml:space="preserve"/>
      </w:r>
      <w:r>
        <w:t xml:space="preserve">[V16-16] Leonhardt, Carl-Stephan; Adham, Mustapha; Bazarbashi, Shouki; et al. The OligoPanc project: an interdisciplinary expert consensus statement on oligometastatic pancreatic cancer. The Lancet Oncology. 2026; 27(3):e141-e149. </w:t>
      </w:r>
      <w:hyperlink r:id="rId124">
        <w:r>
          <w:rPr>
            <w:color w:val="0563C1"/>
            <w:u w:val="single"/>
          </w:rPr>
          <w:t>Source</w:t>
        </w:r>
      </w:hyperlink>
      <w:r>
        <w:t xml:space="preserve"> | </w:t>
      </w:r>
      <w:hyperlink r:id="rId125">
        <w:r>
          <w:rPr>
            <w:color w:val="0563C1"/>
            <w:u w:val="single"/>
          </w:rPr>
          <w:t>Full-text access</w:t>
        </w:r>
      </w:hyperlink>
    </w:p>
    <w:p>
      <w:pPr>
        <w:pStyle w:val="Normal"/>
        <w:widowControl/>
        <w:spacing w:after="120"/>
      </w:pPr>
      <w:r>
        <w:t xml:space="preserve"/>
      </w:r>
      <w:r>
        <w:t xml:space="preserve">[V16-17] Ghadimi, Michael; Pelzer, Uwe; Besselink, Marc G; et al. Study protocol of the METAPANC trial- intensified treatment in patients with local operable but oligometastatic pancreatic cancer- multimodal surgical treatment versus chemotherapy alone: a randomized controlled trial. BMC cancer. 2025; 25(1):208. </w:t>
      </w:r>
      <w:hyperlink r:id="rId126">
        <w:r>
          <w:rPr>
            <w:color w:val="0563C1"/>
            <w:u w:val="single"/>
          </w:rPr>
          <w:t>Source</w:t>
        </w:r>
      </w:hyperlink>
      <w:r>
        <w:t xml:space="preserve"> | </w:t>
      </w:r>
      <w:hyperlink r:id="rId127">
        <w:r>
          <w:rPr>
            <w:color w:val="0563C1"/>
            <w:u w:val="single"/>
          </w:rPr>
          <w:t>Full-text access</w:t>
        </w:r>
      </w:hyperlink>
    </w:p>
    <w:p>
      <w:pPr>
        <w:pStyle w:val="Normal"/>
        <w:widowControl/>
        <w:spacing w:after="120"/>
      </w:pPr>
      <w:r>
        <w:t xml:space="preserve"/>
      </w:r>
      <w:r>
        <w:t xml:space="preserve">[V16-18] Wei, Miaoyan; Shi, Si; Hua, Jie; et al. Simultaneous resection of the primary tumour and liver metastases after conversion chemotherapy versus standard therapy in pancreatic cancer with liver oligometastasis: protocol of a multicentre, prospective, randomised phase III control trial (CSPAC-1). BMJ open. 2019; 9(12):e033452. </w:t>
      </w:r>
      <w:hyperlink r:id="rId128">
        <w:r>
          <w:rPr>
            <w:color w:val="0563C1"/>
            <w:u w:val="single"/>
          </w:rPr>
          <w:t>Source</w:t>
        </w:r>
      </w:hyperlink>
      <w:r>
        <w:t xml:space="preserve"> | Local PDF not available in this update</w:t>
      </w:r>
    </w:p>
    <w:p>
      <w:pPr>
        <w:pStyle w:val="Normal"/>
        <w:widowControl/>
        <w:spacing w:after="120"/>
      </w:pPr>
      <w:r>
        <w:t xml:space="preserve"/>
      </w:r>
      <w:r>
        <w:t xml:space="preserve">[V16-19] D'Ambra, Vincenzo; Ricci, Claudio; Ingaldi, Carlo; et al. Stage IV pancreatic ductal adenocarcinoma (PDAC) with synchronous liver metastasis: are there survival benefits in liver resection? A systematic review and meta-analysis. European journal of surgical oncology : the journal of the European Society of Surgical Oncology and the British Association of Surgical Oncology. 2025; 51(5):109598. </w:t>
      </w:r>
      <w:hyperlink r:id="rId129">
        <w:r>
          <w:rPr>
            <w:color w:val="0563C1"/>
            <w:u w:val="single"/>
          </w:rPr>
          <w:t>Source</w:t>
        </w:r>
      </w:hyperlink>
      <w:r>
        <w:t xml:space="preserve"> | </w:t>
      </w:r>
      <w:hyperlink r:id="rId130">
        <w:r>
          <w:rPr>
            <w:color w:val="0563C1"/>
            <w:u w:val="single"/>
          </w:rPr>
          <w:t>Full-text access</w:t>
        </w:r>
      </w:hyperlink>
    </w:p>
    <w:p>
      <w:pPr>
        <w:pStyle w:val="Normal"/>
        <w:widowControl/>
        <w:spacing w:after="120"/>
      </w:pPr>
      <w:r>
        <w:t xml:space="preserve"/>
      </w:r>
      <w:r>
        <w:t xml:space="preserve">[V16-20] Zhao, Pengcheng; Jiang, Qiaoqi; Xue, Kang; et al. The role of pulmonary metastasectomy in patients suffering pancreatic ductal adenocarcinoma with lung metastases: a systematic review and meta-analysis. Frontiers in surgery. 2025; 12:1535212. </w:t>
      </w:r>
      <w:hyperlink r:id="rId131">
        <w:r>
          <w:rPr>
            <w:color w:val="0563C1"/>
            <w:u w:val="single"/>
          </w:rPr>
          <w:t>Source</w:t>
        </w:r>
      </w:hyperlink>
      <w:r>
        <w:t xml:space="preserve"> | Local PDF not available in this update</w:t>
      </w:r>
    </w:p>
    <w:p>
      <w:pPr>
        <w:pStyle w:val="Normal"/>
        <w:widowControl/>
        <w:spacing w:after="120"/>
      </w:pPr>
      <w:r>
        <w:t xml:space="preserve"/>
      </w:r>
      <w:r>
        <w:t xml:space="preserve">[V16-21] Kruger, S F; Lohneis, A; Abendroth, A; et al. Prognosis and tumor biology of pancreatic cancer patients with isolated lung metastases: translational results from the German multicenter AIO-YMO-PAK-0515 study. ESMO open. 2022; 7(1):100388. </w:t>
      </w:r>
      <w:hyperlink r:id="rId132">
        <w:r>
          <w:rPr>
            <w:color w:val="0563C1"/>
            <w:u w:val="single"/>
          </w:rPr>
          <w:t>Source</w:t>
        </w:r>
      </w:hyperlink>
      <w:r>
        <w:t xml:space="preserve"> | Local PDF not available in this update</w:t>
      </w:r>
    </w:p>
    <w:p>
      <w:pPr>
        <w:pStyle w:val="Normal"/>
        <w:widowControl/>
        <w:spacing w:after="120"/>
      </w:pPr>
      <w:r>
        <w:t xml:space="preserve"/>
      </w:r>
      <w:r>
        <w:t xml:space="preserve">[V16-22] Suurmeijer, J Annelie; Pranger, Bobby K; Seelen, Leonard W F; et al. Survival impact of involvement of lymph node stations 16b1, 9, and 8a during pancreatoduodenectomy for pancreatic and periampullary cancers (PANODE): prospective multicentre study. BJS open. 2026; 10(5). </w:t>
      </w:r>
      <w:hyperlink r:id="rId133">
        <w:r>
          <w:rPr>
            <w:color w:val="0563C1"/>
            <w:u w:val="single"/>
          </w:rPr>
          <w:t>Source</w:t>
        </w:r>
      </w:hyperlink>
      <w:r>
        <w:t xml:space="preserve"> | Local PDF not available in this update</w:t>
      </w:r>
    </w:p>
    <w:p>
      <w:pPr>
        <w:pStyle w:val="Normal"/>
        <w:widowControl/>
        <w:spacing w:after="120"/>
      </w:pPr>
      <w:r>
        <w:t xml:space="preserve"/>
      </w:r>
      <w:r>
        <w:t xml:space="preserve">[V16-23] Hackert, T; Niesen, W; Hinz, U; et al. Radical surgery of oligometastatic pancreatic cancer. European journal of surgical oncology : the journal of the European Society of Surgical Oncology and the British Association of Surgical Oncology. 2016; 43(2):358-363. </w:t>
      </w:r>
      <w:hyperlink r:id="rId134">
        <w:r>
          <w:rPr>
            <w:color w:val="0563C1"/>
            <w:u w:val="single"/>
          </w:rPr>
          <w:t>Source</w:t>
        </w:r>
      </w:hyperlink>
      <w:r>
        <w:t xml:space="preserve"> | Local PDF not available in this update</w:t>
      </w:r>
    </w:p>
    <w:p>
      <w:pPr>
        <w:pStyle w:val="Normal"/>
        <w:widowControl/>
        <w:spacing w:after="120"/>
      </w:pPr>
      <w:r>
        <w:t xml:space="preserve"/>
      </w:r>
      <w:r>
        <w:t xml:space="preserve">[V16-24] Gleisner, Ana Luiza; Assumpcao, Lia; Cameron, John L; et al. Is resection of periampullary or pancreatic adenocarcinoma with synchronous hepatic metastasis justified?. Cancer. 2007; 110(11):2484-92. </w:t>
      </w:r>
      <w:hyperlink r:id="rId135">
        <w:r>
          <w:rPr>
            <w:color w:val="0563C1"/>
            <w:u w:val="single"/>
          </w:rPr>
          <w:t>Source</w:t>
        </w:r>
      </w:hyperlink>
      <w:r>
        <w:t xml:space="preserve"> | Local PDF not available in this update</w:t>
      </w:r>
    </w:p>
    <w:p>
      <w:pPr>
        <w:pStyle w:val="Normal"/>
        <w:widowControl/>
        <w:spacing w:after="120"/>
      </w:pPr>
      <w:r>
        <w:t xml:space="preserve"/>
      </w:r>
      <w:r>
        <w:t xml:space="preserve">[V16-25] Frigerio, Isabella; Regi, Paolo; Giardino, Alessandro; et al. Downstaging in Stage IV Pancreatic Cancer: A New Population Eligible for Surgery?. Annals of surgical oncology. 2017; 24(8):2397-2403. </w:t>
      </w:r>
      <w:hyperlink r:id="rId136">
        <w:r>
          <w:rPr>
            <w:color w:val="0563C1"/>
            <w:u w:val="single"/>
          </w:rPr>
          <w:t>Source</w:t>
        </w:r>
      </w:hyperlink>
      <w:r>
        <w:t xml:space="preserve"> | Local PDF not available in this update</w:t>
      </w:r>
    </w:p>
    <w:p>
      <w:pPr>
        <w:pStyle w:val="Normal"/>
        <w:widowControl/>
        <w:spacing w:after="120"/>
      </w:pPr>
      <w:r>
        <w:t xml:space="preserve"/>
      </w:r>
      <w:r>
        <w:t xml:space="preserve">[V16-26] Hashimoto, Daisuke; Ikeura, Tsukasa; Maekawa, Aya; et al. Conversion surgery for unresectable pancreatic ductal adenocarcinoma with liver metastasis at initial diagnosis: a nationwide multicenter study. Journal of gastroenterology. 2026; 61(9):1346-1360. </w:t>
      </w:r>
      <w:hyperlink r:id="rId137">
        <w:r>
          <w:rPr>
            <w:color w:val="0563C1"/>
            <w:u w:val="single"/>
          </w:rPr>
          <w:t>Source</w:t>
        </w:r>
      </w:hyperlink>
      <w:r>
        <w:t xml:space="preserve"> | Local PDF not available in this update</w:t>
      </w:r>
      <w:r>
        <w:fldChar w:fldCharType="end"/>
      </w:r>
    </w:p>
    <w:p>
      <w:pPr>
        <w:pStyle w:val="Heading1"/>
        <w:widowControl/>
        <w:keepNext/>
      </w:pPr>
      <w:r>
        <w:t xml:space="preserve">V16 revision note</w:t>
      </w:r>
    </w:p>
    <w:p>
      <w:pPr>
        <w:pStyle w:val="Normal"/>
        <w:widowControl/>
        <w:spacing w:after="120"/>
      </w:pPr>
      <w:r>
        <w:t xml:space="preserve">2026-10-29 09:21 CDT. Problem: no dedicated position on previously treated, responded extrahepatic disease. Correction: added PDAC-R1 with a proposed position, rules, evidence and OPEN decision fields. No eligibility rule, allocation route, MELD-exception request or study is activated; existing clinical content is retained.</w:t>
      </w:r>
    </w:p>
    <w:p>
      <w:pPr>
        <w:pStyle w:val="Normal"/>
        <w:widowControl/>
        <w:spacing w:after="120"/>
      </w:pPr>
      <w:r>
        <w:t xml:space="preserve">Review scope: 8 cited study lines rest on full-text reading (complete main text; relevant complete sections of long guidelines) and 4 on verified PubMed abstracts whose full texts are pending TMC download. Positions will be revised after those full texts are read. Analyst B (Claude.ai) for Hao Liu; no external-analyst consensus or institutional approval is implied. Live EndNote field structures and document-specific XML/RIS exports are included; native Word/EndNote CWYW refresh has not been tested.</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5A6069"/>
        <w:sz w:val="15"/>
        <w:szCs w:val="15"/>
      </w:rPr>
      <w:t xml:space="preserve">Memorial Hermann PDAC system roadmap V16 · Extrahepatic-disease update, 29 October 2026 · draft, not ratified</w:t>
    </w:r>
    <w:r>
      <w:rPr>
        <w:sz w:val="15"/>
        <w:szCs w:val="15"/>
      </w:rPr>
      <w:t xml:space="preserve">	</w:t>
    </w:r>
    <w:r>
      <w:rPr>
        <w:color w:val="5A606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abstractNum w:abstractNumId="3"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abstractNum w:abstractNumId="4">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3">
    <w:abstractNumId w:val="4"/>
  </w:num>
  <w:abstractNum w:abstractNumId="5">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4">
    <w:abstractNumId w:val="5"/>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5181F"/>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mbria" w:cs="Cambria" w:eastAsia="Cambria" w:hAnsi="Cambria"/>
      <w:b/>
      <w:bCs/>
      <w:color w:val="17365D"/>
      <w:sz w:val="32"/>
      <w:szCs w:val="32"/>
    </w:rPr>
  </w:style>
  <w:style w:type="paragraph" w:styleId="Heading2">
    <w:name w:val="Heading 2"/>
    <w:basedOn w:val="Normal"/>
    <w:next w:val="Normal"/>
    <w:qFormat/>
    <w:rPr>
      <w:rFonts w:ascii="Cambria" w:cs="Cambria" w:eastAsia="Cambria" w:hAnsi="Cambria"/>
      <w:b/>
      <w:bCs/>
      <w:color w:val="17365D"/>
      <w:sz w:val="26"/>
      <w:szCs w:val="26"/>
    </w:rPr>
  </w:style>
  <w:style w:type="paragraph" w:styleId="Heading3">
    <w:name w:val="Heading 3"/>
    <w:basedOn w:val="Normal"/>
    <w:next w:val="Normal"/>
    <w:qFormat/>
    <w:rPr>
      <w:rFonts w:ascii="Cambria" w:cs="Cambria" w:eastAsia="Cambria" w:hAnsi="Cambria"/>
      <w:b/>
      <w:bCs/>
      <w:color w:val="17365D"/>
      <w:sz w:val="22"/>
      <w:szCs w:val="22"/>
    </w:rPr>
  </w:style>
  <w:style w:type="paragraph" w:styleId="Heading4">
    <w:name w:val="Heading 4"/>
    <w:basedOn w:val="Normal"/>
    <w:next w:val="Normal"/>
    <w:qFormat/>
    <w:rPr>
      <w:rFonts w:ascii="Calibri" w:cs="Calibri" w:eastAsia="Calibri" w:hAnsi="Calibri"/>
      <w:b/>
      <w:bCs/>
      <w:color w:val="176A87"/>
      <w:sz w:val="20"/>
      <w:szCs w:val="20"/>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 Id="rId9" Type="http://schemas.openxmlformats.org/officeDocument/2006/relationships/hyperlink" Target="https://doi.org/10.1001/jamaoncol.2022.3829" TargetMode="External"/><Relationship Id="rId10" Type="http://schemas.openxmlformats.org/officeDocument/2006/relationships/hyperlink" Target="https://drliuhao.github.io/mh-liver-pathways/evidence-libraries/" TargetMode="External"/><Relationship Id="rId11" Type="http://schemas.openxmlformats.org/officeDocument/2006/relationships/hyperlink" Target="https://doi.org/10.1016/j.annonc.2023.08.009" TargetMode="External"/><Relationship Id="rId12" Type="http://schemas.openxmlformats.org/officeDocument/2006/relationships/hyperlink" Target="https://drliuhao.github.io/mh-liver-pathways/evidence-libraries/" TargetMode="External"/><Relationship Id="rId13" Type="http://schemas.openxmlformats.org/officeDocument/2006/relationships/hyperlink" Target="https://doi.org/10.1016/S0140-6736(16)32409-6" TargetMode="External"/><Relationship Id="rId14" Type="http://schemas.openxmlformats.org/officeDocument/2006/relationships/hyperlink" Target="https://drliuhao.github.io/mh-liver-pathways/evidence-libraries/" TargetMode="External"/><Relationship Id="rId15" Type="http://schemas.openxmlformats.org/officeDocument/2006/relationships/hyperlink" Target="https://doi.org/10.1016/j.annonc.2023.08.009" TargetMode="External"/><Relationship Id="rId16" Type="http://schemas.openxmlformats.org/officeDocument/2006/relationships/hyperlink" Target="https://drliuhao.github.io/mh-liver-pathways/evidence-libraries/" TargetMode="External"/><Relationship Id="rId17" Type="http://schemas.openxmlformats.org/officeDocument/2006/relationships/hyperlink" Target="https://doi.org/10.1001/jamaoncol.2022.2319" TargetMode="External"/><Relationship Id="rId18" Type="http://schemas.openxmlformats.org/officeDocument/2006/relationships/hyperlink" Target="https://drliuhao.github.io/mh-liver-pathways/evidence-libraries/" TargetMode="External"/><Relationship Id="rId19" Type="http://schemas.openxmlformats.org/officeDocument/2006/relationships/hyperlink" Target="https://doi.org/10.1016/S2468-1253(23)00405-3" TargetMode="External"/><Relationship Id="rId20" Type="http://schemas.openxmlformats.org/officeDocument/2006/relationships/hyperlink" Target="https://drliuhao.github.io/mh-liver-pathways/evidence-libraries/" TargetMode="External"/><Relationship Id="rId21" Type="http://schemas.openxmlformats.org/officeDocument/2006/relationships/hyperlink" Target="https://doi.org/10.1016/j.annonc.2023.08.009" TargetMode="External"/><Relationship Id="rId22" Type="http://schemas.openxmlformats.org/officeDocument/2006/relationships/hyperlink" Target="https://drliuhao.github.io/mh-liver-pathways/evidence-libraries/" TargetMode="External"/><Relationship Id="rId23" Type="http://schemas.openxmlformats.org/officeDocument/2006/relationships/hyperlink" Target="https://doi.org/10.1016/S0140-6736(25)01685-X" TargetMode="External"/><Relationship Id="rId24" Type="http://schemas.openxmlformats.org/officeDocument/2006/relationships/hyperlink" Target="https://drliuhao.github.io/mh-liver-pathways/evidence-libraries/" TargetMode="External"/><Relationship Id="rId25" Type="http://schemas.openxmlformats.org/officeDocument/2006/relationships/hyperlink" Target="https://doi.org/10.1056/NEJMoa1011923" TargetMode="External"/><Relationship Id="rId26" Type="http://schemas.openxmlformats.org/officeDocument/2006/relationships/hyperlink" Target="https://drliuhao.github.io/mh-liver-pathways/evidence-libraries/" TargetMode="External"/><Relationship Id="rId27" Type="http://schemas.openxmlformats.org/officeDocument/2006/relationships/hyperlink" Target="https://doi.org/10.1016/S0140-6736(23)01366-1" TargetMode="External"/><Relationship Id="rId28" Type="http://schemas.openxmlformats.org/officeDocument/2006/relationships/hyperlink" Target="https://drliuhao.github.io/mh-liver-pathways/evidence-libraries/" TargetMode="External"/><Relationship Id="rId29" Type="http://schemas.openxmlformats.org/officeDocument/2006/relationships/hyperlink" Target="https://doi.org/10.1056/NEJMoa1304369" TargetMode="External"/><Relationship Id="rId30" Type="http://schemas.openxmlformats.org/officeDocument/2006/relationships/hyperlink" Target="https://drliuhao.github.io/mh-liver-pathways/evidence-libraries/" TargetMode="External"/><Relationship Id="rId31" Type="http://schemas.openxmlformats.org/officeDocument/2006/relationships/hyperlink" Target="https://doi.org/10.1016/S0140-6736(23)01366-1" TargetMode="External"/><Relationship Id="rId32" Type="http://schemas.openxmlformats.org/officeDocument/2006/relationships/hyperlink" Target="https://drliuhao.github.io/mh-liver-pathways/evidence-libraries/" TargetMode="External"/><Relationship Id="rId33" Type="http://schemas.openxmlformats.org/officeDocument/2006/relationships/hyperlink" Target="https://doi.org/10.1016/j.annonc.2023.08.009" TargetMode="External"/><Relationship Id="rId34" Type="http://schemas.openxmlformats.org/officeDocument/2006/relationships/hyperlink" Target="https://drliuhao.github.io/mh-liver-pathways/evidence-libraries/" TargetMode="External"/><Relationship Id="rId35" Type="http://schemas.openxmlformats.org/officeDocument/2006/relationships/hyperlink" Target="https://doi.org/10.1016/S0140-6736(15)00986-1" TargetMode="External"/><Relationship Id="rId36" Type="http://schemas.openxmlformats.org/officeDocument/2006/relationships/hyperlink" Target="https://drliuhao.github.io/mh-liver-pathways/evidence-libraries/" TargetMode="External"/><Relationship Id="rId37" Type="http://schemas.openxmlformats.org/officeDocument/2006/relationships/hyperlink" Target="https://doi.org/10.1016/j.annonc.2023.08.009" TargetMode="External"/><Relationship Id="rId38" Type="http://schemas.openxmlformats.org/officeDocument/2006/relationships/hyperlink" Target="https://drliuhao.github.io/mh-liver-pathways/evidence-libraries/" TargetMode="External"/><Relationship Id="rId39" Type="http://schemas.openxmlformats.org/officeDocument/2006/relationships/hyperlink" Target="https://doi.org/10.1056/NEJMoa2605555" TargetMode="External"/><Relationship Id="rId40" Type="http://schemas.openxmlformats.org/officeDocument/2006/relationships/hyperlink" Target="https://drliuhao.github.io/mh-liver-pathways/evidence-libraries/" TargetMode="External"/><Relationship Id="rId41" Type="http://schemas.openxmlformats.org/officeDocument/2006/relationships/hyperlink" Target="https://www.fda.gov/drugs/resources-information-approved-drugs/fda-approves-daraxonrasib-metastatic-pancreatic-adenocarcinoma" TargetMode="External"/><Relationship Id="rId42" Type="http://schemas.openxmlformats.org/officeDocument/2006/relationships/hyperlink" Target="https://doi.org/10.1056/NEJMoa1903387" TargetMode="External"/><Relationship Id="rId43" Type="http://schemas.openxmlformats.org/officeDocument/2006/relationships/hyperlink" Target="https://drliuhao.github.io/mh-liver-pathways/evidence-libraries/" TargetMode="External"/><Relationship Id="rId44" Type="http://schemas.openxmlformats.org/officeDocument/2006/relationships/hyperlink" Target="https://doi.org/10.1016/j.annonc.2023.08.009" TargetMode="External"/><Relationship Id="rId45" Type="http://schemas.openxmlformats.org/officeDocument/2006/relationships/hyperlink" Target="https://drliuhao.github.io/mh-liver-pathways/evidence-libraries/" TargetMode="External"/><Relationship Id="rId46" Type="http://schemas.openxmlformats.org/officeDocument/2006/relationships/hyperlink" Target="https://doi.org/10.1056/NEJMoa2405008" TargetMode="External"/><Relationship Id="rId47" Type="http://schemas.openxmlformats.org/officeDocument/2006/relationships/hyperlink" Target="https://drliuhao.github.io/mh-liver-pathways/evidence-libraries/" TargetMode="External"/><Relationship Id="rId48" Type="http://schemas.openxmlformats.org/officeDocument/2006/relationships/hyperlink" Target="https://doi.org/10.1016/j.annonc.2023.08.009" TargetMode="External"/><Relationship Id="rId49" Type="http://schemas.openxmlformats.org/officeDocument/2006/relationships/hyperlink" Target="https://drliuhao.github.io/mh-liver-pathways/evidence-libraries/" TargetMode="External"/><Relationship Id="rId50" Type="http://schemas.openxmlformats.org/officeDocument/2006/relationships/hyperlink" Target="https://doi.org/10.1016/S0140-6736(25)01685-X" TargetMode="External"/><Relationship Id="rId51" Type="http://schemas.openxmlformats.org/officeDocument/2006/relationships/hyperlink" Target="https://drliuhao.github.io/mh-liver-pathways/evidence-libraries/" TargetMode="External"/><Relationship Id="rId52" Type="http://schemas.openxmlformats.org/officeDocument/2006/relationships/hyperlink" Target="https://doi.org/10.1016/S0140-6736(15)00986-1" TargetMode="External"/><Relationship Id="rId53" Type="http://schemas.openxmlformats.org/officeDocument/2006/relationships/hyperlink" Target="https://drliuhao.github.io/mh-liver-pathways/evidence-libraries/" TargetMode="External"/><Relationship Id="rId54" Type="http://schemas.openxmlformats.org/officeDocument/2006/relationships/hyperlink" Target="https://doi.org/10.1001/jamaoncol.2022.3829" TargetMode="External"/><Relationship Id="rId55" Type="http://schemas.openxmlformats.org/officeDocument/2006/relationships/hyperlink" Target="https://drliuhao.github.io/mh-liver-pathways/evidence-libraries/" TargetMode="External"/><Relationship Id="rId56" Type="http://schemas.openxmlformats.org/officeDocument/2006/relationships/hyperlink" Target="https://doi.org/10.1016/j.annonc.2023.08.009" TargetMode="External"/><Relationship Id="rId57" Type="http://schemas.openxmlformats.org/officeDocument/2006/relationships/hyperlink" Target="https://drliuhao.github.io/mh-liver-pathways/evidence-libraries/" TargetMode="External"/><Relationship Id="rId58" Type="http://schemas.openxmlformats.org/officeDocument/2006/relationships/hyperlink" Target="https://doi.org/10.1016/S0140-6736(16)32409-6" TargetMode="External"/><Relationship Id="rId59" Type="http://schemas.openxmlformats.org/officeDocument/2006/relationships/hyperlink" Target="https://drliuhao.github.io/mh-liver-pathways/evidence-libraries/" TargetMode="External"/><Relationship Id="rId60" Type="http://schemas.openxmlformats.org/officeDocument/2006/relationships/hyperlink" Target="https://doi.org/10.1001/jamaoncol.2022.2319" TargetMode="External"/><Relationship Id="rId61" Type="http://schemas.openxmlformats.org/officeDocument/2006/relationships/hyperlink" Target="https://drliuhao.github.io/mh-liver-pathways/evidence-libraries/" TargetMode="External"/><Relationship Id="rId62" Type="http://schemas.openxmlformats.org/officeDocument/2006/relationships/hyperlink" Target="https://doi.org/10.1016/S2468-1253(23)00405-3" TargetMode="External"/><Relationship Id="rId63" Type="http://schemas.openxmlformats.org/officeDocument/2006/relationships/hyperlink" Target="https://drliuhao.github.io/mh-liver-pathways/evidence-libraries/" TargetMode="External"/><Relationship Id="rId64" Type="http://schemas.openxmlformats.org/officeDocument/2006/relationships/hyperlink" Target="https://doi.org/10.1016/S0140-6736(25)01685-X" TargetMode="External"/><Relationship Id="rId65" Type="http://schemas.openxmlformats.org/officeDocument/2006/relationships/hyperlink" Target="https://drliuhao.github.io/mh-liver-pathways/evidence-libraries/" TargetMode="External"/><Relationship Id="rId66" Type="http://schemas.openxmlformats.org/officeDocument/2006/relationships/hyperlink" Target="https://doi.org/10.1056/NEJMoa1011923" TargetMode="External"/><Relationship Id="rId67" Type="http://schemas.openxmlformats.org/officeDocument/2006/relationships/hyperlink" Target="https://drliuhao.github.io/mh-liver-pathways/evidence-libraries/" TargetMode="External"/><Relationship Id="rId68" Type="http://schemas.openxmlformats.org/officeDocument/2006/relationships/hyperlink" Target="https://doi.org/10.1016/S0140-6736(23)01366-1" TargetMode="External"/><Relationship Id="rId69" Type="http://schemas.openxmlformats.org/officeDocument/2006/relationships/hyperlink" Target="https://drliuhao.github.io/mh-liver-pathways/evidence-libraries/" TargetMode="External"/><Relationship Id="rId70" Type="http://schemas.openxmlformats.org/officeDocument/2006/relationships/hyperlink" Target="https://doi.org/10.1056/NEJMoa1304369" TargetMode="External"/><Relationship Id="rId71" Type="http://schemas.openxmlformats.org/officeDocument/2006/relationships/hyperlink" Target="https://drliuhao.github.io/mh-liver-pathways/evidence-libraries/" TargetMode="External"/><Relationship Id="rId72" Type="http://schemas.openxmlformats.org/officeDocument/2006/relationships/hyperlink" Target="https://doi.org/10.1016/S0140-6736(15)00986-1" TargetMode="External"/><Relationship Id="rId73" Type="http://schemas.openxmlformats.org/officeDocument/2006/relationships/hyperlink" Target="https://drliuhao.github.io/mh-liver-pathways/evidence-libraries/" TargetMode="External"/><Relationship Id="rId74" Type="http://schemas.openxmlformats.org/officeDocument/2006/relationships/hyperlink" Target="https://doi.org/10.1056/NEJMoa2605555" TargetMode="External"/><Relationship Id="rId75" Type="http://schemas.openxmlformats.org/officeDocument/2006/relationships/hyperlink" Target="https://drliuhao.github.io/mh-liver-pathways/evidence-libraries/" TargetMode="External"/><Relationship Id="rId76" Type="http://schemas.openxmlformats.org/officeDocument/2006/relationships/hyperlink" Target="https://www.fda.gov/drugs/resources-information-approved-drugs/fda-approves-daraxonrasib-metastatic-pancreatic-adenocarcinoma" TargetMode="External"/><Relationship Id="rId77" Type="http://schemas.openxmlformats.org/officeDocument/2006/relationships/hyperlink" Target="https://doi.org/10.1056/NEJMoa1903387" TargetMode="External"/><Relationship Id="rId78" Type="http://schemas.openxmlformats.org/officeDocument/2006/relationships/hyperlink" Target="https://drliuhao.github.io/mh-liver-pathways/evidence-libraries/" TargetMode="External"/><Relationship Id="rId79" Type="http://schemas.openxmlformats.org/officeDocument/2006/relationships/hyperlink" Target="https://doi.org/10.1056/NEJMoa2405008" TargetMode="External"/><Relationship Id="rId80" Type="http://schemas.openxmlformats.org/officeDocument/2006/relationships/hyperlink" Target="https://drliuhao.github.io/mh-liver-pathways/evidence-libraries/" TargetMode="External"/><Relationship Id="rId81" Type="http://schemas.openxmlformats.org/officeDocument/2006/relationships/hyperlink" Target="https://doi.org/10.1097/SLA.0000000000005481" TargetMode="External"/><Relationship Id="rId82" Type="http://schemas.openxmlformats.org/officeDocument/2006/relationships/hyperlink" Target="https://doi.org/10.1016/S1470-2045(25)00714-4" TargetMode="External"/><Relationship Id="rId83" Type="http://schemas.openxmlformats.org/officeDocument/2006/relationships/hyperlink" Target="https://drliuhao.github.io/mh-liver-pathways/evidence-libraries/" TargetMode="External"/><Relationship Id="rId84" Type="http://schemas.openxmlformats.org/officeDocument/2006/relationships/hyperlink" Target="https://doi.org/10.1186/s12885-025-13573-7" TargetMode="External"/><Relationship Id="rId85" Type="http://schemas.openxmlformats.org/officeDocument/2006/relationships/hyperlink" Target="https://drliuhao.github.io/mh-liver-pathways/evidence-libraries/" TargetMode="External"/><Relationship Id="rId86" Type="http://schemas.openxmlformats.org/officeDocument/2006/relationships/hyperlink" Target="https://doi.org/10.1136/bmjopen-2019-033452" TargetMode="External"/><Relationship Id="rId87" Type="http://schemas.openxmlformats.org/officeDocument/2006/relationships/hyperlink" Target="https://doi.org/10.1016/j.ejso.2025.109598" TargetMode="External"/><Relationship Id="rId88" Type="http://schemas.openxmlformats.org/officeDocument/2006/relationships/hyperlink" Target="https://drliuhao.github.io/mh-liver-pathways/evidence-libraries/" TargetMode="External"/><Relationship Id="rId89" Type="http://schemas.openxmlformats.org/officeDocument/2006/relationships/hyperlink" Target="https://doi.org/10.3389/fsurg.2025.1535212" TargetMode="External"/><Relationship Id="rId90" Type="http://schemas.openxmlformats.org/officeDocument/2006/relationships/hyperlink" Target="https://doi.org/10.1016/j.esmoop.2022.100388" TargetMode="External"/><Relationship Id="rId91" Type="http://schemas.openxmlformats.org/officeDocument/2006/relationships/hyperlink" Target="https://doi.org/10.1093/bjsopen/zrag157" TargetMode="External"/><Relationship Id="rId92" Type="http://schemas.openxmlformats.org/officeDocument/2006/relationships/hyperlink" Target="https://doi.org/10.1016/j.ejso.2016.10.023" TargetMode="External"/><Relationship Id="rId93" Type="http://schemas.openxmlformats.org/officeDocument/2006/relationships/hyperlink" Target="https://doi.org/10.1002/cncr.23074" TargetMode="External"/><Relationship Id="rId94" Type="http://schemas.openxmlformats.org/officeDocument/2006/relationships/hyperlink" Target="https://doi.org/10.1245/s10434-017-5885-4" TargetMode="External"/><Relationship Id="rId95" Type="http://schemas.openxmlformats.org/officeDocument/2006/relationships/hyperlink" Target="https://doi.org/10.1007/s00535-026-02432-2" TargetMode="External"/><Relationship Id="rId96" Type="http://schemas.openxmlformats.org/officeDocument/2006/relationships/hyperlink" Target="https://doi.org/10.1001/jamaoncol.2022.3829" TargetMode="External"/><Relationship Id="rId97" Type="http://schemas.openxmlformats.org/officeDocument/2006/relationships/hyperlink" Target="https://drliuhao.github.io/mh-liver-pathways/evidence-libraries/" TargetMode="External"/><Relationship Id="rId98" Type="http://schemas.openxmlformats.org/officeDocument/2006/relationships/hyperlink" Target="https://doi.org/10.1016/j.annonc.2023.08.009" TargetMode="External"/><Relationship Id="rId99" Type="http://schemas.openxmlformats.org/officeDocument/2006/relationships/hyperlink" Target="https://drliuhao.github.io/mh-liver-pathways/evidence-libraries/" TargetMode="External"/><Relationship Id="rId100" Type="http://schemas.openxmlformats.org/officeDocument/2006/relationships/hyperlink" Target="https://doi.org/10.1016/S0140-6736(16)32409-6" TargetMode="External"/><Relationship Id="rId101" Type="http://schemas.openxmlformats.org/officeDocument/2006/relationships/hyperlink" Target="https://drliuhao.github.io/mh-liver-pathways/evidence-libraries/" TargetMode="External"/><Relationship Id="rId102" Type="http://schemas.openxmlformats.org/officeDocument/2006/relationships/hyperlink" Target="https://doi.org/10.1001/jamaoncol.2022.2319" TargetMode="External"/><Relationship Id="rId103" Type="http://schemas.openxmlformats.org/officeDocument/2006/relationships/hyperlink" Target="https://drliuhao.github.io/mh-liver-pathways/evidence-libraries/" TargetMode="External"/><Relationship Id="rId104" Type="http://schemas.openxmlformats.org/officeDocument/2006/relationships/hyperlink" Target="https://doi.org/10.1016/S2468-1253(23)00405-3" TargetMode="External"/><Relationship Id="rId105" Type="http://schemas.openxmlformats.org/officeDocument/2006/relationships/hyperlink" Target="https://drliuhao.github.io/mh-liver-pathways/evidence-libraries/" TargetMode="External"/><Relationship Id="rId106" Type="http://schemas.openxmlformats.org/officeDocument/2006/relationships/hyperlink" Target="https://doi.org/10.1016/S0140-6736(25)01685-X" TargetMode="External"/><Relationship Id="rId107" Type="http://schemas.openxmlformats.org/officeDocument/2006/relationships/hyperlink" Target="https://drliuhao.github.io/mh-liver-pathways/evidence-libraries/" TargetMode="External"/><Relationship Id="rId108" Type="http://schemas.openxmlformats.org/officeDocument/2006/relationships/hyperlink" Target="https://doi.org/10.1056/NEJMoa1011923" TargetMode="External"/><Relationship Id="rId109" Type="http://schemas.openxmlformats.org/officeDocument/2006/relationships/hyperlink" Target="https://drliuhao.github.io/mh-liver-pathways/evidence-libraries/" TargetMode="External"/><Relationship Id="rId110" Type="http://schemas.openxmlformats.org/officeDocument/2006/relationships/hyperlink" Target="https://doi.org/10.1016/S0140-6736(23)01366-1" TargetMode="External"/><Relationship Id="rId111" Type="http://schemas.openxmlformats.org/officeDocument/2006/relationships/hyperlink" Target="https://drliuhao.github.io/mh-liver-pathways/evidence-libraries/" TargetMode="External"/><Relationship Id="rId112" Type="http://schemas.openxmlformats.org/officeDocument/2006/relationships/hyperlink" Target="https://doi.org/10.1056/NEJMoa1304369" TargetMode="External"/><Relationship Id="rId113" Type="http://schemas.openxmlformats.org/officeDocument/2006/relationships/hyperlink" Target="https://drliuhao.github.io/mh-liver-pathways/evidence-libraries/" TargetMode="External"/><Relationship Id="rId114" Type="http://schemas.openxmlformats.org/officeDocument/2006/relationships/hyperlink" Target="https://doi.org/10.1016/S0140-6736(15)00986-1" TargetMode="External"/><Relationship Id="rId115" Type="http://schemas.openxmlformats.org/officeDocument/2006/relationships/hyperlink" Target="https://drliuhao.github.io/mh-liver-pathways/evidence-libraries/" TargetMode="External"/><Relationship Id="rId116" Type="http://schemas.openxmlformats.org/officeDocument/2006/relationships/hyperlink" Target="https://doi.org/10.1056/NEJMoa2605555" TargetMode="External"/><Relationship Id="rId117" Type="http://schemas.openxmlformats.org/officeDocument/2006/relationships/hyperlink" Target="https://drliuhao.github.io/mh-liver-pathways/evidence-libraries/" TargetMode="External"/><Relationship Id="rId118" Type="http://schemas.openxmlformats.org/officeDocument/2006/relationships/hyperlink" Target="https://www.fda.gov/drugs/resources-information-approved-drugs/fda-approves-daraxonrasib-metastatic-pancreatic-adenocarcinoma" TargetMode="External"/><Relationship Id="rId119" Type="http://schemas.openxmlformats.org/officeDocument/2006/relationships/hyperlink" Target="https://doi.org/10.1056/NEJMoa1903387" TargetMode="External"/><Relationship Id="rId120" Type="http://schemas.openxmlformats.org/officeDocument/2006/relationships/hyperlink" Target="https://drliuhao.github.io/mh-liver-pathways/evidence-libraries/" TargetMode="External"/><Relationship Id="rId121" Type="http://schemas.openxmlformats.org/officeDocument/2006/relationships/hyperlink" Target="https://doi.org/10.1056/NEJMoa2405008" TargetMode="External"/><Relationship Id="rId122" Type="http://schemas.openxmlformats.org/officeDocument/2006/relationships/hyperlink" Target="https://drliuhao.github.io/mh-liver-pathways/evidence-libraries/" TargetMode="External"/><Relationship Id="rId123" Type="http://schemas.openxmlformats.org/officeDocument/2006/relationships/hyperlink" Target="https://doi.org/10.1097/SLA.0000000000005481" TargetMode="External"/><Relationship Id="rId124" Type="http://schemas.openxmlformats.org/officeDocument/2006/relationships/hyperlink" Target="https://doi.org/10.1016/S1470-2045(25)00714-4" TargetMode="External"/><Relationship Id="rId125" Type="http://schemas.openxmlformats.org/officeDocument/2006/relationships/hyperlink" Target="https://drliuhao.github.io/mh-liver-pathways/evidence-libraries/" TargetMode="External"/><Relationship Id="rId126" Type="http://schemas.openxmlformats.org/officeDocument/2006/relationships/hyperlink" Target="https://doi.org/10.1186/s12885-025-13573-7" TargetMode="External"/><Relationship Id="rId127" Type="http://schemas.openxmlformats.org/officeDocument/2006/relationships/hyperlink" Target="https://drliuhao.github.io/mh-liver-pathways/evidence-libraries/" TargetMode="External"/><Relationship Id="rId128" Type="http://schemas.openxmlformats.org/officeDocument/2006/relationships/hyperlink" Target="https://doi.org/10.1136/bmjopen-2019-033452" TargetMode="External"/><Relationship Id="rId129" Type="http://schemas.openxmlformats.org/officeDocument/2006/relationships/hyperlink" Target="https://doi.org/10.1016/j.ejso.2025.109598" TargetMode="External"/><Relationship Id="rId130" Type="http://schemas.openxmlformats.org/officeDocument/2006/relationships/hyperlink" Target="https://drliuhao.github.io/mh-liver-pathways/evidence-libraries/" TargetMode="External"/><Relationship Id="rId131" Type="http://schemas.openxmlformats.org/officeDocument/2006/relationships/hyperlink" Target="https://doi.org/10.3389/fsurg.2025.1535212" TargetMode="External"/><Relationship Id="rId132" Type="http://schemas.openxmlformats.org/officeDocument/2006/relationships/hyperlink" Target="https://doi.org/10.1016/j.esmoop.2022.100388" TargetMode="External"/><Relationship Id="rId133" Type="http://schemas.openxmlformats.org/officeDocument/2006/relationships/hyperlink" Target="https://doi.org/10.1093/bjsopen/zrag157" TargetMode="External"/><Relationship Id="rId134" Type="http://schemas.openxmlformats.org/officeDocument/2006/relationships/hyperlink" Target="https://doi.org/10.1016/j.ejso.2016.10.023" TargetMode="External"/><Relationship Id="rId135" Type="http://schemas.openxmlformats.org/officeDocument/2006/relationships/hyperlink" Target="https://doi.org/10.1002/cncr.23074" TargetMode="External"/><Relationship Id="rId136" Type="http://schemas.openxmlformats.org/officeDocument/2006/relationships/hyperlink" Target="https://doi.org/10.1245/s10434-017-5885-4" TargetMode="External"/><Relationship Id="rId137" Type="http://schemas.openxmlformats.org/officeDocument/2006/relationships/hyperlink" Target="https://doi.org/10.1007/s00535-026-02432-2" TargetMode="Externa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Memorial Hermann PDAC system roadmap v0.2</dc:title>
  <dc:subject>Pancreatic ductal adenocarcinoma</dc:subject>
  <dc:creator>Memorial Hermann / UTHealth Houston tumour roadmap programme</dc:creator>
  <dc:description>Draft under development. Not ratified clinical policy.</dc:description>
  <cp:lastModifiedBy>Un-named</cp:lastModifiedBy>
  <cp:revision>1</cp:revision>
  <dcterms:created xsi:type="dcterms:W3CDTF">2026-10-10T04:29:18.941Z</dcterms:created>
  <dcterms:modified xsi:type="dcterms:W3CDTF">2026-10-29T14:21:31Z</dcterms:modified>
</cp:coreProperties>
</file>

<file path=docProps/custom.xml><?xml version="1.0" encoding="utf-8"?>
<Properties xmlns="http://schemas.openxmlformats.org/officeDocument/2006/custom-properties" xmlns:vt="http://schemas.openxmlformats.org/officeDocument/2006/docPropsVTypes"/>
</file>