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Pancreatic neuroendocrine tumour, primary</w:t>
      </w:r>
    </w:p>
    <w:p>
      <w:pPr>
        <w:spacing w:after="120"/>
      </w:pPr>
      <w:r>
        <w:rPr>
          <w:i/>
          <w:sz w:val="18"/>
        </w:rPr>
        <w:t xml:space="preserve">Standardized document set, 29 October 2026: this is the full-content document for the cancer roadmap. Questions for consensus: pNET_2_Cancer_Roadmap_Questions.docx. Decision discussion for all settings: pNET_7_Decision_Discussion.docx. Web page: https://drliuhao.github.io/mh-liver-pathways/pnet/</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Pancreatic neuroendocrine tumour, primary · system roadmap V16 · Extrahepatic-disease update, 29 October 2026</w:t>
      </w:r>
    </w:p>
    <w:p>
      <w:pPr>
        <w:spacing w:after="320" w:line="276"/>
      </w:pPr>
      <w:r>
        <w:rPr>
          <w:color w:val="5A6069"/>
          <w:sz w:val="20"/>
          <w:szCs w:val="20"/>
        </w:rPr>
        <w:t xml:space="preserve">9 gates · 39 cited sources · 25 stated uncertainties · 15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What to do with the pancreatic primary once differentiation and the exact Ki-67 are known — observe it, enucleate it, or do a formal oncologic resection — and where this page stops and the NELM pathway begins.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Differentiation and grade</w:t>
      </w:r>
    </w:p>
    <w:p>
      <w:pPr>
        <w:spacing w:after="140"/>
      </w:pPr>
      <w:r>
        <w:rPr>
          <w:b/>
          <w:bCs/>
          <w:color w:val="176A87"/>
          <w:sz w:val="19"/>
          <w:szCs w:val="19"/>
        </w:rPr>
        <w:t xml:space="preserve">The question. </w:t>
      </w:r>
      <w:r>
        <w:rPr>
          <w:sz w:val="19"/>
          <w:szCs w:val="19"/>
        </w:rPr>
        <w:t xml:space="preserve">Is this a well-differentiated tumour, and do I have a number for Ki-67 rather than a range?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Well-differentiated neuroendocrine tumour, not a poorly differentiated neuroendocrine carcinoma</w:t>
      </w:r>
    </w:p>
    <w:p>
      <w:pPr>
        <w:pStyle w:val="ListParagraph"/>
        <w:numPr>
          <w:ilvl w:val="0"/>
          <w:numId w:val="2"/>
        </w:numPr>
        <w:spacing w:after="60" w:line="268"/>
      </w:pPr>
      <w:r>
        <w:rPr>
          <w:color w:val="15181F"/>
          <w:sz w:val="18"/>
          <w:szCs w:val="18"/>
        </w:rPr>
        <w:t xml:space="preserve">An exact Ki-67 proliferative index reported as a number, not a range, with the mitotic count per 2 mm²</w:t>
      </w:r>
    </w:p>
    <w:p>
      <w:pPr>
        <w:pStyle w:val="ListParagraph"/>
        <w:numPr>
          <w:ilvl w:val="0"/>
          <w:numId w:val="2"/>
        </w:numPr>
        <w:spacing w:after="60" w:line="268"/>
      </w:pPr>
      <w:r>
        <w:rPr>
          <w:color w:val="15181F"/>
          <w:sz w:val="18"/>
          <w:szCs w:val="18"/>
        </w:rPr>
        <w:t xml:space="preserve">Two of synaptophysin, chromogranin A and INSM1 positive, with a broad-spectrum keratin</w:t>
      </w:r>
    </w:p>
    <w:p>
      <w:pPr>
        <w:pStyle w:val="ListParagraph"/>
        <w:numPr>
          <w:ilvl w:val="0"/>
          <w:numId w:val="2"/>
        </w:numPr>
        <w:spacing w:after="60" w:line="268"/>
      </w:pPr>
      <w:r>
        <w:rPr>
          <w:color w:val="15181F"/>
          <w:sz w:val="18"/>
          <w:szCs w:val="18"/>
        </w:rPr>
        <w:t xml:space="preserve">Acinar cell carcinoma and the other neuroendocrine-marker mimics excluded where the morphology is unusual</w:t>
      </w:r>
    </w:p>
    <w:p>
      <w:pPr>
        <w:pStyle w:val="ListParagraph"/>
        <w:numPr>
          <w:ilvl w:val="0"/>
          <w:numId w:val="2"/>
        </w:numPr>
        <w:spacing w:after="60" w:line="268"/>
      </w:pPr>
      <w:r>
        <w:rPr>
          <w:color w:val="15181F"/>
          <w:sz w:val="18"/>
          <w:szCs w:val="18"/>
        </w:rPr>
        <w:t xml:space="preserve">Functional status recorded as a clinical and biochemical judgement, not an immunohistochemical one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Grade with the WHO 2019 criteria and insist on the exact Ki-67 index and the mitotic rate per 2 mm², with the raw counts reported.</w:t>
      </w:r>
    </w:p>
    <w:p>
      <w:pPr>
        <w:spacing w:after="50" w:line="276"/>
        <w:ind w:left="240"/>
      </w:pPr>
      <w:r>
        <w:rPr>
          <w:color w:val="15181F"/>
          <w:sz w:val="18"/>
          <w:szCs w:val="18"/>
        </w:rPr>
        <w:t xml:space="preserve">Every specimen, primary or metastatic, biopsy or resection, with at least 500 assessable tumour cells and no crush artefact. Ki-67 is counted in the hot spot of highest nuclear labelling; the mitotic rate is counted in the areas of highest density, per 2 mm², which equals 10 high-power fields at 40× with a 0.5 mm ocular field.</w:t>
      </w:r>
    </w:p>
    <w:p>
      <w:pPr>
        <w:spacing w:after="50"/>
        <w:ind w:left="240"/>
      </w:pPr>
      <w:r>
        <w:rPr>
          <w:b/>
          <w:bCs/>
          <w:color w:val="8C2F26"/>
          <w:sz w:val="18"/>
          <w:szCs w:val="18"/>
        </w:rPr>
        <w:t xml:space="preserve">Caveat. </w:t>
      </w:r>
      <w:r>
        <w:rPr>
          <w:color w:val="15181F"/>
          <w:sz w:val="18"/>
          <w:szCs w:val="18"/>
        </w:rPr>
        <w:t xml:space="preserve">Do not accept a report that says "neuroendocrine tumour" or "neuroendocrine carcinoma" without a grade and without the parameters used to assign it. NCCN states plainly that such a report is inadequate for prognostication and therapy and inappropriate for pathology reporting.</w:t>
      </w:r>
    </w:p>
    <w:p>
      <w:pPr>
        <w:spacing w:after="50" w:line="276"/>
        <w:ind w:left="240"/>
      </w:pPr>
      <w:r>
        <w:rPr>
          <w:i/>
          <w:iCs/>
          <w:color w:val="5A6069"/>
          <w:sz w:val="17"/>
          <w:szCs w:val="17"/>
        </w:rPr>
        <w:t xml:space="preserve">Where mitotic rate and Ki-67 give different grades, the higher grade is assigned. Where several blocks are available, stain the block with the highest mitotic index and grade on the highest index; with synchronous specimens from several sites, stain at least one block from each.</w:t>
      </w:r>
    </w:p>
    <w:p>
      <w:pPr>
        <w:spacing w:after="60" w:line="276"/>
        <w:ind w:left="240"/>
      </w:pPr>
      <w:r>
        <w:rPr>
          <w:color w:val="5A6069"/>
          <w:sz w:val="16"/>
          <w:szCs w:val="16"/>
        </w:rPr>
        <w:t xml:space="preserve">Sources: NANETS 2020 surgical; ENETS 2023 NF-PanNET</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Separate a well-differentiated grade 3 tumour from a poorly differentiated neuroendocrine carcinoma before any treatment decision — they are different diseases that share a Ki-67 range.</w:t>
      </w:r>
    </w:p>
    <w:p>
      <w:pPr>
        <w:spacing w:after="50" w:line="276"/>
        <w:ind w:left="240"/>
      </w:pPr>
      <w:r>
        <w:rPr>
          <w:color w:val="15181F"/>
          <w:sz w:val="18"/>
          <w:szCs w:val="18"/>
        </w:rPr>
        <w:t xml:space="preserve">Any pancreatic neuroendocrine neoplasm with Ki-67 above 20%. In 31 well-differentiated tumours with a morphologically apparent high-grade component, 21 of them pancreatic, median disease-specific survival was 55 months (range 16-119), with 2-year and 5-year survival of 88-89% and 48-49%. The institutional comparators were 162 months for low and intermediate grade pancreatic well-differentiated tumours (2-year and 5-year 97% and 90%) and 16 months for pancreatic poorly differentiated carcinoma (24% and 24%), p&lt;0.001. Genotype separates them: a DAXX, ATRX or MEN1 mutation was present in 35 of 63 (57%) low and intermediate grade tumours and in 3 of 4 sequenced transformed tumours against 0 of 28 carcinomas; Rb protein was lost in 0% of well-differentiated tumours of any grade against 59% of carcinomas; and p53 immunoreactivity was abnormal in 0% against 56%.</w:t>
      </w:r>
    </w:p>
    <w:p>
      <w:pPr>
        <w:spacing w:after="50"/>
        <w:ind w:left="240"/>
      </w:pPr>
      <w:r>
        <w:rPr>
          <w:b/>
          <w:bCs/>
          <w:color w:val="8C2F26"/>
          <w:sz w:val="18"/>
          <w:szCs w:val="18"/>
        </w:rPr>
        <w:t xml:space="preserve">Caveat. </w:t>
      </w:r>
      <w:r>
        <w:rPr>
          <w:color w:val="15181F"/>
          <w:sz w:val="18"/>
          <w:szCs w:val="18"/>
        </w:rPr>
        <w:t xml:space="preserve">Do not route a well-differentiated G3 tumour down a small-cell carcinoma pathway, and do not treat a poorly differentiated carcinoma as a NET because the Ki-67 happens to be 25%. NANETS reports a multi-institutional pathological review in which only 44 of 107 resected pancreatic tumours originally called poorly differentiated carcinoma actually were; that review is not in this page's full-text depot and the figure is quoted as NANETS states it.</w:t>
      </w:r>
    </w:p>
    <w:p>
      <w:pPr>
        <w:spacing w:after="50" w:line="276"/>
        <w:ind w:left="240"/>
      </w:pPr>
      <w:r>
        <w:rPr>
          <w:i/>
          <w:iCs/>
          <w:color w:val="5A6069"/>
          <w:sz w:val="17"/>
          <w:szCs w:val="17"/>
        </w:rPr>
        <w:t xml:space="preserve">Read the survival contrast carefully. In the stage-matched analysis restricted to stage IV, pancreatic grade 1-2 well-differentiated tumours and those with a high-grade component showed no statistically significant difference in disease-specific survival, and both did far better than poorly differentiated carcinoma (median 61 against 16 months, p&lt;0.001; hazard ratios 0.17 and 0.16 against carcinoma as reference). The 55-against-162-month comparison is unmatched, and it is the one the abstract leads with. The 31 cases were assembled by searching two pathology archives for grade discrepancy, so the series cannot say how often this happens, the genotype contrast rests on four prospectively sequenced tumours against literature controls, and 6 of the 31 were biopsies only in which the coexisting lower-grade component was inferred from clinical history rather than seen. In challenging cases, particularly in the pancreas, NCCN lists Rb, p53, p16, ATRX and DAXX as an optional panel to help distinguish G3 NET from carcinoma, read together with the clinical, functional-imaging and molecular picture. See gate 8 for what each diagnosis then means.</w:t>
      </w:r>
    </w:p>
    <w:p>
      <w:pPr>
        <w:spacing w:after="60" w:line="276"/>
        <w:ind w:left="240"/>
      </w:pPr>
      <w:r>
        <w:rPr>
          <w:color w:val="5A6069"/>
          <w:sz w:val="16"/>
          <w:szCs w:val="16"/>
        </w:rPr>
        <w:t xml:space="preserve">Sources: Tang 2016; NANETS 2020 surgical; ENETS 2023 NEC</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a grade obtained from a needle biopsy as a floor, not a fact — biopsy systematically understates grade in G2 disease.</w:t>
      </w:r>
    </w:p>
    <w:p>
      <w:pPr>
        <w:spacing w:after="50" w:line="276"/>
        <w:ind w:left="240"/>
      </w:pPr>
      <w:r>
        <w:rPr>
          <w:color w:val="15181F"/>
          <w:sz w:val="18"/>
          <w:szCs w:val="18"/>
        </w:rPr>
        <w:t xml:space="preserve">Any observation-versus-resection decision that rests on grade. In 46 tumours sampled by EUS-FNA at one centre, 33 of which were resected and available for comparison, agreement between readers was excellent within each modality (Pearson r-squared 0.93 on cytology and 0.94 on the resection specimen, both p&lt;0.001, with no grade disagreement between readers) - but agreement between cytological and histological grade was poor: kappa 0.21 (p=0.09), rising only to 0.24 (p=0.06) when restricted to the 27 cases with at least 200 cells counted, and no better at a 5% cut-off than at 2%. Cytology under-graded systematically: 10 of 14 histological G2 tumours (71%) were called cytological G1, and histological Ki-67 averaged 1.3 times the cytological value. Cytological grade still separated the worst group - actuarial progression-free survival 10 plus or minus 4 months for cytological G3 against 29 plus or minus 7 for G2 and 68 plus or minus 10 for G1 (p&lt;0.0001) - but cytological G1 and G2 did not differ for progression-free or overall survival.</w:t>
      </w:r>
    </w:p>
    <w:p>
      <w:pPr>
        <w:spacing w:after="50"/>
        <w:ind w:left="240"/>
      </w:pPr>
      <w:r>
        <w:rPr>
          <w:b/>
          <w:bCs/>
          <w:color w:val="8C2F26"/>
          <w:sz w:val="18"/>
          <w:szCs w:val="18"/>
        </w:rPr>
        <w:t xml:space="preserve">Caveat. </w:t>
      </w:r>
      <w:r>
        <w:rPr>
          <w:color w:val="15181F"/>
          <w:sz w:val="18"/>
          <w:szCs w:val="18"/>
        </w:rPr>
        <w:t xml:space="preserve">Do not promise a patient that a G1 biopsy means a G1 tumour. NANETS reports agreement of tumour grade between EUS-FNA cytology and the resection specimen in under 50% of G2 and G3 cases, and areas with Ki-67 of 2% or less were common even within G2 tumours. The only prospective study of fine-needle core biopsy in non-functional tumours found 83% concordance, in 30 patients; that study is quoted from the NANETS text and is not in this page's full-text depot.</w:t>
      </w:r>
    </w:p>
    <w:p>
      <w:pPr>
        <w:spacing w:after="50" w:line="276"/>
        <w:ind w:left="240"/>
      </w:pPr>
      <w:r>
        <w:rPr>
          <w:i/>
          <w:iCs/>
          <w:color w:val="5A6069"/>
          <w:sz w:val="17"/>
          <w:szCs w:val="17"/>
        </w:rPr>
        <w:t xml:space="preserve">Two cautions on the study itself. The four cytological G3 patients who drive the significant survival separation were all locally advanced, node-positive or metastatic at diagnosis, so cytological G3 may be marking stage rather than grade; and the concordance analysis could only include the resected tumours, so nothing in it describes how cytology performs in the small lesions actually being watched. Progression-free survival was also calculated independently of whether the tumour was removed, mixing resected and unresected patients in the same curves. Where additional tissue is needed for immunohistochemistry, add core biopsy to aspiration where it is available. [EXPERTISE]</w:t>
      </w:r>
    </w:p>
    <w:p>
      <w:pPr>
        <w:spacing w:after="60" w:line="276"/>
        <w:ind w:left="240"/>
      </w:pPr>
      <w:r>
        <w:rPr>
          <w:color w:val="5A6069"/>
          <w:sz w:val="16"/>
          <w:szCs w:val="16"/>
        </w:rPr>
        <w:t xml:space="preserve">Sources: Weynand 2014; NANETS 2020 surgical</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Biopsy is not obligatory to decide to observe a small incidental lesion with the imaging phenotype of a neuroendocrine tumour.</w:t>
      </w:r>
    </w:p>
    <w:p>
      <w:pPr>
        <w:spacing w:after="50" w:line="276"/>
        <w:ind w:left="240"/>
      </w:pPr>
      <w:r>
        <w:rPr>
          <w:color w:val="15181F"/>
          <w:sz w:val="18"/>
          <w:szCs w:val="18"/>
        </w:rPr>
        <w:t xml:space="preserve">An asymptomatic sub-centimetre lesion with characteristic arterial enhancement where the plan is surveillance whatever the grade. NANETS states that in such patients biopsy is not routinely necessary to confirm the diagnosis before deciding to observe.</w:t>
      </w:r>
    </w:p>
    <w:p>
      <w:pPr>
        <w:spacing w:after="50"/>
        <w:ind w:left="240"/>
      </w:pPr>
      <w:r>
        <w:rPr>
          <w:b/>
          <w:bCs/>
          <w:color w:val="8C2F26"/>
          <w:sz w:val="18"/>
          <w:szCs w:val="18"/>
        </w:rPr>
        <w:t xml:space="preserve">Caveat. </w:t>
      </w:r>
      <w:r>
        <w:rPr>
          <w:color w:val="15181F"/>
          <w:sz w:val="18"/>
          <w:szCs w:val="18"/>
        </w:rPr>
        <w:t xml:space="preserve">Do not skip tissue when the diagnosis is genuinely in question, when grade would change the plan, or when the lesion is 1-2 cm and the observe-or-resect decision is live - that is exactly the decision grade is meant to inform. And know that the guidelines disagree here. ENETS 2023, read in full, states that a suspected nonfunctioning tumour under 2 cm with positive somatostatin-receptor imaging should be confirmed histologically or cytologically where possible (level 3 evidence, grade B), and notes DAXX and ATRX loss and alternative lengthening of telomeres as independent adverse prognostic factors particularly in tumours of 2 cm or less. The 2025 MEN1 recommendations go the other way again and find no role for routine EUS-guided biopsy in that syndrome. See the honest section and approval 11.</w:t>
      </w:r>
    </w:p>
    <w:p>
      <w:pPr>
        <w:spacing w:after="50" w:line="276"/>
        <w:ind w:left="240"/>
      </w:pPr>
      <w:r>
        <w:rPr>
          <w:i/>
          <w:iCs/>
          <w:color w:val="5A6069"/>
          <w:sz w:val="17"/>
          <w:szCs w:val="17"/>
        </w:rPr>
        <w:t xml:space="preserve">The ASPEN study required a positive fine-needle aspirate or biopsy, or a positive 68Ga-labelled DOTA PET, before enrolment - but in practice 170 of its 500 patients (34%) never had an aspirate, it was negative in a further 45 (9%), and grade was not evaluable in 68 of the 285 who did have one (23.9%). So its reassuring surveillance figures come from a population in which the diagnosis was often established by receptor PET alone and in which the surveillance arm has no histological characterisation at all.</w:t>
      </w:r>
    </w:p>
    <w:p>
      <w:pPr>
        <w:spacing w:after="60" w:line="276"/>
        <w:ind w:left="240"/>
      </w:pPr>
      <w:r>
        <w:rPr>
          <w:color w:val="5A6069"/>
          <w:sz w:val="16"/>
          <w:szCs w:val="16"/>
        </w:rPr>
        <w:t xml:space="preserve">Sources: NANETS 2020 surgical; ENETS 2023 NF-PanNET; ASPEN interim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Order molecular profiling where the disease is locoregionally unresectable or metastatic and the patient is a candidate for systemic therapy.</w:t>
      </w:r>
    </w:p>
    <w:p>
      <w:pPr>
        <w:spacing w:after="50" w:line="276"/>
        <w:ind w:left="240"/>
      </w:pPr>
      <w:r>
        <w:rPr>
          <w:color w:val="15181F"/>
          <w:sz w:val="18"/>
          <w:szCs w:val="18"/>
        </w:rPr>
        <w:t xml:space="preserve">Tumour tissue is preferred; circulating tumour DNA is an option when tissue testing is not feasible. ENETS encourages molecular profiling in neuroendocrine carcinoma specifically, to identify new targets, while saying plainly that the targets are not yet established.</w:t>
      </w:r>
    </w:p>
    <w:p>
      <w:pPr>
        <w:spacing w:after="50"/>
        <w:ind w:left="240"/>
      </w:pPr>
      <w:r>
        <w:rPr>
          <w:b/>
          <w:bCs/>
          <w:color w:val="8C2F26"/>
          <w:sz w:val="18"/>
          <w:szCs w:val="18"/>
        </w:rPr>
        <w:t xml:space="preserve">Caveat. </w:t>
      </w:r>
      <w:r>
        <w:rPr>
          <w:color w:val="15181F"/>
          <w:sz w:val="18"/>
          <w:szCs w:val="18"/>
        </w:rPr>
        <w:t xml:space="preserve">Do not profile a small localised G1 tumour that is going to be observed or enucleated: nothing in the result changes that decision, and there is no established targeted therapy in this setting.</w:t>
      </w:r>
    </w:p>
    <w:p>
      <w:pPr>
        <w:spacing w:after="60" w:line="276"/>
        <w:ind w:left="240"/>
      </w:pPr>
      <w:r>
        <w:rPr>
          <w:color w:val="5A6069"/>
          <w:sz w:val="16"/>
          <w:szCs w:val="16"/>
        </w:rPr>
        <w:t xml:space="preserve">Sources: ENETS 2023 NEC</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 hormone immunostain decide whether the tumour is functional.</w:t>
      </w:r>
    </w:p>
    <w:p>
      <w:pPr>
        <w:spacing w:after="50" w:line="276"/>
        <w:ind w:left="240"/>
      </w:pPr>
      <w:r>
        <w:rPr>
          <w:color w:val="15181F"/>
          <w:sz w:val="18"/>
          <w:szCs w:val="18"/>
        </w:rPr>
        <w:t xml:space="preserve">Functional status is a clinical syndrome plus biochemical evidence of inappropriately raised hormone — that is the ENETS definition and it is what gate 3 works from.</w:t>
      </w:r>
    </w:p>
    <w:p>
      <w:pPr>
        <w:spacing w:after="50"/>
        <w:ind w:left="240"/>
      </w:pPr>
      <w:r>
        <w:rPr>
          <w:b/>
          <w:bCs/>
          <w:color w:val="8C2F26"/>
          <w:sz w:val="18"/>
          <w:szCs w:val="18"/>
        </w:rPr>
        <w:t xml:space="preserve">Caveat. </w:t>
      </w:r>
      <w:r>
        <w:rPr>
          <w:color w:val="15181F"/>
          <w:sz w:val="18"/>
          <w:szCs w:val="18"/>
        </w:rPr>
        <w:t xml:space="preserve">NCCN states that hormone staining by immunohistochemistry is not helpful and that a positive stain does not mean there is a functional tumour. Chasing a positive insulin stain in an asymptomatic normoglycaemic patient produces an operation nobody needed.</w:t>
      </w:r>
    </w:p>
    <w:p>
      <w:pPr>
        <w:spacing w:after="60" w:line="276"/>
        <w:ind w:left="240"/>
      </w:pPr>
      <w:r>
        <w:rPr>
          <w:color w:val="5A6069"/>
          <w:sz w:val="16"/>
          <w:szCs w:val="16"/>
        </w:rPr>
        <w:t xml:space="preserve">Sources: ENETS 2023 functioning</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the diagnostic label "carcinoma with neuroendocrine features".</w:t>
      </w:r>
    </w:p>
    <w:p>
      <w:pPr>
        <w:spacing w:after="50" w:line="276"/>
        <w:ind w:left="240"/>
      </w:pPr>
      <w:r>
        <w:rPr>
          <w:color w:val="15181F"/>
          <w:sz w:val="18"/>
          <w:szCs w:val="18"/>
        </w:rPr>
        <w:t xml:space="preserve">Ask for a definite WHO classification. Where the histology is genuinely ambiguous the report should say so, recommend clinical correlation and recommend a broad next-generation sequencing panel.</w:t>
      </w:r>
    </w:p>
    <w:p>
      <w:pPr>
        <w:spacing w:after="50"/>
        <w:ind w:left="240"/>
      </w:pPr>
      <w:r>
        <w:rPr>
          <w:b/>
          <w:bCs/>
          <w:color w:val="8C2F26"/>
          <w:sz w:val="18"/>
          <w:szCs w:val="18"/>
        </w:rPr>
        <w:t xml:space="preserve">Caveat. </w:t>
      </w:r>
      <w:r>
        <w:rPr>
          <w:color w:val="15181F"/>
          <w:sz w:val="18"/>
          <w:szCs w:val="18"/>
        </w:rPr>
        <w:t xml:space="preserve">Adenocarcinomas of the GI tract often express neuroendocrine markers patchily with no survival or management significance, and that patchy expression is a common route into the wrong pathway. In higher-grade pancreatic neoplasms, trypsin, chymotrypsin and BCL10 help exclude an acinar cell carcinoma expressing neuroendocrine markers.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Stage the primary, and read the two PETs</w:t>
      </w:r>
    </w:p>
    <w:p>
      <w:pPr>
        <w:spacing w:after="140"/>
      </w:pPr>
      <w:r>
        <w:rPr>
          <w:b/>
          <w:bCs/>
          <w:color w:val="176A87"/>
          <w:sz w:val="19"/>
          <w:szCs w:val="19"/>
        </w:rPr>
        <w:t xml:space="preserve">The question. </w:t>
      </w:r>
      <w:r>
        <w:rPr>
          <w:sz w:val="19"/>
          <w:szCs w:val="19"/>
        </w:rPr>
        <w:t xml:space="preserve">Is this disease confined to the pancreas, and does a discordant pair of PET scans tell me the grade on the biopsy is wrong?</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Multiphasic CT or MRI of the abdomen, with arterial and portal venous phases, covering the whole pancreas</w:t>
      </w:r>
    </w:p>
    <w:p>
      <w:pPr>
        <w:pStyle w:val="ListParagraph"/>
        <w:numPr>
          <w:ilvl w:val="0"/>
          <w:numId w:val="2"/>
        </w:numPr>
        <w:spacing w:after="60" w:line="268"/>
      </w:pPr>
      <w:r>
        <w:rPr>
          <w:color w:val="15181F"/>
          <w:sz w:val="18"/>
          <w:szCs w:val="18"/>
        </w:rPr>
        <w:t xml:space="preserve">Somatostatin-receptor PET/CT or PET/MRI where receptor status or occult metastatic disease would change the plan</w:t>
      </w:r>
    </w:p>
    <w:p>
      <w:pPr>
        <w:pStyle w:val="ListParagraph"/>
        <w:numPr>
          <w:ilvl w:val="0"/>
          <w:numId w:val="2"/>
        </w:numPr>
        <w:spacing w:after="60" w:line="268"/>
      </w:pPr>
      <w:r>
        <w:rPr>
          <w:color w:val="15181F"/>
          <w:sz w:val="18"/>
          <w:szCs w:val="18"/>
        </w:rPr>
        <w:t xml:space="preserve">Chest CT, and FDG-PET where the tumour is G2 or higher</w:t>
      </w:r>
    </w:p>
    <w:p>
      <w:pPr>
        <w:pStyle w:val="ListParagraph"/>
        <w:numPr>
          <w:ilvl w:val="0"/>
          <w:numId w:val="2"/>
        </w:numPr>
        <w:spacing w:after="60" w:line="268"/>
      </w:pPr>
      <w:r>
        <w:rPr>
          <w:color w:val="15181F"/>
          <w:sz w:val="18"/>
          <w:szCs w:val="18"/>
        </w:rPr>
        <w:t xml:space="preserve">Main pancreatic duct calibre, tumour calcification and cystic morphology recorded explicitly</w:t>
      </w:r>
    </w:p>
    <w:p>
      <w:pPr>
        <w:pStyle w:val="ListParagraph"/>
        <w:numPr>
          <w:ilvl w:val="0"/>
          <w:numId w:val="2"/>
        </w:numPr>
        <w:spacing w:after="60" w:line="268"/>
      </w:pPr>
      <w:r>
        <w:rPr>
          <w:color w:val="15181F"/>
          <w:sz w:val="18"/>
          <w:szCs w:val="18"/>
        </w:rPr>
        <w:t xml:space="preserve">Liver and nodal status stated before any operation is booked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If staging shows hepatic metastases, the hepatic disease is the NELM pathway from here — this page covers the primary only.</w:t>
      </w:r>
    </w:p>
    <w:p>
      <w:pPr>
        <w:spacing w:after="50" w:line="276"/>
        <w:ind w:left="240"/>
      </w:pPr>
      <w:r>
        <w:rPr>
          <w:color w:val="15181F"/>
          <w:sz w:val="18"/>
          <w:szCs w:val="18"/>
        </w:rPr>
        <w:t xml:space="preserve">Hand off at this gate, by name, as soon as liver deposits are seen. The NELM page carries hepatic tumour burden and distribution, cytoreduction thresholds, liver-directed modality choice, systemic sequencing for grade 1–2 and high-grade disease, carcinoid-crisis precautions and the transplant question. It also carries the decision about resecting the pancreatic primary when liver metastases are present, where NANETS reached no consensus and the majority view was that resection may help only in selected circumstances.</w:t>
      </w:r>
    </w:p>
    <w:p>
      <w:pPr>
        <w:spacing w:after="50"/>
        <w:ind w:left="240"/>
      </w:pPr>
      <w:r>
        <w:rPr>
          <w:b/>
          <w:bCs/>
          <w:color w:val="8C2F26"/>
          <w:sz w:val="18"/>
          <w:szCs w:val="18"/>
        </w:rPr>
        <w:t xml:space="preserve">Caveat. </w:t>
      </w:r>
      <w:r>
        <w:rPr>
          <w:color w:val="15181F"/>
          <w:sz w:val="18"/>
          <w:szCs w:val="18"/>
        </w:rPr>
        <w:t xml:space="preserve">Do not make the primary-resection decision in metastatic disease on this page. Two specific warnings travel with the patient: NCCN states that pancreatoduodenectomy in metastatic disease is usually not curative and affects liver-directed therapy long term, and that liver-directed therapies for hepatic metastases after pancreatoduodenectomy carry an increased risk of cholangitis and liver abscess. That makes the sequence a joint decision between this gate and the NELM pathway, not a pancreatic one.</w:t>
      </w:r>
    </w:p>
    <w:p>
      <w:pPr>
        <w:spacing w:after="50" w:line="276"/>
        <w:ind w:left="240"/>
      </w:pPr>
      <w:r>
        <w:rPr>
          <w:i/>
          <w:iCs/>
          <w:color w:val="5A6069"/>
          <w:sz w:val="17"/>
          <w:szCs w:val="17"/>
        </w:rPr>
        <w:t xml:space="preserve">Locoregionally advanced unresectable disease without liver metastases is also outside this page's scope: it is a systemic-therapy decision and NCCN's pancreatic NET systemic principles apply.</w:t>
      </w:r>
    </w:p>
    <w:p>
      <w:pPr>
        <w:spacing w:after="60" w:line="276"/>
        <w:ind w:left="240"/>
      </w:pPr>
      <w:r>
        <w:rPr>
          <w:color w:val="5A6069"/>
          <w:sz w:val="16"/>
          <w:szCs w:val="16"/>
        </w:rPr>
        <w:t xml:space="preserve">Sources: NANETS 2020 surgical</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Use somatostatin-receptor PET rather than octreotide scintigraphy, and read it together with multiphase contrast CT or MRI in the same sitting where the scanner allows it.</w:t>
      </w:r>
    </w:p>
    <w:p>
      <w:pPr>
        <w:spacing w:after="50" w:line="276"/>
        <w:ind w:left="240"/>
      </w:pPr>
      <w:r>
        <w:rPr>
          <w:color w:val="15181F"/>
          <w:sz w:val="18"/>
          <w:szCs w:val="18"/>
        </w:rPr>
        <w:t xml:space="preserve">Staging where occult metastatic disease would change the operation, and localising a primary in a patient who presents with metastases. In a prospective single-centre study of 131 patients imaged with all three modalities and read independently and blind, 68Ga-DOTATATE PET/CT detected 847 of 891 lesions, 95.1% (95% CI 92.4-96.8), against 404 of 891, 45.3% (37.9-52.9), for anatomic imaging and 275 of 891, 30.9% (25.0-37.5), for 111In-pentetreotide SPECT/CT (p&lt;0.001 for both comparisons), and the PET changed the management recommendation in 43 of 131 patients (32.8%). A previously unknown primary was found in 4 of 14 patients (28.6%).</w:t>
      </w:r>
    </w:p>
    <w:p>
      <w:pPr>
        <w:spacing w:after="50"/>
        <w:ind w:left="240"/>
      </w:pPr>
      <w:r>
        <w:rPr>
          <w:b/>
          <w:bCs/>
          <w:color w:val="8C2F26"/>
          <w:sz w:val="18"/>
          <w:szCs w:val="18"/>
        </w:rPr>
        <w:t xml:space="preserve">Caveat. </w:t>
      </w:r>
      <w:r>
        <w:rPr>
          <w:color w:val="15181F"/>
          <w:sz w:val="18"/>
          <w:szCs w:val="18"/>
        </w:rPr>
        <w:t xml:space="preserve">Do not read the PET alone. Contrast CT or MRI is what identifies the receptor-negative deposits, and NCCN requires the two together. Acceptable tracers are 68Ga-DOTATATE, 68Ga-DOTATOC and 64Cu-DOTATATE; a lesion counts as receptor-positive when uptake exceeds liver, and the modified Krenning score runs 0 none, 1 very low, 2 at or below liver, 3 above liver, 4 above spleen.</w:t>
      </w:r>
    </w:p>
    <w:p>
      <w:pPr>
        <w:spacing w:after="50" w:line="276"/>
        <w:ind w:left="240"/>
      </w:pPr>
      <w:r>
        <w:rPr>
          <w:i/>
          <w:iCs/>
          <w:color w:val="5A6069"/>
          <w:sz w:val="17"/>
          <w:szCs w:val="17"/>
        </w:rPr>
        <w:t xml:space="preserve">Grade C, downgraded on the full-text read, and the detection figures have to be read against their reference standard. The denominator of 891 lesions is the union of lesions seen on any of the three tests, which structurally pushes the most sensitive modality toward 100% and the others downward. In the 25 patients (19%) who were operated and so had histology, per-lesion true positives fell to 72 of 113 (63.7%) for the PET, 44 of 113 (38.9%) for CT or MRI and 25 of 113 (22.1%) for SPECT/CT - and all 38 histologically proven lesions missed by every imaging test were nodal metastases. Only 110 of the 891 lesions were pancreatic, the cohort was enriched for MEN1 and VHL by inclusion criterion, change in management was adjudicated unblinded by the team that ordered the scans, and there are no follow-up or outcome data. Receptor PET is not a surveillance test: NCCN states that somatostatin-receptor imaging and FDG-PET are not recommended for routine surveillance, and the SNMMI/EANM standard adds that a rise or fall in lesional uptake must not be read as response or progression the way it would be with other tracers. [EXPERTISE]</w:t>
      </w:r>
    </w:p>
    <w:p>
      <w:pPr>
        <w:spacing w:after="60" w:line="276"/>
        <w:ind w:left="240"/>
      </w:pPr>
      <w:r>
        <w:rPr>
          <w:color w:val="5A6069"/>
          <w:sz w:val="16"/>
          <w:szCs w:val="16"/>
        </w:rPr>
        <w:t xml:space="preserve">Sources: Sadowski 2016; SNMMI/EANM SSTR PET; NANETS 2020 surgical</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the main pancreatic duct calibre, any calcification and whether the lesion is cystic — all three carry information that size does not.</w:t>
      </w:r>
    </w:p>
    <w:p>
      <w:pPr>
        <w:spacing w:after="50" w:line="276"/>
        <w:ind w:left="240"/>
      </w:pPr>
      <w:r>
        <w:rPr>
          <w:color w:val="15181F"/>
          <w:sz w:val="18"/>
          <w:szCs w:val="18"/>
        </w:rPr>
        <w:t xml:space="preserve">Every lesion being considered for observation. In 981 patients resected for well-differentiated tumours at eight centres, calcification was present in 122 of 697 assessable patients (18%) and a predominantly cystic appearance in 120 of 702 (17%). Calcified tumours were larger (3.2 against 2.0 cm, p=0.001) and more often had Ki-67 of 3% or more (47% against 33%, p=0.029), lymphovascular invasion (42% against 27%, p=0.005), nodal metastasis (36% against 24%, p=0.011), distant metastasis (13% against 4%, p&lt;0.001) and metastasis on preoperative imaging (17% against 7%, p=0.001). Cystic tumours were less often node positive (12% against 30%, p&lt;0.001). Five-year recurrence-free survival was 66% with calcification against 79% without (p=0.002) and 83% for cystic against 73% for solid (p=0.033); in the four-way comparison it was 91% for cystic without calcification (n=89), 77% for solid without calcification (n=494), 69% for solid with calcification and 67% for cystic with calcification (n=16), p=0.043. A dilated duct is the ASPEN study's single strongest stated warning sign.</w:t>
      </w:r>
    </w:p>
    <w:p>
      <w:pPr>
        <w:spacing w:after="50"/>
        <w:ind w:left="240"/>
      </w:pPr>
      <w:r>
        <w:rPr>
          <w:b/>
          <w:bCs/>
          <w:color w:val="8C2F26"/>
          <w:sz w:val="18"/>
          <w:szCs w:val="18"/>
        </w:rPr>
        <w:t xml:space="preserve">Caveat. </w:t>
      </w:r>
      <w:r>
        <w:rPr>
          <w:color w:val="15181F"/>
          <w:sz w:val="18"/>
          <w:szCs w:val="18"/>
        </w:rPr>
        <w:t xml:space="preserve">Do not call a calcified lesion low risk because it measures 1.4 cm, and do not treat a dilated duct as incidental - see the flagged disagreement at gate 4. Equally, do not convert either feature into a threshold. This is information for the board to weigh alongside grade and growth, not a rule.</w:t>
      </w:r>
    </w:p>
    <w:p>
      <w:pPr>
        <w:spacing w:after="50" w:line="276"/>
        <w:ind w:left="240"/>
      </w:pPr>
      <w:r>
        <w:rPr>
          <w:i/>
          <w:iCs/>
          <w:color w:val="5A6069"/>
          <w:sz w:val="17"/>
          <w:szCs w:val="17"/>
        </w:rPr>
        <w:t xml:space="preserve">Grade D, downgraded on the full-text read. Calcification's independent hazard ratio was 11.5 with a 95% confidence interval of 1.1 to 125.0 at p=0.043, in a Cox model that also returned 25.2 (4.4-142.9) for nodal and 33.0 (4.4-249.3) for distant metastasis - the signature of far too few recurrence events for the covariates entered, with no event count reported anywhere in the paper. Cystic morphology, one of its two headline features, was not independently prognostic at all (HR 1.6, 0.2-14.3, p=0.69), although the abstract presents both as usable for stratification. Imaging was classified from radiology report wording rather than by central re-read, across eight institutions and seventeen years of changing technique; 28-29% of the cohort has no data on the two exposures of interest and the analysis is complete-case with no imputation; median follow-up was 35 months in a disease that recurs at a median of 4 to 7 years; the cystic-and-calcified cell that anchors the four-way comparison contains 16 patients; and no patient in the cohort was observed, which the authors concede before recommending the features for the observation decision anyway.</w:t>
      </w:r>
    </w:p>
    <w:p>
      <w:pPr>
        <w:spacing w:after="60" w:line="276"/>
        <w:ind w:left="240"/>
      </w:pPr>
      <w:r>
        <w:rPr>
          <w:color w:val="5A6069"/>
          <w:sz w:val="16"/>
          <w:szCs w:val="16"/>
        </w:rPr>
        <w:t xml:space="preserve">Sources: ASPEN interim; Makris 2023</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 G2 or higher tumour has had both a receptor PET and an FDG-PET, record and report the pair together - a discordant result carries prognostic information that grade alone does not.</w:t>
      </w:r>
    </w:p>
    <w:p>
      <w:pPr>
        <w:spacing w:after="50" w:line="276"/>
        <w:ind w:left="240"/>
      </w:pPr>
      <w:r>
        <w:rPr>
          <w:color w:val="15181F"/>
          <w:sz w:val="18"/>
          <w:szCs w:val="18"/>
        </w:rPr>
        <w:t xml:space="preserve">The NETPET grade summarises the pair on the single lesion that is most FDG-avid relative to its receptor uptake, plus the burden of such lesions. In the 62-patient derivation cohort, median overall survival was not reached for receptor-positive, FDG-negative disease (P1) or for the mixed group (P2-4) and was 11 months for significant FDG-positive, receptor-negative disease (P5), p=0.0018. In a 319-patient three-centre cohort, median overall survival was 101.8, 46.5 and 11.5 months and median time to progression 25.5, 16.7 and 6.6 months across the same three strata (both p&lt;0.001), with the score independent of histological grade on multivariable analysis (HR 2.376, 95% CI 1.682-3.357, p&lt;0.001) and grade independent of the score (HR 1.615, 1.192-2.187, p=0.002). Inter-rater kappa was 0.8 and intra-rater kappa 0.9.</w:t>
      </w:r>
    </w:p>
    <w:p>
      <w:pPr>
        <w:spacing w:after="50"/>
        <w:ind w:left="240"/>
      </w:pPr>
      <w:r>
        <w:rPr>
          <w:b/>
          <w:bCs/>
          <w:color w:val="8C2F26"/>
          <w:sz w:val="18"/>
          <w:szCs w:val="18"/>
        </w:rPr>
        <w:t xml:space="preserve">Caveat. </w:t>
      </w:r>
      <w:r>
        <w:rPr>
          <w:color w:val="15181F"/>
          <w:sz w:val="18"/>
          <w:szCs w:val="18"/>
        </w:rPr>
        <w:t xml:space="preserve">Do not use this to decide an operation on a localised primary. Both cohorts were metastatic or unresectable disease; only 39% and 36% of patients had pancreatic primaries and no pancreas-specific subgroup is reported in either; two of the three validation centres supplied the original derivation data, so this is partly a re-analysis rather than external validation; and treatment was not modelled in either paper, which matters because receptor-positive, FDG-negative disease is precisely the eligibility criterion for peptide receptor radionuclide therapy, so part of the P1 advantage is access to an effective drug. The 5-point scale has never been shown to be prognostic level by level - every published analysis collapses it to three categories, and several sub-grades contained a single patient. The score carries no treatment threshold.</w:t>
      </w:r>
    </w:p>
    <w:p>
      <w:pPr>
        <w:spacing w:after="50" w:line="276"/>
        <w:ind w:left="240"/>
      </w:pPr>
      <w:r>
        <w:rPr>
          <w:i/>
          <w:iCs/>
          <w:color w:val="5A6069"/>
          <w:sz w:val="17"/>
          <w:szCs w:val="17"/>
        </w:rPr>
        <w:t xml:space="preserve">The SNMMI/EANM procedure standard makes the same point more cautiously: FDG positivity is not rare in G1 and G2 tumours and predicts progression and prognosis more strongly than tumour grade, and combining the two scans can identify the highest-grade, most aggressive lesion and direct a biopsy to it. What no source gives is what to do with the result in a localised primary. See the honest section. [EXPERTISE]</w:t>
      </w:r>
    </w:p>
    <w:p>
      <w:pPr>
        <w:spacing w:after="60" w:line="276"/>
        <w:ind w:left="240"/>
      </w:pPr>
      <w:r>
        <w:rPr>
          <w:color w:val="5A6069"/>
          <w:sz w:val="16"/>
          <w:szCs w:val="16"/>
        </w:rPr>
        <w:t xml:space="preserve">Sources: NETPET derivation; NETPET validation; SNMMI/EANM SSTR PET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operate on uncinate-process or tail uptake seen on a somatostatin-receptor PET without a lesion on dedicated pancreas-protocol CT or MRI.</w:t>
      </w:r>
    </w:p>
    <w:p>
      <w:pPr>
        <w:spacing w:after="50" w:line="276"/>
        <w:ind w:left="240"/>
      </w:pPr>
      <w:r>
        <w:rPr>
          <w:color w:val="15181F"/>
          <w:sz w:val="18"/>
          <w:szCs w:val="18"/>
        </w:rPr>
        <w:t xml:space="preserve">When pancreatic uptake is seen, obtain pancreas-protocol contrast CT to establish whether there is an underlying lesion at all.</w:t>
      </w:r>
    </w:p>
    <w:p>
      <w:pPr>
        <w:spacing w:after="50"/>
        <w:ind w:left="240"/>
      </w:pPr>
      <w:r>
        <w:rPr>
          <w:b/>
          <w:bCs/>
          <w:color w:val="8C2F26"/>
          <w:sz w:val="18"/>
          <w:szCs w:val="18"/>
        </w:rPr>
        <w:t xml:space="preserve">Caveat. </w:t>
      </w:r>
      <w:r>
        <w:rPr>
          <w:color w:val="15181F"/>
          <w:sz w:val="18"/>
          <w:szCs w:val="18"/>
        </w:rPr>
        <w:t xml:space="preserve">Physiological pancreatic uptake is described in over half of patients imaged with receptor PET, there is substantial overlap between physiological and malignant activity, and uptake alone cannot characterise a pancreatic finding. The SNMMI/EANM procedure standard says the same and goes no further: physiologically increased uptake in the pancreatic head and uncinate process occurs in a large proportion of patients and overlaps substantially with the standardised uptake values of true lesions in that region, and the standard offers no decision rule beyond correlating with multiphase CT or MRI and following the patient up. Receptor PET also cannot distinguish a splenule or an intrapancreatic splenule from a small tumour - both take up as avidly as spleen - and should not be used to try.</w:t>
      </w:r>
    </w:p>
    <w:p>
      <w:pPr>
        <w:spacing w:after="60" w:line="276"/>
        <w:ind w:left="240"/>
      </w:pPr>
      <w:r>
        <w:rPr>
          <w:color w:val="5A6069"/>
          <w:sz w:val="16"/>
          <w:szCs w:val="16"/>
        </w:rPr>
        <w:t xml:space="preserve">Sources: NANETS 2020 surgical; SNMMI/EANM SSTR PET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somatostatin-receptor imaging to stage a poorly differentiated neuroendocrine carcinoma as a matter of routine.</w:t>
      </w:r>
    </w:p>
    <w:p>
      <w:pPr>
        <w:spacing w:after="50" w:line="276"/>
        <w:ind w:left="240"/>
      </w:pPr>
      <w:r>
        <w:rPr>
          <w:color w:val="15181F"/>
          <w:sz w:val="18"/>
          <w:szCs w:val="18"/>
        </w:rPr>
        <w:t xml:space="preserve">Multiphasic CT of chest, abdomen and pelvis, with brain imaging and FDG-PET as appropriate, is the staging package NCCN sets for this disease.</w:t>
      </w:r>
    </w:p>
    <w:p>
      <w:pPr>
        <w:spacing w:after="50"/>
        <w:ind w:left="240"/>
      </w:pPr>
      <w:r>
        <w:rPr>
          <w:b/>
          <w:bCs/>
          <w:color w:val="8C2F26"/>
          <w:sz w:val="18"/>
          <w:szCs w:val="18"/>
        </w:rPr>
        <w:t xml:space="preserve">Caveat. </w:t>
      </w:r>
      <w:r>
        <w:rPr>
          <w:color w:val="15181F"/>
          <w:sz w:val="18"/>
          <w:szCs w:val="18"/>
        </w:rPr>
        <w:t xml:space="preserve">NCCN states that receptor-based imaging is not part of the routine evaluation of poorly differentiated carcinoma. A negative receptor scan in that setting answers a question nobody needed to ask and delays treatment that is time-critical.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The functional syndrome, and what it changes</w:t>
      </w:r>
    </w:p>
    <w:p>
      <w:pPr>
        <w:spacing w:after="140"/>
      </w:pPr>
      <w:r>
        <w:rPr>
          <w:b/>
          <w:bCs/>
          <w:color w:val="176A87"/>
          <w:sz w:val="19"/>
          <w:szCs w:val="19"/>
        </w:rPr>
        <w:t xml:space="preserve">The question. </w:t>
      </w:r>
      <w:r>
        <w:rPr>
          <w:sz w:val="19"/>
          <w:szCs w:val="19"/>
        </w:rPr>
        <w:t xml:space="preserve">Which hormone am I treating, where exactly is the tumour, and does the syndrome change the operation or only the preparation for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Insulinoma — neuroglycopenic symptoms with raised insulin, pro-insulin and C-peptide during concurrent hypoglycaemia</w:t>
      </w:r>
    </w:p>
    <w:p>
      <w:pPr>
        <w:pStyle w:val="ListParagraph"/>
        <w:numPr>
          <w:ilvl w:val="0"/>
          <w:numId w:val="2"/>
        </w:numPr>
        <w:spacing w:after="60" w:line="268"/>
      </w:pPr>
      <w:r>
        <w:rPr>
          <w:color w:val="15181F"/>
          <w:sz w:val="18"/>
          <w:szCs w:val="18"/>
        </w:rPr>
        <w:t xml:space="preserve">Gastrinoma — Zollinger-Ellison syndrome with a raised fasting gastrin, interpreted against proton-pump inhibitor use</w:t>
      </w:r>
    </w:p>
    <w:p>
      <w:pPr>
        <w:pStyle w:val="ListParagraph"/>
        <w:numPr>
          <w:ilvl w:val="0"/>
          <w:numId w:val="2"/>
        </w:numPr>
        <w:spacing w:after="60" w:line="268"/>
      </w:pPr>
      <w:r>
        <w:rPr>
          <w:color w:val="15181F"/>
          <w:sz w:val="18"/>
          <w:szCs w:val="18"/>
        </w:rPr>
        <w:t xml:space="preserve">Glucagonoma — glucagon excess with diabetes or necrolytic migratory erythema</w:t>
      </w:r>
    </w:p>
    <w:p>
      <w:pPr>
        <w:pStyle w:val="ListParagraph"/>
        <w:numPr>
          <w:ilvl w:val="0"/>
          <w:numId w:val="2"/>
        </w:numPr>
        <w:spacing w:after="60" w:line="268"/>
      </w:pPr>
      <w:r>
        <w:rPr>
          <w:color w:val="15181F"/>
          <w:sz w:val="18"/>
          <w:szCs w:val="18"/>
        </w:rPr>
        <w:t xml:space="preserve">VIPoma — watery diarrhoea, hypokalaemia and achlorhydria with a raised VIP</w:t>
      </w:r>
    </w:p>
    <w:p>
      <w:pPr>
        <w:pStyle w:val="ListParagraph"/>
        <w:numPr>
          <w:ilvl w:val="0"/>
          <w:numId w:val="2"/>
        </w:numPr>
        <w:spacing w:after="60" w:line="268"/>
      </w:pPr>
      <w:r>
        <w:rPr>
          <w:color w:val="15181F"/>
          <w:sz w:val="18"/>
          <w:szCs w:val="18"/>
        </w:rPr>
        <w:t xml:space="preserve">Any other documented syndrome: somatostatinoma, ACTHoma, PTHrPoma, calcitoninoma, GHRHoma</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localised, biochemically confirmed functional tumour is resected, whatever its size — the syndrome is the indication and the 2 cm rule does not apply here.</w:t>
      </w:r>
    </w:p>
    <w:p>
      <w:pPr>
        <w:spacing w:after="50" w:line="276"/>
        <w:ind w:left="240"/>
      </w:pPr>
      <w:r>
        <w:rPr>
          <w:color w:val="15181F"/>
          <w:sz w:val="18"/>
          <w:szCs w:val="18"/>
        </w:rPr>
        <w:t xml:space="preserve">Every localised functional tumour without distant metastases, where resection serves both symptom control and cure. Malignant potential runs from 5–15% for insulinoma to 60–90% for gastrinoma, glucagonoma and tumours secreting VIP, PTHrP or ectopic ACTH, so for everything except insulinoma the operation is an oncologic one. Resection of a localised insulinoma gives a 98% biochemical cure rate with a 6% chance of recurrence at 10 years.</w:t>
      </w:r>
    </w:p>
    <w:p>
      <w:pPr>
        <w:spacing w:after="50"/>
        <w:ind w:left="240"/>
      </w:pPr>
      <w:r>
        <w:rPr>
          <w:b/>
          <w:bCs/>
          <w:color w:val="8C2F26"/>
          <w:sz w:val="18"/>
          <w:szCs w:val="18"/>
        </w:rPr>
        <w:t xml:space="preserve">Caveat. </w:t>
      </w:r>
      <w:r>
        <w:rPr>
          <w:color w:val="15181F"/>
          <w:sz w:val="18"/>
          <w:szCs w:val="18"/>
        </w:rPr>
        <w:t xml:space="preserve">Do not apply the small-nonfunctional observation rule to a functional tumour. NCCN's resection requirement for glucagonoma, VIPoma and somatostatinoma is total removal with negative margins, including adjacent organs where involved, with regional nodes — pancreatoduodenectomy for the head, distal pancreatectomy with or without splenectomy for body and tail.</w:t>
      </w:r>
    </w:p>
    <w:p>
      <w:pPr>
        <w:spacing w:after="50" w:line="276"/>
        <w:ind w:left="240"/>
      </w:pPr>
      <w:r>
        <w:rPr>
          <w:i/>
          <w:iCs/>
          <w:color w:val="5A6069"/>
          <w:sz w:val="17"/>
          <w:szCs w:val="17"/>
        </w:rPr>
        <w:t xml:space="preserve">Biochemical cure for apparently sporadic gastrinoma is 60% immediately after resection and 30-40% at 5 years, with 15-year disease-free survival of 15%, so "cured" means something different in each syndrome and should be said in those terms. For gastrinoma the strongest datum for operating is not randomised: on prospective NIH, UCSF and Stanford protocols, 160 patients who had a standardised exploration were compared with 35 who met the same criteria but did not have surgery. A gastrinoma was found and removed in 150 of 160 (94%), 51% were disease-free immediately and 41% at last follow-up. Liver metastases developed in 8 of 160 (5%) against 10 of 35 (29%), p=0.0002; death from any cause in 34 of 160 (21%) against 19 of 35 (54%), p=0.0002; disease-related death in 2 of 160 (1%) against 8 of 35 (23%), p=0.00001; and 15-year disease-related survival from first admission was 98% against 74%. Those 35 controls were not randomly formed - 19 refused after consulting their own physician, 10 had MEN1 with no lesion above 2.5 cm and 5 had comorbidity - non-disease mortality was numerically higher in them (31% against 20%, p=0.18), the surgical arm's disease-related figure rests on 2 deaths, cause of death was adjudicated unblinded by the operating investigators, and the controls were imaged every 6 to 12 months against yearly evaluation in the operated patients. Almost every primary was duodenal or nodal, so none of this transfers to an incidental non-functional pancreatic tumour. See the honest section and approval 4.</w:t>
      </w:r>
    </w:p>
    <w:p>
      <w:pPr>
        <w:spacing w:after="60" w:line="276"/>
        <w:ind w:left="240"/>
      </w:pPr>
      <w:r>
        <w:rPr>
          <w:color w:val="5A6069"/>
          <w:sz w:val="16"/>
          <w:szCs w:val="16"/>
        </w:rPr>
        <w:t xml:space="preserve">Sources: NANETS 2020 surgical; ENETS 2023 functioning; Norton 2006</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Confirm the syndrome biochemically before localising, and read gastrin against the proton-pump inhibitor.</w:t>
      </w:r>
    </w:p>
    <w:p>
      <w:pPr>
        <w:spacing w:after="50" w:line="276"/>
        <w:ind w:left="240"/>
      </w:pPr>
      <w:r>
        <w:rPr>
          <w:color w:val="15181F"/>
          <w:sz w:val="18"/>
          <w:szCs w:val="18"/>
        </w:rPr>
        <w:t xml:space="preserve">Serum gastrin ideally drawn fasting and off a proton-pump inhibitor for more than a week. Where there are overt clinical symptoms of gastrinoma or a risk of complications, NCCN says to continue the acid suppression and interpret the gastrin with that in mind rather than stop it. Consider endocrinology involvement to establish the endocrine diagnosis.</w:t>
      </w:r>
    </w:p>
    <w:p>
      <w:pPr>
        <w:spacing w:after="50"/>
        <w:ind w:left="240"/>
      </w:pPr>
      <w:r>
        <w:rPr>
          <w:b/>
          <w:bCs/>
          <w:color w:val="8C2F26"/>
          <w:sz w:val="18"/>
          <w:szCs w:val="18"/>
        </w:rPr>
        <w:t xml:space="preserve">Caveat. </w:t>
      </w:r>
      <w:r>
        <w:rPr>
          <w:color w:val="15181F"/>
          <w:sz w:val="18"/>
          <w:szCs w:val="18"/>
        </w:rPr>
        <w:t xml:space="preserve">Do not start a localisation workup on a gastrin drawn on a proton-pump inhibitor and do not stop acid suppression in a patient who is symptomatic or at risk of perforation or bleeding to obtain a cleaner number. Genetic counselling and testing is recommended for every gastrinoma — see gate 7.</w:t>
      </w:r>
    </w:p>
    <w:p>
      <w:pPr>
        <w:spacing w:after="60" w:line="276"/>
        <w:ind w:left="240"/>
      </w:pPr>
      <w:r>
        <w:rPr>
          <w:color w:val="5A6069"/>
          <w:sz w:val="16"/>
          <w:szCs w:val="16"/>
        </w:rPr>
        <w:t xml:space="preserve">Sources: ENETS 2023 functioning; NANETS 2020 surgical</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For insulinoma, enucleate an exophytic lesion that is clear of the main pancreatic duct; take a spleen-preserving distal pancreatectomy for a deep lesion or one close to the duct.</w:t>
      </w:r>
    </w:p>
    <w:p>
      <w:pPr>
        <w:spacing w:after="50" w:line="276"/>
        <w:ind w:left="240"/>
      </w:pPr>
      <w:r>
        <w:rPr>
          <w:color w:val="15181F"/>
          <w:sz w:val="18"/>
          <w:szCs w:val="18"/>
        </w:rPr>
        <w:t xml:space="preserve">Insulinomas are highly symptomatic and rarely malignant, which is exactly the setting in which NCCN and NANETS place enucleation. Ninety per cent pursue an indolent course. Where splenic vessels are involved by a larger tumour, splenectomy is performed; otherwise spleen preservation should be considered.</w:t>
      </w:r>
    </w:p>
    <w:p>
      <w:pPr>
        <w:spacing w:after="50"/>
        <w:ind w:left="240"/>
      </w:pPr>
      <w:r>
        <w:rPr>
          <w:b/>
          <w:bCs/>
          <w:color w:val="8C2F26"/>
          <w:sz w:val="18"/>
          <w:szCs w:val="18"/>
        </w:rPr>
        <w:t xml:space="preserve">Caveat. </w:t>
      </w:r>
      <w:r>
        <w:rPr>
          <w:color w:val="15181F"/>
          <w:sz w:val="18"/>
          <w:szCs w:val="18"/>
        </w:rPr>
        <w:t xml:space="preserve">Do not enucleate a lesion within 2-3 mm of the main pancreatic duct, and do not enucleate a tumour large enough to carry nodal risk - see gate 5 for the trade. And cost the fistula honestly: in a pooled analysis of 22 non-randomised comparative studies (432 enucleations against 716 standard resections), pancreatic fistula occurred in 25.5% after enucleation against 19.7% after standard resection, OR 2.09 (95% CI 1.41-3.11), p&lt;0.001, and OR 1.93 (1.14-3.27) for clinically relevant grade B or C disease; the excess lost significance only in the four studies performing more than 20 enucleations in total and at least 4 a year. Vaccinate against pneumococcus, Haemophilus influenzae b and meningococcus at least 14 days before any operation that might include splenectomy.</w:t>
      </w:r>
    </w:p>
    <w:p>
      <w:pPr>
        <w:spacing w:after="50" w:line="276"/>
        <w:ind w:left="240"/>
      </w:pPr>
      <w:r>
        <w:rPr>
          <w:i/>
          <w:iCs/>
          <w:color w:val="5A6069"/>
          <w:sz w:val="17"/>
          <w:szCs w:val="17"/>
        </w:rPr>
        <w:t xml:space="preserve">A formal lymphadenectomy is not part of the operation for a benign insulinoma.</w:t>
      </w:r>
    </w:p>
    <w:p>
      <w:pPr>
        <w:spacing w:after="60" w:line="276"/>
        <w:ind w:left="240"/>
      </w:pPr>
      <w:r>
        <w:rPr>
          <w:color w:val="5A6069"/>
          <w:sz w:val="16"/>
          <w:szCs w:val="16"/>
        </w:rPr>
        <w:t xml:space="preserve">Sources: NANETS 2020 surgical; Hüttner 2015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contrast CT or MRI and endoscopic ultrasound have not found the insulinoma, the next test is GLP-1 receptor imaging or arterial stimulation with venous sampling, not another anatomic study.</w:t>
      </w:r>
    </w:p>
    <w:p>
      <w:pPr>
        <w:spacing w:after="50" w:line="276"/>
        <w:ind w:left="240"/>
      </w:pPr>
      <w:r>
        <w:rPr>
          <w:color w:val="15181F"/>
          <w:sz w:val="18"/>
          <w:szCs w:val="18"/>
        </w:rPr>
        <w:t xml:space="preserve">In a prospective randomised crossover study at one centre, 52 consecutive adults with biochemically proven endogenous hyperinsulinaemic hypoglycaemia had 68Ga-DOTA-exendin-4 PET/CT, 111In-DOTA-exendin-4 SPECT/CT and a standardised 3T MRI within 3 to 4 days, each read independently by three blinded readers, with surgery, histology and postoperative glucose normalisation as the reference standard. Among the 38 who reached surgery with conclusive histology, accuracy was 93.9% (95% CI 87.8-97.5) for GLP-1 receptor PET/CT, 67.5% (58.1-76.0) for the SPECT, 67.6% (58.0-76.1) for the study MRI and 40.0% (23.9-57.9) for the prior external CT or MRI (all comparisons p&lt;0.01 except SPECT against study MRI, p=1.0); reader agreement was 89.5%, 75.7% and 71.1%. Histology confirmed a benign insulinoma in 36 of 38 at a median size of 12 mm (range 5-23) and 37 of 38 normalised their glucose after surgery. ENETS recommends GLP-1 receptor imaging or arterial calcium stimulation with venous sampling when contrast CT or MRI and endoscopic ultrasound are negative.</w:t>
      </w:r>
    </w:p>
    <w:p>
      <w:pPr>
        <w:spacing w:after="50"/>
        <w:ind w:left="240"/>
      </w:pPr>
      <w:r>
        <w:rPr>
          <w:b/>
          <w:bCs/>
          <w:color w:val="8C2F26"/>
          <w:sz w:val="18"/>
          <w:szCs w:val="18"/>
        </w:rPr>
        <w:t xml:space="preserve">Caveat. </w:t>
      </w:r>
      <w:r>
        <w:rPr>
          <w:color w:val="15181F"/>
          <w:sz w:val="18"/>
          <w:szCs w:val="18"/>
        </w:rPr>
        <w:t xml:space="preserve">Read the accuracy figures for what they are. Fourteen of the 52 enrolled patients are absent from that denominator precisely because imaging was negative or discordant or surgery was declined, which is the classic verification bias of an imaging study with a surgical reference standard and which the authors concede inflates sensitivity - the PET showed a suspicious lesion in only 78.8% of all 52 patients. Inclusion required a pathological fasting test, so specificity and negative predictive value cannot be estimated at all. The 40% figure for prior external imaging is an artefact of why these patients were referred, not a general estimate, and that arm was read once at the referring centre against three blinded readers for the index test. GLP-1 receptor expression falls to 4 of 11 (36%) in malignant insulinoma, where 73% express somatostatin receptor 2 instead, so a negative exendin scan in a patient who looks malignant is uninformative. The tracer is not licensed for routine clinical use.</w:t>
      </w:r>
    </w:p>
    <w:p>
      <w:pPr>
        <w:spacing w:after="50" w:line="276"/>
        <w:ind w:left="240"/>
      </w:pPr>
      <w:r>
        <w:rPr>
          <w:i/>
          <w:iCs/>
          <w:color w:val="5A6069"/>
          <w:sz w:val="17"/>
          <w:szCs w:val="17"/>
        </w:rPr>
        <w:t xml:space="preserve">The supporting review is a narrative one by the group that developed, labelled and validated the tracer, with no systematic search, no risk-of-bias appraisal and a comparative sensitivity table that places studies with different reference standards, referral filters and lesion sizes side by side. It does record the practical traps worth knowing: physiological uptake in duodenal Brunner's glands is always present and can be mistaken for an insulinoma, and high renal uptake can mask a lesion in the tail. [EXPERTISE]</w:t>
      </w:r>
    </w:p>
    <w:p>
      <w:pPr>
        <w:spacing w:after="60" w:line="276"/>
        <w:ind w:left="240"/>
      </w:pPr>
      <w:r>
        <w:rPr>
          <w:color w:val="5A6069"/>
          <w:sz w:val="16"/>
          <w:szCs w:val="16"/>
        </w:rPr>
        <w:t xml:space="preserve">Sources: Antwi 2018 GLP-1R PET; Wild 2021 GLP-1R review; ENETS 2023 functioning</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lesion is resectable but the patient is not a surgical candidate, EUS-guided ablation at a centre with expertise is an option for insulinoma.</w:t>
      </w:r>
    </w:p>
    <w:p>
      <w:pPr>
        <w:spacing w:after="50" w:line="276"/>
        <w:ind w:left="240"/>
      </w:pPr>
      <w:r>
        <w:rPr>
          <w:color w:val="15181F"/>
          <w:sz w:val="18"/>
          <w:szCs w:val="18"/>
        </w:rPr>
        <w:t xml:space="preserve">NCCN lists this for highly selected cases only. Stabilise first with diet, diazoxide at 3 to 8 mg/kg per day in three or four divided doses, or everolimus.</w:t>
      </w:r>
    </w:p>
    <w:p>
      <w:pPr>
        <w:spacing w:after="50"/>
        <w:ind w:left="240"/>
      </w:pPr>
      <w:r>
        <w:rPr>
          <w:b/>
          <w:bCs/>
          <w:color w:val="8C2F26"/>
          <w:sz w:val="18"/>
          <w:szCs w:val="18"/>
        </w:rPr>
        <w:t xml:space="preserve">Caveat. </w:t>
      </w:r>
      <w:r>
        <w:rPr>
          <w:color w:val="15181F"/>
          <w:sz w:val="18"/>
          <w:szCs w:val="18"/>
        </w:rPr>
        <w:t xml:space="preserve">This is a symptom-control manoeuvre with no comparative outcome data in this disease and no established oncologic endpoint. Do not offer it to an operable patient. [EXPERTISE]</w:t>
      </w:r>
    </w:p>
    <w:p>
      <w:pPr>
        <w:spacing w:after="50" w:line="276"/>
        <w:ind w:left="240"/>
      </w:pPr>
      <w:r>
        <w:rPr>
          <w:i/>
          <w:iCs/>
          <w:color w:val="5A6069"/>
          <w:sz w:val="17"/>
          <w:szCs w:val="17"/>
        </w:rPr>
        <w:t xml:space="preserve">Correct the metabolic consequences of the syndrome before operating: potassium, magnesium and bicarbonate and dehydration in a VIPoma, glucose in an insulinoma. Glucagonoma carries a described hypercoagulable state and NCCN allows consideration of perioperative anticoagulation.</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give a somatostatin analogue to a patient with insulinoma whose somatostatin-receptor imaging is negative.</w:t>
      </w:r>
    </w:p>
    <w:p>
      <w:pPr>
        <w:spacing w:after="50" w:line="276"/>
        <w:ind w:left="240"/>
      </w:pPr>
      <w:r>
        <w:rPr>
          <w:color w:val="15181F"/>
          <w:sz w:val="18"/>
          <w:szCs w:val="18"/>
        </w:rPr>
        <w:t xml:space="preserve">Only consider an analogue in insulinoma where the tumour demonstrably expresses somatostatin receptors, and use it with caution even then because it can transiently worsen hypoglycaemia.</w:t>
      </w:r>
    </w:p>
    <w:p>
      <w:pPr>
        <w:spacing w:after="50"/>
        <w:ind w:left="240"/>
      </w:pPr>
      <w:r>
        <w:rPr>
          <w:b/>
          <w:bCs/>
          <w:color w:val="8C2F26"/>
          <w:sz w:val="18"/>
          <w:szCs w:val="18"/>
        </w:rPr>
        <w:t xml:space="preserve">Caveat. </w:t>
      </w:r>
      <w:r>
        <w:rPr>
          <w:color w:val="15181F"/>
          <w:sz w:val="18"/>
          <w:szCs w:val="18"/>
        </w:rPr>
        <w:t xml:space="preserve">Analogues suppress the counter-regulatory hormones — growth hormone, glucagon and catecholamines — and in a receptor-negative insulinoma can precipitously worsen hypoglycaemia with fatal complications reported. About two-thirds of insulinomas are receptor-PET negative, so this is a common trap rather than a rare one, and it is why the receptor scan is obtained before the drug.</w:t>
      </w:r>
    </w:p>
    <w:p>
      <w:pPr>
        <w:spacing w:after="60" w:line="276"/>
        <w:ind w:left="240"/>
      </w:pPr>
      <w:r>
        <w:rPr>
          <w:color w:val="5A6069"/>
          <w:sz w:val="16"/>
          <w:szCs w:val="16"/>
        </w:rPr>
        <w:t xml:space="preserve">Sources: NANETS 2020 surgical; ENETS 2023 functioning</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rely on prophylactic octreotide to prevent an intraoperative crisis.</w:t>
      </w:r>
    </w:p>
    <w:p>
      <w:pPr>
        <w:spacing w:after="50" w:line="276"/>
        <w:ind w:left="240"/>
      </w:pPr>
      <w:r>
        <w:rPr>
          <w:color w:val="15181F"/>
          <w:sz w:val="18"/>
          <w:szCs w:val="18"/>
        </w:rPr>
        <w:t xml:space="preserve">Have vasopressors and fluid immediately available and give them without waiting. The crisis plan, the rescue drug in the room and the carcinoid-heart-disease assessment are set out in the NELM pathway's functional-syndrome gate, which applies unchanged to a patient coming for a pancreatic operation.</w:t>
      </w:r>
    </w:p>
    <w:p>
      <w:pPr>
        <w:spacing w:after="50"/>
        <w:ind w:left="240"/>
      </w:pPr>
      <w:r>
        <w:rPr>
          <w:b/>
          <w:bCs/>
          <w:color w:val="8C2F26"/>
          <w:sz w:val="18"/>
          <w:szCs w:val="18"/>
        </w:rPr>
        <w:t xml:space="preserve">Caveat. </w:t>
      </w:r>
      <w:r>
        <w:rPr>
          <w:color w:val="15181F"/>
          <w:sz w:val="18"/>
          <w:szCs w:val="18"/>
        </w:rPr>
        <w:t xml:space="preserve">NCCN states that prophylactic octreotide is likely ineffective in preventing intraoperative carcinoid crisis and that intraoperative administration should not delay vasopressor use and fluid administration. NANETS calls the role of analogues in preventing crisis in pancreatic NET undefined. Also remember cholecystectomy at the index operation where long-term analogue therapy is anticipated, because of the raised risk of biliary symptoms and cholecystitis.</w:t>
      </w:r>
    </w:p>
    <w:p>
      <w:pPr>
        <w:spacing w:after="60" w:line="276"/>
        <w:ind w:left="240"/>
      </w:pPr>
      <w:r>
        <w:rPr>
          <w:color w:val="5A6069"/>
          <w:sz w:val="16"/>
          <w:szCs w:val="16"/>
        </w:rPr>
        <w:t xml:space="preserve">Sources: NANETS 2020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The incidental small nonfunctional tumour: observe or resect</w:t>
      </w:r>
    </w:p>
    <w:p>
      <w:pPr>
        <w:spacing w:after="140"/>
      </w:pPr>
      <w:r>
        <w:rPr>
          <w:b/>
          <w:bCs/>
          <w:color w:val="176A87"/>
          <w:sz w:val="19"/>
          <w:szCs w:val="19"/>
        </w:rPr>
        <w:t xml:space="preserve">The question. </w:t>
      </w:r>
      <w:r>
        <w:rPr>
          <w:sz w:val="19"/>
          <w:szCs w:val="19"/>
        </w:rPr>
        <w:t xml:space="preserve">This patient has a 14 mm lesion in the pancreatic body found on a CT for something else — do I operate, or do I scan again in six months?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Incidentally discovered, sporadic and non-functional, with no hormonal syndrome</w:t>
      </w:r>
    </w:p>
    <w:p>
      <w:pPr>
        <w:pStyle w:val="ListParagraph"/>
        <w:numPr>
          <w:ilvl w:val="0"/>
          <w:numId w:val="2"/>
        </w:numPr>
        <w:spacing w:after="60" w:line="268"/>
      </w:pPr>
      <w:r>
        <w:rPr>
          <w:color w:val="15181F"/>
          <w:sz w:val="18"/>
          <w:szCs w:val="18"/>
        </w:rPr>
        <w:t xml:space="preserve">2 cm or smaller on the index multiphasic CT or MRI, and low grade</w:t>
      </w:r>
    </w:p>
    <w:p>
      <w:pPr>
        <w:pStyle w:val="ListParagraph"/>
        <w:numPr>
          <w:ilvl w:val="0"/>
          <w:numId w:val="2"/>
        </w:numPr>
        <w:spacing w:after="60" w:line="268"/>
      </w:pPr>
      <w:r>
        <w:rPr>
          <w:color w:val="15181F"/>
          <w:sz w:val="18"/>
          <w:szCs w:val="18"/>
        </w:rPr>
        <w:t xml:space="preserve">No radiological nodal or distant disease, no vascular invasion</w:t>
      </w:r>
    </w:p>
    <w:p>
      <w:pPr>
        <w:pStyle w:val="ListParagraph"/>
        <w:numPr>
          <w:ilvl w:val="0"/>
          <w:numId w:val="2"/>
        </w:numPr>
        <w:spacing w:after="60" w:line="268"/>
      </w:pPr>
      <w:r>
        <w:rPr>
          <w:color w:val="15181F"/>
          <w:sz w:val="18"/>
          <w:szCs w:val="18"/>
        </w:rPr>
        <w:t xml:space="preserve">Main pancreatic duct not dilated</w:t>
      </w:r>
    </w:p>
    <w:p>
      <w:pPr>
        <w:pStyle w:val="ListParagraph"/>
        <w:numPr>
          <w:ilvl w:val="0"/>
          <w:numId w:val="2"/>
        </w:numPr>
        <w:spacing w:after="60" w:line="268"/>
      </w:pPr>
      <w:r>
        <w:rPr>
          <w:color w:val="15181F"/>
          <w:sz w:val="18"/>
          <w:szCs w:val="18"/>
        </w:rPr>
        <w:t xml:space="preserve">A patient who will actually come back for imaging, with the surgical risk and comorbidity burden stated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Observation is the default for an incidental, low-grade, non-functional tumour of 1 cm or less, and biopsy is not required to make that decision.</w:t>
      </w:r>
    </w:p>
    <w:p>
      <w:pPr>
        <w:spacing w:after="50" w:line="276"/>
        <w:ind w:left="240"/>
      </w:pPr>
      <w:r>
        <w:rPr>
          <w:color w:val="15181F"/>
          <w:sz w:val="18"/>
          <w:szCs w:val="18"/>
        </w:rPr>
        <w:t xml:space="preserve">A sub-centimetre lesion with the imaging phenotype of a neuroendocrine tumour in a patient who will be followed. At 1 cm the guidelines agree: NCCN permits observation for small, low-grade, incidentally discovered non-functional tumours and routes 1 cm or less straight to observation; NANETS calls initial observation without a plan for immediate resection an acceptable strategy for an asymptomatic tumour under 1 cm; and ENETS 2023, now read in full, states that an asymptomatic nonfunctioning tumour of 1 cm or less without main pancreatic duct dilation should undergo active surveillance (level 3 evidence, grade B).</w:t>
      </w:r>
    </w:p>
    <w:p>
      <w:pPr>
        <w:spacing w:after="50"/>
        <w:ind w:left="240"/>
      </w:pPr>
      <w:r>
        <w:rPr>
          <w:b/>
          <w:bCs/>
          <w:color w:val="8C2F26"/>
          <w:sz w:val="18"/>
          <w:szCs w:val="18"/>
        </w:rPr>
        <w:t xml:space="preserve">Caveat. </w:t>
      </w:r>
      <w:r>
        <w:rPr>
          <w:color w:val="15181F"/>
          <w:sz w:val="18"/>
          <w:szCs w:val="18"/>
        </w:rPr>
        <w:t xml:space="preserve">Do not observe a patient who will not return for imaging, and do not observe a lesion you have not characterised on a dedicated pancreas-protocol study. Observation is a programme with dates, not a decision to do nothing. And do not state, as the first draft of this page did from the abstract, that ENETS considers observation for lesions no larger than 2 cm. It does not. ENETS observes 1 cm or less, personalises the band above 1 cm up to 2 cm to the resection that would be required and the patient's comorbidities, and strongly recommends surgery for any nonfunctioning tumour larger than 2 cm or with main pancreatic duct dilation - all three positions at level 3 evidence, grade B.</w:t>
      </w:r>
    </w:p>
    <w:p>
      <w:pPr>
        <w:spacing w:after="50" w:line="276"/>
        <w:ind w:left="240"/>
      </w:pPr>
      <w:r>
        <w:rPr>
          <w:i/>
          <w:iCs/>
          <w:color w:val="5A6069"/>
          <w:sz w:val="17"/>
          <w:szCs w:val="17"/>
        </w:rPr>
        <w:t xml:space="preserve">Grade D, downgraded on the full-text read. Neither 1 cm nor 2 cm was derived from data. NCCN's own supporting citations for the observation footnote are the three cohorts in the next item and nothing stronger; ENETS's surgical thresholds carry level 3 evidence while its strongest wording is reserved for the threshold above which it operates; and the only systematic comparison of surgery against surveillance for lesions of 2 cm or less that exists anywhere - 37 of 3,048 screened publications, 1,814 patients, carried out for the 2025 MEN1 recommendations - found no difference in metastasis or mortality, at low to very low GRADE certainty. The recommendation to observe a sub-centimetre lesion is reasonable and near-universal. It is not derived, and it should not be offered to a patient as though it were.</w:t>
      </w:r>
    </w:p>
    <w:p>
      <w:pPr>
        <w:spacing w:after="60" w:line="276"/>
        <w:ind w:left="240"/>
      </w:pPr>
      <w:r>
        <w:rPr>
          <w:color w:val="5A6069"/>
          <w:sz w:val="16"/>
          <w:szCs w:val="16"/>
        </w:rPr>
        <w:t xml:space="preserve">Sources: Sadot 2016; PANDORA; ASPEN interim; NANETS 2020 surgical; ENETS 2023 NF-PanNET; MEN1 2025 guideline</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State the actual evidence for the threshold when you offer observation: three uncontrolled cohorts with two to four years of follow-up, no randomised comparison, and not one direct comparison of the two strategies in any of them.</w:t>
      </w:r>
    </w:p>
    <w:p>
      <w:pPr>
        <w:spacing w:after="50" w:line="276"/>
        <w:ind w:left="240"/>
      </w:pPr>
      <w:r>
        <w:rPr>
          <w:color w:val="15181F"/>
          <w:sz w:val="18"/>
          <w:szCs w:val="18"/>
        </w:rPr>
        <w:t xml:space="preserve">Every observation conversation, and every tumour board that uses the 2 cm line. The three studies NCCN cites are these, as their full texts report them. Sadot 2016 is a single-centre matched case-control study at one tertiary referral centre, 1993-2013, of sporadic incidentally discovered stage I-II tumours, and its inclusion band was 3 cm or less rather than 2 cm: median size was 1.2 cm (IQR 0.8-1.7) in the observed group and 1.4 cm (1-2) in the resected, and 87% were T1. Of 464 patients reviewed, 104 recommended for observation were matched one-to-one on initial tumour size by a blinded statistician to 77 resected without a period of surveillance, and compared by intention to treat. Median tumour size in the observation group was unchanged at 1.2 cm from first to last imaging (p=0.7) - but the individual trajectories differed: 53 of 104 (51%) grew, 19 (18%) were static and 32 (31%) shrank. Twenty-six of 104 (25%) crossed over to resection at a median of 30 months (range 7-135), for patient preference in 10 (38%), increasing size in 8 (31%), physician preference in 7 (27%) and new duct dilatation in 1 (4%); none had developed symptoms. No observed patient developed radiographic locoregional or distant metastases and nobody in either arm died of disease. In the resected arm 72 of 77 (95%) were G1, 1 was node positive, margins were positive in 9 (12%), and 5 (6%) recurred at a median of 5.1 years (range 2.9-8.1). Operative harm was substantial: any grade 3 complication in 16 of 77 (21%), a grade 3 leak-related complication in 13 (17%), median stay 7 days. PANDORA is the Dutch Pancreatic Cancer Group's nationwide prospective watchful-waiting cohort of 76 patients with a non-functional tumour of 2 cm or less, enrolled 2017-2020, median follow-up 17 months (IQR 8-35). Sixty-eight of 76 (89%) showed no sign of progression; 8 (11%) grew by more than 0.5 cm per year, of whom 2 ended above 2.0 cm, and none of the 8 developed symptoms. Six patients (8%) were operated during follow-up. One of them, who grew from 1.8 to 2.6 cm in a year, had two enlarged nodes on 68Ga-DOTATATE PET-CT and an unexpected peritoneal deposit at operation: final pathology was a 2.0 cm tumour with Ki-67 5-10%, two positive nodes and confirmed peritoneal metastasis, with two new nodes 11 months later requiring a somatostatin analogue. Four patients died, all of non-tumour causes. ASPEN is the largest: a prospective, non-randomised, international cohort of 500 patients at 41 centres, 406 under surveillance and 94 resected, with treatment left to the referring centre, median follow-up 25 months (IQR 16-35). Mean radiological size was 13.2 mm (SD 4.1) - 12.9 mm under surveillance against 14.8 mm in the surgical group, p&lt;0.010. Nine of 406 surveillance patients (2%) came to surgery during follow-up: 4 for increasing size, 3 for increasing duct dilatation, 2 by preference. Distant metastases were present in 4 of 500 (0.8%), all at diagnosis and all operated, and the only recurrence recorded during follow-up was in one of those same patients. Severe complications occurred in 13% of the resected with no deaths.</w:t>
      </w:r>
    </w:p>
    <w:p>
      <w:pPr>
        <w:spacing w:after="50"/>
        <w:ind w:left="240"/>
      </w:pPr>
      <w:r>
        <w:rPr>
          <w:b/>
          <w:bCs/>
          <w:color w:val="8C2F26"/>
          <w:sz w:val="18"/>
          <w:szCs w:val="18"/>
        </w:rPr>
        <w:t xml:space="preserve">Caveat. </w:t>
      </w:r>
      <w:r>
        <w:rPr>
          <w:color w:val="15181F"/>
          <w:sz w:val="18"/>
          <w:szCs w:val="18"/>
        </w:rPr>
        <w:t xml:space="preserve">Do not present any of this as proof of safety, and do not present it as a comparison of strategies, because not one of the three performs one. Sadot's inclusion criterion was under 3 cm, so the paper most often cited for the 2 cm threshold never tested that threshold; its evidence concerns lesions of about a centimetre and it is silent about the 2-3 cm range it nominally covers. A quarter of its observation arm had the very operation the paper argues can be avoided, and they remain in that arm by intention to treat, so part of the arm's clean oncological record was purchased with surgery. The patients genuinely never operated were followed a median of 33 months (IQR 11-72) against 57 months after resection (p&lt;0.001), while the recurrences in the resected arm appeared at a median of 5.1 years - the observation arm was not watched long enough to experience the event the paper reports as absent. The metastasis-free survival advantage for observation, 99% (97-100) against 88% (79-96), p=0.01, is an artefact of the endpoint and not a finding: a resected patient can be recorded as recurring while an unresected patient with stable imaging cannot, so the two arms are not at risk of the same events, and in the observation-only against resection comparison the difference disappears (metastasis-free survival p=0.08, overall survival p=0.3). Matching was on initial size alone: the observation group was significantly older (median 63 against 59, p=0.04; 65 against 59 in the never-operated subgroup, p=0.001), 36 of 104 (35%) never had a tissue diagnosis at all, and 11 of 181 (6%) died of other or unknown causes with no competing-risk analysis. Fifty-one per cent of observed tumours did grow, a fact submerged beneath an unchanged median. ASPEN's 20% rate of aggressive histology - its most quoted number - comes entirely from the 94 patients who were resected, and that group was selected by radiological size over 10 mm (OR 1.9, p=0.030), a main pancreatic duct over 3 mm (OR 3.4, p&lt;0.001), age 64 or under (OR 2.5, p&lt;0.001), enrolment at a surgical centre (OR 2.0, p=0.012) and a HADS anxiety score of 4-6 (OR 2.0, p=0.029). It therefore cannot describe the prevalence of aggressive biology among sub-2 cm lesions and certainly not among the 406 who were watched. Follow-up was 25 months in a disease measured in decades, crossover was 2%, allocation was by the treating centre rather than randomised, and no outcome comparison between the two strategies was performed at all. The metastasis rate is printed in the paper as 0.08 per cent when 4 of 500 is 0.8 per cent - a tenfold typographical understatement of the key safety signal, uncorrected. A third of patients never had a fine-needle aspirate and grade was not evaluable in a quarter of those who did, so the surveillance arm has no histological characterisation and the extent of under-staging in it is unmeasurable. The study was funded by ENETS, whose guideline recommending surveillance is the hypothesis under test, and senior authors wrote that guideline. In PANDORA, six of the eight patients who met the protocol's own criterion for resection refused the operation and elected to continue watchful waiting, so the protocol was in effect not tested and the cohort's benign course reflects patient choice. Protocol adherence was poor: only 17 of 76 (22%) had the scheduled 3-month endoscopic ultrasound, 19 (25%) had only one imaging modality at diagnosis against a protocol requiring two, and 21 (28%) and 11 (15%) had no imaging at all at 6 and 12 months. Eligibility excluded patients with malignant tumour features - exactly the population whose risk determines whether waiting is safe. And one lesion resected for diagnostic uncertainty proved to be an intravascular pyogenic granuloma and not a neuroendocrine tumour at all, which means some surveilled lesions may not be either.</w:t>
      </w:r>
    </w:p>
    <w:p>
      <w:pPr>
        <w:spacing w:after="50" w:line="276"/>
        <w:ind w:left="240"/>
      </w:pPr>
      <w:r>
        <w:rPr>
          <w:i/>
          <w:iCs/>
          <w:color w:val="5A6069"/>
          <w:sz w:val="17"/>
          <w:szCs w:val="17"/>
        </w:rPr>
        <w:t xml:space="preserve">The nearest thing to a comparison of the two strategies is negative. The 2025 MEN1 best-practice exercise ran a systematic review of surgery against active surveillance for nonfunctioning pancreatic neuroendocrine tumours of 2 cm or less: across 37 of 3,048 screened publications - 27 retrospective series, 1 prospective cohort and 9 case series - covering 1,814 patients, combined metastatic disease and mortality rates did not differ between the two strategies, at low to very low GRADE certainty and with low precision. The panel notes that surgery in those series was indicated by growth on serial imaging, so the effect of surgery may be understated. That review is in MEN1, where the gland carries a field defect, lesions are multiple and patients are decades younger, so it does not transfer to sporadic disease - but it is the only systematic comparison in existence at this size, and it found nothing. The same panel then recommended a more cautious approach anyway, on expert judgement rather than on the evidence it had convened to produce, which is a defensible clinical position and should not be quoted as evidence-based.</w:t>
      </w:r>
    </w:p>
    <w:p>
      <w:pPr>
        <w:spacing w:after="60" w:line="276"/>
        <w:ind w:left="240"/>
      </w:pPr>
      <w:r>
        <w:rPr>
          <w:color w:val="5A6069"/>
          <w:sz w:val="16"/>
          <w:szCs w:val="16"/>
        </w:rPr>
        <w:t xml:space="preserve">Sources: Sadot 2016; PANDORA; ASPEN interim; MEN1 2025 guideline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Set the surveillance programme in writing at the moment observation is chosen, using the post-resection schedule.</w:t>
      </w:r>
    </w:p>
    <w:p>
      <w:pPr>
        <w:spacing w:after="50" w:line="276"/>
        <w:ind w:left="240"/>
      </w:pPr>
      <w:r>
        <w:rPr>
          <w:color w:val="15181F"/>
          <w:sz w:val="18"/>
          <w:szCs w:val="18"/>
        </w:rPr>
        <w:t xml:space="preserve">NCCN states that its surveillance recommendations apply to cases where observation has been chosen: history and examination with multiphasic abdomen with or without pelvis CT or MRI at 12 weeks to 12 months, then every 6 to 12 months to a maximum of 10 years, then as clinically indicated, with chest CT as clinically indicated and earlier imaging if symptoms develop. Use the same modality and contrast agent each time so that growth is measurable rather than inferred - ENETS makes the same point explicitly, that imaging modality, contrast type, contrast timing and tracer should not be changed during follow-up.</w:t>
      </w:r>
    </w:p>
    <w:p>
      <w:pPr>
        <w:spacing w:after="50"/>
        <w:ind w:left="240"/>
      </w:pPr>
      <w:r>
        <w:rPr>
          <w:b/>
          <w:bCs/>
          <w:color w:val="8C2F26"/>
          <w:sz w:val="18"/>
          <w:szCs w:val="18"/>
        </w:rPr>
        <w:t xml:space="preserve">Caveat. </w:t>
      </w:r>
      <w:r>
        <w:rPr>
          <w:color w:val="15181F"/>
          <w:sz w:val="18"/>
          <w:szCs w:val="18"/>
        </w:rPr>
        <w:t xml:space="preserve">Receptor-based imaging and FDG-PET are not recommended for routine surveillance. Do not let the interval drift: the trigger for resection in every one of the three cohorts above was measurable growth, which only exists if the measurements are comparable.</w:t>
      </w:r>
    </w:p>
    <w:p>
      <w:pPr>
        <w:spacing w:after="50" w:line="276"/>
        <w:ind w:left="240"/>
      </w:pPr>
      <w:r>
        <w:rPr>
          <w:i/>
          <w:iCs/>
          <w:color w:val="5A6069"/>
          <w:sz w:val="17"/>
          <w:szCs w:val="17"/>
        </w:rPr>
        <w:t xml:space="preserve">Grade D, and the borrowed schedule is now known to disagree with its own source. The published follow-up recommendations for completely resected gastroenteropancreatic tumours - a 22-member RAND/UCLA panel scoring 193 scenarios against an evidence base of 6 eligible studies plus two then-unpublished cohorts - recommend for a resected pancreatic tumour consultation with triple-phase CT or MRI yearly for 3 years, then every 1 to 2 years to a total of 10 years, deliberately de-intensifying the first three years relative to NCCN, ENETS, ESMO and NANETS while extending surveillance past ten. They also recommend no follow-up at all for a grade 1, node-negative pancreatic tumour smaller than 2 cm. That exemption is expert opinion at a 75% agreement threshold, in a dataset whose cumulative recurrence was 33.5% at 5 years and 48.5% at 10 and whose median time to pancreatic recurrence was 7.2 years, and node-negative in a small tumour usually means few or no nodes were taken. It applies to resected patients and not to observed ones, and this page does not adopt it - but the group should know that the schedule it borrows is contradicted by the paper it is borrowed from. ENETS 2023 sets a third schedule again, imaging at 3 to 6 months after curative resection, then every 6 to 12 months for 5 years, every 12 to 24 months to 10 years and then every 5 years, at level 5 evidence graded B, with patients told to expect at least 20 years and possibly lifelong surveillance. See approval 13.</w:t>
      </w:r>
    </w:p>
    <w:p>
      <w:pPr>
        <w:spacing w:after="60" w:line="276"/>
        <w:ind w:left="240"/>
      </w:pPr>
      <w:r>
        <w:rPr>
          <w:color w:val="5A6069"/>
          <w:sz w:val="16"/>
          <w:szCs w:val="16"/>
        </w:rPr>
        <w:t xml:space="preserve">Sources: Singh 2018 follow-up; ENETS 2023 NF-PanNET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Define in advance what counts as growth, record a rate rather than a size, and say plainly that no growth threshold in use has been derived.</w:t>
      </w:r>
    </w:p>
    <w:p>
      <w:pPr>
        <w:spacing w:after="50" w:line="276"/>
        <w:ind w:left="240"/>
      </w:pPr>
      <w:r>
        <w:rPr>
          <w:color w:val="15181F"/>
          <w:sz w:val="18"/>
          <w:szCs w:val="18"/>
        </w:rPr>
        <w:t xml:space="preserve">Two thresholds are in circulation and the board should pick one and write it down. PANDORA used growth of more than 0.5 cm per year as its protocol trigger, and 8 of 76 patients (11%) met it at a median of 17 months. The 2025 MEN1 recommendations use growth of under 1 mm per year as the point at which the imaging interval may be lengthened to every 1 to 2 years, at 92% panel agreement, with intervals individualised to the observed growth rate and the absolute size. In ASPEN, increasing size was the stated indication for surgery in only 4 of the 406 surveillance patients, against patient preference in 42 of 94 operated patients and centre preference in 37.</w:t>
      </w:r>
    </w:p>
    <w:p>
      <w:pPr>
        <w:spacing w:after="50"/>
        <w:ind w:left="240"/>
      </w:pPr>
      <w:r>
        <w:rPr>
          <w:b/>
          <w:bCs/>
          <w:color w:val="8C2F26"/>
          <w:sz w:val="18"/>
          <w:szCs w:val="18"/>
        </w:rPr>
        <w:t xml:space="preserve">Caveat. </w:t>
      </w:r>
      <w:r>
        <w:rPr>
          <w:color w:val="15181F"/>
          <w:sz w:val="18"/>
          <w:szCs w:val="18"/>
        </w:rPr>
        <w:t xml:space="preserve">Do not present either number as biological - neither has any cited derivation. One millimetre a year lies below the measurement reproducibility of serial cross-sectional imaging of a small pancreatic lesion across different scanners and readers, and will generate both false stability and false progression. Half a centimetre a year is no better founded: in PANDORA the 8 patients who met it had a mean size at last follow-up of still only 1.2 cm (SD 0.7), and only 2 of them ever crossed 2.0 cm, so the threshold was detecting measurement variation as much as growth. What makes either threshold usable at all is the same modality, the same contrast agent and the same measurement convention every time, which is the one part of this that is entirely within the programme's control.</w:t>
      </w:r>
    </w:p>
    <w:p>
      <w:pPr>
        <w:spacing w:after="50" w:line="276"/>
        <w:ind w:left="240"/>
      </w:pPr>
      <w:r>
        <w:rPr>
          <w:i/>
          <w:iCs/>
          <w:color w:val="5A6069"/>
          <w:sz w:val="17"/>
          <w:szCs w:val="17"/>
        </w:rPr>
        <w:t xml:space="preserve">Record the measurement in the body of the note, in millimetres, naming the phase and sequence it was made on. A growth rate that cannot be recomputed from the chart is not a growth rate. See approval 12.</w:t>
      </w:r>
    </w:p>
    <w:p>
      <w:pPr>
        <w:spacing w:after="60" w:line="276"/>
        <w:ind w:left="240"/>
      </w:pPr>
      <w:r>
        <w:rPr>
          <w:color w:val="5A6069"/>
          <w:sz w:val="16"/>
          <w:szCs w:val="16"/>
        </w:rPr>
        <w:t xml:space="preserve">Sources: PANDORA; ASPEN interim; MEN1 2025 guideline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2 cm as a biological boundary.</w:t>
      </w:r>
    </w:p>
    <w:p>
      <w:pPr>
        <w:spacing w:after="50" w:line="276"/>
        <w:ind w:left="240"/>
      </w:pPr>
      <w:r>
        <w:rPr>
          <w:color w:val="15181F"/>
          <w:sz w:val="18"/>
          <w:szCs w:val="18"/>
        </w:rPr>
        <w:t xml:space="preserve">Use it as the point at which the conversation changes, and decide with grade, growth rate, duct calibre, calcification, location, age and comorbidity.</w:t>
      </w:r>
    </w:p>
    <w:p>
      <w:pPr>
        <w:spacing w:after="50"/>
        <w:ind w:left="240"/>
      </w:pPr>
      <w:r>
        <w:rPr>
          <w:b/>
          <w:bCs/>
          <w:color w:val="8C2F26"/>
          <w:sz w:val="18"/>
          <w:szCs w:val="18"/>
        </w:rPr>
        <w:t xml:space="preserve">Caveat. </w:t>
      </w:r>
      <w:r>
        <w:rPr>
          <w:color w:val="15181F"/>
          <w:sz w:val="18"/>
          <w:szCs w:val="18"/>
        </w:rPr>
        <w:t xml:space="preserve">The number does not survive a receiver-operating-characteristic analysis: in 5,172 SEER patients with pancreatic neuroendocrine neoplasms, 1,760 of them 2 cm or less, the cutoff best associated with aggressive behaviour was 2.50 cm - area under the curve 0.769 (95% CI 0.755-0.782), sensitivity 81.3%, specificity 63.3% - and in that same dataset a size of 1-2 cm against 1 cm or less was not prognostic for overall survival (HR 0.92, 95% CI 0.65-1.31, p=0.652) while it did predict who was offered an operation (OR 1.60, 1.20-2.12, p=0.001). Below the line, metastatic potential is real rather than absent: 4 of 500 ASPEN patients (0.8%) had distant metastases at diagnosis. And in the National Cancer Data Base, among 1,854 non-functional tumours of 2 cm or less, 303 (29%) presented with regional nodal metastases and 180 (10%) with distant metastases, with nodal involvement failing to fall at the smallest sizes - 33% among the 94 tumours of 0.5 cm or less - while distant metastasis did rise with size (10.5% at 0.5 cm or less, 8.5% at 0.5-1.0 cm, 14.2% at 1-2 cm, p=0.02). Nodal risk may also not be uniform across populations: see the honest section and approval 3.</w:t>
      </w:r>
    </w:p>
    <w:p>
      <w:pPr>
        <w:spacing w:after="50" w:line="276"/>
        <w:ind w:left="240"/>
      </w:pPr>
      <w:r>
        <w:rPr>
          <w:i/>
          <w:iCs/>
          <w:color w:val="5A6069"/>
          <w:sz w:val="17"/>
          <w:szCs w:val="17"/>
        </w:rPr>
        <w:t xml:space="preserve">Do not read any of these in the other direction either. None of them shows that resecting a small tumour saves a life, and each carries a defect that points the same way. The 33% nodal figure for tumours of 5 mm or less rests on a band of 94 patients, in a variable missing in 45% of that cohort, with no confidence interval given; and the National Cancer Data Base by design records only tumours assigned a malignant behaviour code, which removes exactly the indolent small lesions a surveillance policy is about, so 29% and 10% are a ceiling for a selected malignant subset rather than estimates for an incidental lesion. The paper's own authors say the registry may overestimate the malignant potential of small tumours, and it carries no Ki-67, no mitotic rate and no disease-specific survival. The SEER cutoff of 2.50 cm was derived and reported in the same dataset with no validation, against a composite "aggressiveness" outcome assembled from poor differentiation, nodal involvement, liver involvement and advanced stage - variables mathematically entangled with size and with each other, so size was guaranteed to predict the composite - and a specificity of 63% would be unusable at the bedside. In that same analysis, surgery was associated with better overall survival both before and after propensity matching while cancer-specific survival was comparable after matching, which is the signature of confounding by comorbidity rather than a treatment effect: SEER cannot distinguish a patient enrolled in planned surveillance from one never offered an operation, and before matching that arm was older (65 or over in 52.8% against 36.1%) with seven times the rate of liver involvement (7.0% against 1.0%). There is no imaging follow-up, no growth rate and no crossover anywhere in it, so despite its title it has no purchase on surveillance as a strategy.</w:t>
      </w:r>
    </w:p>
    <w:p>
      <w:pPr>
        <w:spacing w:after="60" w:line="276"/>
        <w:ind w:left="240"/>
      </w:pPr>
      <w:r>
        <w:rPr>
          <w:color w:val="5A6069"/>
          <w:sz w:val="16"/>
          <w:szCs w:val="16"/>
        </w:rPr>
        <w:t xml:space="preserve">Sources: Yang 2022 SEER; ASPEN interim; Gratian 2014; Zheng-Pywell 2022</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an observation decision be made without naming who owns the next scan and when it is due.</w:t>
      </w:r>
    </w:p>
    <w:p>
      <w:pPr>
        <w:spacing w:after="50" w:line="276"/>
        <w:ind w:left="240"/>
      </w:pPr>
      <w:r>
        <w:rPr>
          <w:color w:val="15181F"/>
          <w:sz w:val="18"/>
          <w:szCs w:val="18"/>
        </w:rPr>
        <w:t xml:space="preserve">One owner, one date, one named modality, recorded in the board output. A patient told "we will keep an eye on it" is not under surveillance.</w:t>
      </w:r>
    </w:p>
    <w:p>
      <w:pPr>
        <w:spacing w:after="50"/>
        <w:ind w:left="240"/>
      </w:pPr>
      <w:r>
        <w:rPr>
          <w:b/>
          <w:bCs/>
          <w:color w:val="8C2F26"/>
          <w:sz w:val="18"/>
          <w:szCs w:val="18"/>
        </w:rPr>
        <w:t xml:space="preserve">Caveat. </w:t>
      </w:r>
      <w:r>
        <w:rPr>
          <w:color w:val="15181F"/>
          <w:sz w:val="18"/>
          <w:szCs w:val="18"/>
        </w:rPr>
        <w:t xml:space="preserve">In ASPEN, patient preference was the stated reason for surgery in 42 of 94 cases (45%) and centre preference in 37 (39%) - 84% between them - duct dilatation in 11 (12%) and distant metastases in 4 (4%); a HADS anxiety score of 4-6 was independently associated with operating (OR 2.0, p=0.029) and enrolment at a surgical centre doubled the odds (OR 2.0, p=0.012). Unowned surveillance converts into an operation driven by accumulated anxiety and local culture rather than by tumour behaviour. The PANDORA quality-of-life finding is about the moment of entry rather than the experience of waiting: at baseline, patients scored worse than the reference population for emotional functioning (83.9 against 89.0, p=0.042), insomnia (22.9 against 14.0, p=0.046), dyspnoea (18.8 against 7.1, p=0.004) and nausea and vomiting (6.9 against 2.7, p=0.037), and its authors call the result too premature to interpret. Either way the psychological cost is measurable at the start of surveillance and should be addressed there rather than absorbed - three of PANDORA's six operations had no protocol indication at all, two of them for fear of progression and one because the surgeon did not support watchful waiting.</w:t>
      </w:r>
    </w:p>
    <w:p>
      <w:pPr>
        <w:spacing w:after="60" w:line="276"/>
        <w:ind w:left="240"/>
      </w:pPr>
      <w:r>
        <w:rPr>
          <w:color w:val="5A6069"/>
          <w:sz w:val="16"/>
          <w:szCs w:val="16"/>
        </w:rPr>
        <w:t xml:space="preserve">Sources: ASPEN interim; PANDORA</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Which operation for a resectable tumour</w:t>
      </w:r>
    </w:p>
    <w:p>
      <w:pPr>
        <w:spacing w:after="140"/>
      </w:pPr>
      <w:r>
        <w:rPr>
          <w:b/>
          <w:bCs/>
          <w:color w:val="176A87"/>
          <w:sz w:val="19"/>
          <w:szCs w:val="19"/>
        </w:rPr>
        <w:t xml:space="preserve">The question. </w:t>
      </w:r>
      <w:r>
        <w:rPr>
          <w:sz w:val="19"/>
          <w:szCs w:val="19"/>
        </w:rPr>
        <w:t xml:space="preserve">Does this tumour need a formal oncologic resection, or can I take it out and leave the patient their pancreas?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Nonfunctional tumour larger than 2 cm, or invasive, or node-positive on imaging</w:t>
      </w:r>
    </w:p>
    <w:p>
      <w:pPr>
        <w:pStyle w:val="ListParagraph"/>
        <w:numPr>
          <w:ilvl w:val="0"/>
          <w:numId w:val="2"/>
        </w:numPr>
        <w:spacing w:after="60" w:line="268"/>
      </w:pPr>
      <w:r>
        <w:rPr>
          <w:color w:val="15181F"/>
          <w:sz w:val="18"/>
          <w:szCs w:val="18"/>
        </w:rPr>
        <w:t xml:space="preserve">Malignant-appearing tumour of any size</w:t>
      </w:r>
    </w:p>
    <w:p>
      <w:pPr>
        <w:pStyle w:val="ListParagraph"/>
        <w:numPr>
          <w:ilvl w:val="0"/>
          <w:numId w:val="2"/>
        </w:numPr>
        <w:spacing w:after="60" w:line="268"/>
      </w:pPr>
      <w:r>
        <w:rPr>
          <w:color w:val="15181F"/>
          <w:sz w:val="18"/>
          <w:szCs w:val="18"/>
        </w:rPr>
        <w:t xml:space="preserve">A functional tumour that has been localised</w:t>
      </w:r>
    </w:p>
    <w:p>
      <w:pPr>
        <w:pStyle w:val="ListParagraph"/>
        <w:numPr>
          <w:ilvl w:val="0"/>
          <w:numId w:val="2"/>
        </w:numPr>
        <w:spacing w:after="60" w:line="268"/>
      </w:pPr>
      <w:r>
        <w:rPr>
          <w:color w:val="15181F"/>
          <w:sz w:val="18"/>
          <w:szCs w:val="18"/>
        </w:rPr>
        <w:t xml:space="preserve">A 1–2 cm tumour where the board has decided to resect</w:t>
      </w:r>
    </w:p>
    <w:p>
      <w:pPr>
        <w:pStyle w:val="ListParagraph"/>
        <w:numPr>
          <w:ilvl w:val="0"/>
          <w:numId w:val="2"/>
        </w:numPr>
        <w:spacing w:after="60" w:line="268"/>
      </w:pPr>
      <w:r>
        <w:rPr>
          <w:color w:val="15181F"/>
          <w:sz w:val="18"/>
          <w:szCs w:val="18"/>
        </w:rPr>
        <w:t xml:space="preserve">Patient fit for the operation that the tumour's position actually requires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Standard oncologic surgery — distal pancreatectomy with or without splenectomy, or pancreatoduodenectomy — is the operation for most resectable non-metastatic tumours.</w:t>
      </w:r>
    </w:p>
    <w:p>
      <w:pPr>
        <w:spacing w:after="50" w:line="276"/>
        <w:ind w:left="240"/>
      </w:pPr>
      <w:r>
        <w:rPr>
          <w:color w:val="15181F"/>
          <w:sz w:val="18"/>
          <w:szCs w:val="18"/>
        </w:rPr>
        <w:t xml:space="preserve">Tumours larger than 2 cm, malignant-appearing tumours, and functional tumours other than insulinoma. For a tumour larger than 2 cm or malignant-appearing, NCCN requires total removal with negative margins including adjacent organs where involved, together with regional nodes: pancreatoduodenectomy for the head, distal pancreatectomy with or without splenectomy or a spleen-preserving distal pancreatectomy for body and tail.</w:t>
      </w:r>
    </w:p>
    <w:p>
      <w:pPr>
        <w:spacing w:after="50"/>
        <w:ind w:left="240"/>
      </w:pPr>
      <w:r>
        <w:rPr>
          <w:b/>
          <w:bCs/>
          <w:color w:val="8C2F26"/>
          <w:sz w:val="18"/>
          <w:szCs w:val="18"/>
        </w:rPr>
        <w:t xml:space="preserve">Caveat. </w:t>
      </w:r>
      <w:r>
        <w:rPr>
          <w:color w:val="15181F"/>
          <w:sz w:val="18"/>
          <w:szCs w:val="18"/>
        </w:rPr>
        <w:t xml:space="preserve">Do not choose the operation from the size alone — position relative to the main pancreatic duct and the nodal question decide it. Splenectomy is generally included, but spleen preservation should be considered for a benign insulinoma; vaccinate at least 14 days before where splenectomy is possible.</w:t>
      </w:r>
    </w:p>
    <w:p>
      <w:pPr>
        <w:spacing w:after="50" w:line="276"/>
        <w:ind w:left="240"/>
      </w:pPr>
      <w:r>
        <w:rPr>
          <w:i/>
          <w:iCs/>
          <w:color w:val="5A6069"/>
          <w:sz w:val="17"/>
          <w:szCs w:val="17"/>
        </w:rPr>
        <w:t xml:space="preserve">Outcome context from the largest resected series, 3,851 patients in the National Cancer Data Base, 1985-2004: 5-year overall survival 59.3% and 10-year 37.7%, relative survival 65.7% and 47.8%, median follow-up 51 months. The independent predictors were age (55-75 HR 1.57, 95% CI 1.28-1.91; over 75 HR 3.04, 2.17-4.25), a nonfunctional tumour (HR 1.45, 1.06-1.97), high-grade histology (HR 2.03, 1.41-2.92), liver metastases (HR 1.71, 1.36-2.14) and other distant metastases (HR 3.78, 1.51-9.43), with pancreatoduodenectomy against distal pancreatectomy also adverse (HR 1.63, 1.03-2.57, p=0.04). Tumour size was not an independent predictor in any parameterisation, nor were nodal status (HR 1.18, 0.96-1.45, p=0.12), margins (gross positive HR 1.72, 0.95-3.12, p=0.08), chemotherapy, radiotherapy or hospital volume. Read the size result carefully before importing it into the observation decision: only 19% of that cohort's tumours were 2 cm or less, 171 tumours a pathologist had coded benign were excluded by design, grade was missing in 43.5% and size in about 22% with no sensitivity analysis, and the resulting prognostic score was derived and tested in the same 836 complete-case patients with a concordance index of 0.63 (0.59-0.67) - barely above the 0.5 of chance. The paper cannot be used to argue that size is irrelevant to whether to resect a 1 cm incidental lesion. The adverse coefficient for pancreatoduodenectomy is far more plausibly perioperative mortality and tumour location than an effect of the operation, which the authors concede while retaining it. [EXPERTISE]</w:t>
      </w:r>
    </w:p>
    <w:p>
      <w:pPr>
        <w:spacing w:after="60" w:line="276"/>
        <w:ind w:left="240"/>
      </w:pPr>
      <w:r>
        <w:rPr>
          <w:color w:val="5A6069"/>
          <w:sz w:val="16"/>
          <w:szCs w:val="16"/>
        </w:rPr>
        <w:t xml:space="preserve">Sources: NANETS 2020 surgical; Bilimoria 2008</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Aim for a negative margin, but do not extend the resection to get a wider one.</w:t>
      </w:r>
    </w:p>
    <w:p>
      <w:pPr>
        <w:spacing w:after="50" w:line="276"/>
        <w:ind w:left="240"/>
      </w:pPr>
      <w:r>
        <w:rPr>
          <w:color w:val="15181F"/>
          <w:sz w:val="18"/>
          <w:szCs w:val="18"/>
        </w:rPr>
        <w:t xml:space="preserve">NANETS' position is that resection with negative margins should be the goal but that no data support more aggressive resection to obtain wider surgical margins in this disease, which is what makes enucleation legitimate in selected patients. In the 3,851-patient National Cancer Data Base series, margin status was not an independent predictor of survival on multivariable analysis - a grossly positive margin carried HR 1.72 (95% CI 0.95-3.12, p=0.08) - although univariately well or moderately differentiated tumours did far better than poorly differentiated ones (5-year survival 63.9% against 28.3%, p&lt;0.0001).</w:t>
      </w:r>
    </w:p>
    <w:p>
      <w:pPr>
        <w:spacing w:after="50"/>
        <w:ind w:left="240"/>
      </w:pPr>
      <w:r>
        <w:rPr>
          <w:b/>
          <w:bCs/>
          <w:color w:val="8C2F26"/>
          <w:sz w:val="18"/>
          <w:szCs w:val="18"/>
        </w:rPr>
        <w:t xml:space="preserve">Caveat. </w:t>
      </w:r>
      <w:r>
        <w:rPr>
          <w:color w:val="15181F"/>
          <w:sz w:val="18"/>
          <w:szCs w:val="18"/>
        </w:rPr>
        <w:t xml:space="preserve">Do not use a 1 mm margin as a reason for a bigger operation. NANETS reports an 8-centre review of 1,020 resected patients in which R1 (margin 1 mm or less) occurred in 15% and 10-year recurrence-free survival fell to 47% from 63% (HR 1.8, p=0.02) while 10-year overall survival was unchanged at 71.1% against 71.8% (p=0.392), with grade, perineural invasion and vascular invasion significant for overall survival on multivariable analysis and margin status not. That series is not in this page's full-text depot and the figures are quoted as NANETS states them; the three-centre cohort that is in the depot reports R1 in 32 of 211 (15%), significant univariately and dropping out on backward selection.</w:t>
      </w:r>
    </w:p>
    <w:p>
      <w:pPr>
        <w:spacing w:after="50" w:line="276"/>
        <w:ind w:left="240"/>
      </w:pPr>
      <w:r>
        <w:rPr>
          <w:i/>
          <w:iCs/>
          <w:color w:val="5A6069"/>
          <w:sz w:val="17"/>
          <w:szCs w:val="17"/>
        </w:rPr>
        <w:t xml:space="preserve">What does predict recurrence is biology. In 211 curatively resected G1 and G2 non-functional tumours at three high-volume European centres, followed a median of 51 months, 35 (17%) recurred at a median of 43 months (IQR 23-62), 91% of them within 5 years and 69% in the pancreatic remnant; 5- and 10-year disease-specific survival were 98% and 84% and overall survival 91% and 68%. The independent predictors of recurrence within 5 years were grade 2 (HR 4.07, 95% CI 1.87-8.84, p&lt;0.001), positive lymph nodes (HR 2.44, 1.17-5.09, p=0.017) and perineural invasion (HR 2.38, 1.11-5.10, p=0.026); tumour size, R1 and vascular invasion were significant univariately and dropped out on backward selection. Of 107 patients with none of the three factors, 2 recurred. Operative harm in that cohort was substantial too: major complications in 58 of 211 (27%) and grade B or C pancreatic fistula in 46 (22%). All three score components are postoperative findings, so the instrument says nothing about whether to operate - see gate 9 for what it can and cannot do.</w:t>
      </w:r>
    </w:p>
    <w:p>
      <w:pPr>
        <w:spacing w:after="60" w:line="276"/>
        <w:ind w:left="240"/>
      </w:pPr>
      <w:r>
        <w:rPr>
          <w:color w:val="5A6069"/>
          <w:sz w:val="16"/>
          <w:szCs w:val="16"/>
        </w:rPr>
        <w:t xml:space="preserve">Sources: Bilimoria 2008; Genc recurrence score; NANETS 2020 surgical</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Enucleation and central pancreatectomy are legitimate for a small, superficial tumour clear of the main duct - at a centre doing enough of them, and with the nodal question settled before the incision.</w:t>
      </w:r>
    </w:p>
    <w:p>
      <w:pPr>
        <w:spacing w:after="50" w:line="276"/>
        <w:ind w:left="240"/>
      </w:pPr>
      <w:r>
        <w:rPr>
          <w:color w:val="15181F"/>
          <w:sz w:val="18"/>
          <w:szCs w:val="18"/>
        </w:rPr>
        <w:t xml:space="preserve">A tumour clear of the main pancreatic duct by more than 2 to 3 mm in a patient for whom preserving parenchyma matters. In a random-effects meta-analysis of 22 observational comparative studies (1,148 patients: 432 enucleations against 716 standard resections, 388 of them distal pancreatectomies and 328 pancreatoduodenectomies), enucleation gave less endocrine insufficiency (risk difference -0.08, 95% CI -0.12 to -0.04, p&lt;0.001, I-squared 0%) and less exocrine insufficiency (-0.17, -0.31 to -0.04, p=0.01, I-squared 86%), 298 mL less blood loss (p&lt;0.001), 78.4 minutes less operating time (p&lt;0.001) and a stay shorter by 1.31 days (-2.55 to -0.06, p=0.04), with no difference in mortality (OR 1.49, 0.54-4.15), overall complications (OR 1.08, 0.68-1.73) or reoperation (OR 0.97, 0.46-2.04). ENETS adds the context: curative resection of a nonfunctioning tumour carries 5-year survival of 70-80%, and pancreatic resection carries morbidity up to 50% and mortality up to 3% even in high-volume centres.</w:t>
      </w:r>
    </w:p>
    <w:p>
      <w:pPr>
        <w:spacing w:after="50"/>
        <w:ind w:left="240"/>
      </w:pPr>
      <w:r>
        <w:rPr>
          <w:b/>
          <w:bCs/>
          <w:color w:val="8C2F26"/>
          <w:sz w:val="18"/>
          <w:szCs w:val="18"/>
        </w:rPr>
        <w:t xml:space="preserve">Caveat. </w:t>
      </w:r>
      <w:r>
        <w:rPr>
          <w:color w:val="15181F"/>
          <w:sz w:val="18"/>
          <w:szCs w:val="18"/>
        </w:rPr>
        <w:t xml:space="preserve">It costs fistula. Pancreatic fistula occurred in 25.5% after enucleation against 19.7% after standard resection, OR 2.09 (1.41-3.11), p&lt;0.001, holding in the subset using the ISGPF definition (OR 2.15, 1.30-3.57) and for clinically relevant grade B or C disease (OR 1.93, 1.14-3.27, p=0.01, I-squared 0%). The excess lost significance only in the four studies performing more than 20 enucleations in total and at least 4 a year (OR 1.72, 0.87-3.38, p=0.12), which makes this a volume-conditional operation - see approval 5. And do not choose it to avoid a lymphadenectomy the tumour warrants: the review states plainly that it cannot address whether enucleation without lymphadenectomy is oncologically adequate, which is the question a surveillance pathway actually needs answered.</w:t>
      </w:r>
    </w:p>
    <w:p>
      <w:pPr>
        <w:spacing w:after="50" w:line="276"/>
        <w:ind w:left="240"/>
      </w:pPr>
      <w:r>
        <w:rPr>
          <w:i/>
          <w:iCs/>
          <w:color w:val="5A6069"/>
          <w:sz w:val="17"/>
          <w:szCs w:val="17"/>
        </w:rPr>
        <w:t xml:space="preserve">Grade C. No randomised trial exists; all 22 studies were observational, mean methodological quality was 13 of a possible 27 on a modified Downs and Black checklist, only one of the 22 reported information on principal confounders, and only 4 performed more than 20 enucleations. The operations were chosen for anatomically different lesions and the review concedes it cannot tell whether the standard-resection patients were ever enucleation candidates, so part of every difference is lesion size and position rather than the operation. Indications pooled insulinoma, non-functioning tumours, serous and mucinous cystadenoma, IPMN and chronic pancreatitis, so no result is specific to a neuroendocrine tumour; the hospital-stay result is acknowledged to be driven by between-country practice; and the volume threshold was defined by the review's own authors and inserted into the quality checklist, so the least pre-specified analysis is the one carried into the conclusion. [EXPERTISE]</w:t>
      </w:r>
    </w:p>
    <w:p>
      <w:pPr>
        <w:spacing w:after="60" w:line="276"/>
        <w:ind w:left="240"/>
      </w:pPr>
      <w:r>
        <w:rPr>
          <w:color w:val="5A6069"/>
          <w:sz w:val="16"/>
          <w:szCs w:val="16"/>
        </w:rPr>
        <w:t xml:space="preserve">Sources: Hüttner 2015; NANETS 2020 surgical; ENETS 2023 NF-PanNET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Minimally invasive and robotic approaches are reasonable for distal pancreatectomy and in experienced hands for central pancreatectomy.</w:t>
      </w:r>
    </w:p>
    <w:p>
      <w:pPr>
        <w:spacing w:after="50" w:line="276"/>
        <w:ind w:left="240"/>
      </w:pPr>
      <w:r>
        <w:rPr>
          <w:color w:val="15181F"/>
          <w:sz w:val="18"/>
          <w:szCs w:val="18"/>
        </w:rPr>
        <w:t xml:space="preserve">NCCN suggests considering minimally invasive resection for a distal insulinoma. For central pancreatectomy, a laparoscopic-versus-open comparison reported shorter stay, less blood loss, earlier return to diet and better long-term quality of life, and a randomised trial of robot-assisted versus open central pancreatectomy reported shorter stay, reduced operative time, less blood loss, a lower clinical fistula rate and faster recovery.</w:t>
      </w:r>
    </w:p>
    <w:p>
      <w:pPr>
        <w:spacing w:after="50"/>
        <w:ind w:left="240"/>
      </w:pPr>
      <w:r>
        <w:rPr>
          <w:b/>
          <w:bCs/>
          <w:color w:val="8C2F26"/>
          <w:sz w:val="18"/>
          <w:szCs w:val="18"/>
        </w:rPr>
        <w:t xml:space="preserve">Caveat. </w:t>
      </w:r>
      <w:r>
        <w:rPr>
          <w:color w:val="15181F"/>
          <w:sz w:val="18"/>
          <w:szCs w:val="18"/>
        </w:rPr>
        <w:t xml:space="preserve">Do not let the approach dictate the oncologic operation. A spleen-preserving laparoscopic distal pancreatectomy that cannot deliver the nodal count the tumour warrants is the wrong operation done elegantly. Neither of the central-pancreatectomy comparisons above is in this page's full-text depot; both are quoted as NANETS reports them, neither was powered for an oncologic endpoint, and ENETS notes separately that robust data on minimally invasive pancreatoduodenectomy in this disease are lacking. [EXPERTISE]</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neoadjuvant therapy outside a trial or a specific downstaging intention.</w:t>
      </w:r>
    </w:p>
    <w:p>
      <w:pPr>
        <w:spacing w:after="50" w:line="276"/>
        <w:ind w:left="240"/>
      </w:pPr>
      <w:r>
        <w:rPr>
          <w:color w:val="15181F"/>
          <w:sz w:val="18"/>
          <w:szCs w:val="18"/>
        </w:rPr>
        <w:t xml:space="preserve">NANETS states that the efficacy of neoadjuvant therapy for resectable or borderline-resectable disease remains unclear and that randomised trials are needed, while allowing it as an option for downstaging selected patients with advanced or metastatic disease, especially before cytoreductive surgery — which is the NELM pathway's territory.</w:t>
      </w:r>
    </w:p>
    <w:p>
      <w:pPr>
        <w:spacing w:after="50"/>
        <w:ind w:left="240"/>
      </w:pPr>
      <w:r>
        <w:rPr>
          <w:b/>
          <w:bCs/>
          <w:color w:val="8C2F26"/>
          <w:sz w:val="18"/>
          <w:szCs w:val="18"/>
        </w:rPr>
        <w:t xml:space="preserve">Caveat. </w:t>
      </w:r>
      <w:r>
        <w:rPr>
          <w:color w:val="15181F"/>
          <w:sz w:val="18"/>
          <w:szCs w:val="18"/>
        </w:rPr>
        <w:t xml:space="preserve">The supporting data are a retrospective MD Anderson series in which 29 of 356 patients with localised disease received 5-fluorouracil, doxorubicin and streptozocin, 48% went on to pancreatectomy and median overall survival was 112 months in the resected against 41 months in the unresected - a comparison of patients selected by their response. A propensity-matched NCDB study of 301 patients receiving perioperative systemic therapy against 301 having surgery alone found no difference for neoadjuvant therapy (P=0.21) and worse survival in the adjuvant group (P=0.037), with the agents not recorded. Neither series is in this page's full-text depot; both are quoted as NANETS and NCCN report them.</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book a pancreatoduodenectomy for a tumour you have not finished staging.</w:t>
      </w:r>
    </w:p>
    <w:p>
      <w:pPr>
        <w:spacing w:after="50" w:line="276"/>
        <w:ind w:left="240"/>
      </w:pPr>
      <w:r>
        <w:rPr>
          <w:color w:val="15181F"/>
          <w:sz w:val="18"/>
          <w:szCs w:val="18"/>
        </w:rPr>
        <w:t xml:space="preserve">Liver and nodal status, duct calibre and receptor status before the operating list, not after. A receptor PET that finds an occult liver deposit converts this into the NELM pathway and changes which operation — if any — is right.</w:t>
      </w:r>
    </w:p>
    <w:p>
      <w:pPr>
        <w:spacing w:after="50"/>
        <w:ind w:left="240"/>
      </w:pPr>
      <w:r>
        <w:rPr>
          <w:b/>
          <w:bCs/>
          <w:color w:val="8C2F26"/>
          <w:sz w:val="18"/>
          <w:szCs w:val="18"/>
        </w:rPr>
        <w:t xml:space="preserve">Caveat. </w:t>
      </w:r>
      <w:r>
        <w:rPr>
          <w:color w:val="15181F"/>
          <w:sz w:val="18"/>
          <w:szCs w:val="18"/>
        </w:rPr>
        <w:t xml:space="preserve">NCCN's warning is explicit: a Whipple in metastatic disease is usually not curative and compromises later liver-directed therapy, and liver-directed therapy after a Whipple carries increased risk of cholangitis and liver abscess. That is an irreversible cost imposed on a patient whose disease is going to be managed hepatically for years.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Lymphadenectomy — how many nodes, and when</w:t>
      </w:r>
    </w:p>
    <w:p>
      <w:pPr>
        <w:spacing w:after="140"/>
      </w:pPr>
      <w:r>
        <w:rPr>
          <w:b/>
          <w:bCs/>
          <w:color w:val="176A87"/>
          <w:sz w:val="19"/>
          <w:szCs w:val="19"/>
        </w:rPr>
        <w:t xml:space="preserve">The question. </w:t>
      </w:r>
      <w:r>
        <w:rPr>
          <w:sz w:val="19"/>
          <w:szCs w:val="19"/>
        </w:rPr>
        <w:t xml:space="preserve">Am I taking nodes to stage this patient, to treat them, or because the operation happened to include them?</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formal pancreatoduodenectomy or distal pancreatectomy is planned</w:t>
      </w:r>
    </w:p>
    <w:p>
      <w:pPr>
        <w:pStyle w:val="ListParagraph"/>
        <w:numPr>
          <w:ilvl w:val="0"/>
          <w:numId w:val="2"/>
        </w:numPr>
        <w:spacing w:after="60" w:line="268"/>
      </w:pPr>
      <w:r>
        <w:rPr>
          <w:color w:val="15181F"/>
          <w:sz w:val="18"/>
          <w:szCs w:val="18"/>
        </w:rPr>
        <w:t xml:space="preserve">Tumour larger than 1.5 cm, or in the head of the pancreas</w:t>
      </w:r>
    </w:p>
    <w:p>
      <w:pPr>
        <w:pStyle w:val="ListParagraph"/>
        <w:numPr>
          <w:ilvl w:val="0"/>
          <w:numId w:val="2"/>
        </w:numPr>
        <w:spacing w:after="60" w:line="268"/>
      </w:pPr>
      <w:r>
        <w:rPr>
          <w:color w:val="15181F"/>
          <w:sz w:val="18"/>
          <w:szCs w:val="18"/>
        </w:rPr>
        <w:t xml:space="preserve">Ki-67 above 20%, or lymphovascular invasion on biopsy</w:t>
      </w:r>
    </w:p>
    <w:p>
      <w:pPr>
        <w:pStyle w:val="ListParagraph"/>
        <w:numPr>
          <w:ilvl w:val="0"/>
          <w:numId w:val="2"/>
        </w:numPr>
        <w:spacing w:after="60" w:line="268"/>
      </w:pPr>
      <w:r>
        <w:rPr>
          <w:color w:val="15181F"/>
          <w:sz w:val="18"/>
          <w:szCs w:val="18"/>
        </w:rPr>
        <w:t xml:space="preserve">Suspicious nodes on preoperative imaging or at exploration</w:t>
      </w:r>
    </w:p>
    <w:p>
      <w:pPr>
        <w:pStyle w:val="ListParagraph"/>
        <w:numPr>
          <w:ilvl w:val="0"/>
          <w:numId w:val="2"/>
        </w:numPr>
        <w:spacing w:after="60" w:line="268"/>
      </w:pPr>
      <w:r>
        <w:rPr>
          <w:color w:val="15181F"/>
          <w:sz w:val="18"/>
          <w:szCs w:val="18"/>
        </w:rPr>
        <w:t xml:space="preserve">A parenchyma-sparing operation is planned for a tumour of 2 cm or less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a formal pancreatoduodenectomy or distal pancreatectomy is being done, retrieve 11 to 15 nodes for accurate nodal staging.</w:t>
      </w:r>
    </w:p>
    <w:p>
      <w:pPr>
        <w:spacing w:after="50" w:line="276"/>
        <w:ind w:left="240"/>
      </w:pPr>
      <w:r>
        <w:rPr>
          <w:color w:val="15181F"/>
          <w:sz w:val="18"/>
          <w:szCs w:val="18"/>
        </w:rPr>
        <w:t xml:space="preserve">Every oncologic resection. The count is derived rather than tested, and it is not derived in this disease. NANETS reports that compared with 1-5 and 6-10 nodes, examining 11-15 raised the likelihood of finding a nodal metastasis 2.3-fold and 1.5-fold respectively, while 16-20 or more than 20 added nothing; the primary study behind that figure is not in this page's full-text depot, and NANETS itself states that unlike gastric and colon cancer there is no universally accepted minimum node number for prognostication here. With a standard pancreatoduodenectomy or a distal pancreatectomy with splenectomy the count is usually not difficult to achieve. ENETS 2023 draws the line differently again: routine lymphadenectomy for tumours over 3 cm and case-by-case for 2-3 cm, on the ground that no preoperative test accurately predicts nodal involvement.</w:t>
      </w:r>
    </w:p>
    <w:p>
      <w:pPr>
        <w:spacing w:after="50"/>
        <w:ind w:left="240"/>
      </w:pPr>
      <w:r>
        <w:rPr>
          <w:b/>
          <w:bCs/>
          <w:color w:val="8C2F26"/>
          <w:sz w:val="18"/>
          <w:szCs w:val="18"/>
        </w:rPr>
        <w:t xml:space="preserve">Caveat. </w:t>
      </w:r>
      <w:r>
        <w:rPr>
          <w:color w:val="15181F"/>
          <w:sz w:val="18"/>
          <w:szCs w:val="18"/>
        </w:rPr>
        <w:t xml:space="preserve">Do not present the node count as a therapeutic intervention. In the National Cancer Data Base series of 1,854 non-functional tumours of 2 cm or less, 999 of which were resected, 72.8% had a lymphadenectomy with a median of 8 nodes examined and 27% had no node examined at all; after adjustment there was no 2-year or 5-year survival difference between patients who did and did not have one, and no difference by type of resection (p=0.16). NANETS additionally reports a SEER analysis of 981 patients finding no survival advantage from sampling 10 or more nodes, a study not in this page's depot. The count is a staging instrument.</w:t>
      </w:r>
    </w:p>
    <w:p>
      <w:pPr>
        <w:spacing w:after="50" w:line="276"/>
        <w:ind w:left="240"/>
      </w:pPr>
      <w:r>
        <w:rPr>
          <w:i/>
          <w:iCs/>
          <w:color w:val="5A6069"/>
          <w:sz w:val="17"/>
          <w:szCs w:val="17"/>
        </w:rPr>
        <w:t xml:space="preserve">Nodal status does carry prognostic weight, and the reading of it has to be exact. In 136 operated patients with locoregional disease at one unit, 133 of whom had nodes resected, 50 (37.6%) were node positive with a mean of 13.7 plus or minus 11.5 nodes retrieved, and median disease-free survival was 4.5 against 14.6 years (log-rank p&lt;0.0001), with 5- and 10-year disease-free survival 48.2% and 32.1% against 86.8% and 70.8%. Overall survival did not reach significance: 77.1% and 55.4% against 91.3% and 74.6%, log-rank 0.1. The frequency of nodal metastasis rose with tumour size above 1.5 cm (OR 4.7, 95% CI 1.81-12.35, p=0.002), head location against body and tail (OR 2.8, 1.3-5.8, p=0.007), Ki-67 above 20% (OR 6.7, 1.6-27.3, p=0.008) and lymphovascular invasion (OR 3.6, 1.5-8.6, p=0.004) - but on multivariable analysis no variable independently predicted nodal metastasis at all, those odds ratios were fitted on incomplete and varying subsets (lymphovascular invasion known in 97 of 136, Ki-67 in 121, grade in 112), and median nodes examined were 15 for head against 8 for body and tail (p=0.0002), so part of the location effect is a detection effect. Grade D for the 11-to-15 target: a borrowed number supported by a study this page has not read, in a cohort where no preoperative variable independently predicted the thing the count is for.</w:t>
      </w:r>
    </w:p>
    <w:p>
      <w:pPr>
        <w:spacing w:after="60" w:line="276"/>
        <w:ind w:left="240"/>
      </w:pPr>
      <w:r>
        <w:rPr>
          <w:color w:val="5A6069"/>
          <w:sz w:val="16"/>
          <w:szCs w:val="16"/>
        </w:rPr>
        <w:t xml:space="preserve">Sources: NANETS 2020 surgical; Hashim 2014; Gratian 2014; ENETS 2023 NF-PanNET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a parenchyma-sparing operation is planned for a tumour of 2 cm or less, remove any node that looks suspicious on imaging and consider sampling even when imaging is negative.</w:t>
      </w:r>
    </w:p>
    <w:p>
      <w:pPr>
        <w:spacing w:after="50" w:line="276"/>
        <w:ind w:left="240"/>
      </w:pPr>
      <w:r>
        <w:rPr>
          <w:color w:val="15181F"/>
          <w:sz w:val="18"/>
          <w:szCs w:val="18"/>
        </w:rPr>
        <w:t xml:space="preserve">That is NANETS' recommendation verbatim, and the reason is that preoperative variables cannot exclude nodal disease. In the 136-patient series, multivariable analysis identified no independent predictor of nodal metastasis, and on the probability plot even the smallest pancreatic head tumours carried a nodal risk whose lower 95% bound sat just under 20%, with the smallest body and tail tumours estimated near 20% and a lower bound of 8.8%. Nodal metastasis was present in 2 of 17 tumours of 1 cm or less (12%) and 5 of 38 of 1.5 cm or less (13%). NANETS reports nodal metastasis in 12.9% to 27.3% of tumours of 2 cm or less, regardless of location.</w:t>
      </w:r>
    </w:p>
    <w:p>
      <w:pPr>
        <w:spacing w:after="50"/>
        <w:ind w:left="240"/>
      </w:pPr>
      <w:r>
        <w:rPr>
          <w:b/>
          <w:bCs/>
          <w:color w:val="8C2F26"/>
          <w:sz w:val="18"/>
          <w:szCs w:val="18"/>
        </w:rPr>
        <w:t xml:space="preserve">Caveat. </w:t>
      </w:r>
      <w:r>
        <w:rPr>
          <w:color w:val="15181F"/>
          <w:sz w:val="18"/>
          <w:szCs w:val="18"/>
        </w:rPr>
        <w:t xml:space="preserve">Do not treat a spleen-preserving or central resection as nodally adequate by default. For body and tail lesions that means attention to the hepatic artery, celiac axis and splenic artery nodes; for head lesions, the posterior pancreatic and portocaval nodes. Whether removing them changes survival has not been established. And read the low-risk estimates for what they are: 2 of 17 patients carries a confidence interval running from roughly 2% to 36%, which can neither support nor refute any size threshold, and every patient in that cohort was operated at a unit that states its own institutional bias toward complete oncological resection - so the favourable small lesions that would populate a low-risk tail are structurally absent from the dataset, which the authors acknowledge before drawing a management conclusion from it anyway.</w:t>
      </w:r>
    </w:p>
    <w:p>
      <w:pPr>
        <w:spacing w:after="50" w:line="276"/>
        <w:ind w:left="240"/>
      </w:pPr>
      <w:r>
        <w:rPr>
          <w:i/>
          <w:iCs/>
          <w:color w:val="5A6069"/>
          <w:sz w:val="17"/>
          <w:szCs w:val="17"/>
        </w:rPr>
        <w:t xml:space="preserve">Nodal risk may not be uniform across populations. In a multi-institutional resected cohort from the US Neuroendocrine Tumor Study Group and a National Cancer Database validation cohort, nodal metastasis in tumours under 2 cm was 7 of 30 (23%) in Black patients against 8 of 151 (5%) in white patients, and 54 of 258 (21%) against 188 of 1,596 (12%), both p&lt;0.01, with no racial difference in any larger size band; tumour size as a continuous variable predicted nodal metastasis in white patients only. The finding below 1 cm did not replicate - 2 of 8 (25%) against 0 of 33 (0%), p&lt;0.01, in the first dataset but 7 of 67 (10%) against 31 of 354 (9%), p=0.66, in the validation. Every patient in both cohorts was resected with nodes removed, the two datasets overlap institutionally because the study group's own institutions report to the national database, grade was excluded from one and unavailable in the other, and no measure of insurance, income, referral delay or access to imaging was available. See the honest section and approval 3.</w:t>
      </w:r>
    </w:p>
    <w:p>
      <w:pPr>
        <w:spacing w:after="60" w:line="276"/>
        <w:ind w:left="240"/>
      </w:pPr>
      <w:r>
        <w:rPr>
          <w:color w:val="5A6069"/>
          <w:sz w:val="16"/>
          <w:szCs w:val="16"/>
        </w:rPr>
        <w:t xml:space="preserve">Sources: NANETS 2020 surgical; Hashim 2014; Zheng-Pywell 2022</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pragmatic position: take the nodes because it makes the next decision possible, not because it treats the cancer.</w:t>
      </w:r>
    </w:p>
    <w:p>
      <w:pPr>
        <w:spacing w:after="50" w:line="276"/>
        <w:ind w:left="240"/>
      </w:pPr>
      <w:r>
        <w:rPr>
          <w:color w:val="15181F"/>
          <w:sz w:val="18"/>
          <w:szCs w:val="18"/>
        </w:rPr>
        <w:t xml:space="preserve">NANETS puts it this way — reducing tumour burden through lymphadenectomy, or at the very least removing suspicious nodes seen on imaging or at exploration, is likely to facilitate future management. Nodal metastasis is one of the three independent predictors in the published recurrence score, so a patient whose nodal status is unknown cannot be risk-stratified for surveillance intensity afterwards.</w:t>
      </w:r>
    </w:p>
    <w:p>
      <w:pPr>
        <w:spacing w:after="50"/>
        <w:ind w:left="240"/>
      </w:pPr>
      <w:r>
        <w:rPr>
          <w:b/>
          <w:bCs/>
          <w:color w:val="8C2F26"/>
          <w:sz w:val="18"/>
          <w:szCs w:val="18"/>
        </w:rPr>
        <w:t xml:space="preserve">Caveat. </w:t>
      </w:r>
      <w:r>
        <w:rPr>
          <w:color w:val="15181F"/>
          <w:sz w:val="18"/>
          <w:szCs w:val="18"/>
        </w:rPr>
        <w:t xml:space="preserve">Do not inflate this into a survival claim. The relationship between nodal metastasis and survival is genuinely inconsistent across series, and the reasons are structural: small numbers, inconsistent nodal sampling and pathological assessment, and follow-up too short for an indolent disease. NANETS reports a 326-patient cohort in which overall survival did not differ by nodal status at 2.7 years of follow-up and did differ significantly at 11 years; that paper is not in this page's depot. The one nodal cohort read in full here makes the same point in its own data and in the other direction: nodal status predicted disease-free survival strongly and overall survival not at all (log-rank 0.1), and its authors argue that the overall-survival result will become significant with longer follow-up rather than reporting the result they obtained, then use the disease-free finding to justify routine lymphadenectomy.</w:t>
      </w:r>
    </w:p>
    <w:p>
      <w:pPr>
        <w:spacing w:after="60" w:line="276"/>
        <w:ind w:left="240"/>
      </w:pPr>
      <w:r>
        <w:rPr>
          <w:color w:val="5A6069"/>
          <w:sz w:val="16"/>
          <w:szCs w:val="16"/>
        </w:rPr>
        <w:t xml:space="preserve">Sources: NANETS 2020 surgical; Genc recurrence score; Hashim 2014</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Extended lymphadenectomy has no established place.</w:t>
      </w:r>
    </w:p>
    <w:p>
      <w:pPr>
        <w:spacing w:after="50" w:line="276"/>
        <w:ind w:left="240"/>
      </w:pPr>
      <w:r>
        <w:rPr>
          <w:color w:val="15181F"/>
          <w:sz w:val="18"/>
          <w:szCs w:val="18"/>
        </w:rPr>
        <w:t xml:space="preserve">Take the regional basin that the standard operation delivers and stop there.</w:t>
      </w:r>
    </w:p>
    <w:p>
      <w:pPr>
        <w:spacing w:after="50"/>
        <w:ind w:left="240"/>
      </w:pPr>
      <w:r>
        <w:rPr>
          <w:b/>
          <w:bCs/>
          <w:color w:val="8C2F26"/>
          <w:sz w:val="18"/>
          <w:szCs w:val="18"/>
        </w:rPr>
        <w:t xml:space="preserve">Caveat. </w:t>
      </w:r>
      <w:r>
        <w:rPr>
          <w:color w:val="15181F"/>
          <w:sz w:val="18"/>
          <w:szCs w:val="18"/>
        </w:rPr>
        <w:t xml:space="preserve">No survival benefit of extended dissection has been established, and unlike gastric and colon cancer there is no universally accepted minimum node number for prognostication in this disease — the 11 to 15 figure is borrowed from the pancreatic adenocarcinoma literature.</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convert a planned enucleation into a Whipple intraoperatively to obtain nodes.</w:t>
      </w:r>
    </w:p>
    <w:p>
      <w:pPr>
        <w:spacing w:after="50" w:line="276"/>
        <w:ind w:left="240"/>
      </w:pPr>
      <w:r>
        <w:rPr>
          <w:color w:val="15181F"/>
          <w:sz w:val="18"/>
          <w:szCs w:val="18"/>
        </w:rPr>
        <w:t xml:space="preserve">Decide the operation, and therefore the nodal strategy, at the board and before the incision. If the nodal question is live enough to need a formal resection, plan one.</w:t>
      </w:r>
    </w:p>
    <w:p>
      <w:pPr>
        <w:spacing w:after="50"/>
        <w:ind w:left="240"/>
      </w:pPr>
      <w:r>
        <w:rPr>
          <w:b/>
          <w:bCs/>
          <w:color w:val="8C2F26"/>
          <w:sz w:val="18"/>
          <w:szCs w:val="18"/>
        </w:rPr>
        <w:t xml:space="preserve">Caveat. </w:t>
      </w:r>
      <w:r>
        <w:rPr>
          <w:color w:val="15181F"/>
          <w:sz w:val="18"/>
          <w:szCs w:val="18"/>
        </w:rPr>
        <w:t xml:space="preserve">The extent of resection has not been shown to change survival in small non-functional tumours: in 1,854 National Cancer Data Base patients with tumours of 2 cm or less, unadjusted 5-year overall survival after excluding metastatic and medically inoperable patients was 83.0% (95% CI 74.0-89.1) after partial pancreatectomy, 72.3% (60.4-81.2) after pancreatoduodenectomy and 86.0% (66.8-94.5) after total pancreatectomy, and after adjustment there was no difference in the risk of death across surgery types (p=0.16) and none with or without regional lymphadenectomy. Escalating the operation in theatre spends morbidity on information.</w:t>
      </w:r>
    </w:p>
    <w:p>
      <w:pPr>
        <w:spacing w:after="50" w:line="276"/>
        <w:ind w:left="240"/>
      </w:pPr>
      <w:r>
        <w:rPr>
          <w:i/>
          <w:iCs/>
          <w:color w:val="5A6069"/>
          <w:sz w:val="17"/>
          <w:szCs w:val="17"/>
        </w:rPr>
        <w:t xml:space="preserve">Grade D. That survival analysis collapses 1,854 patients to 366 by requiring a diagnosis before 2006 and a known surgery type, nodes examined differed systematically by operation (63% of partial pancreatectomies against 89% of pancreatoduodenectomies and 75% of total pancreatectomies), and the registry records only tumours assigned a malignant behaviour code. The same analysis reports 27.6% 5-year survival with no surgery against 83.0% with partial pancreatectomy - a contrast between groups that differed in age (median 63 against 56-57), in poor differentiation (29.9% against 1.8-5.2%), in distant metastases (42.1% against 1.1-2.0%) and in treatment at an academic centre, which the authors concede in the discussion while retaining it in the abstract. It should not be quoted as an argument for operating. The same paper also reports a 15% relative reduction in the risk of death for each later calendar year of diagnosis during a window in which resection rates and metastasis rates did not change, which is far more plausibly stage migration from incidental detection than improving care.</w:t>
      </w:r>
    </w:p>
    <w:p>
      <w:pPr>
        <w:spacing w:after="60" w:line="276"/>
        <w:ind w:left="240"/>
      </w:pPr>
      <w:r>
        <w:rPr>
          <w:color w:val="5A6069"/>
          <w:sz w:val="16"/>
          <w:szCs w:val="16"/>
        </w:rPr>
        <w:t xml:space="preserve">Sources: Gratian 2014</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Hereditary syndromes — different thresholds, different timing</w:t>
      </w:r>
    </w:p>
    <w:p>
      <w:pPr>
        <w:spacing w:after="140"/>
      </w:pPr>
      <w:r>
        <w:rPr>
          <w:b/>
          <w:bCs/>
          <w:color w:val="176A87"/>
          <w:sz w:val="19"/>
          <w:szCs w:val="19"/>
        </w:rPr>
        <w:t xml:space="preserve">The question. </w:t>
      </w:r>
      <w:r>
        <w:rPr>
          <w:sz w:val="19"/>
          <w:szCs w:val="19"/>
        </w:rPr>
        <w:t xml:space="preserve">Is this a sporadic tumour at all, and if it is not, which lesion in this pancreas am I actually operating on?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Gastrinoma of the duodenum or pancreas, or a type 2 gastric NET</w:t>
      </w:r>
    </w:p>
    <w:p>
      <w:pPr>
        <w:pStyle w:val="ListParagraph"/>
        <w:numPr>
          <w:ilvl w:val="0"/>
          <w:numId w:val="2"/>
        </w:numPr>
        <w:spacing w:after="60" w:line="268"/>
      </w:pPr>
      <w:r>
        <w:rPr>
          <w:color w:val="15181F"/>
          <w:sz w:val="18"/>
          <w:szCs w:val="18"/>
        </w:rPr>
        <w:t xml:space="preserve">Multifocal pancreatic neuroendocrine tumours</w:t>
      </w:r>
    </w:p>
    <w:p>
      <w:pPr>
        <w:pStyle w:val="ListParagraph"/>
        <w:numPr>
          <w:ilvl w:val="0"/>
          <w:numId w:val="2"/>
        </w:numPr>
        <w:spacing w:after="60" w:line="268"/>
      </w:pPr>
      <w:r>
        <w:rPr>
          <w:color w:val="15181F"/>
          <w:sz w:val="18"/>
          <w:szCs w:val="18"/>
        </w:rPr>
        <w:t xml:space="preserve">Known or clinically suspected MEN1, MEN4, von Hippel-Lindau, NF1 or tuberous sclerosis</w:t>
      </w:r>
    </w:p>
    <w:p>
      <w:pPr>
        <w:pStyle w:val="ListParagraph"/>
        <w:numPr>
          <w:ilvl w:val="0"/>
          <w:numId w:val="2"/>
        </w:numPr>
        <w:spacing w:after="60" w:line="268"/>
      </w:pPr>
      <w:r>
        <w:rPr>
          <w:color w:val="15181F"/>
          <w:sz w:val="18"/>
          <w:szCs w:val="18"/>
        </w:rPr>
        <w:t xml:space="preserve">Primary hyperparathyroidism before age 30, multiple parathyroid adenomas, or recurrent hyperparathyroidism</w:t>
      </w:r>
    </w:p>
    <w:p>
      <w:pPr>
        <w:pStyle w:val="ListParagraph"/>
        <w:numPr>
          <w:ilvl w:val="0"/>
          <w:numId w:val="2"/>
        </w:numPr>
        <w:spacing w:after="60" w:line="268"/>
      </w:pPr>
      <w:r>
        <w:rPr>
          <w:color w:val="15181F"/>
          <w:sz w:val="18"/>
          <w:szCs w:val="18"/>
        </w:rPr>
        <w:t xml:space="preserve">A young patient, or a family history of any MEN1-associated tumour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for genetic evaluation rather than assuming a solitary tumour is sporadic.</w:t>
      </w:r>
    </w:p>
    <w:p>
      <w:pPr>
        <w:spacing w:after="50" w:line="276"/>
        <w:ind w:left="240"/>
      </w:pPr>
      <w:r>
        <w:rPr>
          <w:color w:val="15181F"/>
          <w:sz w:val="18"/>
          <w:szCs w:val="18"/>
        </w:rPr>
        <w:t xml:space="preserve">NCCN recommends genetic risk evaluation and testing for gastrinoma, multifocal tumours, parathyroid disease before 30 or multigland disease, clinical suspicion of MEN1, and a mutation on tumour genomic testing with germline implications; it says to consider testing for a duodenal or pancreatic NET at any age. Studies of unselected patients have identified germline variants in 16% to 21% of cases, from relatively small cohorts.</w:t>
      </w:r>
    </w:p>
    <w:p>
      <w:pPr>
        <w:spacing w:after="50"/>
        <w:ind w:left="240"/>
      </w:pPr>
      <w:r>
        <w:rPr>
          <w:b/>
          <w:bCs/>
          <w:color w:val="8C2F26"/>
          <w:sz w:val="18"/>
          <w:szCs w:val="18"/>
        </w:rPr>
        <w:t xml:space="preserve">Caveat. </w:t>
      </w:r>
      <w:r>
        <w:rPr>
          <w:color w:val="15181F"/>
          <w:sz w:val="18"/>
          <w:szCs w:val="18"/>
        </w:rPr>
        <w:t xml:space="preserve">Do not let the result arrive after the operation. In MEN1 the lesion you can see is usually not the only lesion, and the finding changes the operation, its extent and its timing — not just the counselling.</w:t>
      </w:r>
    </w:p>
    <w:p>
      <w:pPr>
        <w:spacing w:after="50" w:line="276"/>
        <w:ind w:left="240"/>
      </w:pPr>
      <w:r>
        <w:rPr>
          <w:i/>
          <w:iCs/>
          <w:color w:val="5A6069"/>
          <w:sz w:val="17"/>
          <w:szCs w:val="17"/>
        </w:rPr>
        <w:t xml:space="preserve">The MEN1 recommendations were comprehensively revised in 2025, and the revision read in full for this page produced 55 recommendations: 52 Delphi consensus statements from an expert panel in 22 countries, plus 3 from systematic reviews that found only 37 of 3,048 screened publications usable, covering 1,814 patients, with all three resulting recommendations rated low or very low certainty by GRADE. Use that document or the separate AACE consensus statement rather than a pre-2021 source for the surveillance schedule. The AACE statement is cited on this page from its abstract only - its full text was not obtained - so every numeric criterion attributed to it must be confirmed against the published paper before use.</w:t>
      </w:r>
    </w:p>
    <w:p>
      <w:pPr>
        <w:spacing w:after="60" w:line="276"/>
        <w:ind w:left="240"/>
      </w:pPr>
      <w:r>
        <w:rPr>
          <w:color w:val="5A6069"/>
          <w:sz w:val="16"/>
          <w:szCs w:val="16"/>
        </w:rPr>
        <w:t xml:space="preserve">Sources: MEN1 2025 guideline; AACE MEN1 2025</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MEN1, resect a functional tumour whatever its size, observe a nonfunctional tumour under 1 cm, and resect above 2 cm or on significant growth — accepting that surgery will not clear the gland.</w:t>
      </w:r>
    </w:p>
    <w:p>
      <w:pPr>
        <w:spacing w:after="50" w:line="276"/>
        <w:ind w:left="240"/>
      </w:pPr>
      <w:r>
        <w:rPr>
          <w:color w:val="15181F"/>
          <w:sz w:val="18"/>
          <w:szCs w:val="18"/>
        </w:rPr>
        <w:t xml:space="preserve">NANETS: nonfunctional tumours under 1 cm can be observed and tumours over 2 cm should generally be resected; functional tumours should be removed where there is a dominant lesion. AACE 2025, from its abstract: functioning tumours resected regardless of size, nonfunctioning observed below 20 mm and strongly considered for resection above 20 mm or on significant growth under surveillance, with parenchyma-sparing surgery preferred. The 2025 best-practice recommendations say surgery should be considered for a growing nonfunctioning tumour and for one larger than 2 cm, with the indication settled by multidisciplinary discussion and shared decision making; ENETS 2023 observes 2 cm or less and advises resection above 2 cm (level 2, grade B), with 2-3 cm and any G2 tumour decided case by case. NCCN adds relatively rapid growth over 6 to 12 months as a third trigger alongside size and refractory symptoms. The threshold traces to a 108-patient cohort drawn from 579 registered MEN1 patients, in which nonfunctioning pancreatic tumours were the commonest pancreaticoduodenal lesion with a penetrance of 3% at age 20, 34% at 50 and 53% at 80, a mean size of 21 plus or minus 18 mm and a mean of 2.9 plus or minus 2.3 tumours per patient. Metastasis rose with size - 1 of 25 (4%) at 10 mm or less, 4 of 40 (10%) at 11-20 mm, 2 of 11 (18%) at 21-30 mm and 9 of 21 (43%) above 30 mm, Spearman 0.33, p&lt;0.01 - and life expectancy was 68.5 years (95% CI 64-72.9) against 77.1 (74.4-79.9) for MEN1 patients without a pancreatic tumour, p&lt;0.01. The authors concluded against routine surgery at or below 20 mm.</w:t>
      </w:r>
    </w:p>
    <w:p>
      <w:pPr>
        <w:spacing w:after="50"/>
        <w:ind w:left="240"/>
      </w:pPr>
      <w:r>
        <w:rPr>
          <w:b/>
          <w:bCs/>
          <w:color w:val="8C2F26"/>
          <w:sz w:val="18"/>
          <w:szCs w:val="18"/>
        </w:rPr>
        <w:t xml:space="preserve">Caveat. </w:t>
      </w:r>
      <w:r>
        <w:rPr>
          <w:color w:val="15181F"/>
          <w:sz w:val="18"/>
          <w:szCs w:val="18"/>
        </w:rPr>
        <w:t xml:space="preserve">Do not plan an operation intended to be definitive. Microadenomas make complete clearance unachievable, local intrapancreatic recurrence unrelated to margins is reported as high as 50%, and the residual pancreas and duodenum remain at risk because the predisposition does not go away - in that same cohort, 2 of 32 curatively resected patients were reoperated for new tumours. It remains unclear from the literature whether an extensive partial resection reduces malignant progression or prevents new tumours in the remnant.</w:t>
      </w:r>
    </w:p>
    <w:p>
      <w:pPr>
        <w:spacing w:after="50" w:line="276"/>
        <w:ind w:left="240"/>
      </w:pPr>
      <w:r>
        <w:rPr>
          <w:i/>
          <w:iCs/>
          <w:color w:val="5A6069"/>
          <w:sz w:val="17"/>
          <w:szCs w:val="17"/>
        </w:rPr>
        <w:t xml:space="preserve">Grade D, downgraded on the full-text read. The 20 mm cut point was never derived: its two lowest strata are 1 of 25 and 4 of 40 patients whose confidence intervals overlap entirely, metastasis was imaging-defined in 60% of cases in a paper that itself cites evidence that a quarter of radiographically node-negative MEN1 patients have occult metastases at operation, mean follow-up after diagnosis was 4.3 plus or minus 3.3 years in a disease whose victims died at a mean age of 43, and the cohort spans 1956 to 2003 with prospective registration only from 1997, so penetrance and metastasis are estimated from different populations. The same paper's comparison of 32 curatively operated patients against 66 unoperated found no difference in metastasis (16% against 11%, p=0.5), death from the tumour (3.1% against 3%, p=0.99) or progression (22% against 12%, p=0.32) and no separation of the survival curves - an underpowered null, not evidence of equivalence, in groups that differed in follow-up and in mean size (30.2 against 16.3 mm, p=0.01). The 2025 systematic review reaches the same place from the other direction: across 37 studies and 1,814 patients, surgery and active surveillance for lesions of 2 cm or less produced no difference in metastasis or mortality at low to very low certainty. The 2025 recommendations add a surveillance schedule for a newly diagnosed lesion of 2 cm or less - repeat imaging at 6 to 12 months, again after 12 months if stable, then every 1 to 2 years if growth stays under 1 mm per year (92% agreement) - and a somatostatin-receptor PET for every patient planned for duodenopancreatic surgery (100% agreement). Hypergastrinaemia in MEN1 usually comes from small, multiple duodenal gastrinomas rather than from a pancreatic tumour, which is why NANETS allows medical management in many of these patients. Outcomes after surgery are good - 5-year overall survival 90-100% for functional and 65-100% for nonfunctional tumours - in a selected population. [EXPERTISE]</w:t>
      </w:r>
    </w:p>
    <w:p>
      <w:pPr>
        <w:spacing w:after="60" w:line="276"/>
        <w:ind w:left="240"/>
      </w:pPr>
      <w:r>
        <w:rPr>
          <w:color w:val="5A6069"/>
          <w:sz w:val="16"/>
          <w:szCs w:val="16"/>
        </w:rPr>
        <w:t xml:space="preserve">Sources: NANETS 2020 surgical; AACE MEN1 2025; Triponez 2006; MEN1 2025 guideline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von Hippel-Lindau, use three factors rather than size alone: size 3 cm or more, doubling time under 500 days, and a germline exon 3 mutation.</w:t>
      </w:r>
    </w:p>
    <w:p>
      <w:pPr>
        <w:spacing w:after="50" w:line="276"/>
        <w:ind w:left="240"/>
      </w:pPr>
      <w:r>
        <w:rPr>
          <w:color w:val="15181F"/>
          <w:sz w:val="18"/>
          <w:szCs w:val="18"/>
        </w:rPr>
        <w:t xml:space="preserve">NANETS: a patient with a tumour under 3 cm, doubling time over 500 days and a mutation outside exon 3 can be safely observed with imaging every 1 to 2 years; one high-risk factor means considering surgery or imaging at 6 to 12 month intervals; two or more means strongly considering resection. The derivation is a prospective NIH protocol in which 633 VHL patients were screened and 108 (17%) had a pancreatic neuroendocrine tumour - none functional by hormone level or symptom - of whom 9 (8.3%) developed metastases and 2 died of them, 1.4% of everyone screened, over a median follow-up of 53 months. A primary larger than 3 cm was present in 6 of the 9 with metastases (67%) against 19 of 99 without (19%), p=0.0046; an exon 3 germline mutation in 7 of 9 (78%) against 32 of 98 (46%), p=0.01; and mean tumour doubling time was 337 days (range 180-463) against 2,628 days (103-9,614), p&lt;0.0001. All 9 metastatic patients met at least two of the three criteria and 6 met all three, while among the 54 assessable patients without metastases 5 met two, 20 met one and 29 met none.</w:t>
      </w:r>
    </w:p>
    <w:p>
      <w:pPr>
        <w:spacing w:after="50"/>
        <w:ind w:left="240"/>
      </w:pPr>
      <w:r>
        <w:rPr>
          <w:b/>
          <w:bCs/>
          <w:color w:val="8C2F26"/>
          <w:sz w:val="18"/>
          <w:szCs w:val="18"/>
        </w:rPr>
        <w:t xml:space="preserve">Caveat. </w:t>
      </w:r>
      <w:r>
        <w:rPr>
          <w:color w:val="15181F"/>
          <w:sz w:val="18"/>
          <w:szCs w:val="18"/>
        </w:rPr>
        <w:t xml:space="preserve">Do not transfer the sporadic 2 cm threshold to VHL - the malignant potential is lower and the observation ceiling is correspondingly higher. Equally, do not assume every solid pancreatic lesion in a VHL patient is a neuroendocrine tumour: NANETS reports that about half of VHL patients develop benign pancreatic cysts, serous cystadenomas or haemangioblastomas, which need no intervention unless symptomatic or causing pancreatitis or biliary compression.</w:t>
      </w:r>
    </w:p>
    <w:p>
      <w:pPr>
        <w:spacing w:after="50" w:line="276"/>
        <w:ind w:left="240"/>
      </w:pPr>
      <w:r>
        <w:rPr>
          <w:i/>
          <w:iCs/>
          <w:color w:val="5A6069"/>
          <w:sz w:val="17"/>
          <w:szCs w:val="17"/>
        </w:rPr>
        <w:t xml:space="preserve">Grade D, downgraded on the full-text read. The three-criterion rule was derived from 9 metastatic events and then declared to capture all 9, so its perfect sensitivity is a tautology of the derivation rather than a finding, with no independent or temporal validation attempted. Doubling time, the criterion with the largest apparent separation, was computable in all 9 metastatic patients but in only 54 of 99 without metastases, and patients with visibly growing lesions are imaged more often, so the exposure and the ability to measure it are entangled and 45 patients are simply absent from the stratification table. Sixty-nine of the 108 lesions were never resected and their diagnosis rests on CT or MRI appearance alone, which the senior author conceded in discussion could include microcystic adenomas. The 3 cm cut point was carried over from the group's own earlier publications and was never tested against 1 or 2 cm within the dataset - a discussant asked exactly that and was told the analysis had not been done - and the study dates are internally inconsistent between abstract and methods. There is no Ki-67, grade or differentiation datum anywhere in the series. Receptor PET is useful here specifically: differentiating a microcystic adenoma from a small tumour is difficult on CT and MRI in VHL, and receptor PET can resolve it. NANETS reports that these tumours cluster in the head and uncinate process (52%) against body (21%) and tail (28%).</w:t>
      </w:r>
    </w:p>
    <w:p>
      <w:pPr>
        <w:spacing w:after="60" w:line="276"/>
        <w:ind w:left="240"/>
      </w:pPr>
      <w:r>
        <w:rPr>
          <w:color w:val="5A6069"/>
          <w:sz w:val="16"/>
          <w:szCs w:val="16"/>
        </w:rPr>
        <w:t xml:space="preserve">Sources: NANETS 2020 surgical; Blansfield 2007</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somatostatin analogue is a reasonable antiproliferative option for MEN1-related tumours under 2 cm, on prospective but non-randomised evidence.</w:t>
      </w:r>
    </w:p>
    <w:p>
      <w:pPr>
        <w:spacing w:after="50" w:line="276"/>
        <w:ind w:left="240"/>
      </w:pPr>
      <w:r>
        <w:rPr>
          <w:color w:val="15181F"/>
          <w:sz w:val="18"/>
          <w:szCs w:val="18"/>
        </w:rPr>
        <w:t xml:space="preserve">A MEN1 patient with one or more sub-2 cm tumours in whom the aim is to delay or avoid pancreatic surgery. In a prospective observational study at one Italian centre - 23 patients given lanreotide autogel 120 mg every 28 days and 19 continuing active surveillance, 91 lesions in all at a mean size of 6.8 plus or minus 3.4 mm, median follow-up 73 months (range 24-84) - median progression-free survival was not reached with lanreotide against 40 months under surveillance (p&lt;0.001). On treatment there were 4 objective responses (17.4%), 15 stable (65.2%) and 4 progressing (17.4%); under surveillance 13 of 19 (68.4%) progressed and 6 (31.6%) were stable. Toxicity was minimal: one grade 1 diarrhoea and two cases of asymptomatic biliary stone disease, with no dose reduction or interruption.</w:t>
      </w:r>
    </w:p>
    <w:p>
      <w:pPr>
        <w:spacing w:after="50"/>
        <w:ind w:left="240"/>
      </w:pPr>
      <w:r>
        <w:rPr>
          <w:b/>
          <w:bCs/>
          <w:color w:val="8C2F26"/>
          <w:sz w:val="18"/>
          <w:szCs w:val="18"/>
        </w:rPr>
        <w:t xml:space="preserve">Caveat. </w:t>
      </w:r>
      <w:r>
        <w:rPr>
          <w:color w:val="15181F"/>
          <w:sz w:val="18"/>
          <w:szCs w:val="18"/>
        </w:rPr>
        <w:t xml:space="preserve">Treatment was chosen rather than allocated - lanreotide was proposed to every included patient as an alternative to surveillance - and the paper reports no comparison of comorbidity, disease burden, prior surgery or stated reason for the choice, so the arms differ by whatever disposes a patient to accept monthly injections for six years. The lanreotide arm also carried more tumours per patient at baseline (p=0.038), and patient-level progression-free survival is mixed with lesion-level response counting (22 of 62 treated lesions shrank against 0 of 29) with no adjustment for clustering of lesions within patients. Forty-two patients generated 17 radiological progression events in total, assessed unblinded with no central read, under a definition that counts a 20% size increase in a 7 mm lesion. Everything that matters was indistinguishable: liver metastases in 1 patient per arm, operations in 2 of 23 against 5 of 19, and no deaths. Do not extend it to sporadic small tumours, where there is no comparable evidence, no guideline support, and ENETS states explicitly that no evidence supports somatostatin analogues for controlling the progression of a small nonfunctioning tumour under surveillance.</w:t>
      </w:r>
    </w:p>
    <w:p>
      <w:pPr>
        <w:spacing w:after="50" w:line="276"/>
        <w:ind w:left="240"/>
      </w:pPr>
      <w:r>
        <w:rPr>
          <w:i/>
          <w:iCs/>
          <w:color w:val="5A6069"/>
          <w:sz w:val="17"/>
          <w:szCs w:val="17"/>
        </w:rPr>
        <w:t xml:space="preserve">Grade D, downgraded on the full-text read. This is still the only prospective evaluation of analogues in MEN1-related tumours and it is cited by NCCN. The international consensus statement on the pancreas in MEN1 remains the fuller reference for how functioning and nonfunctioning duodenopancreatic disease is managed in this syndrome; it is cited on this page from its abstract only, its full text was not obtained, and the 2025 best-practice recommendations should be read alongside it.</w:t>
      </w:r>
    </w:p>
    <w:p>
      <w:pPr>
        <w:spacing w:after="60" w:line="276"/>
        <w:ind w:left="240"/>
      </w:pPr>
      <w:r>
        <w:rPr>
          <w:color w:val="5A6069"/>
          <w:sz w:val="16"/>
          <w:szCs w:val="16"/>
        </w:rPr>
        <w:t xml:space="preserve">Sources: Faggiano 2020; MEN1 pancreas consensus; ENETS 2023 NF-PanNET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Belzutifan may be considered for a resectable tumour in a patient with a germline VHL alteration, individualised, and is not a substitute for an operation.</w:t>
      </w:r>
    </w:p>
    <w:p>
      <w:pPr>
        <w:spacing w:after="50" w:line="276"/>
        <w:ind w:left="240"/>
      </w:pPr>
      <w:r>
        <w:rPr>
          <w:color w:val="15181F"/>
          <w:sz w:val="18"/>
          <w:szCs w:val="18"/>
        </w:rPr>
        <w:t xml:space="preserve">NCCN allows consideration of belzutifan for resectable tumours in germline VHL disease, with the decision individualised for small resectable lesions. The supporting trial is a phase 2, open-label, single-group study of 61 patients at 11 centres, all given belzutifan 120 mg daily, whose primary endpoint was objective response in renal cell carcinoma. After a median follow-up of 21.8 months the renal response rate was 49% (95% CI 36-62), all partial, with 24-month progression-free survival 96% (87-99). All 61 patients had pancreatic lesions, of which 47 (77%) responded including 6 complete responses; among the 22 patients who had pancreatic neuroendocrine tumours specifically, 20 (91%) had a confirmed response including 3 complete responses, at a median baseline target size of 21 mm (range 10-52) and a median time to response of 5.5 months. Central nervous system haemangioblastomas responded in 15 of 50 (30%). No patient underwent pancreatic surgery during the trial.</w:t>
      </w:r>
    </w:p>
    <w:p>
      <w:pPr>
        <w:spacing w:after="50"/>
        <w:ind w:left="240"/>
      </w:pPr>
      <w:r>
        <w:rPr>
          <w:b/>
          <w:bCs/>
          <w:color w:val="8C2F26"/>
          <w:sz w:val="18"/>
          <w:szCs w:val="18"/>
        </w:rPr>
        <w:t xml:space="preserve">Caveat. </w:t>
      </w:r>
      <w:r>
        <w:rPr>
          <w:color w:val="15181F"/>
          <w:sz w:val="18"/>
          <w:szCs w:val="18"/>
        </w:rPr>
        <w:t xml:space="preserve">Read the pancreatic figure for what it is: 20 of 22 patients, a secondary endpoint of a single-arm industry-sponsored trial with no comparator, no pre-specified statistical plan for it, no multiplicity control across the several organ systems assessed and no histological confirmation that each measured lesion was a neuroendocrine tumour rather than a serous cystadenoma - the two were deliberately measured together in the larger 77% figure. Eligibility required no renal tumour above 3 cm, no metastases and performance status 0 or 1, so the cohort is the fittest and least advanced end of the VHL population. Anaemia occurred in 90% of patients, grade 3 in 8%, with 20% needing erythropoiesis-stimulating agents and 7% transfusion, and fatigue in 66%; every patient's haemoglobin fell by at least 1.9 g/dL in the first 13 weeks. Twenty-two months of exposure cannot establish durability, cumulative harm or resistance in a drug that might be taken for decades. Nothing here applies to sporadic disease, where the driving lesion is not VHL loss. NCCN states that data for larger tumours, locally advanced unresectable tumours and distant disease are extremely limited and that trials are ongoing. [PAYER]</w:t>
      </w:r>
    </w:p>
    <w:p>
      <w:pPr>
        <w:spacing w:after="50" w:line="276"/>
        <w:ind w:left="240"/>
      </w:pPr>
      <w:r>
        <w:rPr>
          <w:i/>
          <w:iCs/>
          <w:color w:val="5A6069"/>
          <w:sz w:val="17"/>
          <w:szCs w:val="17"/>
        </w:rPr>
        <w:t xml:space="preserve">One correction from the full-text read: the first draft of this page said the trial does not report a response rate for pancreatic neuroendocrine tumours separately. It does - 20 of 22 (91%), which ENETS quotes as 90.9%. The comparison of 327 lifetime tumour-reduction procedures before treatment against 3 afterwards is not a like-for-like rate; the authors' own figure records 64 procedures in the preceding 2.5 years, which is.</w:t>
      </w:r>
    </w:p>
    <w:p>
      <w:pPr>
        <w:spacing w:after="60" w:line="276"/>
        <w:ind w:left="240"/>
      </w:pPr>
      <w:r>
        <w:rPr>
          <w:color w:val="5A6069"/>
          <w:sz w:val="16"/>
          <w:szCs w:val="16"/>
        </w:rPr>
        <w:t xml:space="preserve">Sources: LITESPARK-004</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MEN4, NF1 and tuberous sclerosis: manage on clinical judgement, and say that is what you are doing.</w:t>
      </w:r>
    </w:p>
    <w:p>
      <w:pPr>
        <w:spacing w:after="50" w:line="276"/>
        <w:ind w:left="240"/>
      </w:pPr>
      <w:r>
        <w:rPr>
          <w:color w:val="15181F"/>
          <w:sz w:val="18"/>
          <w:szCs w:val="18"/>
        </w:rPr>
        <w:t xml:space="preserve">Pancreatic tumours are rare in NF1 and tuberous sclerosis, and in tuberous sclerosis they are typically small, well-differentiated and often functional, in the body or tail, with insulin-secreting tumours common; resection of a functional tumour to cure the hormone excess is indicated when safe. MEN4 is newly described, penetrance estimates and surveillance guidelines are not available, and NCCN allows following the MEN1 surveillance recommendations given the clinical overlap.</w:t>
      </w:r>
    </w:p>
    <w:p>
      <w:pPr>
        <w:spacing w:after="50"/>
        <w:ind w:left="240"/>
      </w:pPr>
      <w:r>
        <w:rPr>
          <w:b/>
          <w:bCs/>
          <w:color w:val="8C2F26"/>
          <w:sz w:val="18"/>
          <w:szCs w:val="18"/>
        </w:rPr>
        <w:t xml:space="preserve">Caveat. </w:t>
      </w:r>
      <w:r>
        <w:rPr>
          <w:color w:val="15181F"/>
          <w:sz w:val="18"/>
          <w:szCs w:val="18"/>
        </w:rPr>
        <w:t xml:space="preserve">Do not present any of this as evidence based. By 2012 only 10 tuberous-sclerosis-associated pancreatic NETs had been reported, and NANETS states that no evidence-based surveillance or treatment recommendation can be made.</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operate for a hormonal syndrome in MEN1 on the assumption that the biggest visible tumour is the source.</w:t>
      </w:r>
    </w:p>
    <w:p>
      <w:pPr>
        <w:spacing w:after="50" w:line="276"/>
        <w:ind w:left="240"/>
      </w:pPr>
      <w:r>
        <w:rPr>
          <w:color w:val="15181F"/>
          <w:sz w:val="18"/>
          <w:szCs w:val="18"/>
        </w:rPr>
        <w:t xml:space="preserve">Attempt preoperative localisation of the functional tumour specifically, and use intraoperative ultrasonography routinely. Refer to a high-volume endocrine surgery centre.</w:t>
      </w:r>
    </w:p>
    <w:p>
      <w:pPr>
        <w:spacing w:after="50"/>
        <w:ind w:left="240"/>
      </w:pPr>
      <w:r>
        <w:rPr>
          <w:b/>
          <w:bCs/>
          <w:color w:val="8C2F26"/>
          <w:sz w:val="18"/>
          <w:szCs w:val="18"/>
        </w:rPr>
        <w:t xml:space="preserve">Caveat. </w:t>
      </w:r>
      <w:r>
        <w:rPr>
          <w:color w:val="15181F"/>
          <w:sz w:val="18"/>
          <w:szCs w:val="18"/>
        </w:rPr>
        <w:t xml:space="preserve">NANETS warns that multiplicity makes definitive preoperative determination that the dominant tumour is the source of hormone overproduction difficult, and that hypergastrinaemia in MEN1 much more often arises from duodenal gastrinomas than from pancreatic tumours. Resecting the dominant nodule and finding the syndrome unchanged is a recognised outcome. [EXPERTISE]</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a VHL tumour's location in the head as a reason to resect it earlier.</w:t>
      </w:r>
    </w:p>
    <w:p>
      <w:pPr>
        <w:spacing w:after="50" w:line="276"/>
        <w:ind w:left="240"/>
      </w:pPr>
      <w:r>
        <w:rPr>
          <w:color w:val="15181F"/>
          <w:sz w:val="18"/>
          <w:szCs w:val="18"/>
        </w:rPr>
        <w:t xml:space="preserve">Decide on size, doubling time and mutation; let location decide only which operation is performed.</w:t>
      </w:r>
    </w:p>
    <w:p>
      <w:pPr>
        <w:spacing w:after="50"/>
        <w:ind w:left="240"/>
      </w:pPr>
      <w:r>
        <w:rPr>
          <w:b/>
          <w:bCs/>
          <w:color w:val="8C2F26"/>
          <w:sz w:val="18"/>
          <w:szCs w:val="18"/>
        </w:rPr>
        <w:t xml:space="preserve">Caveat. </w:t>
      </w:r>
      <w:r>
        <w:rPr>
          <w:color w:val="15181F"/>
          <w:sz w:val="18"/>
          <w:szCs w:val="18"/>
        </w:rPr>
        <w:t xml:space="preserve">The earlier proposal of a 2 cm threshold in the head and 3 cm in the body and tail was motivated by a wish to avoid a future pancreatoduodenectomy, not by biology. NANETS states that there is no evidence of any difference in biological behaviour by anatomic location and therefore no evidence that size criteria should be influenced by it — see the flagged item below.</w:t>
      </w:r>
    </w:p>
    <w:p>
      <w:pPr>
        <w:spacing w:after="60" w:line="276"/>
        <w:ind w:left="240"/>
      </w:pPr>
      <w:r>
        <w:rPr>
          <w:color w:val="5A6069"/>
          <w:sz w:val="16"/>
          <w:szCs w:val="16"/>
        </w:rPr>
        <w:t xml:space="preserve">Sources: NANETS 2020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High grade: G3 tumour or neuroendocrine carcinoma</w:t>
      </w:r>
    </w:p>
    <w:p>
      <w:pPr>
        <w:spacing w:after="140"/>
      </w:pPr>
      <w:r>
        <w:rPr>
          <w:b/>
          <w:bCs/>
          <w:color w:val="176A87"/>
          <w:sz w:val="19"/>
          <w:szCs w:val="19"/>
        </w:rPr>
        <w:t xml:space="preserve">The question. </w:t>
      </w:r>
      <w:r>
        <w:rPr>
          <w:sz w:val="19"/>
          <w:szCs w:val="19"/>
        </w:rPr>
        <w:t xml:space="preserve">Ki-67 is 34% — is this a well-differentiated G3 tumour I can still operate on, or a carcinoma that needs platinum this week?</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Ki-67 above 20% or more than 20 mitoses per 2 mm²</w:t>
      </w:r>
    </w:p>
    <w:p>
      <w:pPr>
        <w:pStyle w:val="ListParagraph"/>
        <w:numPr>
          <w:ilvl w:val="0"/>
          <w:numId w:val="2"/>
        </w:numPr>
        <w:spacing w:after="60" w:line="268"/>
      </w:pPr>
      <w:r>
        <w:rPr>
          <w:color w:val="15181F"/>
          <w:sz w:val="18"/>
          <w:szCs w:val="18"/>
        </w:rPr>
        <w:t xml:space="preserve">Well-differentiated morphology with a high proliferative index — a G3 NET</w:t>
      </w:r>
    </w:p>
    <w:p>
      <w:pPr>
        <w:pStyle w:val="ListParagraph"/>
        <w:numPr>
          <w:ilvl w:val="0"/>
          <w:numId w:val="2"/>
        </w:numPr>
        <w:spacing w:after="60" w:line="268"/>
      </w:pPr>
      <w:r>
        <w:rPr>
          <w:color w:val="15181F"/>
          <w:sz w:val="18"/>
          <w:szCs w:val="18"/>
        </w:rPr>
        <w:t xml:space="preserve">Small-cell or large-cell poorly differentiated morphology — a neuroendocrine carcinoma</w:t>
      </w:r>
    </w:p>
    <w:p>
      <w:pPr>
        <w:pStyle w:val="ListParagraph"/>
        <w:numPr>
          <w:ilvl w:val="0"/>
          <w:numId w:val="2"/>
        </w:numPr>
        <w:spacing w:after="60" w:line="268"/>
      </w:pPr>
      <w:r>
        <w:rPr>
          <w:color w:val="15181F"/>
          <w:sz w:val="18"/>
          <w:szCs w:val="18"/>
        </w:rPr>
        <w:t xml:space="preserve">A mixed neuroendocrine–non-neuroendocrine neoplasm, each component at least 30%</w:t>
      </w:r>
    </w:p>
    <w:p>
      <w:pPr>
        <w:pStyle w:val="ListParagraph"/>
        <w:numPr>
          <w:ilvl w:val="0"/>
          <w:numId w:val="2"/>
        </w:numPr>
        <w:spacing w:after="60" w:line="268"/>
      </w:pPr>
      <w:r>
        <w:rPr>
          <w:color w:val="15181F"/>
          <w:sz w:val="18"/>
          <w:szCs w:val="18"/>
        </w:rPr>
        <w:t xml:space="preserve">Grade progression in a tumour previously called G1 or G2</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localised well-differentiated G3 tumour is evaluated for resection with regional lymphadenectomy, after multidisciplinary review, with a clinical trial preferred where one exists.</w:t>
      </w:r>
    </w:p>
    <w:p>
      <w:pPr>
        <w:spacing w:after="50" w:line="276"/>
        <w:ind w:left="240"/>
      </w:pPr>
      <w:r>
        <w:rPr>
          <w:color w:val="15181F"/>
          <w:sz w:val="18"/>
          <w:szCs w:val="18"/>
        </w:rPr>
        <w:t xml:space="preserve">NCCN's locoregional G3 page offers clinical trial as the preferred option, or resection with regional lymphadenectomy if appropriate after multidisciplinary review, or neoadjuvant systemic therapy case by case where the Ki-67 is 55% or above. NANETS: patients with high-grade well-differentiated tumours should be evaluated for resection if localised, in the context of multimodal therapy.</w:t>
      </w:r>
    </w:p>
    <w:p>
      <w:pPr>
        <w:spacing w:after="50"/>
        <w:ind w:left="240"/>
      </w:pPr>
      <w:r>
        <w:rPr>
          <w:b/>
          <w:bCs/>
          <w:color w:val="8C2F26"/>
          <w:sz w:val="18"/>
          <w:szCs w:val="18"/>
        </w:rPr>
        <w:t xml:space="preserve">Caveat. </w:t>
      </w:r>
      <w:r>
        <w:rPr>
          <w:color w:val="15181F"/>
          <w:sz w:val="18"/>
          <w:szCs w:val="18"/>
        </w:rPr>
        <w:t xml:space="preserve">Be honest about what resection achieves here. In 310 resected patients, the 24 with G3 tumours had 5-year overall survival of 20% (relative risk 13.56 against G1) compared with 91% for G1 and 71% for G2; among the G3 patients, those without metastases reached 43% at 5 years and those with metastases 0% (35% at 2 years). In 119 high-grade tumours from 10 Nordic centres, 85% were metastatic at diagnosis; of 14 resected patients without metastases, 13 developed metastases and the fourteenth a local recurrence, at a median of 7 months.</w:t>
      </w:r>
    </w:p>
    <w:p>
      <w:pPr>
        <w:spacing w:after="50" w:line="276"/>
        <w:ind w:left="240"/>
      </w:pPr>
      <w:r>
        <w:rPr>
          <w:i/>
          <w:iCs/>
          <w:color w:val="5A6069"/>
          <w:sz w:val="17"/>
          <w:szCs w:val="17"/>
        </w:rPr>
        <w:t xml:space="preserve">The 310-patient and 119-patient resected series quoted above are taken from the NANETS consensus text and are not in this page's full-text depot. The 305-patient Nordic study of advanced gastrointestinal neuroendocrine carcinoma that is in the depot concerns unresectable disease and bears on this gate only through its prognostic findings: median survival was 11 months (95% CI 9.4-12.6) with palliative chemotherapy and 1 month (0.3-1.8) with best supportive care, but the untreated group was twelve years older with 52% at performance status 3-4, so that contrast is late referral rather than a treatment effect. Pancreatic primaries, 71 of the 305, had the longest median survival of any site - 15 months against 8 for colonic, p=0.01 across sites - and were more often receptor-positive (46% against 0-25%, p=0.001). Performance status dominated the final model: median survival 18 months at PS 0, 12 at PS 1 and 5 at PS 2, alongside primary site, platelets below 400 and a normal lactate dehydrogenase. There is no role for adjuvant therapy here outside a trial.</w:t>
      </w:r>
    </w:p>
    <w:p>
      <w:pPr>
        <w:spacing w:after="60" w:line="276"/>
        <w:ind w:left="240"/>
      </w:pPr>
      <w:r>
        <w:rPr>
          <w:color w:val="5A6069"/>
          <w:sz w:val="16"/>
          <w:szCs w:val="16"/>
        </w:rPr>
        <w:t xml:space="preserve">Sources: NANETS 2020 surgical; Tang 2016; NORDIC NEC</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Do not resect a poorly differentiated pancreatic neuroendocrine carcinoma for cure; treat it as a carcinoma.</w:t>
      </w:r>
    </w:p>
    <w:p>
      <w:pPr>
        <w:spacing w:after="50" w:line="276"/>
        <w:ind w:left="240"/>
      </w:pPr>
      <w:r>
        <w:rPr>
          <w:color w:val="15181F"/>
          <w:sz w:val="18"/>
          <w:szCs w:val="18"/>
        </w:rPr>
        <w:t xml:space="preserve">NANETS states that patients with poorly differentiated carcinoma, small or large cell, should not undergo resection, given the aggressive behaviour and extremely poor prognosis that does not appear to be affected by surgery. ENETS 2023 allows that surgery can benefit localised disease after extensive preoperative imaging, and places carboplatin with etoposide first line in metastatic disease, with irinotecan and a fluoropyrimidine as the best-evidenced second line; median survival in metastatic disease is 11 to 12 months.</w:t>
      </w:r>
    </w:p>
    <w:p>
      <w:pPr>
        <w:spacing w:after="50"/>
        <w:ind w:left="240"/>
      </w:pPr>
      <w:r>
        <w:rPr>
          <w:b/>
          <w:bCs/>
          <w:color w:val="8C2F26"/>
          <w:sz w:val="18"/>
          <w:szCs w:val="18"/>
        </w:rPr>
        <w:t xml:space="preserve">Caveat. </w:t>
      </w:r>
      <w:r>
        <w:rPr>
          <w:color w:val="15181F"/>
          <w:sz w:val="18"/>
          <w:szCs w:val="18"/>
        </w:rPr>
        <w:t xml:space="preserve">Do not read the two guidelines as agreeing. NANETS is close to absolute; ENETS leaves a door open for genuinely localised disease after thorough imaging. Where they do agree is that cytoreduction of liver metastases is not indicated in this histology because of high relapse rates and poor survival, and that chemotherapy comes first.</w:t>
      </w:r>
    </w:p>
    <w:p>
      <w:pPr>
        <w:spacing w:after="50" w:line="276"/>
        <w:ind w:left="240"/>
      </w:pPr>
      <w:r>
        <w:rPr>
          <w:i/>
          <w:iCs/>
          <w:color w:val="5A6069"/>
          <w:sz w:val="17"/>
          <w:szCs w:val="17"/>
        </w:rPr>
        <w:t xml:space="preserve">Immunotherapy plays a minor role in biomarker-unselected patients. Molecular profiling is encouraged to identify new targets, which is a statement about the research agenda rather than about today's treatment. The ENETS digestive neuroendocrine carcinoma guidance is cited on this page from the programme-supplied guideline text and was not part of the full-text depot read for this revision.</w:t>
      </w:r>
    </w:p>
    <w:p>
      <w:pPr>
        <w:spacing w:after="60" w:line="276"/>
        <w:ind w:left="240"/>
      </w:pPr>
      <w:r>
        <w:rPr>
          <w:color w:val="5A6069"/>
          <w:sz w:val="16"/>
          <w:szCs w:val="16"/>
        </w:rPr>
        <w:t xml:space="preserve">Sources: NANETS 2020 surgical; ENETS 2023 NEC</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Treat the Ki-67 55% split as a prompt for discussion rather than a decision rule - it is not independently prognostic in the study that produced it.</w:t>
      </w:r>
    </w:p>
    <w:p>
      <w:pPr>
        <w:spacing w:after="50" w:line="276"/>
        <w:ind w:left="240"/>
      </w:pPr>
      <w:r>
        <w:rPr>
          <w:color w:val="15181F"/>
          <w:sz w:val="18"/>
          <w:szCs w:val="18"/>
        </w:rPr>
        <w:t xml:space="preserve">NCCN offers neoadjuvant systemic therapy case by case where the Ki-67 is 55% or above. The cut point comes from 305 patients with advanced gastrointestinal neuroendocrine carcinoma at twelve Nordic centres, in whom the first-line response rate to platinum was 15% below 55% against 42% at or above it (p&lt;0.001). Platinum schedule made no difference to response or survival, small-cell and non-small-cell morphology made no difference either (median survival 12 against 11 months), and later lines retained activity - second-line response 18%, third-line 7%, platinum reintroduction after a break 15%.</w:t>
      </w:r>
    </w:p>
    <w:p>
      <w:pPr>
        <w:spacing w:after="50"/>
        <w:ind w:left="240"/>
      </w:pPr>
      <w:r>
        <w:rPr>
          <w:b/>
          <w:bCs/>
          <w:color w:val="8C2F26"/>
          <w:sz w:val="18"/>
          <w:szCs w:val="18"/>
        </w:rPr>
        <w:t xml:space="preserve">Caveat. </w:t>
      </w:r>
      <w:r>
        <w:rPr>
          <w:color w:val="15181F"/>
          <w:sz w:val="18"/>
          <w:szCs w:val="18"/>
        </w:rPr>
        <w:t xml:space="preserve">Do not use 55% to decide an operation. The cut point was derived by receiver-operating-characteristic analysis in 42 randomly selected patients and then applied to the rest of the same cohort with no external validation; median survival was longer below it, not above it (14 against 10 months, p&lt;0.001, with 30-month survival 23% against 7%); and it dropped out of both the full and the final multivariable models because of its strong association with primary site, so the paper's signature marker is not independently prognostic in its own analysis - a point the abstract does not convey. Ki-67 was read by many pathologists in several countries with no central review, and response was assessed by RECIST 1.0 from radiological reports rather than from measured target lesions. The regression producing the final model ran on 170 of 252 chemotherapy patients.</w:t>
      </w:r>
    </w:p>
    <w:p>
      <w:pPr>
        <w:spacing w:after="50" w:line="276"/>
        <w:ind w:left="240"/>
      </w:pPr>
      <w:r>
        <w:rPr>
          <w:i/>
          <w:iCs/>
          <w:color w:val="5A6069"/>
          <w:sz w:val="17"/>
          <w:szCs w:val="17"/>
        </w:rPr>
        <w:t xml:space="preserve">What the model did retain was performance status (PS 0 odds ratio 0.24, 0.14-0.42, p&lt;0.001), primary tumour site (p=0.007), platelets below 400 x 10^9 (0.47, 0.31-0.72) and a normal lactate dehydrogenase (0.50, 0.32-0.78). See approval 6.</w:t>
      </w:r>
    </w:p>
    <w:p>
      <w:pPr>
        <w:spacing w:after="60" w:line="276"/>
        <w:ind w:left="240"/>
      </w:pPr>
      <w:r>
        <w:rPr>
          <w:color w:val="5A6069"/>
          <w:sz w:val="16"/>
          <w:szCs w:val="16"/>
        </w:rPr>
        <w:t xml:space="preserve">Sources: NORDIC NEC; NANETS 2020 surgical</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In a mixed neuroendocrine–non-neuroendocrine neoplasm, have each component diagnosed and graded, and stage by the non-neuroendocrine counterpart.</w:t>
      </w:r>
    </w:p>
    <w:p>
      <w:pPr>
        <w:spacing w:after="50" w:line="276"/>
        <w:ind w:left="240"/>
      </w:pPr>
      <w:r>
        <w:rPr>
          <w:color w:val="15181F"/>
          <w:sz w:val="18"/>
          <w:szCs w:val="18"/>
        </w:rPr>
        <w:t xml:space="preserve">NCCN requires each component to be diagnosed and graded separately where the smaller component is at least 30% of the tumour mass. Extrapulmonary carcinomas, including these mixed neoplasms, are staged according to the organ-specific criteria for their non-neuroendocrine counterpart — for the pancreas, that means adenocarcinoma staging.</w:t>
      </w:r>
    </w:p>
    <w:p>
      <w:pPr>
        <w:spacing w:after="50"/>
        <w:ind w:left="240"/>
      </w:pPr>
      <w:r>
        <w:rPr>
          <w:b/>
          <w:bCs/>
          <w:color w:val="8C2F26"/>
          <w:sz w:val="18"/>
          <w:szCs w:val="18"/>
        </w:rPr>
        <w:t xml:space="preserve">Caveat. </w:t>
      </w:r>
      <w:r>
        <w:rPr>
          <w:color w:val="15181F"/>
          <w:sz w:val="18"/>
          <w:szCs w:val="18"/>
        </w:rPr>
        <w:t xml:space="preserve">There is no pathway for this entity. NCCN calls management controversial and notes that chemotherapy regimens directed at the non-neuroendocrine component may be considered. Do not pretend a decision rule exists.</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route a high-grade tumour to a pathway on the Ki-67 alone.</w:t>
      </w:r>
    </w:p>
    <w:p>
      <w:pPr>
        <w:spacing w:after="50" w:line="276"/>
        <w:ind w:left="240"/>
      </w:pPr>
      <w:r>
        <w:rPr>
          <w:color w:val="15181F"/>
          <w:sz w:val="18"/>
          <w:szCs w:val="18"/>
        </w:rPr>
        <w:t xml:space="preserve">Differentiation first, then grade. NCCN says it in the plainest terms available: not all high-grade neoplasms with Ki-67 above 20% are poorly differentiated.</w:t>
      </w:r>
    </w:p>
    <w:p>
      <w:pPr>
        <w:spacing w:after="50"/>
        <w:ind w:left="240"/>
      </w:pPr>
      <w:r>
        <w:rPr>
          <w:b/>
          <w:bCs/>
          <w:color w:val="8C2F26"/>
          <w:sz w:val="18"/>
          <w:szCs w:val="18"/>
        </w:rPr>
        <w:t xml:space="preserve">Caveat. </w:t>
      </w:r>
      <w:r>
        <w:rPr>
          <w:color w:val="15181F"/>
          <w:sz w:val="18"/>
          <w:szCs w:val="18"/>
        </w:rPr>
        <w:t xml:space="preserve">Treating a well-differentiated G3 tumour as a small-cell carcinoma costs a patient a potentially curative operation - median disease-specific survival in well-differentiated tumours with a morphologically apparent high-grade component was 55 months (range 16-119), with 2-year and 5-year survival 88-89% and 48-49%, against 16 months and 24% and 24% for true pancreatic poorly differentiated carcinoma. Treating a carcinoma as a NET costs weeks that patient does not have. NCCN's own statement is that advanced carcinoma patients should be considered for chemotherapy without delay.</w:t>
      </w:r>
    </w:p>
    <w:p>
      <w:pPr>
        <w:spacing w:after="50" w:line="276"/>
        <w:ind w:left="240"/>
      </w:pPr>
      <w:r>
        <w:rPr>
          <w:i/>
          <w:iCs/>
          <w:color w:val="5A6069"/>
          <w:sz w:val="17"/>
          <w:szCs w:val="17"/>
        </w:rPr>
        <w:t xml:space="preserve">Two cautions from the full-text read. First, the 55-against-16-month contrast is unmatched: once stage IV was matched, pancreatic grade 1-2 tumours and those with a high-grade component did not differ significantly in disease-specific survival, and both did far better than poorly differentiated carcinoma (median 61 against 16 months, p&lt;0.001), which is the result most corrosive to a sharp prognostic split between the first two. The first draft of this page gave 11 months for the carcinoma comparator; the paper's figure is 16. Second, the Ki-67 55% cut point NCCN uses is not independently prognostic in its own derivation study - see the reasonable-alternative item above and approval 6.</w:t>
      </w:r>
    </w:p>
    <w:p>
      <w:pPr>
        <w:spacing w:after="60" w:line="276"/>
        <w:ind w:left="240"/>
      </w:pPr>
      <w:r>
        <w:rPr>
          <w:color w:val="5A6069"/>
          <w:sz w:val="16"/>
          <w:szCs w:val="16"/>
        </w:rPr>
        <w:t xml:space="preserve">Sources: Tang 2016; NANETS 2020 surgical; NORDIC NEC</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give adjuvant systemic therapy after resection of a high-grade tumour outside a trial.</w:t>
      </w:r>
    </w:p>
    <w:p>
      <w:pPr>
        <w:spacing w:after="50" w:line="276"/>
        <w:ind w:left="240"/>
      </w:pPr>
      <w:r>
        <w:rPr>
          <w:color w:val="15181F"/>
          <w:sz w:val="18"/>
          <w:szCs w:val="18"/>
        </w:rPr>
        <w:t xml:space="preserve">Enrol in a clinical trial. NCCN states there is no role for adjuvant therapy outside one and asks for trial enrolment to be considered.</w:t>
      </w:r>
    </w:p>
    <w:p>
      <w:pPr>
        <w:spacing w:after="50"/>
        <w:ind w:left="240"/>
      </w:pPr>
      <w:r>
        <w:rPr>
          <w:b/>
          <w:bCs/>
          <w:color w:val="8C2F26"/>
          <w:sz w:val="18"/>
          <w:szCs w:val="18"/>
        </w:rPr>
        <w:t xml:space="preserve">Caveat. </w:t>
      </w:r>
      <w:r>
        <w:rPr>
          <w:color w:val="15181F"/>
          <w:sz w:val="18"/>
          <w:szCs w:val="18"/>
        </w:rPr>
        <w:t xml:space="preserve">The temptation is strong because relapse is near-universal, but nothing establishes benefit, and the only comparative data in this disease — propensity-matched NCDB — found worse survival in the adjuvant group (P=0.037).</w:t>
      </w:r>
    </w:p>
    <w:p>
      <w:pPr>
        <w:spacing w:after="60" w:line="276"/>
        <w:ind w:left="240"/>
      </w:pPr>
      <w:r>
        <w:rPr>
          <w:color w:val="5A6069"/>
          <w:sz w:val="16"/>
          <w:szCs w:val="16"/>
        </w:rPr>
        <w:t xml:space="preserve">Sources: NANETS 2020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After resection, and where this page ends</w:t>
      </w:r>
    </w:p>
    <w:p>
      <w:pPr>
        <w:spacing w:after="140"/>
      </w:pPr>
      <w:r>
        <w:rPr>
          <w:b/>
          <w:bCs/>
          <w:color w:val="176A87"/>
          <w:sz w:val="19"/>
          <w:szCs w:val="19"/>
        </w:rPr>
        <w:t xml:space="preserve">The question. </w:t>
      </w:r>
      <w:r>
        <w:rPr>
          <w:sz w:val="19"/>
          <w:szCs w:val="19"/>
        </w:rPr>
        <w:t xml:space="preserve">What am I scanning for, how often, for how long, and what do I do the day a liver lesion appears?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completely resected primary tumour</w:t>
      </w:r>
    </w:p>
    <w:p>
      <w:pPr>
        <w:pStyle w:val="ListParagraph"/>
        <w:numPr>
          <w:ilvl w:val="0"/>
          <w:numId w:val="2"/>
        </w:numPr>
        <w:spacing w:after="60" w:line="268"/>
      </w:pPr>
      <w:r>
        <w:rPr>
          <w:color w:val="15181F"/>
          <w:sz w:val="18"/>
          <w:szCs w:val="18"/>
        </w:rPr>
        <w:t xml:space="preserve">An observed tumour being followed on the same schedule</w:t>
      </w:r>
    </w:p>
    <w:p>
      <w:pPr>
        <w:pStyle w:val="ListParagraph"/>
        <w:numPr>
          <w:ilvl w:val="0"/>
          <w:numId w:val="2"/>
        </w:numPr>
        <w:spacing w:after="60" w:line="268"/>
      </w:pPr>
      <w:r>
        <w:rPr>
          <w:color w:val="15181F"/>
          <w:sz w:val="18"/>
          <w:szCs w:val="18"/>
        </w:rPr>
        <w:t xml:space="preserve">Grade, nodal status and perineural invasion known from the specimen</w:t>
      </w:r>
    </w:p>
    <w:p>
      <w:pPr>
        <w:pStyle w:val="ListParagraph"/>
        <w:numPr>
          <w:ilvl w:val="0"/>
          <w:numId w:val="2"/>
        </w:numPr>
        <w:spacing w:after="60" w:line="268"/>
      </w:pPr>
      <w:r>
        <w:rPr>
          <w:color w:val="15181F"/>
          <w:sz w:val="18"/>
          <w:szCs w:val="18"/>
        </w:rPr>
        <w:t xml:space="preserve">Functional syndrome status, for biochemical follow-up</w:t>
      </w:r>
    </w:p>
    <w:p>
      <w:pPr>
        <w:pStyle w:val="ListParagraph"/>
        <w:numPr>
          <w:ilvl w:val="0"/>
          <w:numId w:val="2"/>
        </w:numPr>
        <w:spacing w:after="60" w:line="268"/>
      </w:pPr>
      <w:r>
        <w:rPr>
          <w:color w:val="15181F"/>
          <w:sz w:val="18"/>
          <w:szCs w:val="18"/>
        </w:rPr>
        <w:t xml:space="preserve">Recurrence found — local, pancreatic remnant, or hepatic</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There is no established adjuvant therapy after resection of a pancreatic neuroendocrine tumour — say so rather than offering something.</w:t>
      </w:r>
    </w:p>
    <w:p>
      <w:pPr>
        <w:spacing w:after="50" w:line="276"/>
        <w:ind w:left="240"/>
      </w:pPr>
      <w:r>
        <w:rPr>
          <w:color w:val="15181F"/>
          <w:sz w:val="18"/>
          <w:szCs w:val="18"/>
        </w:rPr>
        <w:t xml:space="preserve">Every resected patient. NCCN states flatly that there is no known role for systemic treatment in the adjuvant setting, and repeats it on the grade 1–2 and grade 3 pages. A randomised trial of chemotherapy after resection is ongoing (NCT05040360) and is the right place for a patient who wants treatment.</w:t>
      </w:r>
    </w:p>
    <w:p>
      <w:pPr>
        <w:spacing w:after="50"/>
        <w:ind w:left="240"/>
      </w:pPr>
      <w:r>
        <w:rPr>
          <w:b/>
          <w:bCs/>
          <w:color w:val="8C2F26"/>
          <w:sz w:val="18"/>
          <w:szCs w:val="18"/>
        </w:rPr>
        <w:t xml:space="preserve">Caveat. </w:t>
      </w:r>
      <w:r>
        <w:rPr>
          <w:color w:val="15181F"/>
          <w:sz w:val="18"/>
          <w:szCs w:val="18"/>
        </w:rPr>
        <w:t xml:space="preserve">Do not improvise. The only comparative data are a propensity-matched NCDB analysis of 301 patients receiving perioperative systemic therapy against 301 having surgery alone, in which the adjuvant group did worse (P=0.037) - a result that is almost certainly selection rather than harm, since the agents were not recorded, but which does not support treating. That analysis is quoted from the NANETS and NCCN text and is not in this page's full-text depot.</w:t>
      </w:r>
    </w:p>
    <w:p>
      <w:pPr>
        <w:spacing w:after="50" w:line="276"/>
        <w:ind w:left="240"/>
      </w:pPr>
      <w:r>
        <w:rPr>
          <w:i/>
          <w:iCs/>
          <w:color w:val="5A6069"/>
          <w:sz w:val="17"/>
          <w:szCs w:val="17"/>
        </w:rPr>
        <w:t xml:space="preserve">Somatostatin analogues are not adjuvant therapy. Their antiproliferative evidence is in advanced disease, the only prospective study in small tumours is in MEN1 and was not randomised (see gate 7), and ENETS states plainly that no evidence supports somatostatin analogues for controlling the progression of a small nonfunctioning tumour under surveillance.</w:t>
      </w:r>
    </w:p>
    <w:p>
      <w:pPr>
        <w:spacing w:after="60" w:line="276"/>
        <w:ind w:left="240"/>
      </w:pPr>
      <w:r>
        <w:rPr>
          <w:color w:val="5A6069"/>
          <w:sz w:val="16"/>
          <w:szCs w:val="16"/>
        </w:rPr>
        <w:t xml:space="preserve">Sources: NANETS 2020 surgical; ENETS 2023 NF-PanNET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Follow the schedule: imaging at 12 weeks to 12 months, then every 6 to 12 months to a maximum of 10 years, then as clinically indicated.</w:t>
      </w:r>
    </w:p>
    <w:p>
      <w:pPr>
        <w:spacing w:after="50" w:line="276"/>
        <w:ind w:left="240"/>
      </w:pPr>
      <w:r>
        <w:rPr>
          <w:color w:val="15181F"/>
          <w:sz w:val="18"/>
          <w:szCs w:val="18"/>
        </w:rPr>
        <w:t xml:space="preserve">History and examination, multiphasic abdomen with or without pelvis CT or MRI, chest CT as clinically indicated, and biochemical markers for functional tumours as clinically indicated. Earlier if symptoms. Use the same modality and contrast agent each time. For high-grade disease the interval is shorter: every 12 to 24 weeks for 2 years, then every 6 to 12 months for up to 10 years depending on biology and Ki-67.</w:t>
      </w:r>
    </w:p>
    <w:p>
      <w:pPr>
        <w:spacing w:after="50"/>
        <w:ind w:left="240"/>
      </w:pPr>
      <w:r>
        <w:rPr>
          <w:b/>
          <w:bCs/>
          <w:color w:val="8C2F26"/>
          <w:sz w:val="18"/>
          <w:szCs w:val="18"/>
        </w:rPr>
        <w:t xml:space="preserve">Caveat. </w:t>
      </w:r>
      <w:r>
        <w:rPr>
          <w:color w:val="15181F"/>
          <w:sz w:val="18"/>
          <w:szCs w:val="18"/>
        </w:rPr>
        <w:t xml:space="preserve">Receptor-based imaging and FDG-PET are not recommended for routine surveillance. Do not stop at 5 years in a G2 or node-positive patient: recurrences appear at a median of 5.1 years after resection of small tumours in the matched case-control series, at a median of 43 months in the three-centre European cohort of G1-G2 non-functional tumours, and at a median of 7.2 years for pancreatic primaries in the Ontario population cohort behind the published follow-up recommendations, where cumulative recurrence reached 33.5% at 5 years and 48.5% at 10. Ten-year overall survival after resection is 37.7% across the whole resected National Cancer Data Base population. ENETS tells patients to expect at least 20 years of surveillance and possibly lifelong. The tail of this disease is long.</w:t>
      </w:r>
    </w:p>
    <w:p>
      <w:pPr>
        <w:spacing w:after="50" w:line="276"/>
        <w:ind w:left="240"/>
      </w:pPr>
      <w:r>
        <w:rPr>
          <w:i/>
          <w:iCs/>
          <w:color w:val="5A6069"/>
          <w:sz w:val="17"/>
          <w:szCs w:val="17"/>
        </w:rPr>
        <w:t xml:space="preserve">This schedule is consensus, not trial-derived, and the three consensus sources disagree with one another. NCCN starts at 12 weeks to 12 months and runs to a maximum of 10 years. ENETS 2023 starts at 3 to 6 months with a somatostatin-receptor PET, then every 6 to 12 months for 5 years, every 12 to 24 months to 10 years and then every 5 years, at level 5 evidence graded B - an inversion the GRADE framework it claims to follow would not permit. The RAND/UCLA follow-up recommendations for completely resected gastroenteropancreatic tumours deliberately de-intensify the first three years - yearly imaging for 3 years, then every 1 to 2 years to 10, with the decision to continue or stop discussed with the patient at 10 - while extending beyond 10, and exempt a grade 1, node-negative pancreatic tumour under 2 cm from follow-up altogether. That exemption came from a 22-member panel at a 75% agreement threshold, over an evidence base of 6 eligible studies plus two then-unpublished cohorts that carried no grade, stage or margin data - the very variables the recommendations stratify on. It is not adopted here. All three agree on one thing: no serum or urine biomarker has a routine role, and an isolated rise in chromogranin A is not an indication to change treatment without radiological progression. See approval 13.</w:t>
      </w:r>
    </w:p>
    <w:p>
      <w:pPr>
        <w:spacing w:after="60" w:line="276"/>
        <w:ind w:left="240"/>
      </w:pPr>
      <w:r>
        <w:rPr>
          <w:color w:val="5A6069"/>
          <w:sz w:val="16"/>
          <w:szCs w:val="16"/>
        </w:rPr>
        <w:t xml:space="preserve">Sources: Singh 2018 follow-up; NANETS 2020 surgical; ENETS 2023 NF-PanNET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Risk-stratify the surveillance intensity on grade, nodal status and perineural invasion rather than on size.</w:t>
      </w:r>
    </w:p>
    <w:p>
      <w:pPr>
        <w:spacing w:after="50" w:line="276"/>
        <w:ind w:left="240"/>
      </w:pPr>
      <w:r>
        <w:rPr>
          <w:color w:val="15181F"/>
          <w:sz w:val="18"/>
          <w:szCs w:val="18"/>
        </w:rPr>
        <w:t xml:space="preserve">In 211 curatively resected G1 and G2 non-functional tumours at three high-volume European centres, followed a median of 51 months, 35 (17%) recurred at a median of 43 months (IQR 23-62), 91% within 5 years and 69% in the pancreatic remnant; 5- and 10-year disease-specific survival were 98% and 84% and overall survival 91% and 68%. The independent predictors of recurrence within 5 years were grade 2 (HR 4.07, 95% CI 1.87-8.84, p&lt;0.001), lymph node metastasis (HR 2.44, 1.17-5.09, p=0.017) and perineural invasion (HR 2.38, 1.11-5.10, p=0.026), and the resulting score discriminated well internally (Harrell c-statistic 0.81, 95% CI 0.75-0.87) and calibrated adequately (Hosmer-Lemeshow chi-square 11.25, p=0.258). Of 107 patients with none of the three factors, 2 recurred.</w:t>
      </w:r>
    </w:p>
    <w:p>
      <w:pPr>
        <w:spacing w:after="50"/>
        <w:ind w:left="240"/>
      </w:pPr>
      <w:r>
        <w:rPr>
          <w:b/>
          <w:bCs/>
          <w:color w:val="8C2F26"/>
          <w:sz w:val="18"/>
          <w:szCs w:val="18"/>
        </w:rPr>
        <w:t xml:space="preserve">Caveat. </w:t>
      </w:r>
      <w:r>
        <w:rPr>
          <w:color w:val="15181F"/>
          <w:sz w:val="18"/>
          <w:szCs w:val="18"/>
        </w:rPr>
        <w:t xml:space="preserve">Grade D on the full-text read, and the score has not been shown to add to grading: WHO grade alone gave a c-statistic of 0.72 (0.64-0.79) and the difference between the two was p=0.059, so by the paper's own test it is not better than grade. Its cut-off of 24 was selected by receiver-operating-characteristic analysis in the same data by both Youden index and log-rank, so 91% sensitivity is optimistic by construction and 62% specificity does not discriminate clinically. External validation was still ongoing at publication and the authors chose to publish without it. All three components are postoperative findings, so the instrument cannot inform whether to operate, only how often to scan afterwards. Imaging intensity during follow-up was explicitly keyed to chromogranin A, grade and nodal status, so the score's predictors also predicted the chance of detecting a recurrence - a surveillance bias the authors note and do not adjust for. The cohort excluded MEN1, VHL, grade 3 and all metastatic disease, so the 17% recurrence rate and the 2-of-107 figure apply to a cleaner population than clinic presents. In the sub-2 cm subgroup, which is what any size threshold needs, there were 4 recurrence events in 84 patients and the univariable hazard ratios span two orders of magnitude (perineural invasion 30.7, 95% CI 3.19-295.74); no multivariable model was possible and none should be inferred. The work was funded by Ipsen and its stated purpose is to identify high-risk patients for future adjuvant therapy trials.</w:t>
      </w:r>
    </w:p>
    <w:p>
      <w:pPr>
        <w:spacing w:after="50" w:line="276"/>
        <w:ind w:left="240"/>
      </w:pPr>
      <w:r>
        <w:rPr>
          <w:i/>
          <w:iCs/>
          <w:color w:val="5A6069"/>
          <w:sz w:val="17"/>
          <w:szCs w:val="17"/>
        </w:rPr>
        <w:t xml:space="preserve">In MEN1 the remnant is the problem rather than the margin: local intrapancreatic recurrence unrelated to margin status is reported as high as 50%, so a MEN1 patient's surveillance is lifelong and is about new disease, not about this operation.</w:t>
      </w:r>
    </w:p>
    <w:p>
      <w:pPr>
        <w:spacing w:after="60" w:line="276"/>
        <w:ind w:left="240"/>
      </w:pPr>
      <w:r>
        <w:rPr>
          <w:color w:val="5A6069"/>
          <w:sz w:val="16"/>
          <w:szCs w:val="16"/>
        </w:rPr>
        <w:t xml:space="preserve">Sources: Genc recurrence score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When hepatic metastases appear, this becomes the NELM pathway — hand the patient over by name and keep the pancreatic history with them.</w:t>
      </w:r>
    </w:p>
    <w:p>
      <w:pPr>
        <w:spacing w:after="50" w:line="276"/>
        <w:ind w:left="240"/>
      </w:pPr>
      <w:r>
        <w:rPr>
          <w:color w:val="15181F"/>
          <w:sz w:val="18"/>
          <w:szCs w:val="18"/>
        </w:rPr>
        <w:t xml:space="preserve">The NELM page is where hepatic burden and distribution, cytoreduction thresholds, liver-directed modality selection, systemic sequencing, carcinoid-crisis precautions and the transplant question live. Two facts from this page travel with the patient and change what that page can offer: whether a pancreatoduodenectomy has been done, because liver-directed therapy afterwards carries an increased risk of cholangitis and liver abscess; and whether a cholecystectomy was performed, because long-term somatostatin analogue therapy raises the risk of biliary symptoms and cholecystitis.</w:t>
      </w:r>
    </w:p>
    <w:p>
      <w:pPr>
        <w:spacing w:after="50"/>
        <w:ind w:left="240"/>
      </w:pPr>
      <w:r>
        <w:rPr>
          <w:b/>
          <w:bCs/>
          <w:color w:val="8C2F26"/>
          <w:sz w:val="18"/>
          <w:szCs w:val="18"/>
        </w:rPr>
        <w:t xml:space="preserve">Caveat. </w:t>
      </w:r>
      <w:r>
        <w:rPr>
          <w:color w:val="15181F"/>
          <w:sz w:val="18"/>
          <w:szCs w:val="18"/>
        </w:rPr>
        <w:t xml:space="preserve">Do not start systemic therapy for hepatic metastases on this page. Do not restage with a pancreas-only protocol. And do not let a transplant-relevant patient be committed to a pancreatic reoperation before the NELM page's transplant gate has been asked, since Milan-NET criteria require the primary to have been resected with all extrahepatic disease and a documented disease-free interval.</w:t>
      </w:r>
    </w:p>
    <w:p>
      <w:pPr>
        <w:spacing w:after="50" w:line="276"/>
        <w:ind w:left="240"/>
      </w:pPr>
      <w:r>
        <w:rPr>
          <w:i/>
          <w:iCs/>
          <w:color w:val="5A6069"/>
          <w:sz w:val="17"/>
          <w:szCs w:val="17"/>
        </w:rPr>
        <w:t xml:space="preserve">Resection of recurrent locoregional disease, an isolated distant metastasis, or a previously unresectable tumour that has regressed should be considered for selected patients with adequate performance status — that is NCCN's position and it is the one circumstance where this page and the NELM page are deciding the same operation together.</w:t>
      </w:r>
    </w:p>
    <w:p>
      <w:pPr>
        <w:spacing w:after="60" w:line="276"/>
        <w:ind w:left="240"/>
      </w:pPr>
      <w:r>
        <w:rPr>
          <w:color w:val="5A6069"/>
          <w:sz w:val="16"/>
          <w:szCs w:val="16"/>
        </w:rPr>
        <w:t xml:space="preserve">Sources: NANETS 2020 surgical</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Receptor PET has a defined place in follow-up, and it is not routine imaging.</w:t>
      </w:r>
    </w:p>
    <w:p>
      <w:pPr>
        <w:spacing w:after="50" w:line="276"/>
        <w:ind w:left="240"/>
      </w:pPr>
      <w:r>
        <w:rPr>
          <w:color w:val="15181F"/>
          <w:sz w:val="18"/>
          <w:szCs w:val="18"/>
        </w:rPr>
        <w:t xml:space="preserve">The appropriate-use indications NANETS reproduces are three: monitoring disease seen predominantly on receptor PET; restaging at clinical or biochemical progression without progression on conventional imaging; and a new indeterminate lesion on conventional imaging with unclear progression. Where disease is visible on both and conventional imaging is stable, intermittent PET every 2 to 3 years may help; where the tumour is readily seen on CT or MRI, receptor PET is not needed for monitoring.</w:t>
      </w:r>
    </w:p>
    <w:p>
      <w:pPr>
        <w:spacing w:after="50"/>
        <w:ind w:left="240"/>
      </w:pPr>
      <w:r>
        <w:rPr>
          <w:b/>
          <w:bCs/>
          <w:color w:val="8C2F26"/>
          <w:sz w:val="18"/>
          <w:szCs w:val="18"/>
        </w:rPr>
        <w:t xml:space="preserve">Caveat. </w:t>
      </w:r>
      <w:r>
        <w:rPr>
          <w:color w:val="15181F"/>
          <w:sz w:val="18"/>
          <w:szCs w:val="18"/>
        </w:rPr>
        <w:t xml:space="preserve">The supporting evidence is thin and mostly expert opinion. NANETS reports that in 63 patients imaged after resection sensitivity and specificity for recurrence were 92% and 80%, and that in a 143-patient multicentre follow-up cohort receptor imaging detected 75.8% (132 of 174) of new lesions and 29.3% (51 of 174) that CT had missed, being judged useful in 73.4% of patients - but "useful" was defined as changing a subsequent action, not as changing an outcome, and neither series is in this page's full-text depot. The SNMMI/EANM procedure standard, which is, gives no guidance at all on whether or how to use receptor PET in a small pancreatic lesion under surveillance, and warns that an increase or decrease in lesional uptake must not be taken as an indicator of response or progression the way it would be with other radiotracers - which removes the obvious use. The standard also carries no systematic review, no evidence grading and no strength-of-recommendation scheme, so a prospective trial and a package insert carry equal weight in it.</w:t>
      </w:r>
    </w:p>
    <w:p>
      <w:pPr>
        <w:spacing w:after="60" w:line="276"/>
        <w:ind w:left="240"/>
      </w:pPr>
      <w:r>
        <w:rPr>
          <w:color w:val="5A6069"/>
          <w:sz w:val="16"/>
          <w:szCs w:val="16"/>
        </w:rPr>
        <w:t xml:space="preserve">Sources: NANETS 2020 surgical; SNMMI/EANM SSTR PET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Manage the sequelae of the operation as part of follow-up, not as someone else's problem.</w:t>
      </w:r>
    </w:p>
    <w:p>
      <w:pPr>
        <w:spacing w:after="50" w:line="276"/>
        <w:ind w:left="240"/>
      </w:pPr>
      <w:r>
        <w:rPr>
          <w:color w:val="15181F"/>
          <w:sz w:val="18"/>
          <w:szCs w:val="18"/>
        </w:rPr>
        <w:t xml:space="preserve">New endocrine and exocrine insufficiency is the commonest durable harm of this pathway and it is measurable. In a random-effects meta-analysis of 22 observational comparative studies (1,148 patients: 432 enucleations against 716 standard resections), enucleation gave less endocrine insufficiency (risk difference -0.08, 95% CI -0.12 to -0.04, p&lt;0.001, I-squared 0%) and less exocrine insufficiency (-0.17, -0.31 to -0.04, p=0.01, I-squared 86%). NANETS adds that after central pancreatectomy endocrine and exocrine insufficiency rates were 4% and 5% against 24% and 17% after distal pancreatectomy and 17% and 29% after pancreatoduodenectomy. Screen for both, and for pancreatic exocrine deficiency in anyone on long-term analogue therapy. ENETS adds the late iatrogenic harms to screen for after systemic treatment: renal dysfunction after streptozotocin or peptide receptor radionuclide therapy, heart failure after sunitinib or doxorubicin, and marrow effects after radionuclide therapy or alkylating agents.</w:t>
      </w:r>
    </w:p>
    <w:p>
      <w:pPr>
        <w:spacing w:after="50"/>
        <w:ind w:left="240"/>
      </w:pPr>
      <w:r>
        <w:rPr>
          <w:b/>
          <w:bCs/>
          <w:color w:val="8C2F26"/>
          <w:sz w:val="18"/>
          <w:szCs w:val="18"/>
        </w:rPr>
        <w:t xml:space="preserve">Caveat. </w:t>
      </w:r>
      <w:r>
        <w:rPr>
          <w:color w:val="15181F"/>
          <w:sz w:val="18"/>
          <w:szCs w:val="18"/>
        </w:rPr>
        <w:t xml:space="preserve">Do not count a resection a success on imaging alone in a patient who now has diabetes they did not have, for a tumour that might have been observed. And do not read the functional advantage as an effect of the operation alone: the review concedes it cannot tell whether the standard-resection patients were ever enucleation candidates, the indications pooled are insulinoma, non-functioning tumours, serous and mucinous cystadenoma, IPMN and chronic pancreatitis, mean methodological quality was 13 of a possible 27, only one of the 22 studies reported information on principal confounders, and the exocrine result carries I-squared 86% across 5 studies with no standardised definition or timing of assessment.</w:t>
      </w:r>
    </w:p>
    <w:p>
      <w:pPr>
        <w:spacing w:after="60" w:line="276"/>
        <w:ind w:left="240"/>
      </w:pPr>
      <w:r>
        <w:rPr>
          <w:color w:val="5A6069"/>
          <w:sz w:val="16"/>
          <w:szCs w:val="16"/>
        </w:rPr>
        <w:t xml:space="preserve">Sources: NANETS 2020 surgical; Hüttner 2015; ENETS 2023 NF-PanNET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surveil an observed primary less carefully than a resected one.</w:t>
      </w:r>
    </w:p>
    <w:p>
      <w:pPr>
        <w:spacing w:after="50" w:line="276"/>
        <w:ind w:left="240"/>
      </w:pPr>
      <w:r>
        <w:rPr>
          <w:color w:val="15181F"/>
          <w:sz w:val="18"/>
          <w:szCs w:val="18"/>
        </w:rPr>
        <w:t xml:space="preserve">NCCN applies the same surveillance schedule to patients in whom observation was chosen. The whole safety case for observation rests on detecting growth, and the crossover rates in the published cohorts are the mechanism by which that case holds, or fails to: 26 of 104 (25%) over a median of 30 months in the matched case-control series, 9 of 406 (2%) over 25 months in ASPEN, and 6 of 76 (8%) over 17 months in PANDORA. Read each of them as the full text reports it. In the first, the crossovers stay in the observation arm by intention to treat, so part of that arm's clean record was bought with the operation the paper argues can be avoided. In PANDORA, six of the eight patients who met the protocol's own resection criterion refused the operation, so the protocol was never tested. And in ASPEN only 4 of 406 surveillance patients came to surgery for growth at all.</w:t>
      </w:r>
    </w:p>
    <w:p>
      <w:pPr>
        <w:spacing w:after="50"/>
        <w:ind w:left="240"/>
      </w:pPr>
      <w:r>
        <w:rPr>
          <w:b/>
          <w:bCs/>
          <w:color w:val="8C2F26"/>
          <w:sz w:val="18"/>
          <w:szCs w:val="18"/>
        </w:rPr>
        <w:t xml:space="preserve">Caveat. </w:t>
      </w:r>
      <w:r>
        <w:rPr>
          <w:color w:val="15181F"/>
          <w:sz w:val="18"/>
          <w:szCs w:val="18"/>
        </w:rPr>
        <w:t xml:space="preserve">An observed tumour with no owner and no interval is not being observed. This is the single most likely way for this pathway to fail a patient.</w:t>
      </w:r>
    </w:p>
    <w:p>
      <w:pPr>
        <w:spacing w:after="60" w:line="276"/>
        <w:ind w:left="240"/>
      </w:pPr>
      <w:r>
        <w:rPr>
          <w:color w:val="5A6069"/>
          <w:sz w:val="16"/>
          <w:szCs w:val="16"/>
        </w:rPr>
        <w:t xml:space="preserve">Sources: ASPEN interim; Sadot 2016; PANDORA</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routine FDG-PET or receptor PET as a surveillance scan.</w:t>
      </w:r>
    </w:p>
    <w:p>
      <w:pPr>
        <w:spacing w:after="50" w:line="276"/>
        <w:ind w:left="240"/>
      </w:pPr>
      <w:r>
        <w:rPr>
          <w:color w:val="15181F"/>
          <w:sz w:val="18"/>
          <w:szCs w:val="18"/>
        </w:rPr>
        <w:t xml:space="preserve">Multiphasic CT or MRI on the schedule above, with the functional scans reserved for the three appropriate-use situations.</w:t>
      </w:r>
    </w:p>
    <w:p>
      <w:pPr>
        <w:spacing w:after="50"/>
        <w:ind w:left="240"/>
      </w:pPr>
      <w:r>
        <w:rPr>
          <w:b/>
          <w:bCs/>
          <w:color w:val="8C2F26"/>
          <w:sz w:val="18"/>
          <w:szCs w:val="18"/>
        </w:rPr>
        <w:t xml:space="preserve">Caveat. </w:t>
      </w:r>
      <w:r>
        <w:rPr>
          <w:color w:val="15181F"/>
          <w:sz w:val="18"/>
          <w:szCs w:val="18"/>
        </w:rPr>
        <w:t xml:space="preserve">NCCN states that receptor-based imaging and FDG-PET are not recommended for routine surveillance. Receptor PET also has not been shown to add significantly to conventional imaging for assessing response to peptide receptor radionuclide therapy.</w:t>
      </w:r>
    </w:p>
    <w:p>
      <w:pPr>
        <w:spacing w:after="60" w:line="276"/>
        <w:ind w:left="240"/>
      </w:pPr>
      <w:r>
        <w:rPr>
          <w:color w:val="5A6069"/>
          <w:sz w:val="16"/>
          <w:szCs w:val="16"/>
        </w:rPr>
        <w:t xml:space="preserve">Sources: NANETS 2020 surgical</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WHO 2019 grade and the Ki-67 thresholds</w:t>
      </w:r>
    </w:p>
    <w:p>
      <w:pPr>
        <w:spacing w:after="120" w:line="276"/>
      </w:pPr>
      <w:r>
        <w:rPr>
          <w:i/>
          <w:iCs/>
          <w:color w:val="5A6069"/>
          <w:sz w:val="18"/>
          <w:szCs w:val="18"/>
        </w:rPr>
        <w:t xml:space="preserve">The classification that forks this pathway. Differentiation and grade are separate questions and both have to be answered.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NET, G1 — well differentiated</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 2 mitoses/2 mm² and Ki-67 under 3%</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NET, G2 — well differentiated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2 to 20 mitoses/2 mm² and/or Ki-67 3 to 20%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NET, G3 — well differentiated</w:t>
            </w:r>
          </w:p>
        </w:tc>
        <w:tc>
          <w:tcPr>
            <w:tcW w:type="dxa" w:w="5260"/>
            <w:tcMar>
              <w:top w:type="dxa" w:w="70"/>
              <w:left w:type="dxa" w:w="110"/>
              <w:bottom w:type="dxa" w:w="70"/>
              <w:right w:type="dxa" w:w="110"/>
            </w:tcMar>
            <w:vAlign w:val="top"/>
          </w:tcPr>
          <w:p>
            <w:pPr>
              <w:spacing w:after="0" w:line="276"/>
            </w:pPr>
            <w:r>
              <w:rPr>
                <w:color w:val="15181F"/>
                <w:sz w:val="17"/>
                <w:szCs w:val="17"/>
              </w:rPr>
              <w:t xml:space="preserve">Over 20 mitoses/2 mm² and/or Ki-67 over 20%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Small-cell carcinoma (SCNEC) — poorly differentiated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Over 20 mitoses/2 mm², Ki-67 over 20%; not formally graded, high grade by definition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Large-cell carcinoma (LCNEC) — poorly differentiated</w:t>
            </w:r>
          </w:p>
        </w:tc>
        <w:tc>
          <w:tcPr>
            <w:tcW w:type="dxa" w:w="5260"/>
            <w:tcMar>
              <w:top w:type="dxa" w:w="70"/>
              <w:left w:type="dxa" w:w="110"/>
              <w:bottom w:type="dxa" w:w="70"/>
              <w:right w:type="dxa" w:w="110"/>
            </w:tcMar>
            <w:vAlign w:val="top"/>
          </w:tcPr>
          <w:p>
            <w:pPr>
              <w:spacing w:after="0" w:line="276"/>
            </w:pPr>
            <w:r>
              <w:rPr>
                <w:color w:val="15181F"/>
                <w:sz w:val="17"/>
                <w:szCs w:val="17"/>
              </w:rPr>
              <w:t xml:space="preserve">Over 20 mitoses/2 mm², Ki-67 over 20%; not formally graded, high grade by definition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MiNEN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Variable; each component graded separately where the smaller is at least 30% of the mass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Ki-67 counting rule</w:t>
            </w:r>
          </w:p>
        </w:tc>
        <w:tc>
          <w:tcPr>
            <w:tcW w:type="dxa" w:w="5260"/>
            <w:tcMar>
              <w:top w:type="dxa" w:w="70"/>
              <w:left w:type="dxa" w:w="110"/>
              <w:bottom w:type="dxa" w:w="70"/>
              <w:right w:type="dxa" w:w="110"/>
            </w:tcMar>
            <w:vAlign w:val="top"/>
          </w:tcPr>
          <w:p>
            <w:pPr>
              <w:spacing w:after="0" w:line="276"/>
            </w:pPr>
            <w:r>
              <w:rPr>
                <w:color w:val="15181F"/>
                <w:sz w:val="17"/>
                <w:szCs w:val="17"/>
              </w:rPr>
              <w:t xml:space="preserve">At least 500 cells in the hot spot of highest labelling; report the exact index, not a range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Mitotic counting rule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Per 2 mm² = 10 high-power fields at 40× with a 0.5 mm ocular field, counted in 50 fields of 0.2 mm²</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If the two indices disagree</w:t>
            </w:r>
          </w:p>
        </w:tc>
        <w:tc>
          <w:tcPr>
            <w:tcW w:type="dxa" w:w="5260"/>
            <w:tcMar>
              <w:top w:type="dxa" w:w="70"/>
              <w:left w:type="dxa" w:w="110"/>
              <w:bottom w:type="dxa" w:w="70"/>
              <w:right w:type="dxa" w:w="110"/>
            </w:tcMar>
            <w:vAlign w:val="top"/>
          </w:tcPr>
          <w:p>
            <w:pPr>
              <w:spacing w:after="0" w:line="276"/>
            </w:pPr>
            <w:r>
              <w:rPr>
                <w:color w:val="15181F"/>
                <w:sz w:val="17"/>
                <w:szCs w:val="17"/>
              </w:rPr>
              <w:t xml:space="preserve">Assign the higher grade</w:t>
            </w:r>
          </w:p>
        </w:tc>
      </w:tr>
    </w:tbl>
    <w:p>
      <w:pPr>
        <w:spacing w:after="200" w:line="276"/>
      </w:pPr>
      <w:r>
        <w:rPr>
          <w:i/>
          <w:iCs/>
          <w:color w:val="5A6069"/>
          <w:sz w:val="16"/>
          <w:szCs w:val="16"/>
        </w:rPr>
        <w:t xml:space="preserve">Not all high-grade neoplasms are poorly differentiated, and that distinction decides whether an operation is on the table at all. Well-differentiated tumours with a morphologically apparent high-grade component had median disease-specific survival of 55 months (range 16-119; 2-year 88-89%, 5-year 48-49%) against 162 months for institutional low and intermediate grade pancreatic tumours (97% and 90%) and 16 months for true pancreatic poorly differentiated carcinoma (24% and 24%), p&lt;0.001 - but once stage IV was matched, grade 1-2 tumours and those with a high-grade component did not differ significantly from each other. Genotype separates the carcinomas: Rb protein lost in 59% of them against 0% of well-differentiated tumours of any grade, abnormal p53 in 56% against 0%, and a DAXX, ATRX or MEN1 mutation in 0 of 28 carcinomas against 57% of low and intermediate grade tumours. Grade from a needle biopsy is a floor: agreement between EUS-FNA cytology and the resection specimen gave a kappa of 0.21 (p=0.09) in the primary study, with 10 of 14 histological G2 tumours (71%) called cytological G1 and histological Ki-67 averaging 1.3 times the cytological value; NANETS reports agreement under 50% for G2 and G3 and areas with Ki-67 of 2% or less common within G2 tumours; and the only prospective core-biopsy study found 83% concordance in 30 patients. Where differentiation is genuinely uncertain in a pancreatic neoplasm, NCCN lists Rb, p53, p16, ATRX and DAXX as an optional panel. Verify the table against the current WHO digestive system volume and the current NCCN pathology principles before use.</w:t>
      </w:r>
    </w:p>
    <w:p>
      <w:pPr>
        <w:pStyle w:val="Heading3"/>
        <w:keepNext/>
        <w:spacing w:after="110" w:before="240"/>
      </w:pPr>
      <w:r>
        <w:rPr>
          <w:rFonts w:ascii="Cambria" w:cs="Cambria" w:eastAsia="Cambria" w:hAnsi="Cambria"/>
          <w:b/>
          <w:bCs/>
          <w:color w:val="17365D"/>
          <w:sz w:val="22"/>
          <w:szCs w:val="22"/>
        </w:rPr>
        <w:t xml:space="preserve">The 2 cm threshold — who says what, and what is behind it</w:t>
      </w:r>
    </w:p>
    <w:p>
      <w:pPr>
        <w:spacing w:after="120" w:line="276"/>
      </w:pPr>
      <w:r>
        <w:rPr>
          <w:i/>
          <w:iCs/>
          <w:color w:val="5A6069"/>
          <w:sz w:val="18"/>
          <w:szCs w:val="18"/>
        </w:rPr>
        <w:t xml:space="preserve">For the small incidental nonfunctional tumour. Read the guideline column against the evidence column before quoting the number to a patient.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NCCN — algorithm</w:t>
            </w:r>
          </w:p>
        </w:tc>
        <w:tc>
          <w:tcPr>
            <w:tcW w:type="dxa" w:w="5260"/>
            <w:tcMar>
              <w:top w:type="dxa" w:w="70"/>
              <w:left w:type="dxa" w:w="110"/>
              <w:bottom w:type="dxa" w:w="70"/>
              <w:right w:type="dxa" w:w="110"/>
            </w:tcMar>
            <w:vAlign w:val="top"/>
          </w:tcPr>
          <w:p>
            <w:pPr>
              <w:spacing w:after="0" w:line="276"/>
            </w:pPr>
            <w:r>
              <w:rPr>
                <w:color w:val="15181F"/>
                <w:sz w:val="17"/>
                <w:szCs w:val="17"/>
              </w:rPr>
              <w:t xml:space="preserve">1 cm or less: observation. Over 1 to 2 cm: observation or pancreatectomy. Over 2 cm, invasive or node-positive: resection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NCCN — surgical principles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G1 under 2 cm can be safely observed and this is the recommended course; G2 should be considered for resection if patient factors allow</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ENETS 2023 (read in full)</w:t>
            </w:r>
          </w:p>
        </w:tc>
        <w:tc>
          <w:tcPr>
            <w:tcW w:type="dxa" w:w="5260"/>
            <w:tcMar>
              <w:top w:type="dxa" w:w="70"/>
              <w:left w:type="dxa" w:w="110"/>
              <w:bottom w:type="dxa" w:w="70"/>
              <w:right w:type="dxa" w:w="110"/>
            </w:tcMar>
            <w:vAlign w:val="top"/>
          </w:tcPr>
          <w:p>
            <w:pPr>
              <w:spacing w:after="0" w:line="276"/>
            </w:pPr>
            <w:r>
              <w:rPr>
                <w:color w:val="15181F"/>
                <w:sz w:val="17"/>
                <w:szCs w:val="17"/>
              </w:rPr>
              <w:t xml:space="preserve">1 cm or less without duct dilation: active surveillance. Above 1 cm to 2 cm without duct dilation: personalise to the resection required and comorbidities, no rule given. Above 2 cm, or any duct dilation: surgery strongly recommended. All three at level 3 evidence, grade B</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NANETS 2020</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Observation acceptable under 1 cm; the 1–2 cm decision individualised on age, comorbidity, growth, symptom risk, imaging, grade, extent of resection required, patient wishes and access to follow-up</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Delphi consensus (as reported by NANETS)</w:t>
            </w:r>
          </w:p>
        </w:tc>
        <w:tc>
          <w:tcPr>
            <w:tcW w:type="dxa" w:w="5260"/>
            <w:tcMar>
              <w:top w:type="dxa" w:w="70"/>
              <w:left w:type="dxa" w:w="110"/>
              <w:bottom w:type="dxa" w:w="70"/>
              <w:right w:type="dxa" w:w="110"/>
            </w:tcMar>
            <w:vAlign w:val="top"/>
          </w:tcPr>
          <w:p>
            <w:pPr>
              <w:spacing w:after="0" w:line="276"/>
            </w:pPr>
            <w:r>
              <w:rPr>
                <w:color w:val="15181F"/>
                <w:sz w:val="17"/>
                <w:szCs w:val="17"/>
              </w:rPr>
              <w:t xml:space="preserve">Consensus to observe under 1 cm and resect over 2 cm; no consensus for 1–2 cm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ASPEN authors' own conclusion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Surveillance preferred up to 2 cm, but personalise above 1 cm, in young patients, and on measurable growth; surgery always mandatory with a dilated main pancreatic duct - asserted in the same paper that performed no comparison between the two strategies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MEN1 (NANETS; AACE 2025 abstract; 2025 best practice)</w:t>
            </w:r>
          </w:p>
        </w:tc>
        <w:tc>
          <w:tcPr>
            <w:tcW w:type="dxa" w:w="5260"/>
            <w:tcMar>
              <w:top w:type="dxa" w:w="70"/>
              <w:left w:type="dxa" w:w="110"/>
              <w:bottom w:type="dxa" w:w="70"/>
              <w:right w:type="dxa" w:w="110"/>
            </w:tcMar>
            <w:vAlign w:val="top"/>
          </w:tcPr>
          <w:p>
            <w:pPr>
              <w:spacing w:after="0" w:line="276"/>
            </w:pPr>
            <w:r>
              <w:rPr>
                <w:color w:val="15181F"/>
                <w:sz w:val="17"/>
                <w:szCs w:val="17"/>
              </w:rPr>
              <w:t xml:space="preserve">Observe nonfunctional tumours under 1-2 cm; resect above 20 mm or on significant growth; functional tumours resected regardless of size. The 2025 systematic review found no difference in metastasis or mortality between surgery and surveillance at 2 cm or less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von Hippel-Lindau (NANETS)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Observe under 3 cm with doubling time over 500 days and mutation outside exon 3; one risk factor, consider surgery; two or more, strongly consider resection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2025 MEN1 systematic review (the only comparison that exists)</w:t>
            </w:r>
          </w:p>
        </w:tc>
        <w:tc>
          <w:tcPr>
            <w:tcW w:type="dxa" w:w="5260"/>
            <w:tcMar>
              <w:top w:type="dxa" w:w="70"/>
              <w:left w:type="dxa" w:w="110"/>
              <w:bottom w:type="dxa" w:w="70"/>
              <w:right w:type="dxa" w:w="110"/>
            </w:tcMar>
            <w:vAlign w:val="top"/>
          </w:tcPr>
          <w:p>
            <w:pPr>
              <w:spacing w:after="0" w:line="276"/>
            </w:pPr>
            <w:r>
              <w:rPr>
                <w:color w:val="15181F"/>
                <w:sz w:val="17"/>
                <w:szCs w:val="17"/>
              </w:rPr>
              <w:t xml:space="preserve">Surgery against active surveillance for nonfunctioning tumours of 2 cm or less: no difference in combined metastatic disease and mortality, across 37 studies and 1,814 patients, at low to very low GRADE certainty</w:t>
            </w:r>
          </w:p>
        </w:tc>
      </w:tr>
    </w:tbl>
    <w:p>
      <w:pPr>
        <w:spacing w:after="200" w:line="276"/>
      </w:pPr>
      <w:r>
        <w:rPr>
          <w:i/>
          <w:iCs/>
          <w:color w:val="5A6069"/>
          <w:sz w:val="16"/>
          <w:szCs w:val="16"/>
        </w:rPr>
        <w:t xml:space="preserve">The evidence is three uncontrolled cohorts, none randomised and none of which compares the two strategies, plus one systematic review that does and found nothing. Sadot 2016: 104 observed matched on initial size to 77 resected, inclusion band under 3 cm rather than 2 cm with median lesion 1.2-1.4 cm and 87% T1; 26 of 104 (25%) resected later at a median of 30 months and retained in the observation arm by intention to treat; median size unchanged at 1.2 cm (p=0.7) although 53 of 104 (51%) grew; no observed patient developed metastases; median follow-up 44 months overall but only 33 months (IQR 11-72) in the patients never operated, against recurrences at a median of 5.1 years in the resected arm; the metastasis-free survival advantage of 99% against 88% (p=0.01) is an endpoint artefact and disappears in the observation-only comparison (p=0.08); 21% grade 3 complications in the resected. PANDORA: 76 patients with tumours of 2 cm or less, median follow-up 17 months; 8 (11%) growing by more than 0.5 cm per year of whom 6 refused the protocol-mandated operation; one occult nodal plus peritoneal metastasis at 2.0 cm; only 22% had the scheduled 3-month endoscopic ultrasound; baseline quality of life worse than the reference population. ASPEN interim: 500 patients at 41 centres, 406 surveillance and 94 surgery, median follow-up 25 months (IQR 16-35), 9 of 406 (2%) coming to surgery, severe complications in 13% of the resected with no deaths - and two findings that cut the other way, distant metastases in 4 of 500 (0.8%, printed in the paper as 0.08%) all present at diagnosis, and one or more aggressive histological features in 19 of 94 resected tumours (20%), a figure that comes only from the resected and cannot describe the 406 watched. The threshold does not survive a ROC analysis: in 5,172 SEER patients the cutoff best associated with a composite aggressiveness outcome was 2.50 cm (AUC 0.769, sensitivity 81.3%, specificity 63.3%), and 1-2 cm against 1 cm or less was not prognostic for survival (HR 0.92, 0.65-1.31, p=0.652). And it may not hold across populations: nodal metastasis below 2 cm was 5% and 12% in white patients against 23% and 21% in Black patients in two overlapping resected datasets (p&lt;0.01 in both), with the sub-1 cm finding failing to replicate.</w:t>
      </w:r>
    </w:p>
    <w:p>
      <w:pPr>
        <w:pStyle w:val="Heading3"/>
        <w:keepNext/>
        <w:spacing w:after="110" w:before="240"/>
      </w:pPr>
      <w:r>
        <w:rPr>
          <w:rFonts w:ascii="Cambria" w:cs="Cambria" w:eastAsia="Cambria" w:hAnsi="Cambria"/>
          <w:b/>
          <w:bCs/>
          <w:color w:val="17365D"/>
          <w:sz w:val="22"/>
          <w:szCs w:val="22"/>
        </w:rPr>
        <w:t xml:space="preserve">Nodal risk by size and feature, and the node count to aim for</w:t>
      </w:r>
    </w:p>
    <w:p>
      <w:pPr>
        <w:spacing w:after="120" w:line="276"/>
      </w:pPr>
      <w:r>
        <w:rPr>
          <w:i/>
          <w:iCs/>
          <w:color w:val="5A6069"/>
          <w:sz w:val="18"/>
          <w:szCs w:val="18"/>
        </w:rPr>
        <w:t xml:space="preserve">For the lymphadenectomy decision and for arguing about whether a parenchyma-sparing operation is adequate.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Tumour 2 cm or less, any location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Nodal metastasis 12.9% to 27.3% (NANETS, pooled across series)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Tumour 2 cm or less (SEER, 1,760 patients)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Nodal involvement 8.4% among the 1,760 tumours of 2 cm or less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Tumour 1 cm or less / 1.5 cm or less (136 resected patients)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Nodal metastasis 2 of 17 (12%) and 5 of 38 (13%); no variable independently predicted nodal metastasis on multivariable analysis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Nonfunctional tumour 2 cm or less (NCDB, 1,854 patients)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Regional nodal metastasis in 303 (29%) and distant in 180 (10%), not falling at the smallest sizes - but the registry records only tumours coded malignant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Tumour under 2 cm, by race (two overlapping resected datasets)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Nodal metastasis 7 of 30 (23%) and 54 of 258 (21%) in Black patients against 8 of 151 (5%) and 188 of 1,596 (12%) in white patients, both p&lt;0.01; the sub-1 cm finding did not replicate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Tumour over 1.5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Odds ratio 4.7 (95% CI 1.81-12.35, p=0.002) for nodal metastasis - univariable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Head versus body or tail</w:t>
            </w:r>
          </w:p>
        </w:tc>
        <w:tc>
          <w:tcPr>
            <w:tcW w:type="dxa" w:w="5260"/>
            <w:tcMar>
              <w:top w:type="dxa" w:w="70"/>
              <w:left w:type="dxa" w:w="110"/>
              <w:bottom w:type="dxa" w:w="70"/>
              <w:right w:type="dxa" w:w="110"/>
            </w:tcMar>
            <w:vAlign w:val="top"/>
          </w:tcPr>
          <w:p>
            <w:pPr>
              <w:spacing w:after="0" w:line="276"/>
            </w:pPr>
            <w:r>
              <w:rPr>
                <w:color w:val="15181F"/>
                <w:sz w:val="17"/>
                <w:szCs w:val="17"/>
              </w:rPr>
              <w:t xml:space="preserve">Odds ratio 2.8 (1.3-5.8, p=0.007) - but median nodes examined 15 against 8 (p=0.0002)</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Ki-67 over 20%</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Odds ratio 6.7 (1.6-27.3, p=0.008)</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Lymphovascular invasion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Odds ratio 3.6 (1.5-8.6, p=0.004)</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Radiographic calcification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Nodal metastasis 36% versus 24% (p=0.011); distant metastasis 13% versus 4% (p&lt;0.001)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Cystic morphology (over 50% of tumour area)</w:t>
            </w:r>
          </w:p>
        </w:tc>
        <w:tc>
          <w:tcPr>
            <w:tcW w:type="dxa" w:w="5260"/>
            <w:tcMar>
              <w:top w:type="dxa" w:w="70"/>
              <w:left w:type="dxa" w:w="110"/>
              <w:bottom w:type="dxa" w:w="70"/>
              <w:right w:type="dxa" w:w="110"/>
            </w:tcMar>
            <w:vAlign w:val="top"/>
          </w:tcPr>
          <w:p>
            <w:pPr>
              <w:spacing w:after="0" w:line="276"/>
            </w:pPr>
            <w:r>
              <w:rPr>
                <w:color w:val="15181F"/>
                <w:sz w:val="17"/>
                <w:szCs w:val="17"/>
              </w:rPr>
              <w:t xml:space="preserve">Nodal metastasis 12% versus 30% (p&lt;0.001)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Nodes to retrieve at a formal PD or DP</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11 to 15, for accurate nodal staging</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Nodes at a parenchyma-sparing operation for 2 cm or less</w:t>
            </w:r>
          </w:p>
        </w:tc>
        <w:tc>
          <w:tcPr>
            <w:tcW w:type="dxa" w:w="5260"/>
            <w:tcMar>
              <w:top w:type="dxa" w:w="70"/>
              <w:left w:type="dxa" w:w="110"/>
              <w:bottom w:type="dxa" w:w="70"/>
              <w:right w:type="dxa" w:w="110"/>
            </w:tcMar>
            <w:vAlign w:val="top"/>
          </w:tcPr>
          <w:p>
            <w:pPr>
              <w:spacing w:after="0" w:line="276"/>
            </w:pPr>
            <w:r>
              <w:rPr>
                <w:color w:val="15181F"/>
                <w:sz w:val="17"/>
                <w:szCs w:val="17"/>
              </w:rPr>
              <w:t xml:space="preserve">Remove suspicious nodes seen on imaging; consider sampling if imaging is negative</w:t>
            </w:r>
          </w:p>
        </w:tc>
      </w:tr>
    </w:tbl>
    <w:p>
      <w:pPr>
        <w:spacing w:after="200" w:line="276"/>
      </w:pPr>
      <w:r>
        <w:rPr>
          <w:i/>
          <w:iCs/>
          <w:color w:val="5A6069"/>
          <w:sz w:val="16"/>
          <w:szCs w:val="16"/>
        </w:rPr>
        <w:t xml:space="preserve">Every figure in this table comes from a cohort in which every patient was operated, which is the defect that matters most: there is no series anywhere reporting nodal status in unoperated small tumours, because obtaining it requires the operation under debate. Node-positive disease carries prognostic weight - median disease-free survival 4.5 against 14.6 years (p&lt;0.0001) in 136 resected patients, with nodal metastasis one of the three independent predictors in the published recurrence score - but overall survival in that same cohort did not reach significance (5- and 10-year 77.1% and 55.4% against 91.3% and 74.6%, log-rank 0.1), and lymphadenectomy itself has not been shown to change survival. In the National Cancer Data Base analysis of 1,854 tumours of 2 cm or less, 999 of them resected with a median of 8 nodes examined and 27% with none, there was no difference by type of surgery or by the addition of lymphadenectomy (p=0.16), and nodes were examined in 63% of partial pancreatectomies against 89% of pancreatoduodenectomies, so that comparison is between groups with different staging completeness. NANETS reports a 999-patient NCDB study and a 981-patient SEER study with the same null result; neither is in this page's full-text depot. The 11-15 figure is derived from the yield of finding a positive node, is borrowed from the pancreatic adenocarcinoma literature, and its primary study is not in the depot either; ENETS instead makes lymphadenectomy routine above 3 cm and case-by-case at 2-3 cm. The imaging-feature figures are hypothesis-generating only: calcification's independent hazard ratio was 11.5 with a confidence interval of 1.1 to 125.0, cystic morphology was not independent at all (p=0.69), and 28-29% of that cohort has no data on either exposure.</w:t>
      </w:r>
    </w:p>
    <w:p>
      <w:pPr>
        <w:pStyle w:val="Heading3"/>
        <w:keepNext/>
        <w:spacing w:after="110" w:before="240"/>
      </w:pPr>
      <w:r>
        <w:rPr>
          <w:rFonts w:ascii="Cambria" w:cs="Cambria" w:eastAsia="Cambria" w:hAnsi="Cambria"/>
          <w:b/>
          <w:bCs/>
          <w:color w:val="17365D"/>
          <w:sz w:val="22"/>
          <w:szCs w:val="22"/>
        </w:rPr>
        <w:t xml:space="preserve">Localising a functional tumour</w:t>
      </w:r>
    </w:p>
    <w:p>
      <w:pPr>
        <w:spacing w:after="120" w:line="276"/>
      </w:pPr>
      <w:r>
        <w:rPr>
          <w:i/>
          <w:iCs/>
          <w:color w:val="5A6069"/>
          <w:sz w:val="18"/>
          <w:szCs w:val="18"/>
        </w:rPr>
        <w:t xml:space="preserve">Which test finds which tumour. The insulinoma column is the one people get wrong.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Multiphasic CT or MRI, arterial and portal venous phases</w:t>
            </w:r>
          </w:p>
        </w:tc>
        <w:tc>
          <w:tcPr>
            <w:tcW w:type="dxa" w:w="5260"/>
            <w:tcMar>
              <w:top w:type="dxa" w:w="70"/>
              <w:left w:type="dxa" w:w="110"/>
              <w:bottom w:type="dxa" w:w="70"/>
              <w:right w:type="dxa" w:w="110"/>
            </w:tcMar>
            <w:vAlign w:val="top"/>
          </w:tcPr>
          <w:p>
            <w:pPr>
              <w:spacing w:after="0" w:line="276"/>
            </w:pPr>
            <w:r>
              <w:rPr>
                <w:color w:val="15181F"/>
                <w:sz w:val="17"/>
                <w:szCs w:val="17"/>
              </w:rPr>
              <w:t xml:space="preserve">First test for every syndrome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Somatostatin-receptor PET, non-insulinoma tumours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Sensitivity 100%, specificity 57%, accuracy 94.8%</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Somatostatin-receptor PET, insulinoma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Accuracy approximately 25%; about two-thirds of insulinomas are receptor-PET negative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GLP-1 receptor PET/CT (68Ga-DOTA-exendin-4), occult insulinoma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Accuracy 93.9% (95% CI 87.8–97.5)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GLP-1 receptor SPECT/CT (111In-DOTA-exendin-4)</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Accuracy 67.5% (58.1–76.0)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MRI in the same prospective crossover cohort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Accuracy 67.6% (58.0–76.1)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Prior external CT or MRI in the same patients</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Accuracy 40.0% (23.9–57.9)</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Selective arterial calcium stimulation with venous sampling</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Regionalises rather than localises; for persistent or recurrent hypoglycaemia when other tests are equivocal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EUS in MEN1</w:t>
            </w:r>
          </w:p>
        </w:tc>
        <w:tc>
          <w:tcPr>
            <w:tcW w:type="dxa" w:w="5260"/>
            <w:tcMar>
              <w:top w:type="dxa" w:w="70"/>
              <w:left w:type="dxa" w:w="110"/>
              <w:bottom w:type="dxa" w:w="70"/>
              <w:right w:type="dxa" w:w="110"/>
            </w:tcMar>
            <w:vAlign w:val="top"/>
          </w:tcPr>
          <w:p>
            <w:pPr>
              <w:spacing w:after="0" w:line="276"/>
            </w:pPr>
            <w:r>
              <w:rPr>
                <w:color w:val="15181F"/>
                <w:sz w:val="17"/>
                <w:szCs w:val="17"/>
              </w:rPr>
              <w:t xml:space="preserve">268 lesions found against 158 on MRI in 90 patients; 83% accuracy and 101 lesions in 34 of 41 patients prospectively, mean size 9.1 mm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Gastrinoma location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Approximately 70% in the duodenum</w:t>
            </w:r>
          </w:p>
        </w:tc>
      </w:tr>
    </w:tbl>
    <w:p>
      <w:pPr>
        <w:spacing w:after="200" w:line="276"/>
      </w:pPr>
      <w:r>
        <w:rPr>
          <w:i/>
          <w:iCs/>
          <w:color w:val="5A6069"/>
          <w:sz w:val="16"/>
          <w:szCs w:val="16"/>
        </w:rPr>
        <w:t xml:space="preserve">The crossover study behind the GLP-1 receptor figures recruited 52 consecutive patients and analysed the 38 who reached surgery with conclusive histology, with all comparisons against PET at p&lt;0.01 except SPECT against study MRI; it changed surgical planning in 42.3% of previously negative or inconclusive patients and reader agreement was 89.5%. Read those numbers with their verification bias: the 14 enrolled patients absent from the denominator are absent precisely because imaging was negative or discordant or surgery was declined, the PET showed a suspicious lesion in only 78.8% of all 52, inclusion required a pathological fasting test so specificity and negative predictive value cannot be estimated, and the 40% figure for prior external imaging reflects why these patients were referred rather than how those tests perform. GLP-1 receptor expression falls to 36% in malignant insulinoma, where 73% express somatostatin receptor 2 instead. ENETS recommends GLP-1 receptor imaging or arterial stimulation testing when contrast CT or MRI and EUS are negative; the tracer is not licensed for routine clinical use. Two cautions on the receptor PET: physiological pancreatic uptake occurs in a large proportion of patients, with substantial SUV overlap in the head and uncinate process, so pancreatic uptake needs a pancreas-protocol CT before it means anything; and the scan cannot distinguish a splenule from a small tumour. One caution on exendin tracers: physiological uptake in duodenal Brunner's glands is always present and can be mistaken for an insulinoma. The reason the insulinoma row matters clinically is drug safety - a somatostatin analogue given to a receptor-negative insulinoma can precipitously worsen hypoglycaemia, with fatal complications reported.</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The 2 cm threshold is an operating convention that has hardened into a biological claim, and the full-text read makes that worse rather than better. This page uses it as the point at which the conversation changes, not as a boundary between benign and malignant.</w:t>
      </w:r>
    </w:p>
    <w:p>
      <w:pPr>
        <w:spacing w:after="40" w:line="276"/>
        <w:ind w:left="260"/>
      </w:pPr>
      <w:r>
        <w:rPr>
          <w:color w:val="15181F"/>
          <w:sz w:val="18"/>
          <w:szCs w:val="18"/>
        </w:rPr>
        <w:t xml:space="preserve">Grade C at best and arguably D. No study randomises observation against resection at this size, none is powered for disease-specific survival, not one of the three cohorts behind the threshold performs any comparison between the two strategies, and the longest prospective follow-up is 25 months in a disease whose recurrences arrive at a median of 4 to 7 years. The only systematic comparison that exists anywhere - 37 studies, 1,814 patients, run for the 2025 MEN1 recommendations - found no difference in metastasis or mortality between surgery and surveillance for lesions of 2 cm or less, at low to very low GRADE certainty. A receiver-operating-characteristic analysis of 5,172 SEER patients put the optimal cutoff for a composite aggressiveness outcome at 2.50 cm with 63% specificity, and in the same dataset 1-2 cm against 1 cm or less was not prognostic for survival at all. Meanwhile 4 of 500 ASPEN patients (0.8%) with tumours of 2 cm or less had distant metastases at diagnosis. The number is defensible as a trigger for a discussion and indefensible as a statement about biology.</w:t>
      </w:r>
    </w:p>
    <w:p>
      <w:pPr>
        <w:spacing w:after="60" w:before="160"/>
      </w:pPr>
      <w:r>
        <w:rPr>
          <w:b/>
          <w:bCs/>
          <w:color w:val="8E5008"/>
          <w:sz w:val="19"/>
          <w:szCs w:val="19"/>
        </w:rPr>
        <w:t xml:space="preserve">2. </w:t>
      </w:r>
      <w:r>
        <w:rPr>
          <w:b/>
          <w:bCs/>
          <w:sz w:val="19"/>
          <w:szCs w:val="19"/>
        </w:rPr>
        <w:t xml:space="preserve">The paper most often cited for the 2 cm threshold never tested it.</w:t>
      </w:r>
    </w:p>
    <w:p>
      <w:pPr>
        <w:spacing w:after="40" w:line="276"/>
        <w:ind w:left="260"/>
      </w:pPr>
      <w:r>
        <w:rPr>
          <w:color w:val="15181F"/>
          <w:sz w:val="18"/>
          <w:szCs w:val="18"/>
        </w:rPr>
        <w:t xml:space="preserve">Sadot 2016's inclusion band was 3 cm or less, not 2 cm, and in practice median lesion size was 1.2 cm in the observed group and 1.4 cm in the resected with 87% T1 - so its evidence concerns tumours of about a centimetre and it is silent about the 2-3 cm range it nominally covers. Three further features change what it can be cited for. Twenty-six of 104 observed patients (25%) had an operation and remain in the observation arm by intention to treat, so part of that arm's clean oncological record was purchased with the surgery the paper argues can be avoided. The patients genuinely never operated were followed a median of 33 months against a median time to recurrence of 5.1 years in the resected arm, so the arm was not watched long enough to experience the event reported as absent. And the metastasis-free survival advantage for observation, 99% against 88%, p=0.01, is an artefact of the endpoint rather than a finding - a resected patient can be recorded as recurring and an unresected patient with stable imaging cannot - and it disappears in the observation-only comparison (p=0.08). Fifty-one per cent of observed tumours did grow; the unchanged median size of 1.2 cm conceals that 53 grew, 19 were static and 32 shrank. Thirty-five per cent of the observation group never had tissue at all.</w:t>
      </w:r>
    </w:p>
    <w:p>
      <w:pPr>
        <w:spacing w:after="60" w:before="160"/>
      </w:pPr>
      <w:r>
        <w:rPr>
          <w:b/>
          <w:bCs/>
          <w:color w:val="8E5008"/>
          <w:sz w:val="19"/>
          <w:szCs w:val="19"/>
        </w:rPr>
        <w:t xml:space="preserve">3. </w:t>
      </w:r>
      <w:r>
        <w:rPr>
          <w:b/>
          <w:bCs/>
          <w:sz w:val="19"/>
          <w:szCs w:val="19"/>
        </w:rPr>
        <w:t xml:space="preserve">ASPEN's 20% rate of aggressive histology, which this page used as the counterweight to a flat 2 cm rule, cannot describe the patients who were watched.</w:t>
      </w:r>
    </w:p>
    <w:p>
      <w:pPr>
        <w:spacing w:after="40" w:line="276"/>
        <w:ind w:left="260"/>
      </w:pPr>
      <w:r>
        <w:rPr>
          <w:color w:val="15181F"/>
          <w:sz w:val="18"/>
          <w:szCs w:val="18"/>
        </w:rPr>
        <w:t xml:space="preserve">The figure is 19 of 94 - and those 94 are the resected patients, a denominator selected by radiological size over 10 mm (OR 1.9), a main pancreatic duct over 3 mm (OR 3.4), age 64 or under (OR 2.5), enrolment at a surgical centre (OR 2.0) and a HADS anxiety score of 4-6 (OR 2.0). It is the prevalence of aggressive biology among people chosen for an operation, not among sub-2 cm lesions, and certainly not among the 406 who were surveilled. The surveillance arm has no histological characterisation at all: a third of patients never had an aspirate and grade was not evaluable in a quarter of those who did. Follow-up was 25 months, crossover 2%, allocation was by the referring centre, and the paper performed no comparison between the two strategies. Its metastasis rate is printed as 0.08 per cent when 4 of 500 is 0.8 per cent, a tenfold understatement of its own safety signal that remains uncorrected. ASPEN was funded by ENETS, whose surveillance recommendation is the hypothesis under test, and senior authors wrote that recommendation. It is the best prospective evidence in this disease and it still cannot answer the question.</w:t>
      </w:r>
    </w:p>
    <w:p>
      <w:pPr>
        <w:spacing w:after="60" w:before="160"/>
      </w:pPr>
      <w:r>
        <w:rPr>
          <w:b/>
          <w:bCs/>
          <w:color w:val="8E5008"/>
          <w:sz w:val="19"/>
          <w:szCs w:val="19"/>
        </w:rPr>
        <w:t xml:space="preserve">4. </w:t>
      </w:r>
      <w:r>
        <w:rPr>
          <w:b/>
          <w:bCs/>
          <w:sz w:val="19"/>
          <w:szCs w:val="19"/>
        </w:rPr>
        <w:t xml:space="preserve">PANDORA did not test the protocol it is cited for.</w:t>
      </w:r>
    </w:p>
    <w:p>
      <w:pPr>
        <w:spacing w:after="40" w:line="276"/>
        <w:ind w:left="260"/>
      </w:pPr>
      <w:r>
        <w:rPr>
          <w:color w:val="15181F"/>
          <w:sz w:val="18"/>
          <w:szCs w:val="18"/>
        </w:rPr>
        <w:t xml:space="preserve">Six of the eight patients who met the study's own criterion for resection - growth beyond 0.5 cm per year - refused the operation and continued watchful waiting, so the cohort's benign course reflects patient choice rather than a protocol that was followed and held. Adherence failed elsewhere too: only 17 of 76 (22%) had the scheduled 3-month endoscopic ultrasound, 19 (25%) were enrolled on a single imaging modality against a protocol requiring two, and 28% and 15% had no imaging at all at 6 and 12 months, so progression could have been missed rather than absent. Eligibility excluded patients whose lesion already looked malignant, which is exactly the population whose risk decides whether waiting is safe. Seventy-six patients at a median of 17 months cannot support a statement about oncological safety, and the single most informative event in the study cuts against it: a lesion that grew from 1.8 to 2.6 cm proved at operation to be a 2.0 cm tumour with two positive nodes and peritoneal metastasis. One resected lesion was not a neuroendocrine tumour at all.</w:t>
      </w:r>
    </w:p>
    <w:p>
      <w:pPr>
        <w:spacing w:after="60" w:before="160"/>
      </w:pPr>
      <w:r>
        <w:rPr>
          <w:b/>
          <w:bCs/>
          <w:color w:val="8E5008"/>
          <w:sz w:val="19"/>
          <w:szCs w:val="19"/>
        </w:rPr>
        <w:t xml:space="preserve">5. </w:t>
      </w:r>
      <w:r>
        <w:rPr>
          <w:b/>
          <w:bCs/>
          <w:sz w:val="19"/>
          <w:szCs w:val="19"/>
        </w:rPr>
        <w:t xml:space="preserve">The nodal-risk literature that justifies operating on small tumours is entirely a resected-population literature, and that is a structural defect rather than a caveat.</w:t>
      </w:r>
    </w:p>
    <w:p>
      <w:pPr>
        <w:spacing w:after="40" w:line="276"/>
        <w:ind w:left="260"/>
      </w:pPr>
      <w:r>
        <w:rPr>
          <w:color w:val="15181F"/>
          <w:sz w:val="18"/>
          <w:szCs w:val="18"/>
        </w:rPr>
        <w:t xml:space="preserve">Every figure this page quotes for nodal metastasis below 2 cm comes from a cohort in which every patient was operated. Hashim's 136 patients were drawn from a surgical database at a unit that states its own institutional bias toward complete oncological resection, and the authors acknowledge that patients selected for observation were not included before drawing a management conclusion from the dataset anyway; its claim that no preoperative variable defines a low-risk group is therefore generated from a population in which the low-risk tail is structurally absent, and its headline 12% rate in tumours of 1 cm or less is 2 of 17 patients. Zheng-Pywell's racial comparison and Makris's imaging-feature analysis share the same design, and Makris's authors concede they cannot even identify which patients were managed non-operatively. The National Cancer Data Base, which supplies the 29% nodal and 10% distant rates, records only tumours assigned a malignant behaviour code and so removes precisely the indolent lesions a surveillance policy concerns. There is no cohort anywhere that reports nodal status in unoperated small tumours, because obtaining it requires the operation under debate. This page therefore cannot state a nodal risk for the patient in front of you, and should not pretend to.</w:t>
      </w:r>
    </w:p>
    <w:p>
      <w:pPr>
        <w:spacing w:after="60" w:before="160"/>
      </w:pPr>
      <w:r>
        <w:rPr>
          <w:b/>
          <w:bCs/>
          <w:color w:val="8E5008"/>
          <w:sz w:val="19"/>
          <w:szCs w:val="19"/>
        </w:rPr>
        <w:t xml:space="preserve">6. </w:t>
      </w:r>
      <w:r>
        <w:rPr>
          <w:b/>
          <w:bCs/>
          <w:sz w:val="19"/>
          <w:szCs w:val="19"/>
        </w:rPr>
        <w:t xml:space="preserve">The ENETS position on the 1-2 cm band was mis-stated in the first draft of this page, and the correction matters.</w:t>
      </w:r>
    </w:p>
    <w:p>
      <w:pPr>
        <w:spacing w:after="40" w:line="276"/>
        <w:ind w:left="260"/>
      </w:pPr>
      <w:r>
        <w:rPr>
          <w:color w:val="15181F"/>
          <w:sz w:val="18"/>
          <w:szCs w:val="18"/>
        </w:rPr>
        <w:t xml:space="preserve">The ENETS 2023 nonfunctioning pancreatic NET guidance was available only as its abstract when this page was drafted, and the position was taken from how NANETS and the ASPEN investigators report it: observation considered for lesions no larger than 2 cm. The full text, read on 7 October 2026, says something different and narrower. ENETS recommends active surveillance for an asymptomatic tumour of 1 cm or less without main pancreatic duct dilation; it personalises the band above 1 cm up to 2 cm to the resection that would be required and the patient's comorbidities, with no decision rule offered; and it strongly recommends surgery for any nonfunctioning tumour larger than 2 cm or with main duct dilation. All three carry level 3 evidence and grade B, and the strongest wording in the document is reserved for the threshold above which it operates. So the three guidelines are closer together at 1 cm and further apart above it than this page previously said, and the 1-2 cm band is handed back to the clinician by all three.</w:t>
      </w:r>
    </w:p>
    <w:p>
      <w:pPr>
        <w:spacing w:after="60" w:before="160"/>
      </w:pPr>
      <w:r>
        <w:rPr>
          <w:b/>
          <w:bCs/>
          <w:color w:val="8E5008"/>
          <w:sz w:val="19"/>
          <w:szCs w:val="19"/>
        </w:rPr>
        <w:t xml:space="preserve">7. </w:t>
      </w:r>
      <w:r>
        <w:rPr>
          <w:b/>
          <w:bCs/>
          <w:sz w:val="19"/>
          <w:szCs w:val="19"/>
        </w:rPr>
        <w:t xml:space="preserve">A dilated main pancreatic duct is treated here as a strong reason to resect a small nonfunctional tumour, and the supporting data are weaker than that posture implies.</w:t>
      </w:r>
    </w:p>
    <w:p>
      <w:pPr>
        <w:spacing w:after="40" w:line="276"/>
        <w:ind w:left="260"/>
      </w:pPr>
      <w:r>
        <w:rPr>
          <w:color w:val="15181F"/>
          <w:sz w:val="18"/>
          <w:szCs w:val="18"/>
        </w:rPr>
        <w:t xml:space="preserve">This follows the ASPEN authors and ENETS rather than NCCN, which does not list duct dilatation as a resection trigger anywhere in its algorithm. ASPEN's authors state that surgery is always mandatory with a dilated duct, and ENETS strongly recommends it - but the underlying observation is association, not outcome: a duct above 3 mm was independently associated with the decision to operate (OR 3.4, p&lt;0.001), and duct dilatation was the stated indication in 11 of 94 operations. The histological evidence is thinner than it reads. Of the 19 resected tumours with an aggressive feature, 17 were radiologically over 10 mm and the remaining 2 had a dilated duct - but only 5 of the 19 had a radiological duct over 3 mm at all. So duct dilatation identified the two aggressive sub-centimetre lesions and most aggressive lesions did not have it. Grade D as a rule, and it needs ratification. See approval 2.</w:t>
      </w:r>
    </w:p>
    <w:p>
      <w:pPr>
        <w:spacing w:after="60" w:before="160"/>
      </w:pPr>
      <w:r>
        <w:rPr>
          <w:b/>
          <w:bCs/>
          <w:color w:val="8E5008"/>
          <w:sz w:val="19"/>
          <w:szCs w:val="19"/>
        </w:rPr>
        <w:t xml:space="preserve">8. </w:t>
      </w:r>
      <w:r>
        <w:rPr>
          <w:b/>
          <w:bCs/>
          <w:sz w:val="19"/>
          <w:szCs w:val="19"/>
        </w:rPr>
        <w:t xml:space="preserve">Whether the size threshold should differ by race is unresolved, and the full-text read makes the evidence thinner rather than stronger.</w:t>
      </w:r>
    </w:p>
    <w:p>
      <w:pPr>
        <w:spacing w:after="40" w:line="276"/>
        <w:ind w:left="260"/>
      </w:pPr>
      <w:r>
        <w:rPr>
          <w:color w:val="15181F"/>
          <w:sz w:val="18"/>
          <w:szCs w:val="18"/>
        </w:rPr>
        <w:t xml:space="preserve">The signal is real and worth taking seriously: nodal metastasis below 2 cm was 7 of 30 (23%) in Black patients against 8 of 151 (5%) in white patients in the study group cohort and 54 of 258 (21%) against 188 of 1,596 (12%) in the national database, both p&lt;0.01, with no difference in any larger band, and tumour size predicted nodal metastasis in white patients only. But the policy-relevant cell is 7 of 30, the sub-1 cm claim is 2 of 8 and it fails to replicate in the validation cohort (10% against 9%, p=0.66) - which the paper reports and then does not let alter its conclusion. The two datasets overlap institutionally, so the validation partly re-analyses the same patients. Every patient in both was resected with nodes removed. Grade was excluded from one dataset and is unavailable in the other, so the difference may track grade. Race was recorded administratively with no measure of insurance, income, referral delay or access to imaging, any of which would produce the same association, and the group's own earlier finding that node-negative Black patients had better recurrence-free survival is quoted in the discussion and left unreconciled. Six size strata across two datasets with no correction for multiple comparisons. It is strong enough to require a local position and an annual audit, and not strong enough for this page to state one. See approval 3.</w:t>
      </w:r>
    </w:p>
    <w:p>
      <w:pPr>
        <w:spacing w:after="60" w:before="160"/>
      </w:pPr>
      <w:r>
        <w:rPr>
          <w:b/>
          <w:bCs/>
          <w:color w:val="8E5008"/>
          <w:sz w:val="19"/>
          <w:szCs w:val="19"/>
        </w:rPr>
        <w:t xml:space="preserve">9. </w:t>
      </w:r>
      <w:r>
        <w:rPr>
          <w:b/>
          <w:bCs/>
          <w:sz w:val="19"/>
          <w:szCs w:val="19"/>
        </w:rPr>
        <w:t xml:space="preserve">Lymphadenectomy is done here to stage the patient and to make the next decision possible, not because it has been shown to treat the disease - and the 11-to-15 node target is not this disease's number.</w:t>
      </w:r>
    </w:p>
    <w:p>
      <w:pPr>
        <w:spacing w:after="40" w:line="276"/>
        <w:ind w:left="260"/>
      </w:pPr>
      <w:r>
        <w:rPr>
          <w:color w:val="15181F"/>
          <w:sz w:val="18"/>
          <w:szCs w:val="18"/>
        </w:rPr>
        <w:t xml:space="preserve">Grade C for the prognostic value of nodal status and grade D for the act and for the count. The 11-to-15 figure is derived from the yield of finding a positive node rather than from any outcome, is borrowed from the pancreatic adenocarcinoma literature, and the primary study behind it is not in this page's full-text depot; NANETS itself states there is no universally accepted minimum node number for prognostication here, and ENETS draws the line at 3 cm instead. In the National Cancer Data Base analysis of tumours of 2 cm or less, adding a lymphadenectomy made no difference to 2-year or 5-year survival - though nodes examined differed systematically by operation (63% of partial pancreatectomies against 89% of pancreatoduodenectomies), so that comparison is between groups with different staging completeness and is uninformative either way. And in the 136-patient cohort read in full, nodal status predicted disease-free survival strongly (median 4.5 against 14.6 years) while overall survival did not reach significance (log-rank 0.1), and multivariable analysis identified no independent predictor of nodal metastasis at all.</w:t>
      </w:r>
    </w:p>
    <w:p>
      <w:pPr>
        <w:spacing w:after="60" w:before="160"/>
      </w:pPr>
      <w:r>
        <w:rPr>
          <w:b/>
          <w:bCs/>
          <w:color w:val="8E5008"/>
          <w:sz w:val="19"/>
          <w:szCs w:val="19"/>
        </w:rPr>
        <w:t xml:space="preserve">10. </w:t>
      </w:r>
      <w:r>
        <w:rPr>
          <w:b/>
          <w:bCs/>
          <w:sz w:val="19"/>
          <w:szCs w:val="19"/>
        </w:rPr>
        <w:t xml:space="preserve">The surveillance intervals on this page are consensus throughout, the same intervals are applied to an observed tumour as to a resected one because NCCN says to, and the three consensus sources contradict each other.</w:t>
      </w:r>
    </w:p>
    <w:p>
      <w:pPr>
        <w:spacing w:after="40" w:line="276"/>
        <w:ind w:left="260"/>
      </w:pPr>
      <w:r>
        <w:rPr>
          <w:color w:val="15181F"/>
          <w:sz w:val="18"/>
          <w:szCs w:val="18"/>
        </w:rPr>
        <w:t xml:space="preserve">Grade D. No trial compares surveillance schedules in this disease. NCCN starts at 12 weeks to 12 months and runs to 10 years. ENETS 2023 starts at 3 to 6 months and runs past 10 to a stated expectation of at least 20 years and possibly lifelong, at level 5 evidence graded B. The RAND/UCLA follow-up recommendations - the source this page borrows its structure from - deliberately de-intensify the first three years to yearly imaging and extend past ten, and exempt a grade 1, node-negative pancreatic tumour under 2 cm from any follow-up at all. That exemption rests on a 22-member panel at a 75% agreement threshold, in a dataset whose cumulative recurrence was 33.5% at 5 years and 48.5% at 10 and whose median time to pancreatic recurrence was 7.2 years, and node-negative in a small tumour usually means few or no nodes were removed. This page does not adopt it, but it cannot claim its intervals are evidence-based when the paper it borrows from says something else. The safety case for observation rests entirely on detecting growth, and the interval that detects it has never been determined empirically. See approval 13.</w:t>
      </w:r>
    </w:p>
    <w:p>
      <w:pPr>
        <w:spacing w:after="60" w:before="160"/>
      </w:pPr>
      <w:r>
        <w:rPr>
          <w:b/>
          <w:bCs/>
          <w:color w:val="8E5008"/>
          <w:sz w:val="19"/>
          <w:szCs w:val="19"/>
        </w:rPr>
        <w:t xml:space="preserve">11. </w:t>
      </w:r>
      <w:r>
        <w:rPr>
          <w:b/>
          <w:bCs/>
          <w:sz w:val="19"/>
          <w:szCs w:val="19"/>
        </w:rPr>
        <w:t xml:space="preserve">No growth threshold in use has been derived, and the two in circulation disagree by a factor of five.</w:t>
      </w:r>
    </w:p>
    <w:p>
      <w:pPr>
        <w:spacing w:after="40" w:line="276"/>
        <w:ind w:left="260"/>
      </w:pPr>
      <w:r>
        <w:rPr>
          <w:color w:val="15181F"/>
          <w:sz w:val="18"/>
          <w:szCs w:val="18"/>
        </w:rPr>
        <w:t xml:space="preserve">PANDORA used more than 0.5 cm per year; the 2025 MEN1 recommendations use under 1 mm per year as the point at which the interval can be lengthened, at 92% panel agreement. Neither has a cited derivation. One millimetre a year lies below the measurement reproducibility of serial cross-sectional imaging of a small pancreatic lesion across different scanners and readers, so it will manufacture both false stability and false progression. Half a centimetre a year is no better founded: the 8 PANDORA patients who met it had a mean size at last follow-up of still only 1.2 cm, and only 2 ever crossed 2.0 cm, so the threshold was detecting measurement variation as much as growth. Meanwhile growth was the stated indication for surgery in only 4 of 406 ASPEN surveillance patients, against patient and centre preference in 79 of 94 operations. The programme has to pick a threshold and a measurement convention and write both down, and then say plainly that neither is derived. See approval 12.</w:t>
      </w:r>
    </w:p>
    <w:p>
      <w:pPr>
        <w:spacing w:after="60" w:before="160"/>
      </w:pPr>
      <w:r>
        <w:rPr>
          <w:b/>
          <w:bCs/>
          <w:color w:val="8E5008"/>
          <w:sz w:val="19"/>
          <w:szCs w:val="19"/>
        </w:rPr>
        <w:t xml:space="preserve">12. </w:t>
      </w:r>
      <w:r>
        <w:rPr>
          <w:b/>
          <w:bCs/>
          <w:sz w:val="19"/>
          <w:szCs w:val="19"/>
        </w:rPr>
        <w:t xml:space="preserve">Enucleation is offered as a parenchyma-sparing alternative on the strength of pooled retrospective comparisons in which the enucleable tumours were, by definition, the favourable ones.</w:t>
      </w:r>
    </w:p>
    <w:p>
      <w:pPr>
        <w:spacing w:after="40" w:line="276"/>
        <w:ind w:left="260"/>
      </w:pPr>
      <w:r>
        <w:rPr>
          <w:color w:val="15181F"/>
          <w:sz w:val="18"/>
          <w:szCs w:val="18"/>
        </w:rPr>
        <w:t xml:space="preserve">Grade C. All 22 studies in the meta-analysis were non-randomised and observational, mean methodological quality was 13 of a possible 27, and only one of the 22 reported information on principal confounders - so the random-effects pooling is combining uncontrolled comparisons. The review concedes it cannot tell whether the standard-resection patients were ever enucleation candidates, which makes part of every difference in blood loss, operating time and pancreatic insufficiency an artefact of lesion size and position. Indications pooled insulinoma, non-functioning tumours, serous and mucinous cystadenoma, IPMN and chronic pancreatitis, so no result is specific to a neuroendocrine tumour. The functional advantages are consistent and plausible (endocrine risk difference -0.08, exocrine -0.17, the latter with I-squared 86%); the fistula excess is real (OR 2.09, 1.41-3.11) and disappeared only in four studies doing more than 20 enucleations in total and more than 4 a year - a volume threshold the review's own authors defined and inserted into their quality checklist, which makes the least pre-specified analysis the one carried into the conclusion. And the question a surveillance pathway actually needs, whether enucleation without lymphadenectomy is oncologically adequate, is the one the review states it cannot address. Local annual volume has not been set and needs to be. See approval 5.</w:t>
      </w:r>
    </w:p>
    <w:p>
      <w:pPr>
        <w:spacing w:after="60" w:before="160"/>
      </w:pPr>
      <w:r>
        <w:rPr>
          <w:b/>
          <w:bCs/>
          <w:color w:val="8E5008"/>
          <w:sz w:val="19"/>
          <w:szCs w:val="19"/>
        </w:rPr>
        <w:t xml:space="preserve">13. </w:t>
      </w:r>
      <w:r>
        <w:rPr>
          <w:b/>
          <w:bCs/>
          <w:sz w:val="19"/>
          <w:szCs w:val="19"/>
        </w:rPr>
        <w:t xml:space="preserve">Grade from a needle biopsy is treated as a floor rather than a fact, and observation decisions are made on it anyway.</w:t>
      </w:r>
    </w:p>
    <w:p>
      <w:pPr>
        <w:spacing w:after="40" w:line="276"/>
        <w:ind w:left="260"/>
      </w:pPr>
      <w:r>
        <w:rPr>
          <w:color w:val="15181F"/>
          <w:sz w:val="18"/>
          <w:szCs w:val="18"/>
        </w:rPr>
        <w:t xml:space="preserve">Mechanistically sound and uncomfortable, and the primary study is worse than the page previously implied. The paper's title advertises high reproducibility, which is true only of two readers scoring the same slide (r-squared 0.93 and 0.94); the clinically relevant comparison, cytological against histological grade, returned a kappa of 0.21 (p=0.09), rising only to 0.24 when at least 200 cells were counted and no better at a 5% cut-off, and 10 of 14 histological G2 tumours (71%) were called cytological G1 with histological Ki-67 averaging 1.3 times the cytological value. NANETS reports agreement under 50% for G2 and G3 and areas with Ki-67 of 2% or less common within G2 tumours; the only prospective core-biopsy study enrolled 30 patients and is not in this depot. The survival separation that makes cytological grade look useful is carried by 4 cytological G3 patients, all of whom were locally advanced, node-positive or metastatic at diagnosis, and the concordance analysis could only include resected tumours - so nothing in it describes the small lesions actually being watched. We are observing some tumours whose true grade is higher than the number in the chart, and no study quantifies how often or with what consequence.</w:t>
      </w:r>
    </w:p>
    <w:p>
      <w:pPr>
        <w:spacing w:after="60" w:before="160"/>
      </w:pPr>
      <w:r>
        <w:rPr>
          <w:b/>
          <w:bCs/>
          <w:color w:val="8E5008"/>
          <w:sz w:val="19"/>
          <w:szCs w:val="19"/>
        </w:rPr>
        <w:t xml:space="preserve">14. </w:t>
      </w:r>
      <w:r>
        <w:rPr>
          <w:b/>
          <w:bCs/>
          <w:sz w:val="19"/>
          <w:szCs w:val="19"/>
        </w:rPr>
        <w:t xml:space="preserve">Whether to obtain tissue at all before choosing surveillance is a live guideline disagreement that this page does not settle.</w:t>
      </w:r>
    </w:p>
    <w:p>
      <w:pPr>
        <w:spacing w:after="40" w:line="276"/>
        <w:ind w:left="260"/>
      </w:pPr>
      <w:r>
        <w:rPr>
          <w:color w:val="15181F"/>
          <w:sz w:val="18"/>
          <w:szCs w:val="18"/>
        </w:rPr>
        <w:t xml:space="preserve">NANETS says biopsy is not routinely necessary to confirm the diagnosis before deciding to observe an asymptomatic sub-centimetre lesion with a characteristic imaging phenotype. ENETS 2023, read in full, says a suspected nonfunctioning tumour under 2 cm with positive somatostatin-receptor imaging should be confirmed histologically or cytologically where possible (level 3, grade B), and separately flags DAXX and ATRX loss and alternative lengthening of telomeres as independent adverse prognostic factors particularly in tumours of 2 cm or less - which is an argument for tissue. The 2025 MEN1 recommendations find no role for routine EUS-guided biopsy in that syndrome. Three positions, no outcome data separating them, and a real cost either way: a biopsy that under-grades by 71% in G2 disease versus a surveillance programme with no histology at all, which is what two thirds of ASPEN's surveillance arm actually had. See approval 11.</w:t>
      </w:r>
    </w:p>
    <w:p>
      <w:pPr>
        <w:spacing w:after="60" w:before="160"/>
      </w:pPr>
      <w:r>
        <w:rPr>
          <w:b/>
          <w:bCs/>
          <w:color w:val="8E5008"/>
          <w:sz w:val="19"/>
          <w:szCs w:val="19"/>
        </w:rPr>
        <w:t xml:space="preserve">15. </w:t>
      </w:r>
      <w:r>
        <w:rPr>
          <w:b/>
          <w:bCs/>
          <w:sz w:val="19"/>
          <w:szCs w:val="19"/>
        </w:rPr>
        <w:t xml:space="preserve">What to do with a receptor-positive, FDG-positive localised primary in a patient whose biopsy says G1 or G2 is not covered by any guideline, and is currently decided case by case.</w:t>
      </w:r>
    </w:p>
    <w:p>
      <w:pPr>
        <w:spacing w:after="40" w:line="276"/>
        <w:ind w:left="260"/>
      </w:pPr>
      <w:r>
        <w:rPr>
          <w:color w:val="15181F"/>
          <w:sz w:val="18"/>
          <w:szCs w:val="18"/>
        </w:rPr>
        <w:t xml:space="preserve">The combined-PET score is now better supported and still inapplicable here. In the 319-patient three-centre cohort it independently predicted overall survival (HR 2.376, 1.682-3.357, p&lt;0.001) and time to progression, with inter-rater kappa 0.8 - but histological grade was independently prognostic alongside it (HR 1.615, 1.192-2.187, p=0.002), so the claim in the first draft that the score outperformed pathological grading holds only in the 62-patient derivation cohort where grade was non-significant and no multivariable model was fitted. Both cohorts were metastatic or unresectable disease; only 39% and 36% of patients had pancreatic primaries and neither paper reports a pancreatic subgroup; two of the three validation centres supplied the derivation data; and treatment was not modelled, which matters because receptor-positive, FDG-negative disease is the eligibility criterion for radionuclide therapy. The 5-point scale has never been validated level by level and carries no treatment threshold. The SNMMI/EANM standard says FDG positivity predicts progression more strongly than grade and that the combination can direct a biopsy to the worst lesion, and stops there. Applying any of it to a 1.5 cm primary is an extrapolation with no outcome data behind it either way.</w:t>
      </w:r>
    </w:p>
    <w:p>
      <w:pPr>
        <w:spacing w:after="60" w:before="160"/>
      </w:pPr>
      <w:r>
        <w:rPr>
          <w:b/>
          <w:bCs/>
          <w:color w:val="8E5008"/>
          <w:sz w:val="19"/>
          <w:szCs w:val="19"/>
        </w:rPr>
        <w:t xml:space="preserve">16. </w:t>
      </w:r>
      <w:r>
        <w:rPr>
          <w:b/>
          <w:bCs/>
          <w:sz w:val="19"/>
          <w:szCs w:val="19"/>
        </w:rPr>
        <w:t xml:space="preserve">Non-localised sporadic gastrinoma is left unsettled on this page, with the two guideline positions stated side by side.</w:t>
      </w:r>
    </w:p>
    <w:p>
      <w:pPr>
        <w:spacing w:after="40" w:line="276"/>
        <w:ind w:left="260"/>
      </w:pPr>
      <w:r>
        <w:rPr>
          <w:color w:val="15181F"/>
          <w:sz w:val="18"/>
          <w:szCs w:val="18"/>
        </w:rPr>
        <w:t xml:space="preserve">NCCN offers observation or exploration with duodenotomy, intraoperative ultrasound and periduodenal node dissection; NANETS 2020 recommends against routine exploration and asks for referral to a centre with expertise. Norton's comparison remains the strongest datum and the full-text read sharpens what is wrong with it: 160 operated against 35 who met the same criteria but did not have surgery - 19 because they refused after consulting their own physician, 10 because MEN1 with no lesion above 2.5 cm, 5 for comorbidity - with liver metastases 5% against 29% (p=0.0002) and 15-year disease-related survival 98% against 74%. The surgical arm's disease-related figure rests on 2 deaths with no confidence interval for the ratio; non-disease mortality was numerically higher in the controls (31% against 20%), the expected signature of a sicker comparison group, reported as non-significant and not interpreted; cause of death was adjudicated unblinded by the operating investigators in a study whose endpoint is cause-specific; the controls were imaged every 6 to 12 months against yearly evaluation of the operated patients, so ascertainment differed by arm; and accrual spans 1980 to the mid-2000s during which the operation itself changed, with all 10 patients in whom no tumour was found operated before routine duodenotomy. Almost every primary was duodenal or nodal. NANETS' counter-argument - that the supporting surgical data predate modern imaging and that the tumours found at exploration were the prognostically best ones - is unrefuted. This needs a named local position and a named referral centre, not a case-by-case improvisation. See approval 4.</w:t>
      </w:r>
    </w:p>
    <w:p>
      <w:pPr>
        <w:spacing w:after="60" w:before="160"/>
      </w:pPr>
      <w:r>
        <w:rPr>
          <w:b/>
          <w:bCs/>
          <w:color w:val="8E5008"/>
          <w:sz w:val="19"/>
          <w:szCs w:val="19"/>
        </w:rPr>
        <w:t xml:space="preserve">17. </w:t>
      </w:r>
      <w:r>
        <w:rPr>
          <w:b/>
          <w:bCs/>
          <w:sz w:val="19"/>
          <w:szCs w:val="19"/>
        </w:rPr>
        <w:t xml:space="preserve">The hereditary-syndrome thresholds on this page are tautologies of their own derivation, and both were downgraded on the full-text read.</w:t>
      </w:r>
    </w:p>
    <w:p>
      <w:pPr>
        <w:spacing w:after="40" w:line="276"/>
        <w:ind w:left="260"/>
      </w:pPr>
      <w:r>
        <w:rPr>
          <w:color w:val="15181F"/>
          <w:sz w:val="18"/>
          <w:szCs w:val="18"/>
        </w:rPr>
        <w:t xml:space="preserve">Grade D for both. The MEN1 20 mm line rests on a metastasis gradient whose two lowest strata are 1 of 25 and 4 of 40 patients with entirely overlapping confidence intervals, metastasis defined on imaging in 60% of cases in a paper that itself cites evidence that a quarter of radiographically node-negative MEN1 patients have occult metastases at operation, and a mean follow-up of 4.3 years in a disease whose victims died at a mean age of 43; the same paper's comparison of 32 curatively operated against 66 unoperated patients found no difference in metastasis, tumour death or progression, which is an underpowered null rather than equivalence. The VHL rule was derived from 9 metastatic events and then declared to capture all 9, so its perfect sensitivity is a property of the derivation; doubling time was computable in all 9 of those patients but only 54 of 99 without metastases, and patients with growing lesions are imaged more often, so the exposure and the ability to measure it are entangled; 69 of the 108 lesions were never resected and rest on imaging appearance alone, which the senior author conceded could include microcystic adenomas; the 3 cm cut point was carried over from the group's own prior work and a discussant's question about 1 and 2 cm was answered by saying the analysis had not been done; and no Ki-67 or grade datum exists anywhere in the series. Both thresholds are probably right in direction. Neither was derived.</w:t>
      </w:r>
    </w:p>
    <w:p>
      <w:pPr>
        <w:spacing w:after="60" w:before="160"/>
      </w:pPr>
      <w:r>
        <w:rPr>
          <w:b/>
          <w:bCs/>
          <w:color w:val="8E5008"/>
          <w:sz w:val="19"/>
          <w:szCs w:val="19"/>
        </w:rPr>
        <w:t xml:space="preserve">18. </w:t>
      </w:r>
      <w:r>
        <w:rPr>
          <w:b/>
          <w:bCs/>
          <w:sz w:val="19"/>
          <w:szCs w:val="19"/>
        </w:rPr>
        <w:t xml:space="preserve">Calcification is reported on this page as a reason to think again about a small lesion, and its statistical support is almost absent.</w:t>
      </w:r>
    </w:p>
    <w:p>
      <w:pPr>
        <w:spacing w:after="40" w:line="276"/>
        <w:ind w:left="260"/>
      </w:pPr>
      <w:r>
        <w:rPr>
          <w:color w:val="15181F"/>
          <w:sz w:val="18"/>
          <w:szCs w:val="18"/>
        </w:rPr>
        <w:t xml:space="preserve">Grade D. The independent hazard ratio is 11.5 with a 95% confidence interval from 1.1 to 125.0 at p=0.043, in a Cox model that also returns 25.2 and 33.0 for nodal and distant metastasis, with no event count reported anywhere - the signature of an overfitted model. Cystic morphology, presented alongside it in the abstract and conclusion as usable for stratification, was not independently prognostic at all (HR 1.6, 0.2-14.3, p=0.69). Between 28% and 29% of the cohort has no data on the two exposures and the analysis is complete-case with no imputation or sensitivity analysis; the exposures were classified from radiology report wording across eight institutions and seventeen years with no central re-read, which makes them a measure of reporting practice as much as of biology; the cystic-and-calcified cell anchoring the four-way comparison holds 16 patients; and the paper's own Table 1 is internally inconsistent, so the denominators behind its percentages cannot be reconstructed. Median follow-up was 35 months against recurrences at 4 to 7 years. The association with adverse pathology is plausible and the direction is probably right. The effect size is uninterpretable.</w:t>
      </w:r>
    </w:p>
    <w:p>
      <w:pPr>
        <w:spacing w:after="60" w:before="160"/>
      </w:pPr>
      <w:r>
        <w:rPr>
          <w:b/>
          <w:bCs/>
          <w:color w:val="8E5008"/>
          <w:sz w:val="19"/>
          <w:szCs w:val="19"/>
        </w:rPr>
        <w:t xml:space="preserve">19. </w:t>
      </w:r>
      <w:r>
        <w:rPr>
          <w:b/>
          <w:bCs/>
          <w:sz w:val="19"/>
          <w:szCs w:val="19"/>
        </w:rPr>
        <w:t xml:space="preserve">The Ki-67 55% split that NCCN uses to offer neoadjuvant therapy is not independently prognostic in the study that produced it.</w:t>
      </w:r>
    </w:p>
    <w:p>
      <w:pPr>
        <w:spacing w:after="40" w:line="276"/>
        <w:ind w:left="260"/>
      </w:pPr>
      <w:r>
        <w:rPr>
          <w:color w:val="15181F"/>
          <w:sz w:val="18"/>
          <w:szCs w:val="18"/>
        </w:rPr>
        <w:t xml:space="preserve">The cut point was derived by receiver-operating-characteristic analysis in 42 randomly selected patients within a 305-patient retrospective cohort of advanced gastrointestinal neuroendocrine carcinoma and then applied to the rest of that same cohort, with no external validation. It does separate platinum response (15% below 55% against 42% at or above, p&lt;0.001) - but median survival was longer in the lower group, not the higher (14 against 10 months, p&lt;0.001), and Ki-67 dropped out of both the full and the final multivariable models because of its strong association with primary site, a fact the abstract does not convey. Performance status, primary site, platelets and lactate dehydrogenase are what the model retained. Ki-67 was read by many pathologists in several countries with no central review and the authors say the cut-off should be interpreted with caution. Pancreatic primaries were 71 of the 305, analysed as one of seven site subgroups with no multiplicity correction. NCCN itself flags the data as limited and Ki-67 as heterogeneous within a tumour and across serial biopsies. See approval 6.</w:t>
      </w:r>
    </w:p>
    <w:p>
      <w:pPr>
        <w:spacing w:after="60" w:before="160"/>
      </w:pPr>
      <w:r>
        <w:rPr>
          <w:b/>
          <w:bCs/>
          <w:color w:val="8E5008"/>
          <w:sz w:val="19"/>
          <w:szCs w:val="19"/>
        </w:rPr>
        <w:t xml:space="preserve">20. </w:t>
      </w:r>
      <w:r>
        <w:rPr>
          <w:b/>
          <w:bCs/>
          <w:sz w:val="19"/>
          <w:szCs w:val="19"/>
        </w:rPr>
        <w:t xml:space="preserve">The sharp prognostic split between a well-differentiated G3 tumour and a poorly differentiated carcinoma softens when stage is matched, and one number on the first draft of this page was wrong.</w:t>
      </w:r>
    </w:p>
    <w:p>
      <w:pPr>
        <w:spacing w:after="40" w:line="276"/>
        <w:ind w:left="260"/>
      </w:pPr>
      <w:r>
        <w:rPr>
          <w:color w:val="15181F"/>
          <w:sz w:val="18"/>
          <w:szCs w:val="18"/>
        </w:rPr>
        <w:t xml:space="preserve">The comparator for poorly differentiated pancreatic carcinoma is 16 months, not the 11 months this page previously carried; the first draft took the figure from the abstract rather than the table. More importantly, in the stage-matched analysis restricted to stage IV, pancreatic grade 1-2 well-differentiated tumours and those with a morphologically apparent high-grade component showed no statistically significant difference in disease-specific survival, and both did far better than carcinoma (median 61 against 16 months, p&lt;0.001, hazard ratios 0.17 and 0.16) - which is the result most corrosive to the paper's own framing, and the abstract leads with the unmatched 55-against-162-month contrast instead. The clinical conclusion stands: differentiation, not Ki-67, decides whether an operation is on the table. But the 31 cases were found by searching two pathology archives for grade discrepancy, so nothing in the series estimates how often transformation happens; the genotype contrast that separates these tumours from carcinoma rests on 4 prospectively sequenced tumours against literature controls; and 6 of the 31 were biopsies in which the defining lower-grade component was inferred from clinical history rather than seen.</w:t>
      </w:r>
    </w:p>
    <w:p>
      <w:pPr>
        <w:spacing w:after="60" w:before="160"/>
      </w:pPr>
      <w:r>
        <w:rPr>
          <w:b/>
          <w:bCs/>
          <w:color w:val="8E5008"/>
          <w:sz w:val="19"/>
          <w:szCs w:val="19"/>
        </w:rPr>
        <w:t xml:space="preserve">21. </w:t>
      </w:r>
      <w:r>
        <w:rPr>
          <w:b/>
          <w:bCs/>
          <w:sz w:val="19"/>
          <w:szCs w:val="19"/>
        </w:rPr>
        <w:t xml:space="preserve">There is no adjuvant therapy here, and the page says nothing rather than offering something.</w:t>
      </w:r>
    </w:p>
    <w:p>
      <w:pPr>
        <w:spacing w:after="40" w:line="276"/>
        <w:ind w:left="260"/>
      </w:pPr>
      <w:r>
        <w:rPr>
          <w:color w:val="15181F"/>
          <w:sz w:val="18"/>
          <w:szCs w:val="18"/>
        </w:rPr>
        <w:t xml:space="preserve">This is the correct reading of the evidence and it is still hard to deliver to a node-positive G2 patient with perineural invasion whose recurrence risk is substantial. The only comparative data - propensity-matched NCDB, 301 against 301 - showed worse survival with adjuvant therapy (P=0.037) with the agents unrecorded, which is almost certainly selection rather than harm but is not a reason to treat; that analysis is quoted from the NANETS and NCCN text and is not in this page's full-text depot. The randomised trial (NCT05040360) is the right answer for the patient who wants treatment. Note also what the recurrence score can and cannot do: it is internally validated only, it is not statistically better than WHO grade alone (c-statistic 0.81 against 0.72, p=0.059), all three of its components are postoperative findings, and it was funded by a somatostatin analogue manufacturer with the explicit purpose of identifying high-risk patients for adjuvant trials.</w:t>
      </w:r>
    </w:p>
    <w:p>
      <w:pPr>
        <w:spacing w:after="60" w:before="160"/>
      </w:pPr>
      <w:r>
        <w:rPr>
          <w:b/>
          <w:bCs/>
          <w:color w:val="8E5008"/>
          <w:sz w:val="19"/>
          <w:szCs w:val="19"/>
        </w:rPr>
        <w:t xml:space="preserve">22. </w:t>
      </w:r>
      <w:r>
        <w:rPr>
          <w:b/>
          <w:bCs/>
          <w:sz w:val="19"/>
          <w:szCs w:val="19"/>
        </w:rPr>
        <w:t xml:space="preserve">Several numbers on this page are quoted from guideline text rather than from a primary paper read in full, and they are now labelled as such wherever they appear.</w:t>
      </w:r>
    </w:p>
    <w:p>
      <w:pPr>
        <w:spacing w:after="40" w:line="276"/>
        <w:ind w:left="260"/>
      </w:pPr>
      <w:r>
        <w:rPr>
          <w:color w:val="15181F"/>
          <w:sz w:val="18"/>
          <w:szCs w:val="18"/>
        </w:rPr>
        <w:t xml:space="preserve">The full-text depot read on 7 October 2026 covers 28 of the 33 indexed papers. The NANETS 2020 surgical consensus, the ENETS 2023 functioning-syndromes guidance and the ENETS 2023 digestive neuroendocrine carcinoma guidance remain the programme-supplied guideline sources rather than depot papers, and the AACE MEN1 consensus statement of March 2025 and the 2021 international consensus statement on the pancreas in MEN1 are still cited from their abstracts only - neither full text was obtained in this pass, and every numeric criterion attributed to either must be confirmed before use. Within the NANETS text specifically, the following figures carry no primary paper in this depot and should be verified against their sources before ratification: the 11-to-15 node yield; the 1,020-patient 8-centre margin series; the 310-patient and 119-patient resected high-grade series; the 326-patient nodal-survival cohort; the 999-patient and 981-patient lymphadenectomy analyses; the 63-patient and 143-patient receptor-PET follow-up series; the 44-of-107 pathology re-review; the 30-patient prospective core-biopsy study; the MD Anderson neoadjuvant series; the propensity-matched NCDB perioperative-therapy analysis; and the central-pancreatectomy insufficiency rates. Each is attributed in the body of the page where it is used.</w:t>
      </w:r>
    </w:p>
    <w:p>
      <w:pPr>
        <w:spacing w:after="60" w:before="160"/>
      </w:pPr>
      <w:r>
        <w:rPr>
          <w:b/>
          <w:bCs/>
          <w:color w:val="8E5008"/>
          <w:sz w:val="19"/>
          <w:szCs w:val="19"/>
        </w:rPr>
        <w:t xml:space="preserve">23. </w:t>
      </w:r>
      <w:r>
        <w:rPr>
          <w:b/>
          <w:bCs/>
          <w:sz w:val="19"/>
          <w:szCs w:val="19"/>
        </w:rPr>
        <w:t xml:space="preserve">The NCCN version behind this page could not be established from the extracted text, and page numbers are therefore not cited anywhere.</w:t>
      </w:r>
    </w:p>
    <w:p>
      <w:pPr>
        <w:spacing w:after="40" w:line="276"/>
        <w:ind w:left="260"/>
      </w:pPr>
      <w:r>
        <w:rPr>
          <w:color w:val="15181F"/>
          <w:sz w:val="18"/>
          <w:szCs w:val="18"/>
        </w:rPr>
        <w:t xml:space="preserve">The programme-supplied extraction carries no version string. Its most recent references date from 2025, including the MEN1 guideline of June 2025, which places it at v3.2025 or later. Every numeric criterion attributed to NCCN on this page should be confirmed against the current published PDF before the page is used clinically, and an owner should be named for that check. See approval 10.</w:t>
      </w:r>
    </w:p>
    <w:p>
      <w:pPr>
        <w:spacing w:after="60" w:before="160"/>
      </w:pPr>
      <w:r>
        <w:rPr>
          <w:b/>
          <w:bCs/>
          <w:color w:val="8E5008"/>
          <w:sz w:val="19"/>
          <w:szCs w:val="19"/>
        </w:rPr>
        <w:t xml:space="preserve">24. </w:t>
      </w:r>
      <w:r>
        <w:rPr>
          <w:b/>
          <w:bCs/>
          <w:sz w:val="19"/>
          <w:szCs w:val="19"/>
        </w:rPr>
        <w:t xml:space="preserve">The harm side of the observation-versus-resection ledger is better measured than the benefit side, and the page should be read that way.</w:t>
      </w:r>
    </w:p>
    <w:p>
      <w:pPr>
        <w:spacing w:after="40" w:line="276"/>
        <w:ind w:left="260"/>
      </w:pPr>
      <w:r>
        <w:rPr>
          <w:color w:val="15181F"/>
          <w:sz w:val="18"/>
          <w:szCs w:val="18"/>
        </w:rPr>
        <w:t xml:space="preserve">What the literature establishes with reasonable confidence is what an operation costs. Any grade 3 complication in 16 of 77 (21%) and a grade 3 leak-related complication in 13 (17%) in the matched case-control series; severe complications in 13% of ASPEN's resected patients with no deaths; major complications in 58 of 211 (27%) and grade B or C fistula in 46 (22%) in the three-centre recurrence cohort; a pancreatic fistula rate roughly doubled by enucleation; endocrine and exocrine insufficiency measurably reduced by parenchyma-sparing surgery and substantial after any formal resection; pancreatic resection morbidity up to 50% and mortality up to 3% even in high-volume centres on the ENETS figures. What the literature does not establish is any survival benefit from resecting a small tumour: no randomised comparison, no systematic difference in metastasis or mortality where it has been looked for, no independent effect of size, nodal status or margins on survival in the largest resected series, and no difference by extent of resection or by the addition of lymphadenectomy. A page that lists the harms precisely and the benefits vaguely is not biased - it is reporting the asymmetry in the evidence, and the conversation with the patient should carry the same asymmetry.</w:t>
      </w:r>
    </w:p>
    <w:p>
      <w:pPr>
        <w:spacing w:after="60" w:before="160"/>
      </w:pPr>
      <w:r>
        <w:rPr>
          <w:b/>
          <w:bCs/>
          <w:color w:val="8E5008"/>
          <w:sz w:val="19"/>
          <w:szCs w:val="19"/>
        </w:rPr>
        <w:t xml:space="preserve">25. </w:t>
      </w:r>
      <w:r>
        <w:rPr>
          <w:b/>
          <w:bCs/>
          <w:sz w:val="19"/>
          <w:szCs w:val="19"/>
        </w:rPr>
        <w:t xml:space="preserve">There is no ratified Memorial Hermann roadmap behind this page, and the second pass has not changed that.</w:t>
      </w:r>
    </w:p>
    <w:p>
      <w:pPr>
        <w:spacing w:after="40" w:line="276"/>
        <w:ind w:left="260"/>
      </w:pPr>
      <w:r>
        <w:rPr>
          <w:color w:val="15181F"/>
          <w:sz w:val="18"/>
          <w:szCs w:val="18"/>
        </w:rPr>
        <w:t xml:space="preserve">Every position here was assembled from published guidelines and primary literature. The full-text read has made the page more accurate about how well supported each position is; it has not conferred any institutional authority on it. Nothing on this page has been through multidisciplinary or institutional governance review, and the fifteen approvals below are the list of decisions the group has to take before it could be.</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For an incidental nonfunctional tumour of 1 to 2 cm, does the programme default to observation or to individualised decision?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NCCN's surgical principles say a G1 tumour under 2 cm can be safely observed and that this is the recommended course; NANETS says individualise everything between 1 and 2 cm; the Delphi consensus NANETS cites reached no agreement in that band at all; ENETS 2023, read in full, observes 1 cm or less and personalises above 1 cm to the resection required and the patient's comorbidities, with no rule offered; and the ASPEN investigators, whose data NCCN cites in support of observation, conclude that management should be personalised above 1 cm. Every source hands the 1-2 cm band back to the clinician, which means the decision is made by whoever is in the room unless a default is chosen. The full-text read adds one thing: the only systematic comparison of the two strategies at this size found no difference in metastasis or mortality, at low to very low certainty, so a default either way is a judgement and not a finding.</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a dilated main pancreatic duct an absolute indication to resect a small nonfunctional tumour?</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ASPEN's authors state that surgery is always mandatory with a dilated main pancreatic duct and ENETS 2023 strongly recommends it; NCCN does not list duct dilatation as a resection trigger anywhere. The supporting evidence is association rather than outcome - a duct above 3 mm independently predicted the decision to operate (OR 3.4, p&lt;0.001) - and the threshold used is the study's own. The full-text read sharpens the histological argument in both directions: duct dilatation identified the only two aggressive sub-centimetre tumours in ASPEN, and yet only 5 of the 19 tumours with an aggressive feature had a radiological duct over 3 mm at all.</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size threshold for resection differ by race?</w:t>
            </w:r>
          </w:p>
        </w:tc>
        <w:tc>
          <w:tcPr>
            <w:tcW w:type="dxa" w:w="4740"/>
            <w:tcMar>
              <w:top w:type="dxa" w:w="70"/>
              <w:left w:type="dxa" w:w="110"/>
              <w:bottom w:type="dxa" w:w="70"/>
              <w:right w:type="dxa" w:w="110"/>
            </w:tcMar>
            <w:vAlign w:val="top"/>
          </w:tcPr>
          <w:p>
            <w:pPr>
              <w:spacing w:after="0" w:line="276"/>
            </w:pPr>
            <w:r>
              <w:rPr>
                <w:color w:val="15181F"/>
                <w:sz w:val="17"/>
                <w:szCs w:val="17"/>
              </w:rPr>
              <w:t xml:space="preserve">Nodal metastasis below 2 cm was 23% and 21% in Black patients against 5% and 12% in white patients in two independent datasets (p&lt;0.01 in both). NCCN reproduces the finding without altering the algorithm. The programme needs a stated position, and a stated reason for it, rather than silence.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is the non-localised sporadic gastrinoma pathway, and where is it done?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offers observation or exploration with duodenotomy; NANETS 2020 recommends against routine exploration and asks for referral to a centre with expertise. Both cannot be the local position, and a patient who arrives with Zollinger-Ellison syndrome and no target on imaging needs the answer to already exist.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Minimum annual volume for enucleation and for central pancreatectomy at this centre.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fistula excess after enucleation disappeared in pooled studies only in centres performing more than 20 in total and more than 4 a year. Central pancreatectomy carries a 35% pooled fistula rate and single-centre morbidity of 58% to 72%. These are volume-conditional operations and the threshold is a governance choice. [EXPERTISE]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group accept NCCN's 55% Ki-67 split for well-differentiated grade 3 tumours?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cutoff was derived by receiver-operating-characteristic analysis in 42 randomly selected patients within a 305-patient retrospective cohort of advanced gastrointestinal neuroendocrine carcinoma and then applied to the rest of that same cohort with no external validation. Read in full, the study shows that median survival was longer below the cutoff than above it (14 against 10 months, p&lt;0.001) and that Ki-67 dropped out of both the full and the final multivariable models because of its association with primary site - so the marker is not independently prognostic in its own derivation study. NCCN itself flags the data as limited and Ki-67 as heterogeneous within a tumour and across serial biopsies, and the one surgical series to test the line found no survival difference either side of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an observed tumour's next scan, and what happens when it is missed?</w:t>
            </w:r>
          </w:p>
        </w:tc>
        <w:tc>
          <w:tcPr>
            <w:tcW w:type="dxa" w:w="4740"/>
            <w:tcMar>
              <w:top w:type="dxa" w:w="70"/>
              <w:left w:type="dxa" w:w="110"/>
              <w:bottom w:type="dxa" w:w="70"/>
              <w:right w:type="dxa" w:w="110"/>
            </w:tcMar>
            <w:vAlign w:val="top"/>
          </w:tcPr>
          <w:p>
            <w:pPr>
              <w:spacing w:after="0" w:line="276"/>
            </w:pPr>
            <w:r>
              <w:rPr>
                <w:color w:val="15181F"/>
                <w:sz w:val="17"/>
                <w:szCs w:val="17"/>
              </w:rPr>
              <w:t xml:space="preserve">Not an evidence question. The entire safety case for observation rests on detecting growth, and in ASPEN patient preference and centre preference together accounted for 84% of the stated indications for surgery, with anxiety independently associated with operating. Unowned surveillance converts into an unplanned operation.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is the standing genetic referral rule, and must the result be back before elective surgery?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Germline variants are reported in 16% to 21% of unselected patients, and in MEN1 or VHL the threshold, the extent and the timing of the operation all change. NCCN's criteria are a list; the programme needs a trigger that fires automatically and a rule about waiting.</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How is the handoff to the NELM pathway documented, and who makes the joint decision about the primary?</w:t>
            </w:r>
          </w:p>
        </w:tc>
        <w:tc>
          <w:tcPr>
            <w:tcW w:type="dxa" w:w="4740"/>
            <w:tcMar>
              <w:top w:type="dxa" w:w="70"/>
              <w:left w:type="dxa" w:w="110"/>
              <w:bottom w:type="dxa" w:w="70"/>
              <w:right w:type="dxa" w:w="110"/>
            </w:tcMar>
            <w:vAlign w:val="top"/>
          </w:tcPr>
          <w:p>
            <w:pPr>
              <w:spacing w:after="0" w:line="276"/>
            </w:pPr>
            <w:r>
              <w:rPr>
                <w:color w:val="15181F"/>
                <w:sz w:val="17"/>
                <w:szCs w:val="17"/>
              </w:rPr>
              <w:t xml:space="preserve">NANETS reached no consensus on resecting a pancreatic primary when liver metastases are present. Two irreversible facts from this page constrain the NELM page — whether a pancreatoduodenectomy has been done, because liver-directed therapy afterwards carries increased cholangitis and abscess risk, and whether the gallbladder is out — so the two pathways have to decide together rather than in sequence.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the NCCN, ENETS and NANETS version checks, and on what cycle?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NCCN version behind this draft could not be established from the extracted text, and the MEN1 recommendations were revised twice in 2025. The ENETS nonfunctioning paper has now been read in full and its position on the 1-2 cm band corrected on this page, but the AACE MEN1 consensus statement and the 2021 international consensus statement on the pancreas in MEN1 remain abstract-only citations, and a list of figures quoted from the NANETS text with no primary paper in this page's depot is recorded in the honest section. Source reconciliation is incomplete and the page says so.</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 we obtain tissue before choosing surveillance for a sub-2 cm nonfunctional lesion, or not?</w:t>
            </w:r>
          </w:p>
        </w:tc>
        <w:tc>
          <w:tcPr>
            <w:tcW w:type="dxa" w:w="4740"/>
            <w:tcMar>
              <w:top w:type="dxa" w:w="70"/>
              <w:left w:type="dxa" w:w="110"/>
              <w:bottom w:type="dxa" w:w="70"/>
              <w:right w:type="dxa" w:w="110"/>
            </w:tcMar>
            <w:vAlign w:val="top"/>
          </w:tcPr>
          <w:p>
            <w:pPr>
              <w:spacing w:after="0" w:line="276"/>
            </w:pPr>
            <w:r>
              <w:rPr>
                <w:color w:val="15181F"/>
                <w:sz w:val="17"/>
                <w:szCs w:val="17"/>
              </w:rPr>
              <w:t xml:space="preserve">NANETS says biopsy is not routinely necessary before deciding to observe a sub-centimetre lesion with a characteristic imaging phenotype. ENETS 2023, read in full, says a suspected nonfunctioning tumour under 2 cm with positive receptor imaging should be confirmed histologically or cytologically where possible (level 3, grade B). The 2025 MEN1 recommendations find no role for routine EUS-guided biopsy in that syndrome. There is no outcome evidence separating the three, and both options carry a real cost: EUS-FNA cytology called 71% of histological G2 tumours G1, while two thirds of ASPEN's surveillance arm had no evaluable histology at all. The programme needs one answer, and a stated reason.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growth threshold triggers resection under surveillance, measured how, by whom, on what protocol?</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PANDORA used more than 0.5 cm per year and the 2025 MEN1 recommendations use under 1 mm per year, a fivefold disagreement in which neither number has a cited derivation and 1 mm a year sits below the measurement reproducibility of serial imaging of a small pancreatic lesion. Growth was the stated indication for surgery in only 4 of 406 ASPEN surveillance patients, against patient and centre preference in 79 of 94 operations - so in practice the growth threshold is not what drives the operation. A threshold with a fixed modality, contrast agent, phase and measurement convention is the only version of this that can be audited.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post-resection follow-up schedule does the programme adopt, and is any patient discharged from follow-up?</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three consensus sources disagree. NCCN starts at 12 weeks to 12 months and runs to 10 years; ENETS 2023 starts at 3 to 6 months with a receptor PET and tells patients to expect at least 20 years and possibly lifelong; the RAND/UCLA recommendations de-intensify the first three years to yearly imaging, extend past ten and exempt a grade 1, node-negative pancreatic tumour under 2 cm from follow-up altogether - an exemption produced at a 75% agreement threshold over a dataset with no grade, stage or margin data and a 48.5% cumulative recurrence rate at 10 years. This page borrows NCCN's intervals and applies them to observed patients too. The group should choose deliberately rather than by inheritance, and decide explicitly whether anyone is discharged.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exactly is a patient told about the evidence for observation, and who writes it down?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Not an evidence question, but the read makes it a governance one. The honest statement is that no study randomises the two strategies, that the only systematic comparison found no difference at low certainty, that the harms of resection are well measured and its benefit at this size is not, that half of observed tumours grow without that meaning anything yet, and that the one thing within the programme's control is the reliability of the next measurement. A patient who is told only that small tumours can be watched safely has not been given that, and anxiety independently predicted operating in ASPEN. A written statement, the same for every patient, is cheaper than the alternative.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obtain a paired receptor and FDG-PET in a localised G2 or higher primary, and what does a discordant result change?</w:t>
            </w:r>
          </w:p>
        </w:tc>
        <w:tc>
          <w:tcPr>
            <w:tcW w:type="dxa" w:w="4740"/>
            <w:tcMar>
              <w:top w:type="dxa" w:w="70"/>
              <w:left w:type="dxa" w:w="110"/>
              <w:bottom w:type="dxa" w:w="70"/>
              <w:right w:type="dxa" w:w="110"/>
            </w:tcMar>
            <w:vAlign w:val="top"/>
          </w:tcPr>
          <w:p>
            <w:pPr>
              <w:spacing w:after="0" w:line="276"/>
            </w:pPr>
            <w:r>
              <w:rPr>
                <w:color w:val="15181F"/>
                <w:sz w:val="17"/>
                <w:szCs w:val="17"/>
              </w:rPr>
              <w:t xml:space="preserve">FDG positivity is not rare in G1 and G2 disease and predicts progression and prognosis more strongly than grade on the SNMMI/EANM standard's own reading, and the combined score independently predicted survival in a 319-patient cohort. But both score cohorts were metastatic or unresectable, only about a third of patients had pancreatic primaries, treatment was not modelled, and the score carries no treatment threshold. If the pair is obtained and nothing is done differently, it is a cost; if something is done differently, the programme is acting beyond any published evidence and should say so and record it.</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on 7 October 2026 after a full-text read of this page's reference depot. Twenty-eight of the 33 indexed papers were read in full and abstracted to a fixed schema recording setting, inclusion and exclusion criteria, results, the authors' own stated limitations, an independent critique and a bottom line, and every evidence string, number and grade on the page was checked against that abstraction. Thirty-nine evidence strings were changed and thirteen grades were downgraded; the gate structure, ids, names and tone values are unchanged, five previously empty recommendation slots were filled from depot papers that the first draft indexed but did not cite, the honest section grew from 12 items to 25 and the approvals list from 10 to 15. Originally built from the programme-supplied extraction of NCCN Neuroendocrine and Adrenal Tumors (version not stated in the extracted text; its most recent references, including the MEN1 guideline of June 2025, place it at v3.2025 or later) as the spine, with the NANETS 2020 consensus paper on the surgical management of pancreatic neuroendocrine tumours (Pancreas 2020;49:1-33) as the main surgical source, and the ENETS 2023 guidance papers for nonfunctioning pancreatic NET (J Neuroendocrinol 2023;35:e13343), for functioning pancreatic NET syndromes (e13318) and for digestive neuroendocrine carcinoma (e13249). Grading follows the WHO 2019 criteria as reproduced in the NCCN pathology principles. Liver metastases are out of scope throughout and hand off by name to the NELM pathway, which carries the hepatic decisions and the primary-resection question in metastatic disease. What the full-text read changed most is the observation-versus-resection gate. The ENETS position on the 1-2 cm band, previously taken from the abstract and from how NANETS and the ASPEN investigators report it, was wrong: the full text observes 1 cm or less, personalises 1-2 cm and strongly recommends surgery above 2 cm or with duct dilation, and the page and quick-reference table are corrected. Sadot 2016's inclusion band was 3 cm or less rather than 2 cm, so the paper most often cited for the 2 cm threshold never tested it; a quarter of its observation arm crossed to surgery and remain in it by intention to treat; the patients never operated were followed a median of 33 months against a median time to recurrence of 5.1 years in the resected arm; its metastasis-free survival advantage for observation is an endpoint artefact; and 51% of observed tumours grew. ASPEN's 20% rate of aggressive histology comes only from its 94 resected patients, a denominator selected for size, duct dilatation, age, anxiety and surgeon preference, and no comparison between strategies was performed; its metastasis rate is printed as 0.08% when 4 of 500 is 0.8%. In PANDORA, six of the eight progressing patients refused the protocol-mandated operation, so the protocol was not tested. Gratian 2014 is a National Cancer Data Base analysis rather than SEER, and the registry excludes tumours coded benign, which removes exactly the indolent lesions a surveillance policy concerns; its 33% nodal figure for sub-5 mm tumours rests on a 94-patient band in a variable missing in 45% of the cohort. The 2025 MEN1 best-practice recommendations contribute the only systematic comparison that exists: across 37 studies and 1,814 patients, surgery and surveillance for lesions under 2 cm showed no difference in metastasis or mortality at low to very low GRADE certainty. And Hashim 2014, Zheng-Pywell 2022 and Makris 2023 all draw observation-versus-resection conclusions from cohorts in which every patient was resected, which is recorded on the page as a structural defect of the nodal-risk literature rather than as a caveat. Still cited from abstract only, because no new papers were obtained in this pass: the AACE consensus statement on MEN1 of March 2025 (PMID 40232217) and the 2021 international consensus statement on the pancreas in MEN1 (PMID 32971521). Both are labelled as abstract-only wherever they are cited, and their numeric criteria must be confirmed before use. The NANETS 2020 surgical consensus and the ENETS functioning-syndromes and neuroendocrine carcinoma guidance papers were not part of the full-text depot and remain the programme-supplied guideline sources; a list of figures quoted from the NANETS text with no primary paper in the depot is recorded in the honest section and each is labelled where it is used. There is still no ratified Memorial Hermann roadmap behind this page and no alignment worksheet. It remains a draft, assembled from guidelines and primary literature, pending multidisciplinary and institutional governance review. It is not active clinical policy, it does not replace clinician judgement, and every numeric criterion on it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pNET_R1"/>
      <w:r>
        <w:t xml:space="preserve">pNET-R1 — Primary resection or cytoreduction with extrahepatic disease</w:t>
      </w:r>
      <w:bookmarkEnd w:id="16010"/>
    </w:p>
    <w:p>
      <w:pPr>
        <w:pStyle w:val="Normal"/>
        <w:widowControl/>
        <w:spacing w:after="120"/>
      </w:pPr>
      <w:r>
        <w:t xml:space="preserve">Status: Proposed; individualized. OPEN proposal for multidisciplinary review; not activated.</w:t>
      </w:r>
    </w:p>
    <w:p>
      <w:pPr>
        <w:pStyle w:val="Normal"/>
        <w:widowControl/>
        <w:spacing w:after="120"/>
      </w:pPr>
      <w:r>
        <w:t xml:space="preserve">Question: With pancreatic NET metastases outside the liver, should the primary be removed or the liver cytoreduced?</w:t>
      </w:r>
    </w:p>
    <w:p>
      <w:pPr>
        <w:pStyle w:val="Normal"/>
        <w:widowControl/>
        <w:spacing w:after="120"/>
      </w:pPr>
      <w:r>
        <w:t xml:space="preserve">Proposed position (OPEN): Extrahepatic disease should not by itself contraindicate primary resection or hepatic cytoreduction (NANETS 2020), but the decision rests on local complications, symptoms and response to other therapy, and extrahepatic disease tempers the expected durability. Surgery here is palliative debulking, not curative-intent resection.</w:t>
      </w:r>
    </w:p>
    <w:p>
      <w:pPr>
        <w:pStyle w:val="Heading3"/>
        <w:widowControl/>
        <w:keepNext/>
      </w:pPr>
      <w:r>
        <w:t xml:space="preserve">Proposed rules</w:t>
      </w:r>
    </w:p>
    <w:p>
      <w:pPr>
        <w:pStyle w:val="Normal"/>
        <w:widowControl/>
        <w:spacing w:after="120"/>
        <w:numPr>
          <w:ilvl w:val="0"/>
          <w:numId w:val="3"/>
        </w:numPr>
      </w:pPr>
      <w:r>
        <w:t xml:space="preserve">Favor surgery for symptomatic or functional tumors, body–tail primaries and G1–G2 disease when debulking is substantial.</w:t>
      </w:r>
    </w:p>
    <w:p>
      <w:pPr>
        <w:pStyle w:val="Normal"/>
        <w:widowControl/>
        <w:spacing w:after="120"/>
        <w:numPr>
          <w:ilvl w:val="0"/>
          <w:numId w:val="3"/>
        </w:numPr>
      </w:pPr>
      <w:r>
        <w:t xml:space="preserve">Transplantation for pancreatic NET metastases follows NET-B4 (portal-drained primary resected first).</w:t>
      </w:r>
    </w:p>
    <w:p>
      <w:pPr>
        <w:pStyle w:val="Normal"/>
        <w:widowControl/>
        <w:spacing w:after="120"/>
      </w:pPr>
      <w:r>
        <w:t xml:space="preserve">Why: Primary resection is associated with lower mortality in pooled observational data that are strongly confounded; a recent series found no survival benefit.</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NANETS 2020 · pancreatic NET surgery</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NANETS 2020 pancreatic NET consensus. Extrahepatic disease “should not necessarily” contraindicate primary removal or cytoreduction; data limited and conflicting.</w:t>
            </w:r>
          </w:p>
        </w:tc>
        <w:tc>
          <w:tcPr>
            <w:tcW w:w="4180" w:type="dxa"/>
            <w:vAlign w:val="top"/>
            <w:shd w:fill="F1F5F8"/>
          </w:tcPr>
          <w:p>
            <w:pPr>
              <w:pStyle w:val="Normal"/>
              <w:widowControl/>
              <w:spacing w:after="55" w:line="240" w:lineRule="auto"/>
              <w:keepNext w:val="0"/>
              <w:keepLines/>
            </w:pPr>
            <w:r>
              <w:rPr>
                <w:sz w:val="21"/>
                <w:szCs w:val="21"/>
              </w:rPr>
              <w:t xml:space="preserve">Results: No transplant recommendation.</w:t>
            </w:r>
          </w:p>
          <w:p>
            <w:pPr>
              <w:pStyle w:val="Normal"/>
              <w:widowControl/>
              <w:spacing w:after="55" w:line="240" w:lineRule="auto"/>
              <w:keepNext w:val="0"/>
              <w:keepLines/>
            </w:pPr>
            <w:r>
              <w:rPr>
                <w:sz w:val="21"/>
                <w:szCs w:val="21"/>
              </w:rPr>
              <w:t xml:space="preserve">Limits: Expert consensus.</w:t>
            </w:r>
          </w:p>
          <w:p>
            <w:pPr>
              <w:pStyle w:val="Normal"/>
              <w:widowControl/>
              <w:spacing w:after="55" w:line="240" w:lineRule="auto"/>
              <w:keepNext w:val="0"/>
              <w:keepLines/>
            </w:pPr>
            <w:r>
              <w:rPr>
                <w:sz w:val="21"/>
                <w:szCs w:val="21"/>
              </w:rPr>
              <w:t xml:space="preserve">Pancreas 2020; pp18–19.</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b3dlPC9BdXRob3I+PFllYXI+MjAyMDwvWWVhcj48UmVjTnVtPjE8L1JlY051bT48RGlzcGxheVRleHQ+W1YxNi0xXTwvRGlzcGxheVRleHQ+PHJlY29yZD48cmVjLW51bWJlcj4xPC9yZWMtbnVtYmVyPjxmb3JlaWduLWtleXM+PGtleSBhcHA9IkVOIiBkYi1pZD0iMTg4YmI1YWQtZjI2My01NmRiLWJiZmEtMzBlZjEwZDU0NmM4IiB0aW1lc3RhbXA9IjE3OTMyODM2OTEiPjE8L2tleT48L2ZvcmVpZ24ta2V5cz48cmVmLXR5cGUgbmFtZT0iSm91cm5hbCBBcnRpY2xlIj4xNzwvcmVmLXR5cGU+PGNvbnRyaWJ1dG9ycz48YXV0aG9ycz48YXV0aG9yPkhvd2UsIEphbWVzIFI8L2F1dGhvcj48YXV0aG9yPk1lcmNoYW50LCBOaXB1biBCPC9hdXRob3I+PGF1dGhvcj5Db25yYWQsIENsYXVkaXVzPC9hdXRob3I+PGF1dGhvcj5LZXV0Z2VuLCBYYXZpZXIgTTwvYXV0aG9yPjxhdXRob3I+SGFsbGV0LCBKdWxpZTwvYXV0aG9yPjxhdXRob3I+RHJlYmluLCBKZWZmcmV5IEE8L2F1dGhvcj48YXV0aG9yPk1pbnRlciwgUmViZWNjYSBNPC9hdXRob3I+PGF1dGhvcj5MYWlybW9yZSwgVGVycnkgQzwvYXV0aG9yPjxhdXRob3I+VHNlbmcsIEplbm5pZmVyIEY8L2F1dGhvcj48YXV0aG9yPlplaCwgSGVyYmVydCBKPC9hdXRob3I+PGF1dGhvcj5MaWJ1dHRpLCBTdGV2ZW4gSzwvYXV0aG9yPjxhdXRob3I+U2luZ2gsIEdhZ2FuZGVlcDwvYXV0aG9yPjxhdXRob3I+TGVlLCBKZWZmcmV5IEU8L2F1dGhvcj48YXV0aG9yPkhvcGUsIFRob21hcyBBPC9hdXRob3I+PGF1dGhvcj5LaW0sIE1pY2hlbGxlIEs8L2F1dGhvcj48YXV0aG9yPk1lbmRhLCBZdXN1ZjwvYXV0aG9yPjxhdXRob3I+SGFsZmRhbmFyc29uLCBUaG9ydmFyZHVyIFI8L2F1dGhvcj48YXV0aG9yPkNoYW4sIEplbm5pZmVyIEE8L2F1dGhvcj48YXV0aG9yPlBvbW1pZXIsIFJvZG5leSBGPC9hdXRob3I+PC9hdXRob3JzPjwvY29udHJpYnV0b3JzPjx0aXRsZXM+PHRpdGxlPlRoZSBOb3J0aCBBbWVyaWNhbiBOZXVyb2VuZG9jcmluZSBUdW1vciBTb2NpZXR5IENvbnNlbnN1cyBQYXBlciBvbiB0aGUgU3VyZ2ljYWwgTWFuYWdlbWVudCBvZiBQYW5jcmVhdGljIE5ldXJvZW5kb2NyaW5lIFR1bW9yczwvdGl0bGU+PHNlY29uZGFyeS10aXRsZT5QYW5jcmVhczwvc2Vjb25kYXJ5LXRpdGxlPjwvdGl0bGVzPjxwZXJpb2RpY2FsPjxmdWxsLXRpdGxlPlBhbmNyZWFzPC9mdWxsLXRpdGxlPjwvcGVyaW9kaWNhbD48ZGF0ZXM+PHllYXI+MjAyMDwveWVhcj48L2RhdGVzPjx2b2x1bWU+NDk8L3ZvbHVtZT48bnVtYmVyPjE8L251bWJlcj48cGFnZXM+MS0zMzwvcGFnZXM+PGVsZWN0cm9uaWMtcmVzb3VyY2UtbnVtPjEwLjEwOTcvTVBBLjAwMDAwMDAwMDAwMDE0NTQ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k3L01QQS4wMDAwMDAwMDAwMDAxNDU0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br/>
            </w:r>
            <w:hyperlink r:id="rId9">
              <w:r>
                <w:rPr>
                  <w:color w:val="0563C1"/>
                  <w:u w:val="single"/>
                </w:rPr>
                <w:t>Source</w:t>
              </w:r>
            </w:hyperlink>
            <w:r>
              <w:t xml:space="preserve"> · </w:t>
            </w:r>
            <w:hyperlink r:id="rId10">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Partelli 2017 · primary resection meta-analysis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Meta-analysis, 885 patients. Primary resection with unresectable liver metastases.</w:t>
            </w:r>
          </w:p>
        </w:tc>
        <w:tc>
          <w:tcPr>
            <w:tcW w:w="4180" w:type="dxa"/>
            <w:vAlign w:val="top"/>
            <w:shd w:fill="FFFFFF"/>
          </w:tcPr>
          <w:p>
            <w:pPr>
              <w:pStyle w:val="Normal"/>
              <w:widowControl/>
              <w:spacing w:after="55" w:line="240" w:lineRule="auto"/>
              <w:keepNext w:val="0"/>
              <w:keepLines/>
            </w:pPr>
            <w:r>
              <w:rPr>
                <w:sz w:val="21"/>
                <w:szCs w:val="21"/>
              </w:rPr>
              <w:t xml:space="preserve">Results: Lower risk of death (OR 0.38, 0.23–0.65).</w:t>
            </w:r>
          </w:p>
          <w:p>
            <w:pPr>
              <w:pStyle w:val="Normal"/>
              <w:widowControl/>
              <w:spacing w:after="55" w:line="240" w:lineRule="auto"/>
              <w:keepNext w:val="0"/>
              <w:keepLines/>
            </w:pPr>
            <w:r>
              <w:rPr>
                <w:sz w:val="21"/>
                <w:szCs w:val="21"/>
              </w:rPr>
              <w:t xml:space="preserve">Limits: Confounded observational data.</w:t>
            </w:r>
          </w:p>
          <w:p>
            <w:pPr>
              <w:pStyle w:val="Normal"/>
              <w:widowControl/>
              <w:spacing w:after="55" w:line="240" w:lineRule="auto"/>
              <w:keepNext w:val="0"/>
              <w:keepLines/>
            </w:pPr>
            <w:r>
              <w:rPr>
                <w:sz w:val="21"/>
                <w:szCs w:val="21"/>
              </w:rPr>
              <w:t xml:space="preserve">HPB 2017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YXJ0ZWxsaTwvQXV0aG9yPjxZZWFyPjIwMTc8L1llYXI+PFJlY051bT4yPC9SZWNOdW0+PERpc3BsYXlUZXh0PltWMTYtMl08L0Rpc3BsYXlUZXh0PjxyZWNvcmQ+PHJlYy1udW1iZXI+MjwvcmVjLW51bWJlcj48Zm9yZWlnbi1rZXlzPjxrZXkgYXBwPSJFTiIgZGItaWQ9IjE4OGJiNWFkLWYyNjMtNTZkYi1iYmZhLTMwZWYxMGQ1NDZjOCIgdGltZXN0YW1wPSIxNzkzMjgzNjkxIj4yPC9rZXk+PC9mb3JlaWduLWtleXM+PHJlZi10eXBlIG5hbWU9IkpvdXJuYWwgQXJ0aWNsZSI+MTc8L3JlZi10eXBlPjxjb250cmlidXRvcnM+PGF1dGhvcnM+PGF1dGhvcj5QYXJ0ZWxsaSwgU3RlZmFubzwvYXV0aG9yPjxhdXRob3I+Q2lyb2NjaGksIFJvYmVydG88L2F1dGhvcj48YXV0aG9yPlJhbmNvaXRhLCBQYW9sYSBNIFY8L2F1dGhvcj48YXV0aG9yPk11ZmZhdHRpLCBGcmFuY2VzY2E8L2F1dGhvcj48YXV0aG9yPkFuZHJlYXNpLCBWYWxlbnRpbmE8L2F1dGhvcj48YXV0aG9yPkNyaXBwYSwgU3RlZmFubzwvYXV0aG9yPjxhdXRob3I+VGFtYnVycmlubywgRG9tZW5pY288L2F1dGhvcj48YXV0aG9yPkZhbGNvbmksIE1hc3NpbW88L2F1dGhvcj48L2F1dGhvcnM+PC9jb250cmlidXRvcnM+PHRpdGxlcz48dGl0bGU+QSBTeXN0ZW1hdGljIHJldmlldyBhbmQgbWV0YS1hbmFseXNpcyBvbiB0aGUgcm9sZSBvZiBwYWxsaWF0aXZlIHByaW1hcnkgcmVzZWN0aW9uIGZvciBwYW5jcmVhdGljIG5ldXJvZW5kb2NyaW5lIG5lb3BsYXNtIHdpdGggbGl2ZXIgbWV0YXN0YXNlczwvdGl0bGU+PHNlY29uZGFyeS10aXRsZT5IUEIgOiB0aGUgb2ZmaWNpYWwgam91cm5hbCBvZiB0aGUgSW50ZXJuYXRpb25hbCBIZXBhdG8gUGFuY3JlYXRvIEJpbGlhcnkgQXNzb2NpYXRpb248L3NlY29uZGFyeS10aXRsZT48L3RpdGxlcz48cGVyaW9kaWNhbD48ZnVsbC10aXRsZT5IUEIgOiB0aGUgb2ZmaWNpYWwgam91cm5hbCBvZiB0aGUgSW50ZXJuYXRpb25hbCBIZXBhdG8gUGFuY3JlYXRvIEJpbGlhcnkgQXNzb2NpYXRpb248L2Z1bGwtdGl0bGU+PC9wZXJpb2RpY2FsPjxkYXRlcz48eWVhcj4yMDE3PC95ZWFyPjwvZGF0ZXM+PHZvbHVtZT4yMDwvdm9sdW1lPjxudW1iZXI+MzwvbnVtYmVyPjxwYWdlcz4xOTctMjAzPC9wYWdlcz48ZWxlY3Ryb25pYy1yZXNvdXJjZS1udW0+MTAuMTAxNi9qLmhwYi4yMDE3LjEwLjAxNDwvZWxlY3Ryb25pYy1yZXNvdXJjZS1udW0+PG5vdGVzPkpvdXJuYWwgYXJ0aWNsZSBQdWJNZWQgYWJzdHJhY3QgdmVyaWZpZWQ7IGZ1bGwgdGV4dCBwZW5kaW5nIFRNQyBkb3dubG9hZC4gTm90IHJlcHJlc2VudGVkIGFzIGEgZnVsbC10ZXh0IHJldmlldy48L25vdGVzPjx1cmxzPjxyZWxhdGVkLXVybHM+PHVybD5odHRwczovL2RvaS5vcmcvMTAuMTAxNi9qLmhwYi4yMDE3LjEwLjAxNDwvdXJsPjwvcmVsYXRlZC11cmxz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1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Podrascanin 2025 · pNET with liver metastases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Single centre, 118 with synchronous liver metastases. Asymptomatic pNET.</w:t>
            </w:r>
          </w:p>
        </w:tc>
        <w:tc>
          <w:tcPr>
            <w:tcW w:w="4180" w:type="dxa"/>
            <w:vAlign w:val="top"/>
            <w:shd w:fill="F1F5F8"/>
          </w:tcPr>
          <w:p>
            <w:pPr>
              <w:pStyle w:val="Normal"/>
              <w:widowControl/>
              <w:spacing w:after="55" w:line="240" w:lineRule="auto"/>
              <w:keepNext w:val="0"/>
              <w:keepLines/>
            </w:pPr>
            <w:r>
              <w:rPr>
                <w:sz w:val="21"/>
                <w:szCs w:val="21"/>
              </w:rPr>
              <w:t xml:space="preserve">Results: Primary resection did not change survival (median 10 years); extrahepatic disease predicted progression.</w:t>
            </w:r>
          </w:p>
          <w:p>
            <w:pPr>
              <w:pStyle w:val="Normal"/>
              <w:widowControl/>
              <w:spacing w:after="55" w:line="240" w:lineRule="auto"/>
              <w:keepNext w:val="0"/>
              <w:keepLines/>
            </w:pPr>
            <w:r>
              <w:rPr>
                <w:sz w:val="21"/>
                <w:szCs w:val="21"/>
              </w:rPr>
              <w:t xml:space="preserve">Limits: Univariate.</w:t>
            </w:r>
          </w:p>
          <w:p>
            <w:pPr>
              <w:pStyle w:val="Normal"/>
              <w:widowControl/>
              <w:spacing w:after="55" w:line="240" w:lineRule="auto"/>
              <w:keepNext w:val="0"/>
              <w:keepLines/>
            </w:pPr>
            <w:r>
              <w:rPr>
                <w:sz w:val="21"/>
                <w:szCs w:val="21"/>
              </w:rPr>
              <w:t xml:space="preserve">Ann Surg Oncol 2025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b2RyYXNjYW5pbjwvQXV0aG9yPjxZZWFyPjIwMjU8L1llYXI+PFJlY051bT4zPC9SZWNOdW0+PERpc3BsYXlUZXh0PltWMTYtM108L0Rpc3BsYXlUZXh0PjxyZWNvcmQ+PHJlYy1udW1iZXI+MzwvcmVjLW51bWJlcj48Zm9yZWlnbi1rZXlzPjxrZXkgYXBwPSJFTiIgZGItaWQ9IjE4OGJiNWFkLWYyNjMtNTZkYi1iYmZhLTMwZWYxMGQ1NDZjOCIgdGltZXN0YW1wPSIxNzkzMjgzNjkxIj4zPC9rZXk+PC9mb3JlaWduLWtleXM+PHJlZi10eXBlIG5hbWU9IkpvdXJuYWwgQXJ0aWNsZSI+MTc8L3JlZi10eXBlPjxjb250cmlidXRvcnM+PGF1dGhvcnM+PGF1dGhvcj5Qb2RyYXNjYW5pbiwgVmFuamE8L2F1dGhvcj48YXV0aG9yPkFtbWFubiwgTWFya3VzPC9hdXRob3I+PGF1dGhvcj5HdWRtdW5kc2RvdHRpciwgSGFsbGJlcmE8L2F1dGhvcj48YXV0aG9yPkRvbmcsIFlhd2VuPC9hdXRob3I+PGF1dGhvcj5UaGllbHMsIENvcm5lbGl1cyBBPC9hdXRob3I+PGF1dGhvcj5XYXJuZXIsIFN1c2FubmUgRzwvYXV0aG9yPjxhdXRob3I+VHJ1dHksIE1hcmsgSjwvYXV0aG9yPjxhdXRob3I+S2VuZHJpY2ssIE1pY2hhZWwgTDwvYXV0aG9yPjxhdXRob3I+U21vb3QsIFJvcnkgTDwvYXV0aG9yPjxhdXRob3I+UG9tbWllciwgUm9kbmV5IEY8L2F1dGhvcj48YXV0aG9yPktvenVtYSwgS2FpeWE8L2F1dGhvcj48YXV0aG9yPkhhbGZkYW5hcnNvbiwgVGhvcnZhcmR1ciBSPC9hdXRob3I+PGF1dGhvcj5OYWdvcm5leSwgRGF2aWQgTTwvYXV0aG9yPjxhdXRob3I+U3RhcmxpbmdlciwgUGF0cmljayBQPC9hdXRob3I+PC9hdXRob3JzPjwvY29udHJpYnV0b3JzPjx0aXRsZXM+PHRpdGxlPlRoZSBSb2xlIG9mIFByaW1hcnkgVHVtb3IgUmVzZWN0aW9uIGluIFN1cmdpY2FsIE1hbmFnZW1lbnQgb2YgQXN5bXB0b21hdGljIE1ldGFzdGF0aWMgUE5FVHM6IEEgUmV0cm9zcGVjdGl2ZSBTaW5nbGUtQ2VudGVyIFN0dWR5PC90aXRsZT48c2Vjb25kYXJ5LXRpdGxlPkFubmFscyBvZiBzdXJnaWNhbCBvbmNvbG9neTwvc2Vjb25kYXJ5LXRpdGxlPjwvdGl0bGVzPjxwZXJpb2RpY2FsPjxmdWxsLXRpdGxlPkFubmFscyBvZiBzdXJnaWNhbCBvbmNvbG9neTwvZnVsbC10aXRsZT48L3BlcmlvZGljYWw+PGRhdGVzPjx5ZWFyPjIwMjU8L3llYXI+PC9kYXRlcz48dm9sdW1lPjMzPC92b2x1bWU+PG51bWJlcj40PC9udW1iZXI+PHBhZ2VzPjM1MjYtMzUzNDwvcGFnZXM+PGVsZWN0cm9uaWMtcmVzb3VyY2UtbnVtPjEwLjEyNDUvczEwNDM0LTAyNS0xODgzNS16PC9lbGVjdHJvbmljLXJlc291cmNlLW51bT48bm90ZXM+Sm91cm5hbCBhcnRpY2xlIFB1Yk1lZCBhYnN0cmFjdCB2ZXJpZmllZDsgZnVsbCB0ZXh0IHBlbmRpbmcgVE1DIGRvd25sb2FkLiBOb3QgcmVwcmVzZW50ZWQgYXMgYSBmdWxsLXRleHQgcmV2aWV3Ljwvbm90ZXM+PHVybHM+PHJlbGF0ZWQtdXJscz48dXJsPmh0dHBzOi8vZG9pLm9yZy8xMC4xMjQ1L3MxMDQzNC0wMjUtMTg4MzUtejwvdXJsPjwvcmVsYXRlZC11cmxz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12">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Selection bias dominates.</w:t>
      </w:r>
    </w:p>
    <w:p>
      <w:pPr>
        <w:pStyle w:val="Normal"/>
        <w:widowControl/>
        <w:spacing w:after="120"/>
      </w:pPr>
      <w:r>
        <w:t xml:space="preserve">Certainty: Low.</w:t>
      </w:r>
    </w:p>
    <w:p>
      <w:pPr>
        <w:pStyle w:val="Normal"/>
        <w:widowControl/>
        <w:spacing w:after="120"/>
      </w:pPr>
      <w:r>
        <w:t xml:space="preserve">What would change the answer: Randomized or well-adjusted data.</w:t>
      </w:r>
    </w:p>
    <w:p>
      <w:pPr>
        <w:pStyle w:val="Heading3"/>
        <w:widowControl/>
        <w:keepNext/>
      </w:pPr>
      <w:r>
        <w:t xml:space="preserve">pNET-R1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39 sources. Every one is held as a PDF in Ref_Depot_PNET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AACE MEN1 2025. </w:t>
      </w:r>
      <w:r>
        <w:rPr>
          <w:sz w:val="17"/>
          <w:szCs w:val="17"/>
        </w:rPr>
        <w:t xml:space="preserve">Del Rivero J, Gangi A, Annes JP, et al. American Association of Clinical Endocrinology consensus statement on management of multiple endocrine neoplasia type 1. Endocr Pract. 2025 (published online 26 March 2025). doi:10.1016/j.eprac.2025.02.001. PMID:40232217.</w:t>
      </w:r>
    </w:p>
    <w:p>
      <w:pPr>
        <w:spacing w:after="70"/>
        <w:ind w:left="360" w:hanging="360"/>
      </w:pPr>
      <w:r>
        <w:rPr>
          <w:b/>
          <w:bCs/>
          <w:color w:val="17365D"/>
          <w:sz w:val="17"/>
          <w:szCs w:val="17"/>
        </w:rPr>
        <w:t xml:space="preserve">ENETS 2023 functioning. </w:t>
      </w:r>
      <w:r>
        <w:rPr>
          <w:sz w:val="17"/>
          <w:szCs w:val="17"/>
        </w:rPr>
        <w:t xml:space="preserve">Hofland J, Falconi M, Christ E, et al. European Neuroendocrine Tumor Society 2023 guidance paper for functioning pancreatic neuroendocrine tumour syndromes. J Neuroendocrinol. 2023;35(8):e13318. doi:10.1111/jne.13318. PMID:37578384.</w:t>
      </w:r>
    </w:p>
    <w:p>
      <w:pPr>
        <w:spacing w:after="70"/>
        <w:ind w:left="360" w:hanging="360"/>
      </w:pPr>
      <w:r>
        <w:rPr>
          <w:b/>
          <w:bCs/>
          <w:color w:val="17365D"/>
          <w:sz w:val="17"/>
          <w:szCs w:val="17"/>
        </w:rPr>
        <w:t xml:space="preserve">ENETS 2023 NEC. </w:t>
      </w:r>
      <w:r>
        <w:rPr>
          <w:sz w:val="17"/>
          <w:szCs w:val="17"/>
        </w:rPr>
        <w:t xml:space="preserve">Sorbye H, Grande E, Pavel M, et al. European Neuroendocrine Tumor Society (ENETS) 2023 guidance paper for digestive neuroendocrine carcinoma. J Neuroendocrinol. 2023;35(3):e13249. doi:10.1111/jne.13249. PMID:36924180.</w:t>
      </w:r>
    </w:p>
    <w:p>
      <w:pPr>
        <w:spacing w:after="70"/>
        <w:ind w:left="360" w:hanging="360"/>
      </w:pPr>
      <w:r>
        <w:rPr>
          <w:b/>
          <w:bCs/>
          <w:color w:val="17365D"/>
          <w:sz w:val="17"/>
          <w:szCs w:val="17"/>
        </w:rPr>
        <w:t xml:space="preserve">ENETS 2023 NF-PanNET. </w:t>
      </w:r>
      <w:r>
        <w:rPr>
          <w:sz w:val="17"/>
          <w:szCs w:val="17"/>
        </w:rPr>
        <w:t xml:space="preserve">Kos-Kudła B, Castaño JP, Denecke T, et al. European Neuroendocrine Tumour Society (ENETS) 2023 guidance paper for nonfunctioning pancreatic neuroendocrine tumours. J Neuroendocrinol. 2023;35(12):e13343. doi:10.1111/jne.13343. PMID:37877341.</w:t>
      </w:r>
    </w:p>
    <w:p>
      <w:pPr>
        <w:spacing w:after="70"/>
        <w:ind w:left="360" w:hanging="360"/>
      </w:pPr>
      <w:r>
        <w:rPr>
          <w:b/>
          <w:bCs/>
          <w:color w:val="17365D"/>
          <w:sz w:val="17"/>
          <w:szCs w:val="17"/>
        </w:rPr>
        <w:t xml:space="preserve">Full-text depot, read 7 October 2026. </w:t>
      </w:r>
      <w:r>
        <w:rPr>
          <w:sz w:val="17"/>
          <w:szCs w:val="17"/>
        </w:rPr>
        <w:t xml:space="preserve">Twenty-eight of the 33 indexed papers on this page were obtained in full text, abstracted to a fixed schema capturing setting, inclusion, exclusion, results, the authors' own stated limitations, an independent critique and a bottom line, and every evidence string on the page was checked against that abstraction. Not in the depot: the NANETS 2020 surgical consensus, the ENETS 2023 functioning-syndromes guidance and the ENETS 2023 digestive neuroendocrine carcinoma guidance, which remain the programme-supplied guideline sources; and the AACE MEN1 consensus statement of March 2025 and the 2021 international consensus statement on the pancreas in MEN1, which are still cited from their abstracts only. Figures quoted from the NANETS text with no primary paper in the depot are listed in the honest section and labelled where they are used.</w:t>
      </w:r>
    </w:p>
    <w:p>
      <w:pPr>
        <w:spacing w:after="70"/>
        <w:ind w:left="360" w:hanging="360"/>
      </w:pPr>
      <w:r>
        <w:rPr>
          <w:b/>
          <w:bCs/>
          <w:color w:val="17365D"/>
          <w:sz w:val="17"/>
          <w:szCs w:val="17"/>
        </w:rPr>
        <w:t xml:space="preserve">MEN1 2025 guideline. </w:t>
      </w:r>
      <w:r>
        <w:rPr>
          <w:sz w:val="17"/>
          <w:szCs w:val="17"/>
        </w:rPr>
        <w:t xml:space="preserve">Brandi ML, Pieterman CRC, English KA, et al. Multiple endocrine neoplasia type 1 (MEN1): recommendations and guidelines for best practice. Lancet Diabetes Endocrinol. 2025;13(8):699-721. doi:10.1016/S2213-8587(25)00119-6. PMID:40523372.</w:t>
      </w:r>
    </w:p>
    <w:p>
      <w:pPr>
        <w:spacing w:after="70"/>
        <w:ind w:left="360" w:hanging="360"/>
      </w:pPr>
      <w:r>
        <w:rPr>
          <w:b/>
          <w:bCs/>
          <w:color w:val="17365D"/>
          <w:sz w:val="17"/>
          <w:szCs w:val="17"/>
        </w:rPr>
        <w:t xml:space="preserve">MEN1 pancreas consensus. </w:t>
      </w:r>
      <w:r>
        <w:rPr>
          <w:sz w:val="17"/>
          <w:szCs w:val="17"/>
        </w:rPr>
        <w:t xml:space="preserve">Niederle B, Selberherr A, Bartsch DK, et al. Multiple endocrine neoplasia type 1 (MEN1) and the pancreas: diagnosis and treatment of functioning and non-functioning pancreatic and duodenal neuroendocrine neoplasia within the MEN1 syndrome - an international consensus statement. Neuroendocrinology. 2021;111(7):609-630. doi:10.1159/000511791. PMID:32971521.</w:t>
      </w:r>
    </w:p>
    <w:p>
      <w:pPr>
        <w:spacing w:after="70"/>
        <w:ind w:left="360" w:hanging="360"/>
      </w:pPr>
      <w:r>
        <w:rPr>
          <w:b/>
          <w:bCs/>
          <w:color w:val="17365D"/>
          <w:sz w:val="17"/>
          <w:szCs w:val="17"/>
        </w:rPr>
        <w:t xml:space="preserve">NANETS 2020 surgical. </w:t>
      </w:r>
      <w:r>
        <w:rPr>
          <w:sz w:val="17"/>
          <w:szCs w:val="17"/>
        </w:rPr>
        <w:t xml:space="preserve">Howe JR, Merchant NB, Conrad C, et al. The North American Neuroendocrine Tumor Society consensus paper on the surgical management of pancreatic neuroendocrine tumors. Pancreas. 2020;49(1):1-33. doi:10.1097/MPA.0000000000001454. PMID:31856076.</w:t>
      </w:r>
    </w:p>
    <w:p>
      <w:pPr>
        <w:spacing w:after="70"/>
        <w:ind w:left="360" w:hanging="360"/>
      </w:pPr>
      <w:r>
        <w:rPr>
          <w:b/>
          <w:bCs/>
          <w:color w:val="17365D"/>
          <w:sz w:val="17"/>
          <w:szCs w:val="17"/>
        </w:rPr>
        <w:t xml:space="preserve">NCCN Neuroendocrine and Adrenal Tumors. </w:t>
      </w:r>
      <w:r>
        <w:rPr>
          <w:sz w:val="17"/>
          <w:szCs w:val="17"/>
        </w:rPr>
        <w:t xml:space="preserve">National Comprehensive Cancer Network. Neuroendocrine and Adrenal Tumors. NCCN Clinical Practice Guidelines in Oncology. Version not stated in the programme-supplied extraction: its most recent references, including the MEN1 guideline of June 2025, place it at v3.2025 or later. Sections used: clinical presentations and diagnosis; nonfunctioning pancreatic tumours (evaluation, management of primary non-metastatic disease, surveillance); gastrinoma, insulinoma, glucagonoma and VIPoma pages; principles of imaging for neuroendocrine neoplasms; principles of pathology for the diagnosis of neuroendocrine neoplasms, including the 2019 WHO grading table; principles of surgical management of neuroendocrine tumours; principles of systemic anti-tumour therapy for pancreatic NET; well-differentiated grade 3 (WDG3) and poorly differentiated carcinoma (PDNEC) pages; principles of hereditary cancer risk assessment and genetic counselling; MEN1 screening, MEN1-1 and MEN1-A. The extraction is machine-converted and the layout of several algorithm pages is mangled; page numbers are deliberately not cited, and every numeric criterion must be confirmed against the current published PDF before use.</w:t>
      </w:r>
    </w:p>
    <w:p>
      <w:pPr>
        <w:spacing w:after="70"/>
        <w:ind w:left="360" w:hanging="360"/>
      </w:pPr>
      <w:r>
        <w:rPr>
          <w:b/>
          <w:bCs/>
          <w:color w:val="17365D"/>
          <w:sz w:val="17"/>
          <w:szCs w:val="17"/>
        </w:rPr>
        <w:t xml:space="preserve">NELM pathway. </w:t>
      </w:r>
      <w:r>
        <w:rPr>
          <w:sz w:val="17"/>
          <w:szCs w:val="17"/>
        </w:rPr>
        <w:t xml:space="preserve">Memorial Hermann Neuroendocrine Liver Metastases System Roadmap, as rendered on the NELM pathway page, Draft v0.6. The destination for every patient on this page who develops or presents with hepatic metastases. It carries differentiation and grade, hepatic burden and distribution, treat-or-observe at low burden, systemic sequencing including the pancreatic-primary agents, hepatic cytoreduction, liver-directed modality selection, functional syndrome and carcinoid-crisis precautions, and the transplant gate — including the decision about resecting a pancreatic primary when liver metastases are present, where it records that NANETS 2020 reached no consensus.</w:t>
      </w:r>
    </w:p>
    <w:p>
      <w:pPr>
        <w:spacing w:after="70"/>
        <w:ind w:left="360" w:hanging="360"/>
      </w:pPr>
      <w:r>
        <w:rPr>
          <w:b/>
          <w:bCs/>
          <w:color w:val="17365D"/>
          <w:sz w:val="17"/>
          <w:szCs w:val="17"/>
        </w:rPr>
        <w:t xml:space="preserve">SNMMI/EANM SSTR PET. </w:t>
      </w:r>
      <w:r>
        <w:rPr>
          <w:sz w:val="17"/>
          <w:szCs w:val="17"/>
        </w:rPr>
        <w:t xml:space="preserve">Hope TA, Allen-Auerbach M, Bodei L, et al. SNMMI procedure standard/EANM practice guideline for SSTR PET: imaging neuroendocrine tumors. J Nucl Med. 2023;64(2):204-210. doi:10.2967/jnumed.122.264860. PMID:36725249.</w:t>
      </w:r>
    </w:p>
    <w:p>
      <w:pPr>
        <w:spacing w:after="70"/>
        <w:ind w:left="360" w:hanging="360"/>
      </w:pPr>
      <w:r>
        <w:rPr>
          <w:b/>
          <w:bCs/>
          <w:color w:val="17365D"/>
          <w:sz w:val="17"/>
          <w:szCs w:val="17"/>
        </w:rPr>
        <w:t xml:space="preserve">This page is a first draft. </w:t>
      </w:r>
      <w:r>
        <w:rPr>
          <w:sz w:val="17"/>
          <w:szCs w:val="17"/>
        </w:rPr>
        <w:t xml:space="preserve">There is no Memorial Hermann system roadmap for primary pancreatic neuroendocrine tumour and no guideline alignment worksheet for it. Every position on this page was assembled from published guidelines and primary literature for this draft; none of it has been through multidisciplinary or institutional governance review, and nothing on it should be read as an institutional decision that has been taken.</w:t>
      </w:r>
    </w:p>
    <w:p>
      <w:pPr>
        <w:pStyle w:val="Heading3"/>
        <w:keepNext/>
        <w:spacing w:after="110" w:before="240"/>
      </w:pPr>
      <w:r>
        <w:rPr>
          <w:rFonts w:ascii="Cambria" w:cs="Cambria" w:eastAsia="Cambria" w:hAnsi="Cambria"/>
          <w:b/>
          <w:bCs/>
          <w:color w:val="17365D"/>
          <w:sz w:val="22"/>
          <w:szCs w:val="22"/>
        </w:rPr>
        <w:t xml:space="preserve">Hereditary syndromes</w:t>
      </w:r>
    </w:p>
    <w:p>
      <w:pPr>
        <w:spacing w:after="70"/>
        <w:ind w:left="360" w:hanging="360"/>
      </w:pPr>
      <w:r>
        <w:rPr>
          <w:b/>
          <w:bCs/>
          <w:color w:val="17365D"/>
          <w:sz w:val="17"/>
          <w:szCs w:val="17"/>
        </w:rPr>
        <w:t xml:space="preserve">Blansfield 2007. </w:t>
      </w:r>
      <w:r>
        <w:rPr>
          <w:sz w:val="17"/>
          <w:szCs w:val="17"/>
        </w:rPr>
        <w:t xml:space="preserve">Blansfield JA, Choyke L, Morita SY, et al. Clinical, genetic and radiographic analysis of 108 patients with von Hippel-Lindau disease (VHL) manifested by pancreatic neuroendocrine neoplasms (PNETs). Surgery. 2007;142(6):814-8; discussion 818.e1-2. doi:10.1016/j.surg.2007.09.012. PMID:18063061.</w:t>
      </w:r>
    </w:p>
    <w:p>
      <w:pPr>
        <w:spacing w:after="70"/>
        <w:ind w:left="360" w:hanging="360"/>
      </w:pPr>
      <w:r>
        <w:rPr>
          <w:b/>
          <w:bCs/>
          <w:color w:val="17365D"/>
          <w:sz w:val="17"/>
          <w:szCs w:val="17"/>
        </w:rPr>
        <w:t xml:space="preserve">Faggiano 2020. </w:t>
      </w:r>
      <w:r>
        <w:rPr>
          <w:sz w:val="17"/>
          <w:szCs w:val="17"/>
        </w:rPr>
        <w:t xml:space="preserve">Faggiano A, Modica R, Lo Calzo F, et al. Lanreotide therapy vs active surveillance in MEN1-related pancreatic neuroendocrine tumors &lt;2 centimeters. J Clin Endocrinol Metab. 2020;105(1):dgz007. doi:10.1210/clinem/dgz007. PMID:31586182.</w:t>
      </w:r>
    </w:p>
    <w:p>
      <w:pPr>
        <w:spacing w:after="70"/>
        <w:ind w:left="360" w:hanging="360"/>
      </w:pPr>
      <w:r>
        <w:rPr>
          <w:b/>
          <w:bCs/>
          <w:color w:val="17365D"/>
          <w:sz w:val="17"/>
          <w:szCs w:val="17"/>
        </w:rPr>
        <w:t xml:space="preserve">LITESPARK-004. </w:t>
      </w:r>
      <w:r>
        <w:rPr>
          <w:sz w:val="17"/>
          <w:szCs w:val="17"/>
        </w:rPr>
        <w:t xml:space="preserve">Jonasch E, Donskov F, Iliopoulos O, et al. Belzutifan for renal cell carcinoma in von Hippel-Lindau disease. N Engl J Med. 2021;385(22):2036-2046. doi:10.1056/NEJMoa2103425. PMID:34818478.</w:t>
      </w:r>
    </w:p>
    <w:p>
      <w:pPr>
        <w:spacing w:after="70"/>
        <w:ind w:left="360" w:hanging="360"/>
      </w:pPr>
      <w:r>
        <w:rPr>
          <w:b/>
          <w:bCs/>
          <w:color w:val="17365D"/>
          <w:sz w:val="17"/>
          <w:szCs w:val="17"/>
        </w:rPr>
        <w:t xml:space="preserve">Triponez 2006. </w:t>
      </w:r>
      <w:r>
        <w:rPr>
          <w:sz w:val="17"/>
          <w:szCs w:val="17"/>
        </w:rPr>
        <w:t xml:space="preserve">Triponez F, Dosseh D, Goudet P, et al. Epidemiology data on 108 MEN 1 patients from the GTE with isolated nonfunctioning tumors of the pancreas. Ann Surg. 2006;243(2):265-72. doi:10.1097/01.sla.0000197715.96762.68. PMID:16432361.</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Antwi 2018 GLP-1R PET. </w:t>
      </w:r>
      <w:r>
        <w:rPr>
          <w:sz w:val="17"/>
          <w:szCs w:val="17"/>
        </w:rPr>
        <w:t xml:space="preserve">Antwi K, Fani M, Heye T, et al. Comparison of glucagon-like peptide-1 receptor (GLP-1R) PET/CT, SPECT/CT and 3T MRI for the localisation of occult insulinomas: evaluation of diagnostic accuracy in a prospective crossover imaging study. Eur J Nucl Med Mol Imaging. 2018;45(13):2318-2327. doi:10.1007/s00259-018-4101-5. PMID:30054698.</w:t>
      </w:r>
    </w:p>
    <w:p>
      <w:pPr>
        <w:spacing w:after="70"/>
        <w:ind w:left="360" w:hanging="360"/>
      </w:pPr>
      <w:r>
        <w:rPr>
          <w:b/>
          <w:bCs/>
          <w:color w:val="17365D"/>
          <w:sz w:val="17"/>
          <w:szCs w:val="17"/>
        </w:rPr>
        <w:t xml:space="preserve">Makris 2023. </w:t>
      </w:r>
      <w:r>
        <w:rPr>
          <w:sz w:val="17"/>
          <w:szCs w:val="17"/>
        </w:rPr>
        <w:t xml:space="preserve">Makris EA, Cannon JGD, Norton JA, et al. Calcifications and cystic morphology on preoperative imaging predict survival after resection of pancreatic neuroendocrine tumors. Ann Surg Oncol. 2023;30(4):2424-2430. doi:10.1245/s10434-022-12783-8. PMID:36434481.</w:t>
      </w:r>
    </w:p>
    <w:p>
      <w:pPr>
        <w:spacing w:after="70"/>
        <w:ind w:left="360" w:hanging="360"/>
      </w:pPr>
      <w:r>
        <w:rPr>
          <w:b/>
          <w:bCs/>
          <w:color w:val="17365D"/>
          <w:sz w:val="17"/>
          <w:szCs w:val="17"/>
        </w:rPr>
        <w:t xml:space="preserve">NETPET derivation. </w:t>
      </w:r>
      <w:r>
        <w:rPr>
          <w:sz w:val="17"/>
          <w:szCs w:val="17"/>
        </w:rPr>
        <w:t xml:space="preserve">Chan DL, Pavlakis N, Schembri GP, et al. Dual somatostatin receptor/FDG PET/CT imaging in metastatic neuroendocrine tumours: proposal for a novel grading scheme with prognostic significance. Theranostics. 2017;7(5):1149-1158. doi:10.7150/thno.18068. PMID:28435454.</w:t>
      </w:r>
    </w:p>
    <w:p>
      <w:pPr>
        <w:spacing w:after="70"/>
        <w:ind w:left="360" w:hanging="360"/>
      </w:pPr>
      <w:r>
        <w:rPr>
          <w:b/>
          <w:bCs/>
          <w:color w:val="17365D"/>
          <w:sz w:val="17"/>
          <w:szCs w:val="17"/>
        </w:rPr>
        <w:t xml:space="preserve">NETPET validation. </w:t>
      </w:r>
      <w:r>
        <w:rPr>
          <w:sz w:val="17"/>
          <w:szCs w:val="17"/>
        </w:rPr>
        <w:t xml:space="preserve">Chan DL, Hayes AR, Karfis I, et al. Dual [68Ga]DOTATATE and [18F]FDG PET/CT in patients with metastatic gastroenteropancreatic neuroendocrine neoplasms: a multicentre validation of the NETPET score. Br J Cancer. 2023;128(4):549-555. doi:10.1038/s41416-022-02061-5. PMID:36434154.</w:t>
      </w:r>
    </w:p>
    <w:p>
      <w:pPr>
        <w:spacing w:after="70"/>
        <w:ind w:left="360" w:hanging="360"/>
      </w:pPr>
      <w:r>
        <w:rPr>
          <w:b/>
          <w:bCs/>
          <w:color w:val="17365D"/>
          <w:sz w:val="17"/>
          <w:szCs w:val="17"/>
        </w:rPr>
        <w:t xml:space="preserve">Sadowski 2016. </w:t>
      </w:r>
      <w:r>
        <w:rPr>
          <w:sz w:val="17"/>
          <w:szCs w:val="17"/>
        </w:rPr>
        <w:t xml:space="preserve">Sadowski SM, Neychev V, Millo C, et al. Prospective study of 68Ga-DOTATATE positron emission tomography/computed tomography for detecting gastro-entero-pancreatic neuroendocrine tumors and unknown primary sites. J Clin Oncol. 2016;34(6):588-96. doi:10.1200/JCO.2015.64.0987. PMID:26712231.</w:t>
      </w:r>
    </w:p>
    <w:p>
      <w:pPr>
        <w:spacing w:after="70"/>
        <w:ind w:left="360" w:hanging="360"/>
      </w:pPr>
      <w:r>
        <w:rPr>
          <w:b/>
          <w:bCs/>
          <w:color w:val="17365D"/>
          <w:sz w:val="17"/>
          <w:szCs w:val="17"/>
        </w:rPr>
        <w:t xml:space="preserve">Wild 2021 GLP-1R review. </w:t>
      </w:r>
      <w:r>
        <w:rPr>
          <w:sz w:val="17"/>
          <w:szCs w:val="17"/>
        </w:rPr>
        <w:t xml:space="preserve">Wild D, Antwi K, Fani M, Christ ER. Glucagon-like peptide-1 receptor as emerging target: will it make it to the clinic? J Nucl Med. 2021;62(Suppl 2):44S-50S. doi:10.2967/jnumed.120.246009. PMID:34230073.</w:t>
      </w:r>
    </w:p>
    <w:p>
      <w:pPr>
        <w:pStyle w:val="Heading3"/>
        <w:keepNext/>
        <w:spacing w:after="110" w:before="240"/>
      </w:pPr>
      <w:r>
        <w:rPr>
          <w:rFonts w:ascii="Cambria" w:cs="Cambria" w:eastAsia="Cambria" w:hAnsi="Cambria"/>
          <w:b/>
          <w:bCs/>
          <w:color w:val="17365D"/>
          <w:sz w:val="22"/>
          <w:szCs w:val="22"/>
        </w:rPr>
        <w:t xml:space="preserve">Pathology</w:t>
      </w:r>
    </w:p>
    <w:p>
      <w:pPr>
        <w:spacing w:after="70"/>
        <w:ind w:left="360" w:hanging="360"/>
      </w:pPr>
      <w:r>
        <w:rPr>
          <w:b/>
          <w:bCs/>
          <w:color w:val="17365D"/>
          <w:sz w:val="17"/>
          <w:szCs w:val="17"/>
        </w:rPr>
        <w:t xml:space="preserve">Tang 2016. </w:t>
      </w:r>
      <w:r>
        <w:rPr>
          <w:sz w:val="17"/>
          <w:szCs w:val="17"/>
        </w:rPr>
        <w:t xml:space="preserve">Tang LH, Untch BR, Reidy DL, et al. Well-differentiated neuroendocrine tumors with a morphologically apparent high-grade component: a pathway distinct from poorly differentiated neuroendocrine carcinomas. Clin Cancer Res. 2016;22(4):1011-7. doi:10.1158/1078-0432.CCR-15-0548. PMID:26482044.</w:t>
      </w:r>
    </w:p>
    <w:p>
      <w:pPr>
        <w:spacing w:after="70"/>
        <w:ind w:left="360" w:hanging="360"/>
      </w:pPr>
      <w:r>
        <w:rPr>
          <w:b/>
          <w:bCs/>
          <w:color w:val="17365D"/>
          <w:sz w:val="17"/>
          <w:szCs w:val="17"/>
        </w:rPr>
        <w:t xml:space="preserve">Weynand 2014. </w:t>
      </w:r>
      <w:r>
        <w:rPr>
          <w:sz w:val="17"/>
          <w:szCs w:val="17"/>
        </w:rPr>
        <w:t xml:space="preserve">Weynand B, Borbath I, Bernard V, et al. Pancreatic neuroendocrine tumour grading on endoscopic ultrasound-guided fine needle aspiration: high reproducibility and inter-observer agreement of the Ki-67 labelling index. Cytopathology. 2014;25(6):389-95. doi:10.1111/cyt.12111. PMID:24750272.</w:t>
      </w:r>
    </w:p>
    <w:p>
      <w:pPr>
        <w:spacing w:after="70"/>
        <w:ind w:left="360" w:hanging="360"/>
      </w:pPr>
      <w:r>
        <w:rPr>
          <w:b/>
          <w:bCs/>
          <w:color w:val="17365D"/>
          <w:sz w:val="17"/>
          <w:szCs w:val="17"/>
        </w:rPr>
        <w:t xml:space="preserve">WHO 2019 digestive. </w:t>
      </w:r>
      <w:r>
        <w:rPr>
          <w:sz w:val="17"/>
          <w:szCs w:val="17"/>
        </w:rPr>
        <w:t xml:space="preserve">Klimstra DS, Klöppel G, La Rosa S, et al. Classification of neuroendocrine neoplasms of the digestive system. In: WHO Classification of Tumours Editorial Board. Digestive system tumours. 5th ed, vol 1. Lyon: International Agency for Research on Cancer; 2019. The grading criteria on this page are taken from the table NCCN reproduces from this source with permission; confirm against the current WHO volume.</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Bilimoria 2008. </w:t>
      </w:r>
      <w:r>
        <w:rPr>
          <w:sz w:val="17"/>
          <w:szCs w:val="17"/>
        </w:rPr>
        <w:t xml:space="preserve">Bilimoria KY, Talamonti MS, Tomlinson JS, et al. Prognostic score predicting survival after resection of pancreatic neuroendocrine tumors: analysis of 3851 patients. Ann Surg. 2008;247(3):490-500. doi:10.1097/SLA.0b013e31815b9cae. PMID:18376195.</w:t>
      </w:r>
    </w:p>
    <w:p>
      <w:pPr>
        <w:spacing w:after="70"/>
        <w:ind w:left="360" w:hanging="360"/>
      </w:pPr>
      <w:r>
        <w:rPr>
          <w:b/>
          <w:bCs/>
          <w:color w:val="17365D"/>
          <w:sz w:val="17"/>
          <w:szCs w:val="17"/>
        </w:rPr>
        <w:t xml:space="preserve">Gratian 2014. </w:t>
      </w:r>
      <w:r>
        <w:rPr>
          <w:sz w:val="17"/>
          <w:szCs w:val="17"/>
        </w:rPr>
        <w:t xml:space="preserve">Gratian L, Pura J, Dinan M, Roman S, Reed S, Sosa JA. Impact of extent of surgery on survival in patients with small nonfunctional pancreatic neuroendocrine tumors in the United States. Ann Surg Oncol. 2014;21(11):3515-21. doi:10.1245/s10434-014-3769-4. PMID:24841347.</w:t>
      </w:r>
    </w:p>
    <w:p>
      <w:pPr>
        <w:spacing w:after="70"/>
        <w:ind w:left="360" w:hanging="360"/>
      </w:pPr>
      <w:r>
        <w:rPr>
          <w:b/>
          <w:bCs/>
          <w:color w:val="17365D"/>
          <w:sz w:val="17"/>
          <w:szCs w:val="17"/>
        </w:rPr>
        <w:t xml:space="preserve">Hashim 2014. </w:t>
      </w:r>
      <w:r>
        <w:rPr>
          <w:sz w:val="17"/>
          <w:szCs w:val="17"/>
        </w:rPr>
        <w:t xml:space="preserve">Hashim YM, Trinkaus KM, Linehan DC, et al. Regional lymphadenectomy is indicated in the surgical treatment of pancreatic neuroendocrine tumors (PNETs). Ann Surg. 2014;259(2):197-203. doi:10.1097/SLA.0000000000000348. PMID:24253141.</w:t>
      </w:r>
    </w:p>
    <w:p>
      <w:pPr>
        <w:spacing w:after="70"/>
        <w:ind w:left="360" w:hanging="360"/>
      </w:pPr>
      <w:r>
        <w:rPr>
          <w:b/>
          <w:bCs/>
          <w:color w:val="17365D"/>
          <w:sz w:val="17"/>
          <w:szCs w:val="17"/>
        </w:rPr>
        <w:t xml:space="preserve">Hüttner 2015. </w:t>
      </w:r>
      <w:r>
        <w:rPr>
          <w:sz w:val="17"/>
          <w:szCs w:val="17"/>
        </w:rPr>
        <w:t xml:space="preserve">Hüttner FJ, Koessler-Ebs J, Hackert T, Ulrich A, Büchler MW, Diener MK. Meta-analysis of surgical outcome after enucleation versus standard resection for pancreatic neoplasms. Br J Surg. 2015;102(9):1026-36. doi:10.1002/bjs.9819. PMID:26041666.</w:t>
      </w:r>
    </w:p>
    <w:p>
      <w:pPr>
        <w:spacing w:after="70"/>
        <w:ind w:left="360" w:hanging="360"/>
      </w:pPr>
      <w:r>
        <w:rPr>
          <w:b/>
          <w:bCs/>
          <w:color w:val="17365D"/>
          <w:sz w:val="17"/>
          <w:szCs w:val="17"/>
        </w:rPr>
        <w:t xml:space="preserve">Norton 2006. </w:t>
      </w:r>
      <w:r>
        <w:rPr>
          <w:sz w:val="17"/>
          <w:szCs w:val="17"/>
        </w:rPr>
        <w:t xml:space="preserve">Norton JA, Fraker DL, Alexander HR, et al. Surgery increases survival in patients with gastrinoma. Ann Surg. 2006;244(3):410-9. doi:10.1097/01.sla.0000234802.44320.a5. PMID:16926567.</w:t>
      </w:r>
    </w:p>
    <w:p>
      <w:pPr>
        <w:pStyle w:val="Heading3"/>
        <w:keepNext/>
        <w:spacing w:after="110" w:before="240"/>
      </w:pPr>
      <w:r>
        <w:rPr>
          <w:rFonts w:ascii="Cambria" w:cs="Cambria" w:eastAsia="Cambria" w:hAnsi="Cambria"/>
          <w:b/>
          <w:bCs/>
          <w:color w:val="17365D"/>
          <w:sz w:val="22"/>
          <w:szCs w:val="22"/>
        </w:rPr>
        <w:t xml:space="preserve">Surveillance</w:t>
      </w:r>
    </w:p>
    <w:p>
      <w:pPr>
        <w:spacing w:after="70"/>
        <w:ind w:left="360" w:hanging="360"/>
      </w:pPr>
      <w:r>
        <w:rPr>
          <w:b/>
          <w:bCs/>
          <w:color w:val="17365D"/>
          <w:sz w:val="17"/>
          <w:szCs w:val="17"/>
        </w:rPr>
        <w:t xml:space="preserve">ASPEN interim. </w:t>
      </w:r>
      <w:r>
        <w:rPr>
          <w:sz w:val="17"/>
          <w:szCs w:val="17"/>
        </w:rPr>
        <w:t xml:space="preserve">Partelli S, Massironi S, Zerbi A, et al. Management of asymptomatic sporadic non-functioning pancreatic neuroendocrine neoplasms no larger than 2 cm: interim analysis of prospective ASPEN trial. Br J Surg. 2022;109(12):1186-1190. doi:10.1093/bjs/znac267. PMID:35986682.</w:t>
      </w:r>
    </w:p>
    <w:p>
      <w:pPr>
        <w:spacing w:after="70"/>
        <w:ind w:left="360" w:hanging="360"/>
      </w:pPr>
      <w:r>
        <w:rPr>
          <w:b/>
          <w:bCs/>
          <w:color w:val="17365D"/>
          <w:sz w:val="17"/>
          <w:szCs w:val="17"/>
        </w:rPr>
        <w:t xml:space="preserve">Genc recurrence score. </w:t>
      </w:r>
      <w:r>
        <w:rPr>
          <w:sz w:val="17"/>
          <w:szCs w:val="17"/>
        </w:rPr>
        <w:t xml:space="preserve">Genç CG, Jilesen AP, Partelli S, et al. A new scoring system to predict recurrent disease in grade 1 and 2 nonfunctional pancreatic neuroendocrine tumors. Ann Surg. 2018;267(6):1148-1154. doi:10.1097/SLA.0000000000002123. PMID:28594340.</w:t>
      </w:r>
    </w:p>
    <w:p>
      <w:pPr>
        <w:spacing w:after="70"/>
        <w:ind w:left="360" w:hanging="360"/>
      </w:pPr>
      <w:r>
        <w:rPr>
          <w:b/>
          <w:bCs/>
          <w:color w:val="17365D"/>
          <w:sz w:val="17"/>
          <w:szCs w:val="17"/>
        </w:rPr>
        <w:t xml:space="preserve">PANDORA. </w:t>
      </w:r>
      <w:r>
        <w:rPr>
          <w:sz w:val="17"/>
          <w:szCs w:val="17"/>
        </w:rPr>
        <w:t xml:space="preserve">Heidsma CM, Engelsman AF, van Dieren S, et al. Watchful waiting for small non-functional pancreatic neuroendocrine tumours: nationwide prospective cohort study (PANDORA). Br J Surg. 2021;108(8):888-891. doi:10.1093/bjs/znab088. PMID:33783475.</w:t>
      </w:r>
    </w:p>
    <w:p>
      <w:pPr>
        <w:spacing w:after="70"/>
        <w:ind w:left="360" w:hanging="360"/>
      </w:pPr>
      <w:r>
        <w:rPr>
          <w:b/>
          <w:bCs/>
          <w:color w:val="17365D"/>
          <w:sz w:val="17"/>
          <w:szCs w:val="17"/>
        </w:rPr>
        <w:t xml:space="preserve">Sadot 2016. </w:t>
      </w:r>
      <w:r>
        <w:rPr>
          <w:sz w:val="17"/>
          <w:szCs w:val="17"/>
        </w:rPr>
        <w:t xml:space="preserve">Sadot E, Reidy-Lagunes DL, Tang LH, et al. Observation versus resection for small asymptomatic pancreatic neuroendocrine tumors: a matched case-control study. Ann Surg Oncol. 2016;23(4):1361-70. doi:10.1245/s10434-015-4986-1. PMID:26597365.</w:t>
      </w:r>
    </w:p>
    <w:p>
      <w:pPr>
        <w:spacing w:after="70"/>
        <w:ind w:left="360" w:hanging="360"/>
      </w:pPr>
      <w:r>
        <w:rPr>
          <w:b/>
          <w:bCs/>
          <w:color w:val="17365D"/>
          <w:sz w:val="17"/>
          <w:szCs w:val="17"/>
        </w:rPr>
        <w:t xml:space="preserve">Singh 2018 follow-up. </w:t>
      </w:r>
      <w:r>
        <w:rPr>
          <w:sz w:val="17"/>
          <w:szCs w:val="17"/>
        </w:rPr>
        <w:t xml:space="preserve">Singh S, Moody L, Chan DL, et al. Follow-up recommendations for completely resected gastroenteropancreatic neuroendocrine tumors. JAMA Oncol. 2018;4(11):1597-1604. doi:10.1001/jamaoncol.2018.2428. PMID:30054622.</w:t>
      </w:r>
    </w:p>
    <w:p>
      <w:pPr>
        <w:spacing w:after="70"/>
        <w:ind w:left="360" w:hanging="360"/>
      </w:pPr>
      <w:r>
        <w:rPr>
          <w:b/>
          <w:bCs/>
          <w:color w:val="17365D"/>
          <w:sz w:val="17"/>
          <w:szCs w:val="17"/>
        </w:rPr>
        <w:t xml:space="preserve">Yang 2022 SEER. </w:t>
      </w:r>
      <w:r>
        <w:rPr>
          <w:sz w:val="17"/>
          <w:szCs w:val="17"/>
        </w:rPr>
        <w:t xml:space="preserve">Yang Z, Zhang D, Shi G. Reappraisal of a 2-cm cutoff size for the management of nonfunctional pancreatic neuroendocrine tumors: a population-based study. Front Endocrinol (Lausanne). 2022;13:928341. doi:10.3389/fendo.2022.928341. PMID:35923628.</w:t>
      </w:r>
    </w:p>
    <w:p>
      <w:pPr>
        <w:spacing w:after="70"/>
        <w:ind w:left="360" w:hanging="360"/>
      </w:pPr>
      <w:r>
        <w:rPr>
          <w:b/>
          <w:bCs/>
          <w:color w:val="17365D"/>
          <w:sz w:val="17"/>
          <w:szCs w:val="17"/>
        </w:rPr>
        <w:t xml:space="preserve">Zheng-Pywell 2022. </w:t>
      </w:r>
      <w:r>
        <w:rPr>
          <w:sz w:val="17"/>
          <w:szCs w:val="17"/>
        </w:rPr>
        <w:t xml:space="preserve">Zheng-Pywell R, Lopez-Aguiar A, Fields RC, et al. Are we undertreating Black patients with nonfunctional pancreatic neuroendocrine tumors? Critical analysis of current surveillance guidelines by race. J Am Coll Surg. 2022;234(4):599-606. doi:10.1097/XCS.0000000000000105. PMID:35380181.</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NCT05040360. </w:t>
      </w:r>
      <w:r>
        <w:rPr>
          <w:sz w:val="17"/>
          <w:szCs w:val="17"/>
        </w:rPr>
        <w:t xml:space="preserve">Randomised trial of chemotherapy after resection of pancreatic neuroendocrine tumour, cited by NCCN as the ongoing study exploring the utility of adjuvant treatment. Named here because it is the correct destination for a resected patient who wants adjuvant therapy; the local site status and eligibility must be confirmed before a patient is counselled about it.</w:t>
      </w:r>
    </w:p>
    <w:p>
      <w:pPr>
        <w:spacing w:after="70"/>
        <w:ind w:left="360" w:hanging="360"/>
      </w:pPr>
      <w:r>
        <w:rPr>
          <w:b/>
          <w:bCs/>
          <w:color w:val="17365D"/>
          <w:sz w:val="17"/>
          <w:szCs w:val="17"/>
        </w:rPr>
        <w:t xml:space="preserve">NORDIC NEC. </w:t>
      </w:r>
      <w:r>
        <w:rPr>
          <w:sz w:val="17"/>
          <w:szCs w:val="17"/>
        </w:rPr>
        <w:t xml:space="preserve">Sorbye H, Welin S, Langer SW, et al. Predictive and prognostic factors for treatment and survival in 305 patients with advanced gastrointestinal neuroendocrine carcinoma (WHO G3): the NORDIC NEC study. Ann Oncol. 2013;24(1):152-60. doi:10.1093/annonc/mds276. PMID:22967994.</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28 of this pathway's 39 sources were read in full and abstracted this way. 11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Antwi 2018 GLP-1R PET</w:t>
      </w:r>
      <w:r>
        <w:rPr>
          <w:b/>
          <w:bCs/>
          <w:color w:val="176A87"/>
          <w:sz w:val="15"/>
          <w:szCs w:val="15"/>
        </w:rPr>
        <w:t xml:space="preserve">   Prospective cohort</w:t>
      </w:r>
      <w:r>
        <w:rPr>
          <w:color w:val="5A6069"/>
          <w:sz w:val="15"/>
          <w:szCs w:val="15"/>
        </w:rPr>
        <w:t xml:space="preserve">   PMID 30054698</w:t>
      </w:r>
    </w:p>
    <w:p>
      <w:pPr>
        <w:spacing w:after="50" w:line="276"/>
      </w:pPr>
      <w:r>
        <w:rPr>
          <w:color w:val="5A6069"/>
          <w:sz w:val="17"/>
          <w:szCs w:val="17"/>
        </w:rPr>
        <w:t xml:space="preserve">Comparison of glucagon-like peptide-1 receptor (GLP-1R) PET/CT, SPECT/CT and 3T MRI for the localisation of occult insulinomas: evaluation of diagnostic accuracy in a prospective crossover imaging study.</w:t>
      </w:r>
    </w:p>
    <w:p>
      <w:pPr>
        <w:spacing w:after="50"/>
      </w:pPr>
      <w:r>
        <w:rPr>
          <w:b/>
          <w:bCs/>
          <w:color w:val="176A87"/>
          <w:sz w:val="16"/>
          <w:szCs w:val="16"/>
        </w:rPr>
        <w:t xml:space="preserve">Population. </w:t>
      </w:r>
      <w:r>
        <w:rPr>
          <w:sz w:val="16"/>
          <w:szCs w:val="16"/>
        </w:rPr>
        <w:t xml:space="preserve">52 patients enrolled; 38 with conclusive histology formed the main accuracy analysis</w:t>
      </w:r>
    </w:p>
    <w:p>
      <w:pPr>
        <w:spacing w:after="70"/>
      </w:pPr>
      <w:r>
        <w:rPr>
          <w:b/>
          <w:bCs/>
          <w:color w:val="17365D"/>
          <w:sz w:val="16"/>
          <w:szCs w:val="16"/>
        </w:rPr>
        <w:t xml:space="preserve">Bottom line. </w:t>
      </w:r>
      <w:r>
        <w:rPr>
          <w:sz w:val="16"/>
          <w:szCs w:val="16"/>
        </w:rPr>
        <w:t xml:space="preserve">In patients whose insulinoma has already escaped conventional imaging, 68Ga-DOTA-exendin-4 PET/CT localised the lesion far more accurately and reproducibly than exendin SPECT/CT or 3T MRI, but the accuracy figures are measured only in the 38 of 52 patients who reached surgery and say nothing about specificity or about non-functioning pancreatic NET.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GLP-1R imaging was deliberately compared with a standardised study MRI rather than with EUS or arterial calcium stimulation and venous sampling, so no comparison with those modalities is possible</w:t>
            </w:r>
          </w:p>
          <w:p>
            <w:pPr>
              <w:pStyle w:val="ListParagraph"/>
              <w:numPr>
                <w:ilvl w:val="0"/>
                <w:numId w:val="2"/>
              </w:numPr>
              <w:spacing w:after="45"/>
            </w:pPr>
            <w:r>
              <w:rPr>
                <w:sz w:val="15"/>
                <w:szCs w:val="15"/>
              </w:rPr>
              <w:t xml:space="preserve">Because inclusion required a pathological fasting test, specificity and negative predictive value of the tested modalities cannot be evaluated</w:t>
            </w:r>
          </w:p>
          <w:p>
            <w:pPr>
              <w:pStyle w:val="ListParagraph"/>
              <w:numPr>
                <w:ilvl w:val="0"/>
                <w:numId w:val="2"/>
              </w:numPr>
              <w:spacing w:after="45"/>
            </w:pPr>
            <w:r>
              <w:rPr>
                <w:sz w:val="15"/>
                <w:szCs w:val="15"/>
              </w:rPr>
              <w:t xml:space="preserve">Diagnostic accuracy and sensitivity are overestimated by the chosen reference standard: PET/CT showed a suspicious lesion in only 78.8% of all 52 patients, while the analysis set is the 38 who reached surgery and conclusive histology</w:t>
            </w:r>
          </w:p>
          <w:p>
            <w:pPr>
              <w:pStyle w:val="ListParagraph"/>
              <w:numPr>
                <w:ilvl w:val="0"/>
                <w:numId w:val="2"/>
              </w:numPr>
              <w:spacing w:after="45"/>
            </w:pPr>
            <w:r>
              <w:rPr>
                <w:sz w:val="15"/>
                <w:szCs w:val="15"/>
              </w:rPr>
              <w:t xml:space="preserve">In five patients (9.6%) imaging findings were inconclusive with lesions in different locations, which did not justify surgery and which a fasting test could not adjudicate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Fourteen of 52 enrolled patients are absent from the accuracy analysis precisely because imaging was negative, discordant or surgery was declined - the denominator excludes the cases in which the index test failed, which is the classic verification bias of an imaging study with a surgical reference standard, and the authors concede it inflates sensitivity</w:t>
            </w:r>
          </w:p>
          <w:p>
            <w:pPr>
              <w:pStyle w:val="ListParagraph"/>
              <w:numPr>
                <w:ilvl w:val="0"/>
                <w:numId w:val="2"/>
              </w:numPr>
              <w:spacing w:after="45"/>
            </w:pPr>
            <w:r>
              <w:rPr>
                <w:sz w:val="15"/>
                <w:szCs w:val="15"/>
              </w:rPr>
              <w:t xml:space="preserve">The referral stream selected patients whose insulinoma had already defeated CT, MRI, EUS and in 13 cases ASVS, biopsy or surgery; the resulting 40% accuracy for prior external CT/MRI is therefore not a general estimate of those tests but an artefact of why the patient was sent to Basel</w:t>
            </w:r>
          </w:p>
          <w:p>
            <w:pPr>
              <w:pStyle w:val="ListParagraph"/>
              <w:numPr>
                <w:ilvl w:val="0"/>
                <w:numId w:val="2"/>
              </w:numPr>
              <w:spacing w:after="45"/>
            </w:pPr>
            <w:r>
              <w:rPr>
                <w:sz w:val="15"/>
                <w:szCs w:val="15"/>
              </w:rPr>
              <w:t xml:space="preserve">The index test was read by three blinded readers while prior external CT/MRI was read once at the referring centre, so the two arms of the comparison had different reading rigour</w:t>
            </w:r>
          </w:p>
          <w:p>
            <w:pPr>
              <w:pStyle w:val="ListParagraph"/>
              <w:numPr>
                <w:ilvl w:val="0"/>
                <w:numId w:val="2"/>
              </w:numPr>
              <w:spacing w:after="45"/>
            </w:pPr>
            <w:r>
              <w:rPr>
                <w:sz w:val="15"/>
                <w:szCs w:val="15"/>
              </w:rPr>
              <w:t xml:space="preserve">Surgical planning used all available imaging together, which makes the modality-specific 'impact on management' percentages unattributable; two of the patients counted as impacted (4 and 19) refused surgery and one (31) was a false positive</w:t>
            </w:r>
          </w:p>
          <w:p>
            <w:pPr>
              <w:pStyle w:val="ListParagraph"/>
              <w:numPr>
                <w:ilvl w:val="0"/>
                <w:numId w:val="2"/>
              </w:numPr>
              <w:spacing w:after="45"/>
            </w:pPr>
            <w:r>
              <w:rPr>
                <w:sz w:val="15"/>
                <w:szCs w:val="15"/>
              </w:rPr>
              <w:t xml:space="preserve">Six of 36 patients had MEN1, where multifocal lesions change the detection task and where PET's ability to discriminate insulin-producing from non-functioning lesions is a different claim from localisation accuracy</w:t>
            </w:r>
          </w:p>
          <w:p>
            <w:pPr>
              <w:pStyle w:val="ListParagraph"/>
              <w:numPr>
                <w:ilvl w:val="0"/>
                <w:numId w:val="2"/>
              </w:numPr>
              <w:spacing w:after="45"/>
            </w:pPr>
            <w:r>
              <w:rPr>
                <w:sz w:val="15"/>
                <w:szCs w:val="15"/>
              </w:rPr>
              <w:t xml:space="preserve">The sample size was chosen on 'a feasibility rationale and experience' with no formal power calculation, and the authors state that no adjustment was made for multiple testing across four modalities and three readers</w:t>
            </w:r>
          </w:p>
          <w:p>
            <w:pPr>
              <w:pStyle w:val="ListParagraph"/>
              <w:numPr>
                <w:ilvl w:val="0"/>
                <w:numId w:val="2"/>
              </w:numPr>
              <w:spacing w:after="45"/>
            </w:pPr>
            <w:r>
              <w:rPr>
                <w:sz w:val="15"/>
                <w:szCs w:val="15"/>
              </w:rPr>
              <w:t xml:space="preserve">Single centre, single radiochemistry facility, with the tracer developed by the same group - external reproducibility is untested</w:t>
            </w:r>
          </w:p>
        </w:tc>
      </w:tr>
    </w:tbl>
    <w:p>
      <w:pPr>
        <w:spacing w:after="0" w:line="276"/>
      </w:pPr>
      <w:r>
        <w:rPr>
          <w:color w:val="5A6069"/>
          <w:sz w:val="14"/>
          <w:szCs w:val="14"/>
        </w:rPr>
        <w:t xml:space="preserve">Funding: Swiss National Science Foundation grant 320030-152938 and the Desiree and Niels Yde Foundation grant 389-12, neither with any role in design, collection, analysis, interpretation or writing. Authors declared no conflict of interest.</w:t>
      </w:r>
    </w:p>
    <w:p>
      <w:pPr>
        <w:keepNext/>
        <w:spacing w:after="50" w:before="260"/>
      </w:pPr>
      <w:r>
        <w:rPr>
          <w:rFonts w:ascii="Cambria" w:cs="Cambria" w:eastAsia="Cambria" w:hAnsi="Cambria"/>
          <w:b/>
          <w:bCs/>
          <w:color w:val="17365D"/>
          <w:sz w:val="20"/>
          <w:szCs w:val="20"/>
        </w:rPr>
        <w:t xml:space="preserve">ASPEN interim</w:t>
      </w:r>
      <w:r>
        <w:rPr>
          <w:b/>
          <w:bCs/>
          <w:color w:val="176A87"/>
          <w:sz w:val="15"/>
          <w:szCs w:val="15"/>
        </w:rPr>
        <w:t xml:space="preserve">   Prospective cohort</w:t>
      </w:r>
      <w:r>
        <w:rPr>
          <w:color w:val="5A6069"/>
          <w:sz w:val="15"/>
          <w:szCs w:val="15"/>
        </w:rPr>
        <w:t xml:space="preserve">   PMID 35986682</w:t>
      </w:r>
    </w:p>
    <w:p>
      <w:pPr>
        <w:spacing w:after="50" w:line="276"/>
      </w:pPr>
      <w:r>
        <w:rPr>
          <w:color w:val="5A6069"/>
          <w:sz w:val="17"/>
          <w:szCs w:val="17"/>
        </w:rPr>
        <w:t xml:space="preserve">Management of asymptomatic sporadic non-functioning pancreatic neuroendocrine neoplasms no larger than 2 cm: interim analysis of prospective ASPEN trial.</w:t>
      </w:r>
    </w:p>
    <w:p>
      <w:pPr>
        <w:spacing w:after="50"/>
      </w:pPr>
      <w:r>
        <w:rPr>
          <w:b/>
          <w:bCs/>
          <w:color w:val="176A87"/>
          <w:sz w:val="16"/>
          <w:szCs w:val="16"/>
        </w:rPr>
        <w:t xml:space="preserve">Population. </w:t>
      </w:r>
      <w:r>
        <w:rPr>
          <w:sz w:val="16"/>
          <w:szCs w:val="16"/>
        </w:rPr>
        <w:t xml:space="preserve">500 patients (406 active surveillance, 94 surgical resection), from 540 assessed for eligibility</w:t>
      </w:r>
    </w:p>
    <w:p>
      <w:pPr>
        <w:spacing w:after="70"/>
      </w:pPr>
      <w:r>
        <w:rPr>
          <w:b/>
          <w:bCs/>
          <w:color w:val="17365D"/>
          <w:sz w:val="16"/>
          <w:szCs w:val="16"/>
        </w:rPr>
        <w:t xml:space="preserve">Bottom line. </w:t>
      </w:r>
      <w:r>
        <w:rPr>
          <w:sz w:val="16"/>
          <w:szCs w:val="16"/>
        </w:rPr>
        <w:t xml:space="preserve">The largest prospective series of sub-2 cm non-functioning pancreatic NEN shows that 81% are watched and almost none progress over two years, but the 20% rate of aggressive histology comes only from the selected patients who were resected, the two management strategies were never compared, and 25 months is far too short to settle the question the trial was designed to answer.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These are preliminary results; the study will conclude one year after enrolment of the last patient</w:t>
            </w:r>
          </w:p>
          <w:p>
            <w:pPr>
              <w:pStyle w:val="ListParagraph"/>
              <w:numPr>
                <w:ilvl w:val="0"/>
                <w:numId w:val="2"/>
              </w:numPr>
              <w:spacing w:after="45"/>
            </w:pPr>
            <w:r>
              <w:rPr>
                <w:sz w:val="15"/>
                <w:szCs w:val="15"/>
              </w:rPr>
              <w:t xml:space="preserve">Only a very low rate of tumour growth was seen after a median of 2 years, so longer follow-up is probably needed before definitive conclusions can be reached</w:t>
            </w:r>
          </w:p>
          <w:p>
            <w:pPr>
              <w:pStyle w:val="ListParagraph"/>
              <w:numPr>
                <w:ilvl w:val="0"/>
                <w:numId w:val="2"/>
              </w:numPr>
              <w:spacing w:after="45"/>
            </w:pPr>
            <w:r>
              <w:rPr>
                <w:sz w:val="15"/>
                <w:szCs w:val="15"/>
              </w:rPr>
              <w:t xml:space="preserve">The detection of synchronous liver metastases in four patients demonstrates a real, if rare, potential for distant spread among lesions of 2 cm or less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20% rate of aggressive histology is the paper's most quoted and most consequential number, and it comes entirely from the 94 resected patients - a group selected for larger size, duct dilatation, younger age, anxiety and surgeon preference - so it cannot be read as the prevalence of aggressive biology among sub-2 cm lesions, and certainly not among the 406 who were watched</w:t>
            </w:r>
          </w:p>
          <w:p>
            <w:pPr>
              <w:pStyle w:val="ListParagraph"/>
              <w:numPr>
                <w:ilvl w:val="0"/>
                <w:numId w:val="2"/>
              </w:numPr>
              <w:spacing w:after="45"/>
            </w:pPr>
            <w:r>
              <w:rPr>
                <w:sz w:val="15"/>
                <w:szCs w:val="15"/>
              </w:rPr>
              <w:t xml:space="preserve">Conversely, the surveillance arm's reassuring course rests on 25 months of follow-up with only 2% crossover, so neither arm was observed long enough or exchanged enough patients for the two to be tested against the same risk; no outcome comparison between the arms was performed at all</w:t>
            </w:r>
          </w:p>
          <w:p>
            <w:pPr>
              <w:pStyle w:val="ListParagraph"/>
              <w:numPr>
                <w:ilvl w:val="0"/>
                <w:numId w:val="2"/>
              </w:numPr>
              <w:spacing w:after="45"/>
            </w:pPr>
            <w:r>
              <w:rPr>
                <w:sz w:val="15"/>
                <w:szCs w:val="15"/>
              </w:rPr>
              <w:t xml:space="preserve">Treatment was assigned by the referring centre rather than randomised, and enrolment at a surgical centre independently doubled the odds of resection, so a substantial part of what the study measures is local institutional culture</w:t>
            </w:r>
          </w:p>
          <w:p>
            <w:pPr>
              <w:pStyle w:val="ListParagraph"/>
              <w:numPr>
                <w:ilvl w:val="0"/>
                <w:numId w:val="2"/>
              </w:numPr>
              <w:spacing w:after="45"/>
            </w:pPr>
            <w:r>
              <w:rPr>
                <w:sz w:val="15"/>
                <w:szCs w:val="15"/>
              </w:rPr>
              <w:t xml:space="preserve">The conclusion that 'active surveillance is the preferred approach' is asserted in the same paragraph as the finding of measurable metastatic potential and aggressive histology in a fifth of resected tumours, without any analysis that could compare the two strategies</w:t>
            </w:r>
          </w:p>
          <w:p>
            <w:pPr>
              <w:pStyle w:val="ListParagraph"/>
              <w:numPr>
                <w:ilvl w:val="0"/>
                <w:numId w:val="2"/>
              </w:numPr>
              <w:spacing w:after="45"/>
            </w:pPr>
            <w:r>
              <w:rPr>
                <w:sz w:val="15"/>
                <w:szCs w:val="15"/>
              </w:rPr>
              <w:t xml:space="preserve">The metastasis rate is printed as 0.08 per cent when 4 of 500 is 0.8 per cent - a tenfold typographical understatement of the key safety signal, uncorrected</w:t>
            </w:r>
          </w:p>
          <w:p>
            <w:pPr>
              <w:pStyle w:val="ListParagraph"/>
              <w:numPr>
                <w:ilvl w:val="0"/>
                <w:numId w:val="2"/>
              </w:numPr>
              <w:spacing w:after="45"/>
            </w:pPr>
            <w:r>
              <w:rPr>
                <w:sz w:val="15"/>
                <w:szCs w:val="15"/>
              </w:rPr>
              <w:t xml:space="preserve">A third of patients never had an FNA and grade was not evaluable in a quarter of those who did, so there is no histological characterisation of the surveillance arm and the extent of under-staging there is unmeasurable</w:t>
            </w:r>
          </w:p>
          <w:p>
            <w:pPr>
              <w:pStyle w:val="ListParagraph"/>
              <w:numPr>
                <w:ilvl w:val="0"/>
                <w:numId w:val="2"/>
              </w:numPr>
              <w:spacing w:after="45"/>
            </w:pPr>
            <w:r>
              <w:rPr>
                <w:sz w:val="15"/>
                <w:szCs w:val="15"/>
              </w:rPr>
              <w:t xml:space="preserve">Anxiety (HADS 4-6) independently predicted surgery, which means some pancreatectomies in this cohort were treating distress rather than tumour - a finding the paper notes without pursuing</w:t>
            </w:r>
          </w:p>
          <w:p>
            <w:pPr>
              <w:pStyle w:val="ListParagraph"/>
              <w:numPr>
                <w:ilvl w:val="0"/>
                <w:numId w:val="2"/>
              </w:numPr>
              <w:spacing w:after="45"/>
            </w:pPr>
            <w:r>
              <w:rPr>
                <w:sz w:val="15"/>
                <w:szCs w:val="15"/>
              </w:rPr>
              <w:t xml:space="preserve">The study is funded by ENETS, whose own guideline recommending surveillance for lesions of 2 cm or less is the hypothesis under test, and the senior authors wrote that guideline</w:t>
            </w:r>
          </w:p>
        </w:tc>
      </w:tr>
    </w:tbl>
    <w:p>
      <w:pPr>
        <w:spacing w:after="0" w:line="276"/>
      </w:pPr>
      <w:r>
        <w:rPr>
          <w:color w:val="5A6069"/>
          <w:sz w:val="14"/>
          <w:szCs w:val="14"/>
        </w:rPr>
        <w:t xml:space="preserve">Funding: European Neuroendocrine Tumor Society; the authors declare no conflict of interest.</w:t>
      </w:r>
    </w:p>
    <w:p>
      <w:pPr>
        <w:keepNext/>
        <w:spacing w:after="50" w:before="260"/>
      </w:pPr>
      <w:r>
        <w:rPr>
          <w:rFonts w:ascii="Cambria" w:cs="Cambria" w:eastAsia="Cambria" w:hAnsi="Cambria"/>
          <w:b/>
          <w:bCs/>
          <w:color w:val="17365D"/>
          <w:sz w:val="20"/>
          <w:szCs w:val="20"/>
        </w:rPr>
        <w:t xml:space="preserve">Bilimoria 2008</w:t>
      </w:r>
      <w:r>
        <w:rPr>
          <w:b/>
          <w:bCs/>
          <w:color w:val="176A87"/>
          <w:sz w:val="15"/>
          <w:szCs w:val="15"/>
        </w:rPr>
        <w:t xml:space="preserve">   Registry study</w:t>
      </w:r>
      <w:r>
        <w:rPr>
          <w:color w:val="5A6069"/>
          <w:sz w:val="15"/>
          <w:szCs w:val="15"/>
        </w:rPr>
        <w:t xml:space="preserve">   PMID 18376195</w:t>
      </w:r>
    </w:p>
    <w:p>
      <w:pPr>
        <w:spacing w:after="50" w:line="276"/>
      </w:pPr>
      <w:r>
        <w:rPr>
          <w:color w:val="5A6069"/>
          <w:sz w:val="17"/>
          <w:szCs w:val="17"/>
        </w:rPr>
        <w:t xml:space="preserve">Prognostic score predicting survival after resection of pancreatic neuroendocrine tumors: analysis of 3851 patients.</w:t>
      </w:r>
    </w:p>
    <w:p>
      <w:pPr>
        <w:spacing w:after="50"/>
      </w:pPr>
      <w:r>
        <w:rPr>
          <w:b/>
          <w:bCs/>
          <w:color w:val="176A87"/>
          <w:sz w:val="16"/>
          <w:szCs w:val="16"/>
        </w:rPr>
        <w:t xml:space="preserve">Population. </w:t>
      </w:r>
      <w:r>
        <w:rPr>
          <w:sz w:val="16"/>
          <w:szCs w:val="16"/>
        </w:rPr>
        <w:t xml:space="preserve">3851 patients who underwent pancreatectomy for PNET; 836 with complete data for all three score variables</w:t>
      </w:r>
    </w:p>
    <w:p>
      <w:pPr>
        <w:spacing w:after="70"/>
      </w:pPr>
      <w:r>
        <w:rPr>
          <w:b/>
          <w:bCs/>
          <w:color w:val="17365D"/>
          <w:sz w:val="16"/>
          <w:szCs w:val="16"/>
        </w:rPr>
        <w:t xml:space="preserve">Bottom line. </w:t>
      </w:r>
      <w:r>
        <w:rPr>
          <w:sz w:val="16"/>
          <w:szCs w:val="16"/>
        </w:rPr>
        <w:t xml:space="preserve">The largest resected PNET series ever assembled established age, tumour grade and distant metastasis as the dominant determinants of postresection survival and found no independent effect of tumour size, nodal status or margins - but the registry excluded benign-coded tumours, grade was missing in over 40%, and the resulting score discriminates only marginally better than chance.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Functionality of islet cell tumours is not explicitly recorded in cancer registries, so functional status is probably under-reported; the authors note the functional versus nonfunctional survival difference would likely widen if all benign functional tumours were reported</w:t>
            </w:r>
          </w:p>
          <w:p>
            <w:pPr>
              <w:pStyle w:val="ListParagraph"/>
              <w:numPr>
                <w:ilvl w:val="0"/>
                <w:numId w:val="2"/>
              </w:numPr>
              <w:spacing w:after="45"/>
            </w:pPr>
            <w:r>
              <w:rPr>
                <w:sz w:val="15"/>
                <w:szCs w:val="15"/>
              </w:rPr>
              <w:t xml:space="preserve">US cancer registries collect data only on malignant pancreatic tumours; some hospitals in some periods were reporting tumours with benign behaviour and these were excluded for lack of uniformity</w:t>
            </w:r>
          </w:p>
          <w:p>
            <w:pPr>
              <w:pStyle w:val="ListParagraph"/>
              <w:numPr>
                <w:ilvl w:val="0"/>
                <w:numId w:val="2"/>
              </w:numPr>
              <w:spacing w:after="45"/>
            </w:pPr>
            <w:r>
              <w:rPr>
                <w:sz w:val="15"/>
                <w:szCs w:val="15"/>
              </w:rPr>
              <w:t xml:space="preserve">Tumour grade is substantially underreported for PNET (56.5% complete, versus 22.8% missing for pancreatic adenocarcinoma), and widespread applicability of the score requires better grade reporting</w:t>
            </w:r>
          </w:p>
          <w:p>
            <w:pPr>
              <w:pStyle w:val="ListParagraph"/>
              <w:numPr>
                <w:ilvl w:val="0"/>
                <w:numId w:val="2"/>
              </w:numPr>
              <w:spacing w:after="45"/>
            </w:pPr>
            <w:r>
              <w:rPr>
                <w:sz w:val="15"/>
                <w:szCs w:val="15"/>
              </w:rPr>
              <w:t xml:space="preserve">As with all large administrative datasets there may be miscoding, missing or inaccurate data, and pathological review of all specimens was impossible</w:t>
            </w:r>
          </w:p>
          <w:p>
            <w:pPr>
              <w:pStyle w:val="ListParagraph"/>
              <w:numPr>
                <w:ilvl w:val="0"/>
                <w:numId w:val="2"/>
              </w:numPr>
              <w:spacing w:after="45"/>
            </w:pPr>
            <w:r>
              <w:rPr>
                <w:sz w:val="15"/>
                <w:szCs w:val="15"/>
              </w:rPr>
              <w:t xml:space="preserve">The NCDB does not record MEN-1 status, the number of tumours within the pancreas, secretory hormone levels or the specific type of systemic therapy</w:t>
            </w:r>
          </w:p>
          <w:p>
            <w:pPr>
              <w:pStyle w:val="ListParagraph"/>
              <w:numPr>
                <w:ilvl w:val="0"/>
                <w:numId w:val="2"/>
              </w:numPr>
              <w:spacing w:after="45"/>
            </w:pPr>
            <w:r>
              <w:rPr>
                <w:sz w:val="15"/>
                <w:szCs w:val="15"/>
              </w:rPr>
              <w:t xml:space="preserve">Survival analyses based on retrospective data should be interpreted cautiously because of potential patient selection bias, particularly for surgery and adjuvant treatment, and the analysis of prognostic factors demonstrates association rather than causation</w:t>
            </w:r>
          </w:p>
          <w:p>
            <w:pPr>
              <w:pStyle w:val="ListParagraph"/>
              <w:numPr>
                <w:ilvl w:val="0"/>
                <w:numId w:val="2"/>
              </w:numPr>
              <w:spacing w:after="45"/>
            </w:pPr>
            <w:r>
              <w:rPr>
                <w:sz w:val="15"/>
                <w:szCs w:val="15"/>
              </w:rPr>
              <w:t xml:space="preserve">For patients who had enucleation and were reported node negative, nodal status was recoded as missing unless the number of nodes examined was explicitly reported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result most often lifted from this paper - that tumour size does not predict survival after resection - comes from a cohort in which only 19% of tumours were 2 cm or less and from which the registry had already removed every lesion a pathologist called benign, so the small-tumour end of the distribution is both thin and skewed toward the aggressive; the paper cannot be used to argue that size is irrelevant to the decision whether to resect a 1 cm incidental lesion</w:t>
            </w:r>
          </w:p>
          <w:p>
            <w:pPr>
              <w:pStyle w:val="ListParagraph"/>
              <w:numPr>
                <w:ilvl w:val="0"/>
                <w:numId w:val="2"/>
              </w:numPr>
              <w:spacing w:after="45"/>
            </w:pPr>
            <w:r>
              <w:rPr>
                <w:sz w:val="15"/>
                <w:szCs w:val="15"/>
              </w:rPr>
              <w:t xml:space="preserve">The score is derived and evaluated in the same 836 patients, with bootstrapping for optimism but no external or temporal validation, and a concordance index of 0.63 is barely above the 0.5 of chance; the authors defend it by comparison with a pancreatic adenocarcinoma staging system rather than against any threshold of clinical usefulness</w:t>
            </w:r>
          </w:p>
          <w:p>
            <w:pPr>
              <w:pStyle w:val="ListParagraph"/>
              <w:numPr>
                <w:ilvl w:val="0"/>
                <w:numId w:val="2"/>
              </w:numPr>
              <w:spacing w:after="45"/>
            </w:pPr>
            <w:r>
              <w:rPr>
                <w:sz w:val="15"/>
                <w:szCs w:val="15"/>
              </w:rPr>
              <w:t xml:space="preserve">Grade was missing in 43.5% of the cohort and nodal status was deliberately recoded as missing for enucleation patients, so the two variables that carry most of the score's discrimination are the two most incompletely recorded - and the 836-patient complete-case subset is by construction the best-documented 22% of the cohort</w:t>
            </w:r>
          </w:p>
          <w:p>
            <w:pPr>
              <w:pStyle w:val="ListParagraph"/>
              <w:numPr>
                <w:ilvl w:val="0"/>
                <w:numId w:val="2"/>
              </w:numPr>
              <w:spacing w:after="45"/>
            </w:pPr>
            <w:r>
              <w:rPr>
                <w:sz w:val="15"/>
                <w:szCs w:val="15"/>
              </w:rPr>
              <w:t xml:space="preserve">Pancreaticoduodenectomy emerging as an independent adverse predictor is far more plausibly perioperative mortality and tumour location than any effect of the operation, which the authors concede in the discussion while retaining it in the model and in the abstract's list of predictors</w:t>
            </w:r>
          </w:p>
          <w:p>
            <w:pPr>
              <w:pStyle w:val="ListParagraph"/>
              <w:numPr>
                <w:ilvl w:val="0"/>
                <w:numId w:val="2"/>
              </w:numPr>
              <w:spacing w:after="45"/>
            </w:pPr>
            <w:r>
              <w:rPr>
                <w:sz w:val="15"/>
                <w:szCs w:val="15"/>
              </w:rPr>
              <w:t xml:space="preserve">The cohort spans 1985-2004, during which WHO grading was introduced (2000) and 'neuroendocrine carcinoma' absorbed 'islet cell tumour' in registry reporting, so the exposure definitions shift within the study period</w:t>
            </w:r>
          </w:p>
          <w:p>
            <w:pPr>
              <w:pStyle w:val="ListParagraph"/>
              <w:numPr>
                <w:ilvl w:val="0"/>
                <w:numId w:val="2"/>
              </w:numPr>
              <w:spacing w:after="45"/>
            </w:pPr>
            <w:r>
              <w:rPr>
                <w:sz w:val="15"/>
                <w:szCs w:val="15"/>
              </w:rPr>
              <w:t xml:space="preserve">Disease-specific survival is unavailable, so relative survival adjusted for age, sex and race stands in for it; in a disease with a median age of 56 and 10-year survival of 38%, that substitution does substantial work and is not validated here</w:t>
            </w:r>
          </w:p>
          <w:p>
            <w:pPr>
              <w:pStyle w:val="ListParagraph"/>
              <w:numPr>
                <w:ilvl w:val="0"/>
                <w:numId w:val="2"/>
              </w:numPr>
              <w:spacing w:after="45"/>
            </w:pPr>
            <w:r>
              <w:rPr>
                <w:sz w:val="15"/>
                <w:szCs w:val="15"/>
              </w:rPr>
              <w:t xml:space="preserve">Only 1464 of 3851 patients had tumours over 4 cm recorded and size was missing for about 22%, so the null result for size is also a null result in the presence of considerable missingness, with no sensitivity analysis</w:t>
            </w:r>
          </w:p>
        </w:tc>
      </w:tr>
    </w:tbl>
    <w:p>
      <w:pPr>
        <w:spacing w:after="0" w:line="276"/>
      </w:pPr>
      <w:r>
        <w:rPr>
          <w:color w:val="5A6069"/>
          <w:sz w:val="14"/>
          <w:szCs w:val="14"/>
        </w:rPr>
        <w:t xml:space="preserve">Funding: K.Y. Bilimoria was supported by the American College of Surgeons Clinical Scholars in Residence program and the Department of Surgery, Feinberg School of Medicine, Northwestern University. No industry funding reported.</w:t>
      </w:r>
    </w:p>
    <w:p>
      <w:pPr>
        <w:keepNext/>
        <w:spacing w:after="50" w:before="260"/>
      </w:pPr>
      <w:r>
        <w:rPr>
          <w:rFonts w:ascii="Cambria" w:cs="Cambria" w:eastAsia="Cambria" w:hAnsi="Cambria"/>
          <w:b/>
          <w:bCs/>
          <w:color w:val="17365D"/>
          <w:sz w:val="20"/>
          <w:szCs w:val="20"/>
        </w:rPr>
        <w:t xml:space="preserve">Blansfield 2007</w:t>
      </w:r>
      <w:r>
        <w:rPr>
          <w:b/>
          <w:bCs/>
          <w:color w:val="176A87"/>
          <w:sz w:val="15"/>
          <w:szCs w:val="15"/>
        </w:rPr>
        <w:t xml:space="preserve">   Prospective cohort</w:t>
      </w:r>
      <w:r>
        <w:rPr>
          <w:color w:val="5A6069"/>
          <w:sz w:val="15"/>
          <w:szCs w:val="15"/>
        </w:rPr>
        <w:t xml:space="preserve">   PMID 18063061</w:t>
      </w:r>
    </w:p>
    <w:p>
      <w:pPr>
        <w:spacing w:after="50" w:line="276"/>
      </w:pPr>
      <w:r>
        <w:rPr>
          <w:color w:val="5A6069"/>
          <w:sz w:val="17"/>
          <w:szCs w:val="17"/>
        </w:rPr>
        <w:t xml:space="preserve">Clinical, genetic and radiographic analysis of 108 patients with von Hippel-Lindau disease (VHL) manifested by pancreatic neuroendocrine tumors (PNETs).</w:t>
      </w:r>
    </w:p>
    <w:p>
      <w:pPr>
        <w:spacing w:after="50"/>
      </w:pPr>
      <w:r>
        <w:rPr>
          <w:b/>
          <w:bCs/>
          <w:color w:val="176A87"/>
          <w:sz w:val="16"/>
          <w:szCs w:val="16"/>
        </w:rPr>
        <w:t xml:space="preserve">Population. </w:t>
      </w:r>
      <w:r>
        <w:rPr>
          <w:sz w:val="16"/>
          <w:szCs w:val="16"/>
        </w:rPr>
        <w:t xml:space="preserve">108 VHL patients with PNETs among 633 VHL patients screened; 39 resected and 9 with metastatic disease</w:t>
      </w:r>
    </w:p>
    <w:p>
      <w:pPr>
        <w:spacing w:after="70"/>
      </w:pPr>
      <w:r>
        <w:rPr>
          <w:b/>
          <w:bCs/>
          <w:color w:val="17365D"/>
          <w:sz w:val="16"/>
          <w:szCs w:val="16"/>
        </w:rPr>
        <w:t xml:space="preserve">Bottom line. </w:t>
      </w:r>
      <w:r>
        <w:rPr>
          <w:sz w:val="16"/>
          <w:szCs w:val="16"/>
        </w:rPr>
        <w:t xml:space="preserve">In the largest single-centre VHL series, 17% of patients had a pancreatic neuroendocrine tumour and only 8.3% of those metastasised; lesion size of 3 cm or more, an exon 3 germline mutation and a doubling time under 500 days together identified every metastatic case - but the rule was derived and tested on the same 9 events, doubling time was measurable in only half the non-metastatic patients, and two thirds of lesions were never histologically confirmed.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pathology was not reviewed for this study, so Ki-67 or proliferative staining was not examined and could not be related to doubling time</w:t>
            </w:r>
          </w:p>
          <w:p>
            <w:pPr>
              <w:pStyle w:val="ListParagraph"/>
              <w:numPr>
                <w:ilvl w:val="0"/>
                <w:numId w:val="2"/>
              </w:numPr>
              <w:spacing w:after="45"/>
            </w:pPr>
            <w:r>
              <w:rPr>
                <w:sz w:val="15"/>
                <w:szCs w:val="15"/>
              </w:rPr>
              <w:t xml:space="preserve">Chromogranin A and other biomarkers were not examined and no marker data correlate with metastatic disease</w:t>
            </w:r>
          </w:p>
          <w:p>
            <w:pPr>
              <w:pStyle w:val="ListParagraph"/>
              <w:numPr>
                <w:ilvl w:val="0"/>
                <w:numId w:val="2"/>
              </w:numPr>
              <w:spacing w:after="45"/>
            </w:pPr>
            <w:r>
              <w:rPr>
                <w:sz w:val="15"/>
                <w:szCs w:val="15"/>
              </w:rPr>
              <w:t xml:space="preserve">Cut-offs of 1 cm and 2 cm were not analysed; only the 3 cm threshold carried over from the group's earlier work was tested</w:t>
            </w:r>
          </w:p>
          <w:p>
            <w:pPr>
              <w:pStyle w:val="ListParagraph"/>
              <w:numPr>
                <w:ilvl w:val="0"/>
                <w:numId w:val="2"/>
              </w:numPr>
              <w:spacing w:after="45"/>
            </w:pPr>
            <w:r>
              <w:rPr>
                <w:sz w:val="15"/>
                <w:szCs w:val="15"/>
              </w:rPr>
              <w:t xml:space="preserve">Some non-operated lesions diagnosed on radiographic criteria could on pathology turn out to be microcystic adenomas, although the authors state they do not look classic for that on imaging</w:t>
            </w:r>
          </w:p>
          <w:p>
            <w:pPr>
              <w:pStyle w:val="ListParagraph"/>
              <w:numPr>
                <w:ilvl w:val="0"/>
                <w:numId w:val="2"/>
              </w:numPr>
              <w:spacing w:after="45"/>
            </w:pPr>
            <w:r>
              <w:rPr>
                <w:sz w:val="15"/>
                <w:szCs w:val="15"/>
              </w:rPr>
              <w:t xml:space="preserve">The ultimate impact of this management approach on metastatic risk will only be known as the patients continue to be followed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three-criterion algorithm is derived from 9 metastatic events and then declared to capture all 9, so its perfect sensitivity is a tautology of the derivation rather than a finding, and no independent or temporal validation is attempted</w:t>
            </w:r>
          </w:p>
          <w:p>
            <w:pPr>
              <w:pStyle w:val="ListParagraph"/>
              <w:numPr>
                <w:ilvl w:val="0"/>
                <w:numId w:val="2"/>
              </w:numPr>
              <w:spacing w:after="45"/>
            </w:pPr>
            <w:r>
              <w:rPr>
                <w:sz w:val="15"/>
                <w:szCs w:val="15"/>
              </w:rPr>
              <w:t xml:space="preserve">Doubling time, the criterion with the largest apparent separation, could be calculated in all 9 metastatic patients but only 54 of 99 non-metastatic ones; patients with visibly growing lesions are imaged more often, so the exposure and the ability to measure it are entangled, and the missing 45 patients are simply absent from the stratification table</w:t>
            </w:r>
          </w:p>
          <w:p>
            <w:pPr>
              <w:pStyle w:val="ListParagraph"/>
              <w:numPr>
                <w:ilvl w:val="0"/>
                <w:numId w:val="2"/>
              </w:numPr>
              <w:spacing w:after="45"/>
            </w:pPr>
            <w:r>
              <w:rPr>
                <w:sz w:val="15"/>
                <w:szCs w:val="15"/>
              </w:rPr>
              <w:t xml:space="preserve">Sixty-nine of 108 lesions were never resected and their diagnosis rests on CT or MRI appearance alone - which the senior author concedes in the floor discussion could include microcystic adenomas - so a substantial part of the denominator is unverified, and any benign lesions in it dilute the metastasis rate downward</w:t>
            </w:r>
          </w:p>
          <w:p>
            <w:pPr>
              <w:pStyle w:val="ListParagraph"/>
              <w:numPr>
                <w:ilvl w:val="0"/>
                <w:numId w:val="2"/>
              </w:numPr>
              <w:spacing w:after="45"/>
            </w:pPr>
            <w:r>
              <w:rPr>
                <w:sz w:val="15"/>
                <w:szCs w:val="15"/>
              </w:rPr>
              <w:t xml:space="preserve">The study dates are internally inconsistent, December 1998 in the abstract against December 1988 in the methods, an eight-fold difference in accrual window that is never reconciled</w:t>
            </w:r>
          </w:p>
          <w:p>
            <w:pPr>
              <w:pStyle w:val="ListParagraph"/>
              <w:numPr>
                <w:ilvl w:val="0"/>
                <w:numId w:val="2"/>
              </w:numPr>
              <w:spacing w:after="45"/>
            </w:pPr>
            <w:r>
              <w:rPr>
                <w:sz w:val="15"/>
                <w:szCs w:val="15"/>
              </w:rPr>
              <w:t xml:space="preserve">The 3 cm threshold was carried over from the group's own prior publications rather than tested against 1 or 2 cm; a discussant asked precisely this and the author replied that the analysis had not been done, so the cut point in the resulting algorithm is untested within this dataset</w:t>
            </w:r>
          </w:p>
          <w:p>
            <w:pPr>
              <w:pStyle w:val="ListParagraph"/>
              <w:numPr>
                <w:ilvl w:val="0"/>
                <w:numId w:val="2"/>
              </w:numPr>
              <w:spacing w:after="45"/>
            </w:pPr>
            <w:r>
              <w:rPr>
                <w:sz w:val="15"/>
                <w:szCs w:val="15"/>
              </w:rPr>
              <w:t xml:space="preserve">No Ki-67, grade or differentiation data exist anywhere in the series, which in 2007 was already the strongest known prognostic axis in pancreatic NET</w:t>
            </w:r>
          </w:p>
          <w:p>
            <w:pPr>
              <w:pStyle w:val="ListParagraph"/>
              <w:numPr>
                <w:ilvl w:val="0"/>
                <w:numId w:val="2"/>
              </w:numPr>
              <w:spacing w:after="45"/>
            </w:pPr>
            <w:r>
              <w:rPr>
                <w:sz w:val="15"/>
                <w:szCs w:val="15"/>
              </w:rPr>
              <w:t xml:space="preserve">VHL PNETs are always nonfunctional, often multifocal and set against competing renal and CNS disease; with 2 PNET deaths among 633 screened patients, the algorithm is calibrated against a risk that is an order of magnitude smaller than the patient's renal risk, which the authors state but which also means the algorithm's clinical value is largely unmeasurable</w:t>
            </w:r>
          </w:p>
          <w:p>
            <w:pPr>
              <w:pStyle w:val="ListParagraph"/>
              <w:numPr>
                <w:ilvl w:val="0"/>
                <w:numId w:val="2"/>
              </w:numPr>
              <w:spacing w:after="45"/>
            </w:pPr>
            <w:r>
              <w:rPr>
                <w:sz w:val="15"/>
                <w:szCs w:val="15"/>
              </w:rPr>
              <w:t xml:space="preserve">The exon 3 association rests on 7 of 9 metastatic patients and is a single test in a cohort where exon 3 is already the commonest mutation site (50%), with no correction for the other exons examined</w:t>
            </w:r>
          </w:p>
        </w:tc>
      </w:tr>
    </w:tbl>
    <w:p>
      <w:pPr>
        <w:keepNext/>
        <w:spacing w:after="50" w:before="260"/>
      </w:pPr>
      <w:r>
        <w:rPr>
          <w:rFonts w:ascii="Cambria" w:cs="Cambria" w:eastAsia="Cambria" w:hAnsi="Cambria"/>
          <w:b/>
          <w:bCs/>
          <w:color w:val="17365D"/>
          <w:sz w:val="20"/>
          <w:szCs w:val="20"/>
        </w:rPr>
        <w:t xml:space="preserve">ENETS 2023 NF-PanNET</w:t>
      </w:r>
      <w:r>
        <w:rPr>
          <w:b/>
          <w:bCs/>
          <w:color w:val="176A87"/>
          <w:sz w:val="15"/>
          <w:szCs w:val="15"/>
        </w:rPr>
        <w:t xml:space="preserve">   Guideline</w:t>
      </w:r>
      <w:r>
        <w:rPr>
          <w:color w:val="5A6069"/>
          <w:sz w:val="15"/>
          <w:szCs w:val="15"/>
        </w:rPr>
        <w:t xml:space="preserve">   PMID 37877341</w:t>
      </w:r>
    </w:p>
    <w:p>
      <w:pPr>
        <w:spacing w:after="50" w:line="276"/>
      </w:pPr>
      <w:r>
        <w:rPr>
          <w:color w:val="5A6069"/>
          <w:sz w:val="17"/>
          <w:szCs w:val="17"/>
        </w:rPr>
        <w:t xml:space="preserve">European Neuroendocrine Tumour Society (ENETS) 2023 guidance paper for nonfunctioning pancreatic neuroendocrine tumours.</w:t>
      </w:r>
    </w:p>
    <w:p>
      <w:pPr>
        <w:spacing w:after="70"/>
      </w:pPr>
      <w:r>
        <w:rPr>
          <w:b/>
          <w:bCs/>
          <w:color w:val="17365D"/>
          <w:sz w:val="16"/>
          <w:szCs w:val="16"/>
        </w:rPr>
        <w:t xml:space="preserve">Bottom line. </w:t>
      </w:r>
      <w:r>
        <w:rPr>
          <w:sz w:val="16"/>
          <w:szCs w:val="16"/>
        </w:rPr>
        <w:t xml:space="preserve">The current ENETS position on nonfunctioning pancreatic NET: observe lesions of 1 cm or less, individualise 1-2 cm, operate above 2 cm or with duct dilation, stage with SSTR-PET/CT and surveil for twenty years or more - sensible, practical and widely followed, but the pivotal surgical thresholds carry level 3 evidence, the follow-up schedule carries level 5, and the prospective studies invoked have two years of follow-up.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only that their many years of experience in the field are still being verified in the light of results from new clinical studies, which set new ways of proceeding</w:t>
            </w:r>
          </w:p>
          <w:p>
            <w:pPr>
              <w:pStyle w:val="ListParagraph"/>
              <w:numPr>
                <w:ilvl w:val="0"/>
                <w:numId w:val="2"/>
              </w:numPr>
              <w:spacing w:after="45"/>
            </w:pPr>
            <w:r>
              <w:rPr>
                <w:sz w:val="15"/>
                <w:szCs w:val="15"/>
              </w:rPr>
              <w:t xml:space="preserve">Treatment of NF-Pan-NEN still requires the decision of a multidisciplinary team of neuroendocrine neoplasm specialists, and ENETS Centres of Excellence should be strongly considered</w:t>
            </w:r>
          </w:p>
          <w:p>
            <w:pPr>
              <w:pStyle w:val="ListParagraph"/>
              <w:numPr>
                <w:ilvl w:val="0"/>
                <w:numId w:val="2"/>
              </w:numPr>
              <w:spacing w:after="45"/>
            </w:pPr>
            <w:r>
              <w:rPr>
                <w:sz w:val="15"/>
                <w:szCs w:val="15"/>
              </w:rPr>
              <w:t xml:space="preserve">Further studies are needed to fulfil unmet needs, focusing on prognostic molecular markers, the selection of a therapeutic approach and the sequence of treatments</w:t>
            </w:r>
          </w:p>
          <w:p>
            <w:pPr>
              <w:pStyle w:val="ListParagraph"/>
              <w:numPr>
                <w:ilvl w:val="0"/>
                <w:numId w:val="2"/>
              </w:numPr>
              <w:spacing w:after="45"/>
            </w:pPr>
            <w:r>
              <w:rPr>
                <w:sz w:val="15"/>
                <w:szCs w:val="15"/>
              </w:rPr>
              <w:t xml:space="preserve">Data sharing is not applicable as no new data were created or analysed</w:t>
            </w:r>
          </w:p>
          <w:p>
            <w:pPr>
              <w:pStyle w:val="ListParagraph"/>
              <w:numPr>
                <w:ilvl w:val="0"/>
                <w:numId w:val="2"/>
              </w:numPr>
              <w:spacing w:after="45"/>
            </w:pPr>
            <w:r>
              <w:rPr>
                <w:sz w:val="15"/>
                <w:szCs w:val="15"/>
              </w:rPr>
              <w:t xml:space="preserve">Specific uncertainties acknowledged in the text: no validated consensus on the definition of resectability; no preoperative examination accurately predicts nodal involvement; robust data on radiofrequency ablation and on minimally invasive pancreaticoduodenectomy are lacking; no evidence supports somatostatin analogues for controlling progression of small NF-Pan-NET under surveillance; the role of chemotherapy as adjuvant therapy is unknown; limited data exist on PRRT for G3</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recommendations that most change practice - surveillance for lesions of 1 cm or less and surgery for everything above 2 cm - both carry level 3 evidence and grade B, yet the second is written in the imperative ('strongly recommended'), and the 1-2 cm band into which most incidental lesions fall is handed back to the clinician with no decision rule at all</w:t>
            </w:r>
          </w:p>
          <w:p>
            <w:pPr>
              <w:pStyle w:val="ListParagraph"/>
              <w:numPr>
                <w:ilvl w:val="0"/>
                <w:numId w:val="2"/>
              </w:numPr>
              <w:spacing w:after="45"/>
            </w:pPr>
            <w:r>
              <w:rPr>
                <w:sz w:val="15"/>
                <w:szCs w:val="15"/>
              </w:rPr>
              <w:t xml:space="preserve">The follow-up schedule and the recommendation to surveil for at least 20 years and possibly lifelong rest on level 5 evidence - expert opinion without explicit critical appraisal, by the paper's own table - while being assigned grade B, an inversion the GRADE framework the paper claims to follow would not permit</w:t>
            </w:r>
          </w:p>
          <w:p>
            <w:pPr>
              <w:pStyle w:val="ListParagraph"/>
              <w:numPr>
                <w:ilvl w:val="0"/>
                <w:numId w:val="2"/>
              </w:numPr>
              <w:spacing w:after="45"/>
            </w:pPr>
            <w:r>
              <w:rPr>
                <w:sz w:val="15"/>
                <w:szCs w:val="15"/>
              </w:rPr>
              <w:t xml:space="preserve">PANDORA and the ASPEN interim analysis are cited as the prospective basis for surveillance at median follow-ups of 17 and 25 months, without the document noting that both are far shorter than the 7-year median time to pancreatic recurrence and the 12-18% recurrence rate it reports elsewhere in the same text</w:t>
            </w:r>
          </w:p>
          <w:p>
            <w:pPr>
              <w:pStyle w:val="ListParagraph"/>
              <w:numPr>
                <w:ilvl w:val="0"/>
                <w:numId w:val="2"/>
              </w:numPr>
              <w:spacing w:after="45"/>
            </w:pPr>
            <w:r>
              <w:rPr>
                <w:sz w:val="15"/>
                <w:szCs w:val="15"/>
              </w:rPr>
              <w:t xml:space="preserve">The ASPEN principal investigator and the author of the ENETS surgical guideline being operationalised are among the authors, so the guidance grades evidence its own authors generated, and ASPEN was itself funded by ENETS</w:t>
            </w:r>
          </w:p>
          <w:p>
            <w:pPr>
              <w:pStyle w:val="ListParagraph"/>
              <w:numPr>
                <w:ilvl w:val="0"/>
                <w:numId w:val="2"/>
              </w:numPr>
              <w:spacing w:after="45"/>
            </w:pPr>
            <w:r>
              <w:rPr>
                <w:sz w:val="15"/>
                <w:szCs w:val="15"/>
              </w:rPr>
              <w:t xml:space="preserve">CLARINET's hazard ratio in the pancreatic subgroup crosses unity (0.58, 95% CI 0.32-1.04) and is cited in support of a grade A recommendation for upfront somatostatin analogues - a confidence interval that does not exclude no effect supporting the strongest grade available</w:t>
            </w:r>
          </w:p>
          <w:p>
            <w:pPr>
              <w:pStyle w:val="ListParagraph"/>
              <w:numPr>
                <w:ilvl w:val="0"/>
                <w:numId w:val="2"/>
              </w:numPr>
              <w:spacing w:after="45"/>
            </w:pPr>
            <w:r>
              <w:rPr>
                <w:sz w:val="15"/>
                <w:szCs w:val="15"/>
              </w:rPr>
              <w:t xml:space="preserve">Belzutifan's 90.9% response figure is imported from a single-arm 22-patient secondary endpoint in VHL disease and placed in a nonfunctioning sporadic pancreatic NET guideline, with the caveat about metastatic disease but not about the design</w:t>
            </w:r>
          </w:p>
          <w:p>
            <w:pPr>
              <w:pStyle w:val="ListParagraph"/>
              <w:numPr>
                <w:ilvl w:val="0"/>
                <w:numId w:val="2"/>
              </w:numPr>
              <w:spacing w:after="45"/>
            </w:pPr>
            <w:r>
              <w:rPr>
                <w:sz w:val="15"/>
                <w:szCs w:val="15"/>
              </w:rPr>
              <w:t xml:space="preserve">The E2211 chemotherapy recommendation is built on a PFS advantage with non-significant response and overall survival, in a trial limited to Ki-67 up to 20%, and is then extended to G3 disease on the strength of one retrospective series (evidence 3b, grade B)</w:t>
            </w:r>
          </w:p>
          <w:p>
            <w:pPr>
              <w:pStyle w:val="ListParagraph"/>
              <w:numPr>
                <w:ilvl w:val="0"/>
                <w:numId w:val="2"/>
              </w:numPr>
              <w:spacing w:after="45"/>
            </w:pPr>
            <w:r>
              <w:rPr>
                <w:sz w:val="15"/>
                <w:szCs w:val="15"/>
              </w:rPr>
              <w:t xml:space="preserve">There is no systematic search, no evidence table and no description of how the literature informing each question was selected, so the level-of-evidence labels cannot be audited</w:t>
            </w:r>
          </w:p>
          <w:p>
            <w:pPr>
              <w:pStyle w:val="ListParagraph"/>
              <w:numPr>
                <w:ilvl w:val="0"/>
                <w:numId w:val="2"/>
              </w:numPr>
              <w:spacing w:after="45"/>
            </w:pPr>
            <w:r>
              <w:rPr>
                <w:sz w:val="15"/>
                <w:szCs w:val="15"/>
              </w:rPr>
              <w:t xml:space="preserve">Eleven of the thirteen authors declare consultancy, speaker or advisory relationships with the manufacturers of the recommended agents - Ipsen, Novartis, AAA, Pfizer, MSD among them - and one holds intellectual property on 64Cu-DOTATATE, the tracer whose superior lesion detection the imaging section endorses</w:t>
            </w:r>
          </w:p>
        </w:tc>
      </w:tr>
    </w:tbl>
    <w:p>
      <w:pPr>
        <w:keepNext/>
        <w:spacing w:after="50" w:before="260"/>
      </w:pPr>
      <w:r>
        <w:rPr>
          <w:rFonts w:ascii="Cambria" w:cs="Cambria" w:eastAsia="Cambria" w:hAnsi="Cambria"/>
          <w:b/>
          <w:bCs/>
          <w:color w:val="17365D"/>
          <w:sz w:val="20"/>
          <w:szCs w:val="20"/>
        </w:rPr>
        <w:t xml:space="preserve">Faggiano 2020</w:t>
      </w:r>
      <w:r>
        <w:rPr>
          <w:b/>
          <w:bCs/>
          <w:color w:val="176A87"/>
          <w:sz w:val="15"/>
          <w:szCs w:val="15"/>
        </w:rPr>
        <w:t xml:space="preserve">   Prospective cohort</w:t>
      </w:r>
      <w:r>
        <w:rPr>
          <w:color w:val="5A6069"/>
          <w:sz w:val="15"/>
          <w:szCs w:val="15"/>
        </w:rPr>
        <w:t xml:space="preserve">   PMID 31586182</w:t>
      </w:r>
    </w:p>
    <w:p>
      <w:pPr>
        <w:spacing w:after="50" w:line="276"/>
      </w:pPr>
      <w:r>
        <w:rPr>
          <w:color w:val="5A6069"/>
          <w:sz w:val="17"/>
          <w:szCs w:val="17"/>
        </w:rPr>
        <w:t xml:space="preserve">Lanreotide therapy vs active surveillance in MEN1-related pancreatic neuroendocrine tumors &lt; 2 centimeters.</w:t>
      </w:r>
    </w:p>
    <w:p>
      <w:pPr>
        <w:spacing w:after="50"/>
      </w:pPr>
      <w:r>
        <w:rPr>
          <w:b/>
          <w:bCs/>
          <w:color w:val="176A87"/>
          <w:sz w:val="16"/>
          <w:szCs w:val="16"/>
        </w:rPr>
        <w:t xml:space="preserve">Population. </w:t>
      </w:r>
      <w:r>
        <w:rPr>
          <w:sz w:val="16"/>
          <w:szCs w:val="16"/>
        </w:rPr>
        <w:t xml:space="preserve">42 MEN1 patients with pNETs under 2 cm (23 lanreotide, 19 active surveillance); 91 pNETs at baseline</w:t>
      </w:r>
    </w:p>
    <w:p>
      <w:pPr>
        <w:spacing w:after="70"/>
      </w:pPr>
      <w:r>
        <w:rPr>
          <w:b/>
          <w:bCs/>
          <w:color w:val="17365D"/>
          <w:sz w:val="16"/>
          <w:szCs w:val="16"/>
        </w:rPr>
        <w:t xml:space="preserve">Bottom line. </w:t>
      </w:r>
      <w:r>
        <w:rPr>
          <w:sz w:val="16"/>
          <w:szCs w:val="16"/>
        </w:rPr>
        <w:t xml:space="preserve">The first prospective evaluation of a somatostatin analogue in MEN1-related pancreatic NET under 2 cm found progression-free survival not reached with lanreotide versus 40 months under surveillance, with a third of treated lesions shrinking, but treatment was self-selected, 42 patients generated 17 radiological events, and the metastasis, surgery and survival outcomes were indistinguishable.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observational, non-randomised study design is stated as the main limitation of the study, offset in the authors' view by the long follow-up</w:t>
            </w:r>
          </w:p>
          <w:p>
            <w:pPr>
              <w:pStyle w:val="ListParagraph"/>
              <w:numPr>
                <w:ilvl w:val="0"/>
                <w:numId w:val="2"/>
              </w:numPr>
              <w:spacing w:after="45"/>
            </w:pPr>
            <w:r>
              <w:rPr>
                <w:sz w:val="15"/>
                <w:szCs w:val="15"/>
              </w:rPr>
              <w:t xml:space="preserve">The metastasis data require caution because only one patient per group developed liver metastases and the rate was obtained radiologically; the pathological rate is likely higher, since unsuspected locoregional metastases are found at surgery</w:t>
            </w:r>
          </w:p>
          <w:p>
            <w:pPr>
              <w:pStyle w:val="ListParagraph"/>
              <w:numPr>
                <w:ilvl w:val="0"/>
                <w:numId w:val="2"/>
              </w:numPr>
              <w:spacing w:after="45"/>
            </w:pPr>
            <w:r>
              <w:rPr>
                <w:sz w:val="15"/>
                <w:szCs w:val="15"/>
              </w:rPr>
              <w:t xml:space="preserve">No survival data were possible because no patient died; establishing the impact of early lanreotide on overall survival, treatment-related death and side effects will require much longer follow-up</w:t>
            </w:r>
          </w:p>
          <w:p>
            <w:pPr>
              <w:pStyle w:val="ListParagraph"/>
              <w:numPr>
                <w:ilvl w:val="0"/>
                <w:numId w:val="2"/>
              </w:numPr>
              <w:spacing w:after="45"/>
            </w:pPr>
            <w:r>
              <w:rPr>
                <w:sz w:val="15"/>
                <w:szCs w:val="15"/>
              </w:rPr>
              <w:t xml:space="preserve">Patients under active surveillance were more likely to undergo surgery, both for tumour growth and for the development of hormonal syndromes, and are therefore expected to have more often received systemic treatments other than somatostatin analogues and their complications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Treatment was chosen, not allocated - lanreotide was 'proposed to all patients included, as alternative to active surveillance' - so the arms differ by whatever disposes a patient to accept monthly injections for six years, and the paper reports no comparison of comorbidity, MEN1 burden, prior surgery or stated reason for the choice</w:t>
            </w:r>
          </w:p>
          <w:p>
            <w:pPr>
              <w:pStyle w:val="ListParagraph"/>
              <w:numPr>
                <w:ilvl w:val="0"/>
                <w:numId w:val="2"/>
              </w:numPr>
              <w:spacing w:after="45"/>
            </w:pPr>
            <w:r>
              <w:rPr>
                <w:sz w:val="15"/>
                <w:szCs w:val="15"/>
              </w:rPr>
              <w:t xml:space="preserve">The primary endpoint is radiological progression under a definition that counts any new lesion reaching 10 mm or a 20% size increase; in a multifocal field disease this rewards an antiproliferative drug on the measure it is most likely to move while demonstrating no benefit in metastasis (one event per arm), functional conversion in the only two affected patients being an inference from 2 of 19, operations avoided (2 versus 5) or survival (no deaths)</w:t>
            </w:r>
          </w:p>
          <w:p>
            <w:pPr>
              <w:pStyle w:val="ListParagraph"/>
              <w:numPr>
                <w:ilvl w:val="0"/>
                <w:numId w:val="2"/>
              </w:numPr>
              <w:spacing w:after="45"/>
            </w:pPr>
            <w:r>
              <w:rPr>
                <w:sz w:val="15"/>
                <w:szCs w:val="15"/>
              </w:rPr>
              <w:t xml:space="preserve">The lanreotide arm carried more lesions per patient at baseline (p = 0.038), which the authors read as strengthening the result but which equally means more opportunities to register a per-lesion response and more lesions to shrink</w:t>
            </w:r>
          </w:p>
          <w:p>
            <w:pPr>
              <w:pStyle w:val="ListParagraph"/>
              <w:numPr>
                <w:ilvl w:val="0"/>
                <w:numId w:val="2"/>
              </w:numPr>
              <w:spacing w:after="45"/>
            </w:pPr>
            <w:r>
              <w:rPr>
                <w:sz w:val="15"/>
                <w:szCs w:val="15"/>
              </w:rPr>
              <w:t xml:space="preserve">Patient-level progression-free survival is mixed with lesion-level response counting (22 of 62 lesions versus 0 of 29) with no clustering adjustment for multiple lesions within a patient</w:t>
            </w:r>
          </w:p>
          <w:p>
            <w:pPr>
              <w:pStyle w:val="ListParagraph"/>
              <w:numPr>
                <w:ilvl w:val="0"/>
                <w:numId w:val="2"/>
              </w:numPr>
              <w:spacing w:after="45"/>
            </w:pPr>
            <w:r>
              <w:rPr>
                <w:sz w:val="15"/>
                <w:szCs w:val="15"/>
              </w:rPr>
              <w:t xml:space="preserve">Imaging was six-monthly in both arms but response assessment was unblinded, with no central read and no independent review described, in a study whose endpoint is a radiologist's judgement of a 20% change in a 7 mm lesion</w:t>
            </w:r>
          </w:p>
          <w:p>
            <w:pPr>
              <w:pStyle w:val="ListParagraph"/>
              <w:numPr>
                <w:ilvl w:val="0"/>
                <w:numId w:val="2"/>
              </w:numPr>
              <w:spacing w:after="45"/>
            </w:pPr>
            <w:r>
              <w:rPr>
                <w:sz w:val="15"/>
                <w:szCs w:val="15"/>
              </w:rPr>
              <w:t xml:space="preserve">Forty-two patients, 23 versus 19, with 17 progression events in total - and a p value below 0.001 from a log-rank test on that sample, with no multiplicity correction across the several secondary endpoints reported as significant</w:t>
            </w:r>
          </w:p>
          <w:p>
            <w:pPr>
              <w:pStyle w:val="ListParagraph"/>
              <w:numPr>
                <w:ilvl w:val="0"/>
                <w:numId w:val="2"/>
              </w:numPr>
              <w:spacing w:after="45"/>
            </w:pPr>
            <w:r>
              <w:rPr>
                <w:sz w:val="15"/>
                <w:szCs w:val="15"/>
              </w:rPr>
              <w:t xml:space="preserve">The two patients who developed functioning syndromes under surveillance, including a 20-year-old with insulinoma, would not have been prevented by lanreotide at the doses used and that inference is made anyway</w:t>
            </w:r>
          </w:p>
          <w:p>
            <w:pPr>
              <w:pStyle w:val="ListParagraph"/>
              <w:numPr>
                <w:ilvl w:val="0"/>
                <w:numId w:val="2"/>
              </w:numPr>
              <w:spacing w:after="45"/>
            </w:pPr>
            <w:r>
              <w:rPr>
                <w:sz w:val="15"/>
                <w:szCs w:val="15"/>
              </w:rPr>
              <w:t xml:space="preserve">The conclusion that somatostatin analogues 'delay or avoid pancreatic surgery' rests on 2 operations versus 5, a difference of three patients</w:t>
            </w:r>
          </w:p>
          <w:p>
            <w:pPr>
              <w:pStyle w:val="ListParagraph"/>
              <w:numPr>
                <w:ilvl w:val="0"/>
                <w:numId w:val="2"/>
              </w:numPr>
              <w:spacing w:after="45"/>
            </w:pPr>
            <w:r>
              <w:rPr>
                <w:sz w:val="15"/>
                <w:szCs w:val="15"/>
              </w:rPr>
              <w:t xml:space="preserve">MEN1 pancreata are field-defective, so suppressing visible lesions for six years may postpone rather than prevent the events that matter, and the study cannot distinguish the two</w:t>
            </w:r>
          </w:p>
        </w:tc>
      </w:tr>
    </w:tbl>
    <w:p>
      <w:pPr>
        <w:spacing w:after="0" w:line="276"/>
      </w:pPr>
      <w:r>
        <w:rPr>
          <w:color w:val="5A6069"/>
          <w:sz w:val="14"/>
          <w:szCs w:val="14"/>
        </w:rPr>
        <w:t xml:space="preserve">Funding: Partially supported by a grant from the Italian Ministry of Education, Research and University (PRIN 2017Z3N3YC_006); the authors declare no conflict of interest and nothing to disclose.</w:t>
      </w:r>
    </w:p>
    <w:p>
      <w:pPr>
        <w:keepNext/>
        <w:spacing w:after="50" w:before="260"/>
      </w:pPr>
      <w:r>
        <w:rPr>
          <w:rFonts w:ascii="Cambria" w:cs="Cambria" w:eastAsia="Cambria" w:hAnsi="Cambria"/>
          <w:b/>
          <w:bCs/>
          <w:color w:val="17365D"/>
          <w:sz w:val="20"/>
          <w:szCs w:val="20"/>
        </w:rPr>
        <w:t xml:space="preserve">Genc recurrence score</w:t>
      </w:r>
      <w:r>
        <w:rPr>
          <w:b/>
          <w:bCs/>
          <w:color w:val="176A87"/>
          <w:sz w:val="15"/>
          <w:szCs w:val="15"/>
        </w:rPr>
        <w:t xml:space="preserve">   Retrospective cohort</w:t>
      </w:r>
      <w:r>
        <w:rPr>
          <w:color w:val="5A6069"/>
          <w:sz w:val="15"/>
          <w:szCs w:val="15"/>
        </w:rPr>
        <w:t xml:space="preserve">   PMID 28594340</w:t>
      </w:r>
    </w:p>
    <w:p>
      <w:pPr>
        <w:spacing w:after="50" w:line="276"/>
      </w:pPr>
      <w:r>
        <w:rPr>
          <w:color w:val="5A6069"/>
          <w:sz w:val="17"/>
          <w:szCs w:val="17"/>
        </w:rPr>
        <w:t xml:space="preserve">A new scoring system to predict recurrent disease in grade 1 and 2 nonfunctional pancreatic neuroendocrine tumors.</w:t>
      </w:r>
    </w:p>
    <w:p>
      <w:pPr>
        <w:spacing w:after="50"/>
      </w:pPr>
      <w:r>
        <w:rPr>
          <w:b/>
          <w:bCs/>
          <w:color w:val="176A87"/>
          <w:sz w:val="16"/>
          <w:szCs w:val="16"/>
        </w:rPr>
        <w:t xml:space="preserve">Population. </w:t>
      </w:r>
      <w:r>
        <w:rPr>
          <w:sz w:val="16"/>
          <w:szCs w:val="16"/>
        </w:rPr>
        <w:t xml:space="preserve">211 patients with curatively resected grade 1-2 NF-pNET, including a subgroup of 84 with tumours under 2 cm</w:t>
      </w:r>
    </w:p>
    <w:p>
      <w:pPr>
        <w:spacing w:after="70"/>
      </w:pPr>
      <w:r>
        <w:rPr>
          <w:b/>
          <w:bCs/>
          <w:color w:val="17365D"/>
          <w:sz w:val="16"/>
          <w:szCs w:val="16"/>
        </w:rPr>
        <w:t xml:space="preserve">Bottom line. </w:t>
      </w:r>
      <w:r>
        <w:rPr>
          <w:sz w:val="16"/>
          <w:szCs w:val="16"/>
        </w:rPr>
        <w:t xml:space="preserve">Grade 2 histology, positive nodes and perineural invasion identify patients who recur after curative resection of grade 1-2 nonfunctional pancreatic NET, and 105 of 107 with none of the three stayed disease-free - but the score is postoperative, internally validated only, no better than grade alone at p = 0.059, and the sub-2 cm subgroup rests on four events.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long inclusion period meant the follow-up programme was not standardised at the start - patients with raised chromogranin A were imaged more often and those with grade 1 node-negative tumours less strictly - which may bias the time at which recurrence was detected</w:t>
            </w:r>
          </w:p>
          <w:p>
            <w:pPr>
              <w:pStyle w:val="ListParagraph"/>
              <w:numPr>
                <w:ilvl w:val="0"/>
                <w:numId w:val="2"/>
              </w:numPr>
              <w:spacing w:after="45"/>
            </w:pPr>
            <w:r>
              <w:rPr>
                <w:sz w:val="15"/>
                <w:szCs w:val="15"/>
              </w:rPr>
              <w:t xml:space="preserve">The cohort is smaller than standard recommendations for Cox regression require; an unrealistically large cohort would be needed to meet those standards for this rare disease</w:t>
            </w:r>
          </w:p>
          <w:p>
            <w:pPr>
              <w:pStyle w:val="ListParagraph"/>
              <w:numPr>
                <w:ilvl w:val="0"/>
                <w:numId w:val="2"/>
              </w:numPr>
              <w:spacing w:after="45"/>
            </w:pPr>
            <w:r>
              <w:rPr>
                <w:sz w:val="15"/>
                <w:szCs w:val="15"/>
              </w:rPr>
              <w:t xml:space="preserve">Definitions of recurrence vary in the literature, some studies counting only distant metastases, and it is not yet known whether recurrence occurs more often locally or distantly, so whether the predominance of remnant recurrence here reflects selection bias is unclear</w:t>
            </w:r>
          </w:p>
          <w:p>
            <w:pPr>
              <w:pStyle w:val="ListParagraph"/>
              <w:numPr>
                <w:ilvl w:val="0"/>
                <w:numId w:val="2"/>
              </w:numPr>
              <w:spacing w:after="45"/>
            </w:pPr>
            <w:r>
              <w:rPr>
                <w:sz w:val="15"/>
                <w:szCs w:val="15"/>
              </w:rPr>
              <w:t xml:space="preserve">External validation was still ongoing at publication because of limited availability of adequate cohorts, and the authors chose to publish before it was complete</w:t>
            </w:r>
          </w:p>
          <w:p>
            <w:pPr>
              <w:pStyle w:val="ListParagraph"/>
              <w:numPr>
                <w:ilvl w:val="0"/>
                <w:numId w:val="2"/>
              </w:numPr>
              <w:spacing w:after="45"/>
            </w:pPr>
            <w:r>
              <w:rPr>
                <w:sz w:val="15"/>
                <w:szCs w:val="15"/>
              </w:rPr>
              <w:t xml:space="preserve">The role of resection margins remains unclear and surgeons must balance complication risk against the prognostic value of a more extensive resection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score is internally validated only, and the authors publish while conceding they could not find a validation cohort; the comparison that would justify its use - score versus WHO grade alone - returns p = 0.059, so by the paper's own test the score has not been shown to add to grading</w:t>
            </w:r>
          </w:p>
          <w:p>
            <w:pPr>
              <w:pStyle w:val="ListParagraph"/>
              <w:numPr>
                <w:ilvl w:val="0"/>
                <w:numId w:val="2"/>
              </w:numPr>
              <w:spacing w:after="45"/>
            </w:pPr>
            <w:r>
              <w:rPr>
                <w:sz w:val="15"/>
                <w:szCs w:val="15"/>
              </w:rPr>
              <w:t xml:space="preserve">The under-2 cm subgroup, which is what any size threshold needs, contains 4 recurrence events, and its univariable hazard ratios span two orders of magnitude (perineural invasion 3.19-295.74) yet are reported as predictors; no multivariable model was possible and none should be inferred</w:t>
            </w:r>
          </w:p>
          <w:p>
            <w:pPr>
              <w:pStyle w:val="ListParagraph"/>
              <w:numPr>
                <w:ilvl w:val="0"/>
                <w:numId w:val="2"/>
              </w:numPr>
              <w:spacing w:after="45"/>
            </w:pPr>
            <w:r>
              <w:rPr>
                <w:sz w:val="15"/>
                <w:szCs w:val="15"/>
              </w:rPr>
              <w:t xml:space="preserve">All three score components - grade on final pathology, nodal status and perineural invasion - are postoperative findings, so the instrument cannot inform the decision whether to operate, only how often to scan afterwards; it is nonetheless cited in guidelines addressing the operative decision</w:t>
            </w:r>
          </w:p>
          <w:p>
            <w:pPr>
              <w:pStyle w:val="ListParagraph"/>
              <w:numPr>
                <w:ilvl w:val="0"/>
                <w:numId w:val="2"/>
              </w:numPr>
              <w:spacing w:after="45"/>
            </w:pPr>
            <w:r>
              <w:rPr>
                <w:sz w:val="15"/>
                <w:szCs w:val="15"/>
              </w:rPr>
              <w:t xml:space="preserve">The cut-off of 24 was selected by ROC analysis in the same data by both Youden index and log-rank, so its 91% sensitivity is optimistic by construction and the 62% specificity is not clinically discriminating</w:t>
            </w:r>
          </w:p>
          <w:p>
            <w:pPr>
              <w:pStyle w:val="ListParagraph"/>
              <w:numPr>
                <w:ilvl w:val="0"/>
                <w:numId w:val="2"/>
              </w:numPr>
              <w:spacing w:after="45"/>
            </w:pPr>
            <w:r>
              <w:rPr>
                <w:sz w:val="15"/>
                <w:szCs w:val="15"/>
              </w:rPr>
              <w:t xml:space="preserve">Imaging intensity during follow-up was explicitly keyed to chromogranin A and to grade and nodal status, which means the score's predictors also predicted the probability of detecting a recurrence - a surveillance bias the authors note but do not adjust for</w:t>
            </w:r>
          </w:p>
          <w:p>
            <w:pPr>
              <w:pStyle w:val="ListParagraph"/>
              <w:numPr>
                <w:ilvl w:val="0"/>
                <w:numId w:val="2"/>
              </w:numPr>
              <w:spacing w:after="45"/>
            </w:pPr>
            <w:r>
              <w:rPr>
                <w:sz w:val="15"/>
                <w:szCs w:val="15"/>
              </w:rPr>
              <w:t xml:space="preserve">Excluding MEN-1, VHL, grade 3 and all metastatic disease produces a cleaner cohort than clinical practice presents, so the 17% recurrence rate and the 2-of-107 figure for triple-negative patients apply only to that filtered population</w:t>
            </w:r>
          </w:p>
          <w:p>
            <w:pPr>
              <w:pStyle w:val="ListParagraph"/>
              <w:numPr>
                <w:ilvl w:val="0"/>
                <w:numId w:val="2"/>
              </w:numPr>
              <w:spacing w:after="45"/>
            </w:pPr>
            <w:r>
              <w:rPr>
                <w:sz w:val="15"/>
                <w:szCs w:val="15"/>
              </w:rPr>
              <w:t xml:space="preserve">Median follow-up of 51 months against a median time to recurrence of 43 months means roughly half the cohort had not been observed past the peak hazard, and the 10-year survival figures rest on thin risk sets</w:t>
            </w:r>
          </w:p>
          <w:p>
            <w:pPr>
              <w:pStyle w:val="ListParagraph"/>
              <w:numPr>
                <w:ilvl w:val="0"/>
                <w:numId w:val="2"/>
              </w:numPr>
              <w:spacing w:after="45"/>
            </w:pPr>
            <w:r>
              <w:rPr>
                <w:sz w:val="15"/>
                <w:szCs w:val="15"/>
              </w:rPr>
              <w:t xml:space="preserve">Funding came from Ipsen, a manufacturer of somatostatin analogues, and the paper's stated purpose is to identify high-risk patients for future adjuvant therapy trials - a conflict that is disclosed but not discussed</w:t>
            </w:r>
          </w:p>
        </w:tc>
      </w:tr>
    </w:tbl>
    <w:p>
      <w:pPr>
        <w:spacing w:after="0" w:line="276"/>
      </w:pPr>
      <w:r>
        <w:rPr>
          <w:color w:val="5A6069"/>
          <w:sz w:val="14"/>
          <w:szCs w:val="14"/>
        </w:rPr>
        <w:t xml:space="preserve">Funding: Funding for C.G. Genc was provided by Ipsen; the authors report no conflict of interest and no disclaimers.</w:t>
      </w:r>
    </w:p>
    <w:p>
      <w:pPr>
        <w:keepNext/>
        <w:spacing w:after="50" w:before="260"/>
      </w:pPr>
      <w:r>
        <w:rPr>
          <w:rFonts w:ascii="Cambria" w:cs="Cambria" w:eastAsia="Cambria" w:hAnsi="Cambria"/>
          <w:b/>
          <w:bCs/>
          <w:color w:val="17365D"/>
          <w:sz w:val="20"/>
          <w:szCs w:val="20"/>
        </w:rPr>
        <w:t xml:space="preserve">Gratian 2014</w:t>
      </w:r>
      <w:r>
        <w:rPr>
          <w:b/>
          <w:bCs/>
          <w:color w:val="176A87"/>
          <w:sz w:val="15"/>
          <w:szCs w:val="15"/>
        </w:rPr>
        <w:t xml:space="preserve">   Registry study</w:t>
      </w:r>
      <w:r>
        <w:rPr>
          <w:color w:val="5A6069"/>
          <w:sz w:val="15"/>
          <w:szCs w:val="15"/>
        </w:rPr>
        <w:t xml:space="preserve">   PMID 24841347</w:t>
      </w:r>
    </w:p>
    <w:p>
      <w:pPr>
        <w:spacing w:after="50" w:line="276"/>
      </w:pPr>
      <w:r>
        <w:rPr>
          <w:color w:val="5A6069"/>
          <w:sz w:val="17"/>
          <w:szCs w:val="17"/>
        </w:rPr>
        <w:t xml:space="preserve">Impact of extent of surgery on survival in patients with small nonfunctional pancreatic neuroendocrine tumors in the United States.</w:t>
      </w:r>
    </w:p>
    <w:p>
      <w:pPr>
        <w:spacing w:after="50"/>
      </w:pPr>
      <w:r>
        <w:rPr>
          <w:b/>
          <w:bCs/>
          <w:color w:val="176A87"/>
          <w:sz w:val="16"/>
          <w:szCs w:val="16"/>
        </w:rPr>
        <w:t xml:space="preserve">Population. </w:t>
      </w:r>
      <w:r>
        <w:rPr>
          <w:sz w:val="16"/>
          <w:szCs w:val="16"/>
        </w:rPr>
        <w:t xml:space="preserve">1854 patients with nonfunctional PNET 2 cm or less; 1367 with known extent of resection; 366 in the survival analysis</w:t>
      </w:r>
    </w:p>
    <w:p>
      <w:pPr>
        <w:spacing w:after="70"/>
      </w:pPr>
      <w:r>
        <w:rPr>
          <w:b/>
          <w:bCs/>
          <w:color w:val="17365D"/>
          <w:sz w:val="16"/>
          <w:szCs w:val="16"/>
        </w:rPr>
        <w:t xml:space="preserve">Bottom line. </w:t>
      </w:r>
      <w:r>
        <w:rPr>
          <w:sz w:val="16"/>
          <w:szCs w:val="16"/>
        </w:rPr>
        <w:t xml:space="preserve">In a registry restricted to tumours coded as malignant, nonfunctional PNET of 2 cm or less carried a 29% nodal and 10% distant metastasis rate with no fall at the smallest sizes, and extent of resection and lymphadenectomy made no difference to survival - but the apparent survival benefit of any surgery over none is selection, and the metastasis rates cannot be transferred to incidentally found lesions.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NCDB collects data only on tumours with ICD-O-3 codes corresponding to malignant disease, so these data may overestimate the malignant potential of small PNET</w:t>
            </w:r>
          </w:p>
          <w:p>
            <w:pPr>
              <w:pStyle w:val="ListParagraph"/>
              <w:numPr>
                <w:ilvl w:val="0"/>
                <w:numId w:val="2"/>
              </w:numPr>
              <w:spacing w:after="45"/>
            </w:pPr>
            <w:r>
              <w:rPr>
                <w:sz w:val="15"/>
                <w:szCs w:val="15"/>
              </w:rPr>
              <w:t xml:space="preserve">There is no explicit way to determine tumour functionality, so some functional tumours may inadvertently have been included</w:t>
            </w:r>
          </w:p>
          <w:p>
            <w:pPr>
              <w:pStyle w:val="ListParagraph"/>
              <w:numPr>
                <w:ilvl w:val="0"/>
                <w:numId w:val="2"/>
              </w:numPr>
              <w:spacing w:after="45"/>
            </w:pPr>
            <w:r>
              <w:rPr>
                <w:sz w:val="15"/>
                <w:szCs w:val="15"/>
              </w:rPr>
              <w:t xml:space="preserve">Multifocality is not reported in the database, so patients who had total pancreatectomy - suspected to have multifocal disease - had to be analysed as a separate surgical group</w:t>
            </w:r>
          </w:p>
          <w:p>
            <w:pPr>
              <w:pStyle w:val="ListParagraph"/>
              <w:numPr>
                <w:ilvl w:val="0"/>
                <w:numId w:val="2"/>
              </w:numPr>
              <w:spacing w:after="45"/>
            </w:pPr>
            <w:r>
              <w:rPr>
                <w:sz w:val="15"/>
                <w:szCs w:val="15"/>
              </w:rPr>
              <w:t xml:space="preserve">The reduced survival of the no-surgery group should be interpreted with caution because those patients may not have been offered surgery for unreported reasons that increased their mortality; the authors attempted to control for this by exclusions but call for prospective studies</w:t>
            </w:r>
          </w:p>
          <w:p>
            <w:pPr>
              <w:pStyle w:val="ListParagraph"/>
              <w:numPr>
                <w:ilvl w:val="0"/>
                <w:numId w:val="2"/>
              </w:numPr>
              <w:spacing w:after="45"/>
            </w:pPr>
            <w:r>
              <w:rPr>
                <w:sz w:val="15"/>
                <w:szCs w:val="15"/>
              </w:rPr>
              <w:t xml:space="preserve">Coding errors, missing data and the absence of key variables - mitotic rate, Ki-67, disease-specific survival and recurrence - all limit the analysis</w:t>
            </w:r>
          </w:p>
          <w:p>
            <w:pPr>
              <w:pStyle w:val="ListParagraph"/>
              <w:numPr>
                <w:ilvl w:val="0"/>
                <w:numId w:val="2"/>
              </w:numPr>
              <w:spacing w:after="45"/>
            </w:pPr>
            <w:r>
              <w:rPr>
                <w:sz w:val="15"/>
                <w:szCs w:val="15"/>
              </w:rPr>
              <w:t xml:space="preserve">Lymphadenectomy results may reflect inadequate nodal sampling, with a median of only 8 nodes examined and 27% of resected patients having none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National Cancer Data Base analysis, not SEER, and the registry by design captures only tumours assigned a malignant behaviour code - which removes the indolent small lesions a surveillance policy is about, so 29% nodal and 10% distant metastasis are a ceiling for a selected malignant subset rather than estimates for incidental sub-2 cm tumours</w:t>
            </w:r>
          </w:p>
          <w:p>
            <w:pPr>
              <w:pStyle w:val="ListParagraph"/>
              <w:numPr>
                <w:ilvl w:val="0"/>
                <w:numId w:val="2"/>
              </w:numPr>
              <w:spacing w:after="45"/>
            </w:pPr>
            <w:r>
              <w:rPr>
                <w:sz w:val="15"/>
                <w:szCs w:val="15"/>
              </w:rPr>
              <w:t xml:space="preserve">The arresting claim that 33% of tumours 5 mm or smaller have nodal metastases rests on a band of 94 patients in a variable that is missing in 45% of the cohort, with no confidence interval given; a handful of events in a selectively recorded field cannot adjudicate a size threshold</w:t>
            </w:r>
          </w:p>
          <w:p>
            <w:pPr>
              <w:pStyle w:val="ListParagraph"/>
              <w:numPr>
                <w:ilvl w:val="0"/>
                <w:numId w:val="2"/>
              </w:numPr>
              <w:spacing w:after="45"/>
            </w:pPr>
            <w:r>
              <w:rPr>
                <w:sz w:val="15"/>
                <w:szCs w:val="15"/>
              </w:rPr>
              <w:t xml:space="preserve">The survival analysis collapses 1854 patients to 366 by requiring diagnosis before 2006 and known surgery type, and then compares a no-surgery group that is older, far more often poorly differentiated and less often treated at academic centres against resected patients; the 27.6% versus 83.0% contrast is selection, which the authors concede in the discussion but still place in the abstract and conclusions</w:t>
            </w:r>
          </w:p>
          <w:p>
            <w:pPr>
              <w:pStyle w:val="ListParagraph"/>
              <w:numPr>
                <w:ilvl w:val="0"/>
                <w:numId w:val="2"/>
              </w:numPr>
              <w:spacing w:after="45"/>
            </w:pPr>
            <w:r>
              <w:rPr>
                <w:sz w:val="15"/>
                <w:szCs w:val="15"/>
              </w:rPr>
              <w:t xml:space="preserve">A 15% relative reduction in the risk of death for every later calendar year, during a window in which the authors themselves found no change in resection rates, hospital type or distant metastasis rates, is far more plausibly stage migration from incidental detection than improving care</w:t>
            </w:r>
          </w:p>
          <w:p>
            <w:pPr>
              <w:pStyle w:val="ListParagraph"/>
              <w:numPr>
                <w:ilvl w:val="0"/>
                <w:numId w:val="2"/>
              </w:numPr>
              <w:spacing w:after="45"/>
            </w:pPr>
            <w:r>
              <w:rPr>
                <w:sz w:val="15"/>
                <w:szCs w:val="15"/>
              </w:rPr>
              <w:t xml:space="preserve">The same calendar-year effect was not significant for 2004-2006 on Kaplan-Meier analysis, so the Cox finding is fragile and is explained away by appeal to greater model granularity rather than treated as the discrepant result it is</w:t>
            </w:r>
          </w:p>
          <w:p>
            <w:pPr>
              <w:pStyle w:val="ListParagraph"/>
              <w:numPr>
                <w:ilvl w:val="0"/>
                <w:numId w:val="2"/>
              </w:numPr>
              <w:spacing w:after="45"/>
            </w:pPr>
            <w:r>
              <w:rPr>
                <w:sz w:val="15"/>
                <w:szCs w:val="15"/>
              </w:rPr>
              <w:t xml:space="preserve">Nodes examined differ systematically by operation (63% vs 89%), so the finding that lymphadenectomy does not affect survival compares groups with structurally different staging completeness and is uninformative either way</w:t>
            </w:r>
          </w:p>
          <w:p>
            <w:pPr>
              <w:pStyle w:val="ListParagraph"/>
              <w:numPr>
                <w:ilvl w:val="0"/>
                <w:numId w:val="2"/>
              </w:numPr>
              <w:spacing w:after="45"/>
            </w:pPr>
            <w:r>
              <w:rPr>
                <w:sz w:val="15"/>
                <w:szCs w:val="15"/>
              </w:rPr>
              <w:t xml:space="preserve">The conclusion - that nonfunctional PNET of all sizes should be considered potentially malignant and resection considered - is drawn from a registry that cannot see the observed patients, cannot see Ki-67, and reports no disease-specific survival</w:t>
            </w:r>
          </w:p>
        </w:tc>
      </w:tr>
    </w:tbl>
    <w:p>
      <w:pPr>
        <w:keepNext/>
        <w:spacing w:after="50" w:before="260"/>
      </w:pPr>
      <w:r>
        <w:rPr>
          <w:rFonts w:ascii="Cambria" w:cs="Cambria" w:eastAsia="Cambria" w:hAnsi="Cambria"/>
          <w:b/>
          <w:bCs/>
          <w:color w:val="17365D"/>
          <w:sz w:val="20"/>
          <w:szCs w:val="20"/>
        </w:rPr>
        <w:t xml:space="preserve">Hashim 2014</w:t>
      </w:r>
      <w:r>
        <w:rPr>
          <w:b/>
          <w:bCs/>
          <w:color w:val="176A87"/>
          <w:sz w:val="15"/>
          <w:szCs w:val="15"/>
        </w:rPr>
        <w:t xml:space="preserve">   Retrospective cohort</w:t>
      </w:r>
      <w:r>
        <w:rPr>
          <w:color w:val="5A6069"/>
          <w:sz w:val="15"/>
          <w:szCs w:val="15"/>
        </w:rPr>
        <w:t xml:space="preserve">   PMID 24253141</w:t>
      </w:r>
    </w:p>
    <w:p>
      <w:pPr>
        <w:spacing w:after="50" w:line="276"/>
      </w:pPr>
      <w:r>
        <w:rPr>
          <w:color w:val="5A6069"/>
          <w:sz w:val="17"/>
          <w:szCs w:val="17"/>
        </w:rPr>
        <w:t xml:space="preserve">Regional lymphadenectomy is indicated in the surgical treatment of pancreatic neuroendocrine tumors (PNETs).</w:t>
      </w:r>
    </w:p>
    <w:p>
      <w:pPr>
        <w:spacing w:after="50"/>
      </w:pPr>
      <w:r>
        <w:rPr>
          <w:b/>
          <w:bCs/>
          <w:color w:val="176A87"/>
          <w:sz w:val="16"/>
          <w:szCs w:val="16"/>
        </w:rPr>
        <w:t xml:space="preserve">Population. </w:t>
      </w:r>
      <w:r>
        <w:rPr>
          <w:sz w:val="16"/>
          <w:szCs w:val="16"/>
        </w:rPr>
        <w:t xml:space="preserve">136 patients with locoregional PNET; 133 (98%) had nodal resection, of whom 50 (37.6%) were N1</w:t>
      </w:r>
    </w:p>
    <w:p>
      <w:pPr>
        <w:spacing w:after="70"/>
      </w:pPr>
      <w:r>
        <w:rPr>
          <w:b/>
          <w:bCs/>
          <w:color w:val="17365D"/>
          <w:sz w:val="16"/>
          <w:szCs w:val="16"/>
        </w:rPr>
        <w:t xml:space="preserve">Bottom line. </w:t>
      </w:r>
      <w:r>
        <w:rPr>
          <w:sz w:val="16"/>
          <w:szCs w:val="16"/>
        </w:rPr>
        <w:t xml:space="preserve">Among 136 resected locoregional PNET, nodal metastasis was present in 38% overall and still 12-13% in tumours of 1-1.5 cm, and nothing available before surgery reliably identified a low-risk group - but the cohort contains only operated patients from a unit committed to oncological resection, the small-tumour estimates rest on single-digit event counts, and nodal status did not reach significance for overall survival.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data collection and a single-institution experience</w:t>
            </w:r>
          </w:p>
          <w:p>
            <w:pPr>
              <w:pStyle w:val="ListParagraph"/>
              <w:numPr>
                <w:ilvl w:val="0"/>
                <w:numId w:val="2"/>
              </w:numPr>
              <w:spacing w:after="45"/>
            </w:pPr>
            <w:r>
              <w:rPr>
                <w:sz w:val="15"/>
                <w:szCs w:val="15"/>
              </w:rPr>
              <w:t xml:space="preserve">Patients selected for observation of their tumours were not included, because the cohort was drawn from a surgical database</w:t>
            </w:r>
          </w:p>
          <w:p>
            <w:pPr>
              <w:pStyle w:val="ListParagraph"/>
              <w:numPr>
                <w:ilvl w:val="0"/>
                <w:numId w:val="2"/>
              </w:numPr>
              <w:spacing w:after="45"/>
            </w:pPr>
            <w:r>
              <w:rPr>
                <w:sz w:val="15"/>
                <w:szCs w:val="15"/>
              </w:rPr>
              <w:t xml:space="preserve">Reported complication rates were lower than the unit's own previously published rates and lower than the literature, and because they were collected retrospectively over two decades they are likely an incomplete picture of the morbidity of oncological resection</w:t>
            </w:r>
          </w:p>
          <w:p>
            <w:pPr>
              <w:pStyle w:val="ListParagraph"/>
              <w:numPr>
                <w:ilvl w:val="0"/>
                <w:numId w:val="2"/>
              </w:numPr>
              <w:spacing w:after="45"/>
            </w:pPr>
            <w:r>
              <w:rPr>
                <w:sz w:val="15"/>
                <w:szCs w:val="15"/>
              </w:rPr>
              <w:t xml:space="preserve">Ki-67 can be obtained on biopsy but biopsy is not always reliable because these tumours are heterogeneous, and the procedure carries its own risks; the two node-positive patients with tumours 1 cm or smaller both had Ki-67 under 20%</w:t>
            </w:r>
          </w:p>
          <w:p>
            <w:pPr>
              <w:pStyle w:val="ListParagraph"/>
              <w:numPr>
                <w:ilvl w:val="0"/>
                <w:numId w:val="2"/>
              </w:numPr>
              <w:spacing w:after="45"/>
            </w:pPr>
            <w:r>
              <w:rPr>
                <w:sz w:val="15"/>
                <w:szCs w:val="15"/>
              </w:rPr>
              <w:t xml:space="preserve">Given the indolent nature of many PNET, it will take several decades to determine whether limited local treatments compromise long-term outcomes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central claim - that no preoperative variable defines a group with nodal risk below about 12-20% - is generated from a resected cohort in a unit that states its own bias toward oncological resection, so the small, favourable, observed lesions that would populate the low-risk tail are structurally absent from the dataset; the authors acknowledge the omission but draw a management conclusion from it anyway</w:t>
            </w:r>
          </w:p>
          <w:p>
            <w:pPr>
              <w:pStyle w:val="ListParagraph"/>
              <w:numPr>
                <w:ilvl w:val="0"/>
                <w:numId w:val="2"/>
              </w:numPr>
              <w:spacing w:after="45"/>
            </w:pPr>
            <w:r>
              <w:rPr>
                <w:sz w:val="15"/>
                <w:szCs w:val="15"/>
              </w:rPr>
              <w:t xml:space="preserve">The headline 12% nodal rate in tumours 1 cm or smaller is 2 of 17 patients, a confidence interval running from roughly 2% to 36%, which cannot support or refute any size threshold</w:t>
            </w:r>
          </w:p>
          <w:p>
            <w:pPr>
              <w:pStyle w:val="ListParagraph"/>
              <w:numPr>
                <w:ilvl w:val="0"/>
                <w:numId w:val="2"/>
              </w:numPr>
              <w:spacing w:after="45"/>
            </w:pPr>
            <w:r>
              <w:rPr>
                <w:sz w:val="15"/>
                <w:szCs w:val="15"/>
              </w:rPr>
              <w:t xml:space="preserve">Nodes examined differed two-fold between head (median 15) and body-tail (median 8), and nodal positivity in this disease tracks with nodes examined, so the location effect is in part a detection effect even after statistical adjustment</w:t>
            </w:r>
          </w:p>
          <w:p>
            <w:pPr>
              <w:pStyle w:val="ListParagraph"/>
              <w:numPr>
                <w:ilvl w:val="0"/>
                <w:numId w:val="2"/>
              </w:numPr>
              <w:spacing w:after="45"/>
            </w:pPr>
            <w:r>
              <w:rPr>
                <w:sz w:val="15"/>
                <w:szCs w:val="15"/>
              </w:rPr>
              <w:t xml:space="preserve">Nodal status predicted disease-free but not overall survival (log-rank 0.1); the authors argue the OS result will become significant with longer follow-up rather than reporting the result they obtained, and then use the DFS finding to justify routine lymphadenectomy</w:t>
            </w:r>
          </w:p>
          <w:p>
            <w:pPr>
              <w:pStyle w:val="ListParagraph"/>
              <w:numPr>
                <w:ilvl w:val="0"/>
                <w:numId w:val="2"/>
              </w:numPr>
              <w:spacing w:after="45"/>
            </w:pPr>
            <w:r>
              <w:rPr>
                <w:sz w:val="15"/>
                <w:szCs w:val="15"/>
              </w:rPr>
              <w:t xml:space="preserve">Key predictors were fitted on incomplete data - lymphovascular invasion was known in 97 of 136, Ki-67 in 121, perineural invasion in 69, grade in 112 - so the odds ratios come from varying and unstated subsets</w:t>
            </w:r>
          </w:p>
          <w:p>
            <w:pPr>
              <w:pStyle w:val="ListParagraph"/>
              <w:numPr>
                <w:ilvl w:val="0"/>
                <w:numId w:val="2"/>
              </w:numPr>
              <w:spacing w:after="45"/>
            </w:pPr>
            <w:r>
              <w:rPr>
                <w:sz w:val="15"/>
                <w:szCs w:val="15"/>
              </w:rPr>
              <w:t xml:space="preserve">MEN-1 and functional tumours were retained on the basis of a non-significance test in a cohort containing only 13 and 8 such patients, which is far too small to exclude an effect</w:t>
            </w:r>
          </w:p>
          <w:p>
            <w:pPr>
              <w:pStyle w:val="ListParagraph"/>
              <w:numPr>
                <w:ilvl w:val="0"/>
                <w:numId w:val="2"/>
              </w:numPr>
              <w:spacing w:after="45"/>
            </w:pPr>
            <w:r>
              <w:rPr>
                <w:sz w:val="15"/>
                <w:szCs w:val="15"/>
              </w:rPr>
              <w:t xml:space="preserve">The complication rate (39%, 7% leak) is conceded to be implausibly low and incomplete, which matters because the whole argument weighs nodal yield against the morbidity of a larger operation</w:t>
            </w:r>
          </w:p>
          <w:p>
            <w:pPr>
              <w:pStyle w:val="ListParagraph"/>
              <w:numPr>
                <w:ilvl w:val="0"/>
                <w:numId w:val="2"/>
              </w:numPr>
              <w:spacing w:after="45"/>
            </w:pPr>
            <w:r>
              <w:rPr>
                <w:sz w:val="15"/>
                <w:szCs w:val="15"/>
              </w:rPr>
              <w:t xml:space="preserve">The recommendation that oncological resection be the standard operation for most patients cannot be derived from a dataset in which no patient was observed and no patient underwent enucleation without nodes except in 3 cases</w:t>
            </w:r>
          </w:p>
        </w:tc>
      </w:tr>
    </w:tbl>
    <w:p>
      <w:pPr>
        <w:spacing w:after="0" w:line="276"/>
      </w:pPr>
      <w:r>
        <w:rPr>
          <w:color w:val="5A6069"/>
          <w:sz w:val="14"/>
          <w:szCs w:val="14"/>
        </w:rPr>
        <w:t xml:space="preserve">Funding: Statistical support from the Biostatistics Core, Siteman Comprehensive Cancer Center, NCI Cancer Center Support grant P30 CA091842; salary support for Y. Hashim from the Washington University Surgical Oncology Training grant 5T32CA00962124. Authors declare no conflicts of interest.</w:t>
      </w:r>
    </w:p>
    <w:p>
      <w:pPr>
        <w:keepNext/>
        <w:spacing w:after="50" w:before="260"/>
      </w:pPr>
      <w:r>
        <w:rPr>
          <w:rFonts w:ascii="Cambria" w:cs="Cambria" w:eastAsia="Cambria" w:hAnsi="Cambria"/>
          <w:b/>
          <w:bCs/>
          <w:color w:val="17365D"/>
          <w:sz w:val="20"/>
          <w:szCs w:val="20"/>
        </w:rPr>
        <w:t xml:space="preserve">Hüttner 2015</w:t>
      </w:r>
      <w:r>
        <w:rPr>
          <w:b/>
          <w:bCs/>
          <w:color w:val="176A87"/>
          <w:sz w:val="15"/>
          <w:szCs w:val="15"/>
        </w:rPr>
        <w:t xml:space="preserve">   Meta-analysis</w:t>
      </w:r>
      <w:r>
        <w:rPr>
          <w:color w:val="5A6069"/>
          <w:sz w:val="15"/>
          <w:szCs w:val="15"/>
        </w:rPr>
        <w:t xml:space="preserve">   PMID 26041666</w:t>
      </w:r>
    </w:p>
    <w:p>
      <w:pPr>
        <w:spacing w:after="50" w:line="276"/>
      </w:pPr>
      <w:r>
        <w:rPr>
          <w:color w:val="5A6069"/>
          <w:sz w:val="17"/>
          <w:szCs w:val="17"/>
        </w:rPr>
        <w:t xml:space="preserve">Meta-analysis of surgical outcome after enucleation versus standard resection for pancreatic neoplasms.</w:t>
      </w:r>
    </w:p>
    <w:p>
      <w:pPr>
        <w:spacing w:after="50"/>
      </w:pPr>
      <w:r>
        <w:rPr>
          <w:b/>
          <w:bCs/>
          <w:color w:val="176A87"/>
          <w:sz w:val="16"/>
          <w:szCs w:val="16"/>
        </w:rPr>
        <w:t xml:space="preserve">Population. </w:t>
      </w:r>
      <w:r>
        <w:rPr>
          <w:sz w:val="16"/>
          <w:szCs w:val="16"/>
        </w:rPr>
        <w:t xml:space="preserve">22 observational studies with 1148 patients: 432 enucleations and 716 standard resections (388 distal pancreatectomies, 328 pancreaticoduodenectomies)</w:t>
      </w:r>
    </w:p>
    <w:p>
      <w:pPr>
        <w:spacing w:after="70"/>
      </w:pPr>
      <w:r>
        <w:rPr>
          <w:b/>
          <w:bCs/>
          <w:color w:val="17365D"/>
          <w:sz w:val="16"/>
          <w:szCs w:val="16"/>
        </w:rPr>
        <w:t xml:space="preserve">Bottom line. </w:t>
      </w:r>
      <w:r>
        <w:rPr>
          <w:sz w:val="16"/>
          <w:szCs w:val="16"/>
        </w:rPr>
        <w:t xml:space="preserve">Pooling 22 non-randomised studies, enucleation gave less blood loss, shorter operations and far less endocrine and exocrine insufficiency than formal pancreatectomy at the cost of roughly twice the pancreatic fistula rate - an excess that disappeared in four high-volume studies - but the operations were chosen for different lesions, the indications are mixed, and no oncological outcome could be compared.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review is compromised by the moderate methodological quality of most primary studies</w:t>
            </w:r>
          </w:p>
          <w:p>
            <w:pPr>
              <w:pStyle w:val="ListParagraph"/>
              <w:numPr>
                <w:ilvl w:val="0"/>
                <w:numId w:val="2"/>
              </w:numPr>
              <w:spacing w:after="45"/>
            </w:pPr>
            <w:r>
              <w:rPr>
                <w:sz w:val="15"/>
                <w:szCs w:val="15"/>
              </w:rPr>
              <w:t xml:space="preserve">Most studies did not define delayed gastric emptying and only one applied the ISGPS definition, so differing endpoint definitions may have compromised the results</w:t>
            </w:r>
          </w:p>
          <w:p>
            <w:pPr>
              <w:pStyle w:val="ListParagraph"/>
              <w:numPr>
                <w:ilvl w:val="0"/>
                <w:numId w:val="2"/>
              </w:numPr>
              <w:spacing w:after="45"/>
            </w:pPr>
            <w:r>
              <w:rPr>
                <w:sz w:val="15"/>
                <w:szCs w:val="15"/>
              </w:rPr>
              <w:t xml:space="preserve">Selection bias cannot be ruled out given the absence of randomisation and the scarcity of baseline data in some studies; for most studies it is unclear whether the standard-resection patients would also have been suitable for enucleation</w:t>
            </w:r>
          </w:p>
          <w:p>
            <w:pPr>
              <w:pStyle w:val="ListParagraph"/>
              <w:numPr>
                <w:ilvl w:val="0"/>
                <w:numId w:val="2"/>
              </w:numPr>
              <w:spacing w:after="45"/>
            </w:pPr>
            <w:r>
              <w:rPr>
                <w:sz w:val="15"/>
                <w:szCs w:val="15"/>
              </w:rPr>
              <w:t xml:space="preserve">Long-term disease-specific outcomes such as disease-free survival could not be compared because most primary studies focused on short-term surgical outcomes</w:t>
            </w:r>
          </w:p>
          <w:p>
            <w:pPr>
              <w:pStyle w:val="ListParagraph"/>
              <w:numPr>
                <w:ilvl w:val="0"/>
                <w:numId w:val="2"/>
              </w:numPr>
              <w:spacing w:after="45"/>
            </w:pPr>
            <w:r>
              <w:rPr>
                <w:sz w:val="15"/>
                <w:szCs w:val="15"/>
              </w:rPr>
              <w:t xml:space="preserve">A planned subgroup analysis of enucleation in the body/tail versus distal pancreatectomy and enucleation in the head/uncinate versus pancreaticoduodenectomy could not be performed because the primary data did not separate fistula rates by location</w:t>
            </w:r>
          </w:p>
          <w:p>
            <w:pPr>
              <w:pStyle w:val="ListParagraph"/>
              <w:numPr>
                <w:ilvl w:val="0"/>
                <w:numId w:val="2"/>
              </w:numPr>
              <w:spacing w:after="45"/>
            </w:pPr>
            <w:r>
              <w:rPr>
                <w:sz w:val="15"/>
                <w:szCs w:val="15"/>
              </w:rPr>
              <w:t xml:space="preserve">All data come from non-randomised studies, so results must be interpreted with caution; a randomised trial of disease-specific outcome would be relevant but difficult because suitable lesions are rare, multicentre recruitment would be needed, learning-curve bias would intrude, and patient and surgeon preferences would impair recruitment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analysis most likely to change practice - that enucleation carries no excess fistula risk in high-volume centres - rests on 4 of 22 studies with I2 = 49%, and the volume threshold was defined by the authors themselves and inserted as a modified item into the Downs and Black checklist, so the least robust and least pre-specified result is the one carried into the conclusion</w:t>
            </w:r>
          </w:p>
          <w:p>
            <w:pPr>
              <w:pStyle w:val="ListParagraph"/>
              <w:numPr>
                <w:ilvl w:val="0"/>
                <w:numId w:val="2"/>
              </w:numPr>
              <w:spacing w:after="45"/>
            </w:pPr>
            <w:r>
              <w:rPr>
                <w:sz w:val="15"/>
                <w:szCs w:val="15"/>
              </w:rPr>
              <w:t xml:space="preserve">The primary comparison is between operations chosen for anatomically different lesions, and the review explicitly concedes it cannot tell whether the resected patients were ever enucleation candidates - which makes every difference in blood loss, operating time and pancreatic insufficiency partly an artefact of lesion size and location rather than of the operation</w:t>
            </w:r>
          </w:p>
          <w:p>
            <w:pPr>
              <w:pStyle w:val="ListParagraph"/>
              <w:numPr>
                <w:ilvl w:val="0"/>
                <w:numId w:val="2"/>
              </w:numPr>
              <w:spacing w:after="45"/>
            </w:pPr>
            <w:r>
              <w:rPr>
                <w:sz w:val="15"/>
                <w:szCs w:val="15"/>
              </w:rPr>
              <w:t xml:space="preserve">Means and standard deviations were back-calculated from medians and ranges by the Hozo method for an unstated number of studies, which manufactures precision in exactly the continuous outcomes where heterogeneity is already 50-87%</w:t>
            </w:r>
          </w:p>
          <w:p>
            <w:pPr>
              <w:pStyle w:val="ListParagraph"/>
              <w:numPr>
                <w:ilvl w:val="0"/>
                <w:numId w:val="2"/>
              </w:numPr>
              <w:spacing w:after="45"/>
            </w:pPr>
            <w:r>
              <w:rPr>
                <w:sz w:val="15"/>
                <w:szCs w:val="15"/>
              </w:rPr>
              <w:t xml:space="preserve">Indications are pooled across insulinoma, non-functioning NET, serous and mucinous cystadenoma, IPMN and chronic pancreatitis, so no result here is specific to pancreatic neuroendocrine tumour, and the fistula risk of enucleating a soft NET differs from that of a cystic lesion</w:t>
            </w:r>
          </w:p>
          <w:p>
            <w:pPr>
              <w:pStyle w:val="ListParagraph"/>
              <w:numPr>
                <w:ilvl w:val="0"/>
                <w:numId w:val="2"/>
              </w:numPr>
              <w:spacing w:after="45"/>
            </w:pPr>
            <w:r>
              <w:rPr>
                <w:sz w:val="15"/>
                <w:szCs w:val="15"/>
              </w:rPr>
              <w:t xml:space="preserve">Exocrine insufficiency is reported as a pooled risk difference of -0.17 despite I2 = 86%, and rests on 5 studies in which the definition and timing of assessment are not standardised</w:t>
            </w:r>
          </w:p>
          <w:p>
            <w:pPr>
              <w:pStyle w:val="ListParagraph"/>
              <w:numPr>
                <w:ilvl w:val="0"/>
                <w:numId w:val="2"/>
              </w:numPr>
              <w:spacing w:after="45"/>
            </w:pPr>
            <w:r>
              <w:rPr>
                <w:sz w:val="15"/>
                <w:szCs w:val="15"/>
              </w:rPr>
              <w:t xml:space="preserve">The hospital stay result (-1.3 days) is acknowledged to be driven by between-country practice - 3 vs 5 days in the US study against 32 vs 34 days in the Korean study - yet it is pooled and reported as an effect of the operation</w:t>
            </w:r>
          </w:p>
          <w:p>
            <w:pPr>
              <w:pStyle w:val="ListParagraph"/>
              <w:numPr>
                <w:ilvl w:val="0"/>
                <w:numId w:val="2"/>
              </w:numPr>
              <w:spacing w:after="45"/>
            </w:pPr>
            <w:r>
              <w:rPr>
                <w:sz w:val="15"/>
                <w:szCs w:val="15"/>
              </w:rPr>
              <w:t xml:space="preserve">Only one of 22 primary studies reported information on principal confounders, which means the random-effects pooling is combining uncontrolled comparisons; the funnel-plot assessment of publication bias is uninformative with this few studies and this much clinical heterogeneity</w:t>
            </w:r>
          </w:p>
          <w:p>
            <w:pPr>
              <w:pStyle w:val="ListParagraph"/>
              <w:numPr>
                <w:ilvl w:val="0"/>
                <w:numId w:val="2"/>
              </w:numPr>
              <w:spacing w:after="45"/>
            </w:pPr>
            <w:r>
              <w:rPr>
                <w:sz w:val="15"/>
                <w:szCs w:val="15"/>
              </w:rPr>
              <w:t xml:space="preserve">The clinical question a surveillance pathway needs - whether enucleation without lymphadenectomy is oncologically adequate - is the one the review states it cannot address</w:t>
            </w:r>
          </w:p>
        </w:tc>
      </w:tr>
    </w:tbl>
    <w:p>
      <w:pPr>
        <w:spacing w:after="0" w:line="276"/>
      </w:pPr>
      <w:r>
        <w:rPr>
          <w:color w:val="5A6069"/>
          <w:sz w:val="14"/>
          <w:szCs w:val="14"/>
        </w:rPr>
        <w:t xml:space="preserve">Funding: The Study Centre of the German Surgical Society was funded by grant 01GH0702 from the German Federal Ministry of Education and Research to 31 December 2013; the Systematic Reviews Working Group received a donation from Covidien. The authors declare no conflict of interest.</w:t>
      </w:r>
    </w:p>
    <w:p>
      <w:pPr>
        <w:keepNext/>
        <w:spacing w:after="50" w:before="260"/>
      </w:pPr>
      <w:r>
        <w:rPr>
          <w:rFonts w:ascii="Cambria" w:cs="Cambria" w:eastAsia="Cambria" w:hAnsi="Cambria"/>
          <w:b/>
          <w:bCs/>
          <w:color w:val="17365D"/>
          <w:sz w:val="20"/>
          <w:szCs w:val="20"/>
        </w:rPr>
        <w:t xml:space="preserve">LITESPARK-004</w:t>
      </w:r>
      <w:r>
        <w:rPr>
          <w:b/>
          <w:bCs/>
          <w:color w:val="176A87"/>
          <w:sz w:val="15"/>
          <w:szCs w:val="15"/>
        </w:rPr>
        <w:t xml:space="preserve">   Prospective cohort</w:t>
      </w:r>
      <w:r>
        <w:rPr>
          <w:color w:val="5A6069"/>
          <w:sz w:val="15"/>
          <w:szCs w:val="15"/>
        </w:rPr>
        <w:t xml:space="preserve">   PMID 34818478</w:t>
      </w:r>
    </w:p>
    <w:p>
      <w:pPr>
        <w:spacing w:after="50" w:line="276"/>
      </w:pPr>
      <w:r>
        <w:rPr>
          <w:color w:val="5A6069"/>
          <w:sz w:val="17"/>
          <w:szCs w:val="17"/>
        </w:rPr>
        <w:t xml:space="preserve">Belzutifan for renal cell carcinoma in von Hippel-Lindau disease.</w:t>
      </w:r>
    </w:p>
    <w:p>
      <w:pPr>
        <w:spacing w:after="50"/>
      </w:pPr>
      <w:r>
        <w:rPr>
          <w:b/>
          <w:bCs/>
          <w:color w:val="176A87"/>
          <w:sz w:val="16"/>
          <w:szCs w:val="16"/>
        </w:rPr>
        <w:t xml:space="preserve">Population. </w:t>
      </w:r>
      <w:r>
        <w:rPr>
          <w:sz w:val="16"/>
          <w:szCs w:val="16"/>
        </w:rPr>
        <w:t xml:space="preserve">61 patients enrolled; all 61 had pancreatic lesions and 22 (36%) had pancreatic neuroendocrine tumours</w:t>
      </w:r>
    </w:p>
    <w:p>
      <w:pPr>
        <w:spacing w:after="70"/>
      </w:pPr>
      <w:r>
        <w:rPr>
          <w:b/>
          <w:bCs/>
          <w:color w:val="17365D"/>
          <w:sz w:val="16"/>
          <w:szCs w:val="16"/>
        </w:rPr>
        <w:t xml:space="preserve">Bottom line. </w:t>
      </w:r>
      <w:r>
        <w:rPr>
          <w:sz w:val="16"/>
          <w:szCs w:val="16"/>
        </w:rPr>
        <w:t xml:space="preserve">Belzutifan shrank VHL-associated tumours across organ systems, with a 91% response rate in the 22 patients who had pancreatic neuroendocrine tumours and no pancreatic surgery required over 22 months, but this is an uncontrolled secondary endpoint in a single-arm industry trial of 61 unusually fit patients, with universal anaemia and no data on durability or on sporadic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Interpretation is limited by the lack of a comparator group and by the modest sample size</w:t>
            </w:r>
          </w:p>
          <w:p>
            <w:pPr>
              <w:pStyle w:val="ListParagraph"/>
              <w:numPr>
                <w:ilvl w:val="0"/>
                <w:numId w:val="2"/>
              </w:numPr>
              <w:spacing w:after="45"/>
            </w:pPr>
            <w:r>
              <w:rPr>
                <w:sz w:val="15"/>
                <w:szCs w:val="15"/>
              </w:rPr>
              <w:t xml:space="preserve">Because no other non-surgical treatment for VHL disease has been approved, designing a randomised controlled trial is an ethical challenge</w:t>
            </w:r>
          </w:p>
          <w:p>
            <w:pPr>
              <w:pStyle w:val="ListParagraph"/>
              <w:numPr>
                <w:ilvl w:val="0"/>
                <w:numId w:val="2"/>
              </w:numPr>
              <w:spacing w:after="45"/>
            </w:pPr>
            <w:r>
              <w:rPr>
                <w:sz w:val="15"/>
                <w:szCs w:val="15"/>
              </w:rPr>
              <w:t xml:space="preserve">The mechanism of possible resistance in the 2 patients with progressive disease is unknown, although a HIF-2-alpha gatekeeper mutation was reported in earlier preclinical and phase 1 work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91% pancreatic neuroendocrine tumour response rate that gets quoted is 20 of 22 patients, a secondary endpoint in a single-arm trial whose primary endpoint was renal, with no pre-specified statistical plan for it, no multiplicity control across the several organ systems assessed, and no histological confirmation that each measured 'pancreatic neuroendocrine tumour' was one rather than a serous cystadenoma - the two were deliberately measured together in the larger 77% figure</w:t>
            </w:r>
          </w:p>
          <w:p>
            <w:pPr>
              <w:pStyle w:val="ListParagraph"/>
              <w:numPr>
                <w:ilvl w:val="0"/>
                <w:numId w:val="2"/>
              </w:numPr>
              <w:spacing w:after="45"/>
            </w:pPr>
            <w:r>
              <w:rPr>
                <w:sz w:val="15"/>
                <w:szCs w:val="15"/>
              </w:rPr>
              <w:t xml:space="preserve">RECIST response in indolent VHL lesions is several steps removed from the outcomes that matter - operations avoided, endocrine and exocrine function preserved, metastasis prevented, survival - and the trial reports none of them with a comparator</w:t>
            </w:r>
          </w:p>
          <w:p>
            <w:pPr>
              <w:pStyle w:val="ListParagraph"/>
              <w:numPr>
                <w:ilvl w:val="0"/>
                <w:numId w:val="2"/>
              </w:numPr>
              <w:spacing w:after="45"/>
            </w:pPr>
            <w:r>
              <w:rPr>
                <w:sz w:val="15"/>
                <w:szCs w:val="15"/>
              </w:rPr>
              <w:t xml:space="preserve">The comparison of 327 prior procedures against 3 on treatment contrasts a lifetime of accumulated disease across 61 patients with 22 months of follow-up; the authors' own figure shows 64 procedures in the preceding 2.5 years, which is the only like-for-like rate available and is not the one emphasised</w:t>
            </w:r>
          </w:p>
          <w:p>
            <w:pPr>
              <w:pStyle w:val="ListParagraph"/>
              <w:numPr>
                <w:ilvl w:val="0"/>
                <w:numId w:val="2"/>
              </w:numPr>
              <w:spacing w:after="45"/>
            </w:pPr>
            <w:r>
              <w:rPr>
                <w:sz w:val="15"/>
                <w:szCs w:val="15"/>
              </w:rPr>
              <w:t xml:space="preserve">Eligibility required no renal tumour above 3 cm, no metastases, ECOG 0-1 and gave a median age of 41, so the cohort is the fittest and least advanced end of the VHL population, and the authors note the contrast with the sicker advanced-RCC population in which hypoxia was previously seen</w:t>
            </w:r>
          </w:p>
          <w:p>
            <w:pPr>
              <w:pStyle w:val="ListParagraph"/>
              <w:numPr>
                <w:ilvl w:val="0"/>
                <w:numId w:val="2"/>
              </w:numPr>
              <w:spacing w:after="45"/>
            </w:pPr>
            <w:r>
              <w:rPr>
                <w:sz w:val="15"/>
                <w:szCs w:val="15"/>
              </w:rPr>
              <w:t xml:space="preserve">Anaemia in 90% of patients with 20% needing erythropoiesis-stimulating agents is a lifelong on-target toxicity in people who may take the drug for decades, and 22 months of exposure cannot establish durability, cumulative harm or resistance</w:t>
            </w:r>
          </w:p>
          <w:p>
            <w:pPr>
              <w:pStyle w:val="ListParagraph"/>
              <w:numPr>
                <w:ilvl w:val="0"/>
                <w:numId w:val="2"/>
              </w:numPr>
              <w:spacing w:after="45"/>
            </w:pPr>
            <w:r>
              <w:rPr>
                <w:sz w:val="15"/>
                <w:szCs w:val="15"/>
              </w:rPr>
              <w:t xml:space="preserve">The trial was sponsored and designed by Merck in collaboration with academic advisors, three authors are Merck employees, and medical writing was provided by an agency paid by the sponsor</w:t>
            </w:r>
          </w:p>
          <w:p>
            <w:pPr>
              <w:pStyle w:val="ListParagraph"/>
              <w:numPr>
                <w:ilvl w:val="0"/>
                <w:numId w:val="2"/>
              </w:numPr>
              <w:spacing w:after="45"/>
            </w:pPr>
            <w:r>
              <w:rPr>
                <w:sz w:val="15"/>
                <w:szCs w:val="15"/>
              </w:rPr>
              <w:t xml:space="preserve">Retinal haemangioblastoma assessment was explicitly qualitative, combining size, location, number, vessel engorgement, exudate and fibrosis, and the 100% improvement figure rests on 16 eyes in 12 patients</w:t>
            </w:r>
          </w:p>
          <w:p>
            <w:pPr>
              <w:pStyle w:val="ListParagraph"/>
              <w:numPr>
                <w:ilvl w:val="0"/>
                <w:numId w:val="2"/>
              </w:numPr>
              <w:spacing w:after="45"/>
            </w:pPr>
            <w:r>
              <w:rPr>
                <w:sz w:val="15"/>
                <w:szCs w:val="15"/>
              </w:rPr>
              <w:t xml:space="preserve">One patient was centrally assessed as stable while the treating physician called it progression, which is reported without resolution and indicates the softness of the response endpoint in multifocal low-growth disease</w:t>
            </w:r>
          </w:p>
          <w:p>
            <w:pPr>
              <w:pStyle w:val="ListParagraph"/>
              <w:numPr>
                <w:ilvl w:val="0"/>
                <w:numId w:val="2"/>
              </w:numPr>
              <w:spacing w:after="45"/>
            </w:pPr>
            <w:r>
              <w:rPr>
                <w:sz w:val="15"/>
                <w:szCs w:val="15"/>
              </w:rPr>
              <w:t xml:space="preserve">Nothing in this trial applies to sporadic non-functioning pancreatic neuroendocrine tumour, where the driving lesion is not VHL loss and HIF-2-alpha is not constitutively activated</w:t>
            </w:r>
          </w:p>
        </w:tc>
      </w:tr>
    </w:tbl>
    <w:p>
      <w:pPr>
        <w:spacing w:after="0" w:line="276"/>
      </w:pPr>
      <w:r>
        <w:rPr>
          <w:color w:val="5A6069"/>
          <w:sz w:val="14"/>
          <w:szCs w:val="14"/>
        </w:rPr>
        <w:t xml:space="preserve">Funding: Merck Sharp and Dohme, a subsidiary of Merck; the Intramural Research Program of the NIH National Cancer Institute Center for Cancer Research; and NCI grant UO1 CA236489. Three authors are Merck employees; medical writing by ApotheCom was paid for by the sponsor.</w:t>
      </w:r>
    </w:p>
    <w:p>
      <w:pPr>
        <w:keepNext/>
        <w:spacing w:after="50" w:before="260"/>
      </w:pPr>
      <w:r>
        <w:rPr>
          <w:rFonts w:ascii="Cambria" w:cs="Cambria" w:eastAsia="Cambria" w:hAnsi="Cambria"/>
          <w:b/>
          <w:bCs/>
          <w:color w:val="17365D"/>
          <w:sz w:val="20"/>
          <w:szCs w:val="20"/>
        </w:rPr>
        <w:t xml:space="preserve">Makris 2023</w:t>
      </w:r>
      <w:r>
        <w:rPr>
          <w:b/>
          <w:bCs/>
          <w:color w:val="176A87"/>
          <w:sz w:val="15"/>
          <w:szCs w:val="15"/>
        </w:rPr>
        <w:t xml:space="preserve">   Retrospective cohort</w:t>
      </w:r>
      <w:r>
        <w:rPr>
          <w:color w:val="5A6069"/>
          <w:sz w:val="15"/>
          <w:szCs w:val="15"/>
        </w:rPr>
        <w:t xml:space="preserve">   PMID 36434481</w:t>
      </w:r>
    </w:p>
    <w:p>
      <w:pPr>
        <w:spacing w:after="50" w:line="276"/>
      </w:pPr>
      <w:r>
        <w:rPr>
          <w:color w:val="5A6069"/>
          <w:sz w:val="17"/>
          <w:szCs w:val="17"/>
        </w:rPr>
        <w:t xml:space="preserve">Calcifications and cystic morphology on preoperative imaging predict survival after resection of pancreatic neuroendocrine tumors.</w:t>
      </w:r>
    </w:p>
    <w:p>
      <w:pPr>
        <w:spacing w:after="50"/>
      </w:pPr>
      <w:r>
        <w:rPr>
          <w:b/>
          <w:bCs/>
          <w:color w:val="176A87"/>
          <w:sz w:val="16"/>
          <w:szCs w:val="16"/>
        </w:rPr>
        <w:t xml:space="preserve">Population. </w:t>
      </w:r>
      <w:r>
        <w:rPr>
          <w:sz w:val="16"/>
          <w:szCs w:val="16"/>
        </w:rPr>
        <w:t xml:space="preserve">981 patients resected for well-differentiated PNET; cystic morphology data missing in 279 (28%) and calcification data missing in 284 (29%)</w:t>
      </w:r>
    </w:p>
    <w:p>
      <w:pPr>
        <w:spacing w:after="70"/>
      </w:pPr>
      <w:r>
        <w:rPr>
          <w:b/>
          <w:bCs/>
          <w:color w:val="17365D"/>
          <w:sz w:val="16"/>
          <w:szCs w:val="16"/>
        </w:rPr>
        <w:t xml:space="preserve">Bottom line. </w:t>
      </w:r>
      <w:r>
        <w:rPr>
          <w:sz w:val="16"/>
          <w:szCs w:val="16"/>
        </w:rPr>
        <w:t xml:space="preserve">Across 981 resected well-differentiated pancreatic NET, radiographic calcification marked adverse pathology and shorter recurrence-free survival while a predominantly cystic appearance marked the opposite, but calcification's independent hazard ratio of 11.5 spans 1.1 to 125.0, cystic morphology was not independent at all, nearly 30% of the exposure data are missing, and nobody in the cohort was observed.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resected PNET were included, so the study is subject to the selection bias that led patients to undergo resection, and the authors could not retrospectively ascertain which PNET were managed non-operatively</w:t>
            </w:r>
          </w:p>
          <w:p>
            <w:pPr>
              <w:pStyle w:val="ListParagraph"/>
              <w:numPr>
                <w:ilvl w:val="0"/>
                <w:numId w:val="2"/>
              </w:numPr>
              <w:spacing w:after="45"/>
            </w:pPr>
            <w:r>
              <w:rPr>
                <w:sz w:val="15"/>
                <w:szCs w:val="15"/>
              </w:rPr>
              <w:t xml:space="preserve">Some cystic PNET under 3 cm with non-mucinous cyst fluid may have been misdiagnosed as serous cystic lesions, so the true proportion of cystic PNET is probably misrepresented - though the authors argue that including them would strengthen the findings since the most favourable lesions are the ones least likely to be operated</w:t>
            </w:r>
          </w:p>
          <w:p>
            <w:pPr>
              <w:pStyle w:val="ListParagraph"/>
              <w:numPr>
                <w:ilvl w:val="0"/>
                <w:numId w:val="2"/>
              </w:numPr>
              <w:spacing w:after="45"/>
            </w:pPr>
            <w:r>
              <w:rPr>
                <w:sz w:val="15"/>
                <w:szCs w:val="15"/>
              </w:rPr>
              <w:t xml:space="preserve">Given the multicentre design, variation in radiographic imaging and interpretation, data collection, pathology assessment and treatment across institutions may exist, offset in the authors' view by greater generalisability and adequate sample size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multivariable hazard ratio for calcification is 11.5 with a confidence interval from 1.1 to 125.0 at p = 0.043 - a point estimate with essentially no precision - sitting in a model that also returns 25.2 and 33.0 for nodal and distant metastasis, the signature of an overfitted Cox model with far too few recurrence events for the covariates entered; no event count for the model is reported anywhere</w:t>
            </w:r>
          </w:p>
          <w:p>
            <w:pPr>
              <w:pStyle w:val="ListParagraph"/>
              <w:numPr>
                <w:ilvl w:val="0"/>
                <w:numId w:val="2"/>
              </w:numPr>
              <w:spacing w:after="45"/>
            </w:pPr>
            <w:r>
              <w:rPr>
                <w:sz w:val="15"/>
                <w:szCs w:val="15"/>
              </w:rPr>
              <w:t xml:space="preserve">Between 28% and 29% of the cohort has no data on the two exposures of interest and the analysis is complete-case with no imputation and no sensitivity analysis, so the effective sample is not 981 and may be differentially missing by centre and era</w:t>
            </w:r>
          </w:p>
          <w:p>
            <w:pPr>
              <w:pStyle w:val="ListParagraph"/>
              <w:numPr>
                <w:ilvl w:val="0"/>
                <w:numId w:val="2"/>
              </w:numPr>
              <w:spacing w:after="45"/>
            </w:pPr>
            <w:r>
              <w:rPr>
                <w:sz w:val="15"/>
                <w:szCs w:val="15"/>
              </w:rPr>
              <w:t xml:space="preserve">Table 1 is internally inconsistent, giving n = 167 cystic and 814 solid and 177 calcified and 804 non-calcified in one row against 120, 582, 122 and 575 in the column headers, with a garbled '305 (3)' cell - so the denominators underlying the percentages cannot be reconstructed from the paper</w:t>
            </w:r>
          </w:p>
          <w:p>
            <w:pPr>
              <w:pStyle w:val="ListParagraph"/>
              <w:numPr>
                <w:ilvl w:val="0"/>
                <w:numId w:val="2"/>
              </w:numPr>
              <w:spacing w:after="45"/>
            </w:pPr>
            <w:r>
              <w:rPr>
                <w:sz w:val="15"/>
                <w:szCs w:val="15"/>
              </w:rPr>
              <w:t xml:space="preserve">Imaging was classified from radiology report wording rather than by central re-read, across eight institutions and seventeen years of changing CT and MRI technique, which makes the exposure a measure of reporting practice as much as of tumour biology</w:t>
            </w:r>
          </w:p>
          <w:p>
            <w:pPr>
              <w:pStyle w:val="ListParagraph"/>
              <w:numPr>
                <w:ilvl w:val="0"/>
                <w:numId w:val="2"/>
              </w:numPr>
              <w:spacing w:after="45"/>
            </w:pPr>
            <w:r>
              <w:rPr>
                <w:sz w:val="15"/>
                <w:szCs w:val="15"/>
              </w:rPr>
              <w:t xml:space="preserve">The cystic-calcified cell that anchors the four-way survival comparison contains 16 patients, and that comparison carries p = 0.043 with no correction for the multiple pairwise contrasts implied</w:t>
            </w:r>
          </w:p>
          <w:p>
            <w:pPr>
              <w:pStyle w:val="ListParagraph"/>
              <w:numPr>
                <w:ilvl w:val="0"/>
                <w:numId w:val="2"/>
              </w:numPr>
              <w:spacing w:after="45"/>
            </w:pPr>
            <w:r>
              <w:rPr>
                <w:sz w:val="15"/>
                <w:szCs w:val="15"/>
              </w:rPr>
              <w:t xml:space="preserve">Median follow-up is 35 months in a disease whose recurrences arrive at a median of 4-7 years, so every 5-year recurrence-free survival figure is extrapolated from a thin risk set, and the stated last follow-up date of March 2017 is the same year the accrual window closes</w:t>
            </w:r>
          </w:p>
          <w:p>
            <w:pPr>
              <w:pStyle w:val="ListParagraph"/>
              <w:numPr>
                <w:ilvl w:val="0"/>
                <w:numId w:val="2"/>
              </w:numPr>
              <w:spacing w:after="45"/>
            </w:pPr>
            <w:r>
              <w:rPr>
                <w:sz w:val="15"/>
                <w:szCs w:val="15"/>
              </w:rPr>
              <w:t xml:space="preserve">The conclusion that these features could inform the decision to observe or resect a small asymptomatic PNET is drawn from a cohort in which no patient was observed - the authors acknowledge they cannot identify the non-operated patients and then make the recommendation anyway</w:t>
            </w:r>
          </w:p>
          <w:p>
            <w:pPr>
              <w:pStyle w:val="ListParagraph"/>
              <w:numPr>
                <w:ilvl w:val="0"/>
                <w:numId w:val="2"/>
              </w:numPr>
              <w:spacing w:after="45"/>
            </w:pPr>
            <w:r>
              <w:rPr>
                <w:sz w:val="15"/>
                <w:szCs w:val="15"/>
              </w:rPr>
              <w:t xml:space="preserve">Cystic morphology, one of the paper's two headline features, was not independently prognostic (p = 0.69), yet the abstract and conclusion present both features as usable for stratification</w:t>
            </w:r>
          </w:p>
        </w:tc>
      </w:tr>
    </w:tbl>
    <w:p>
      <w:pPr>
        <w:keepNext/>
        <w:spacing w:after="50" w:before="260"/>
      </w:pPr>
      <w:r>
        <w:rPr>
          <w:rFonts w:ascii="Cambria" w:cs="Cambria" w:eastAsia="Cambria" w:hAnsi="Cambria"/>
          <w:b/>
          <w:bCs/>
          <w:color w:val="17365D"/>
          <w:sz w:val="20"/>
          <w:szCs w:val="20"/>
        </w:rPr>
        <w:t xml:space="preserve">MEN1 2025 guideline</w:t>
      </w:r>
      <w:r>
        <w:rPr>
          <w:b/>
          <w:bCs/>
          <w:color w:val="176A87"/>
          <w:sz w:val="15"/>
          <w:szCs w:val="15"/>
        </w:rPr>
        <w:t xml:space="preserve">   Consensus statement</w:t>
      </w:r>
      <w:r>
        <w:rPr>
          <w:color w:val="5A6069"/>
          <w:sz w:val="15"/>
          <w:szCs w:val="15"/>
        </w:rPr>
        <w:t xml:space="preserve">   PMID 40523372</w:t>
      </w:r>
    </w:p>
    <w:p>
      <w:pPr>
        <w:spacing w:after="50" w:line="276"/>
      </w:pPr>
      <w:r>
        <w:rPr>
          <w:color w:val="5A6069"/>
          <w:sz w:val="17"/>
          <w:szCs w:val="17"/>
        </w:rPr>
        <w:t xml:space="preserve">Multiple endocrine neoplasia type 1 (MEN1): recommendations and guidelines for best practice.</w:t>
      </w:r>
    </w:p>
    <w:p>
      <w:pPr>
        <w:spacing w:after="50"/>
      </w:pPr>
      <w:r>
        <w:rPr>
          <w:b/>
          <w:bCs/>
          <w:color w:val="176A87"/>
          <w:sz w:val="16"/>
          <w:szCs w:val="16"/>
        </w:rPr>
        <w:t xml:space="preserve">Population. </w:t>
      </w:r>
      <w:r>
        <w:rPr>
          <w:sz w:val="16"/>
          <w:szCs w:val="16"/>
        </w:rPr>
        <w:t xml:space="preserve">55 recommendations, comprising 52 Delphi consensus statements plus 3 from systematic reviews of 37 of 3048 publications covering 1814 patients</w:t>
      </w:r>
    </w:p>
    <w:p>
      <w:pPr>
        <w:spacing w:after="70"/>
      </w:pPr>
      <w:r>
        <w:rPr>
          <w:b/>
          <w:bCs/>
          <w:color w:val="17365D"/>
          <w:sz w:val="16"/>
          <w:szCs w:val="16"/>
        </w:rPr>
        <w:t xml:space="preserve">Bottom line. </w:t>
      </w:r>
      <w:r>
        <w:rPr>
          <w:sz w:val="16"/>
          <w:szCs w:val="16"/>
        </w:rPr>
        <w:t xml:space="preserve">The most rigorous MEN1 guidance yet assembled, and its most important finding for a pancreatic pathway is negative: across 37 usable studies, surgery and active surveillance for nonfunctioning pancreatic neuroendocrine tumours of 2 cm or less produced no difference in metastasis or mortality at low or very low GRADE certainty - after which the panel recommends caution anyway, on expert judgement rather than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recommendations are limited by the varying methodological quality of available data, derived primarily from retrospective series and insufficient to provide high or moderate certainty of evidence using the GRADE approach</w:t>
            </w:r>
          </w:p>
          <w:p>
            <w:pPr>
              <w:pStyle w:val="ListParagraph"/>
              <w:numPr>
                <w:ilvl w:val="0"/>
                <w:numId w:val="2"/>
              </w:numPr>
              <w:spacing w:after="45"/>
            </w:pPr>
            <w:r>
              <w:rPr>
                <w:sz w:val="15"/>
                <w:szCs w:val="15"/>
              </w:rPr>
              <w:t xml:space="preserve">Only 37 of 3048 publications (1.2%) met the inclusion criteria for the systematic reviews</w:t>
            </w:r>
          </w:p>
          <w:p>
            <w:pPr>
              <w:pStyle w:val="ListParagraph"/>
              <w:numPr>
                <w:ilvl w:val="0"/>
                <w:numId w:val="2"/>
              </w:numPr>
              <w:spacing w:after="45"/>
            </w:pPr>
            <w:r>
              <w:rPr>
                <w:sz w:val="15"/>
                <w:szCs w:val="15"/>
              </w:rPr>
              <w:t xml:space="preserve">Confounding could have arisen in the surgery versus surveillance comparison because surgery for tumours of 2 cm or less was indicated by growth on serial imaging, so the effects of surgery may have been underestimated; given that the implications of surveillance for morbidity, metastasis and mortality are important and irreversible, a more cautious approach might be prudent</w:t>
            </w:r>
          </w:p>
          <w:p>
            <w:pPr>
              <w:pStyle w:val="ListParagraph"/>
              <w:numPr>
                <w:ilvl w:val="0"/>
                <w:numId w:val="2"/>
              </w:numPr>
              <w:spacing w:after="45"/>
            </w:pPr>
            <w:r>
              <w:rPr>
                <w:sz w:val="15"/>
                <w:szCs w:val="15"/>
              </w:rPr>
              <w:t xml:space="preserve">Further studies are required to validate and optimise the proposed screening protocols and to develop shared decision-making tools</w:t>
            </w:r>
          </w:p>
          <w:p>
            <w:pPr>
              <w:pStyle w:val="ListParagraph"/>
              <w:numPr>
                <w:ilvl w:val="0"/>
                <w:numId w:val="2"/>
              </w:numPr>
              <w:spacing w:after="45"/>
            </w:pPr>
            <w:r>
              <w:rPr>
                <w:sz w:val="15"/>
                <w:szCs w:val="15"/>
              </w:rPr>
              <w:t xml:space="preserve">A similar evidence-based and consensus-based approach is still required for adrenal tumours, which are frequently found as incidentalomas on surveillance MRI</w:t>
            </w:r>
          </w:p>
          <w:p>
            <w:pPr>
              <w:pStyle w:val="ListParagraph"/>
              <w:numPr>
                <w:ilvl w:val="0"/>
                <w:numId w:val="2"/>
              </w:numPr>
              <w:spacing w:after="45"/>
            </w:pPr>
            <w:r>
              <w:rPr>
                <w:sz w:val="15"/>
                <w:szCs w:val="15"/>
              </w:rPr>
              <w:t xml:space="preserve">Biomarkers are lacking for accurate risk stratification of neuroendocrine tumours, for predicting aggressive pancreatic neuroendocrine tumours, for personalised risk-based management and for early detection of thymic neuroendocrine tumours</w:t>
            </w:r>
          </w:p>
          <w:p>
            <w:pPr>
              <w:pStyle w:val="ListParagraph"/>
              <w:numPr>
                <w:ilvl w:val="0"/>
                <w:numId w:val="2"/>
              </w:numPr>
              <w:spacing w:after="45"/>
            </w:pPr>
            <w:r>
              <w:rPr>
                <w:sz w:val="15"/>
                <w:szCs w:val="15"/>
              </w:rPr>
              <w:t xml:space="preserve">Better variant-of-uncertain-significance prediction tools and high-throughput functional assays are needed for genetic testing; prospective, well-annotated cohorts with clinical biobanks and global collaboration are needed to enable the research</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systematic review found no difference between surgery and surveillance for lesions of 2 cm or less, and the panel then declines to follow its own finding, writing that 'a more cautious approach might be prudent' - a defensible clinical judgement, but it means the resulting operative posture is expert preference overriding the evidence the exercise was convened to produce, and should not be cited as evidence-based</w:t>
            </w:r>
          </w:p>
          <w:p>
            <w:pPr>
              <w:pStyle w:val="ListParagraph"/>
              <w:numPr>
                <w:ilvl w:val="0"/>
                <w:numId w:val="2"/>
              </w:numPr>
              <w:spacing w:after="45"/>
            </w:pPr>
            <w:r>
              <w:rPr>
                <w:sz w:val="15"/>
                <w:szCs w:val="15"/>
              </w:rPr>
              <w:t xml:space="preserve">1814 patients across 37 mostly retrospective studies for an entire multi-organ syndrome means every pancreatic statement rests on very few events; the panel's own GRADE rating is low or very low throughout while the statements are worded as recommendations carrying 92-100% agreement</w:t>
            </w:r>
          </w:p>
          <w:p>
            <w:pPr>
              <w:pStyle w:val="ListParagraph"/>
              <w:numPr>
                <w:ilvl w:val="0"/>
                <w:numId w:val="2"/>
              </w:numPr>
              <w:spacing w:after="45"/>
            </w:pPr>
            <w:r>
              <w:rPr>
                <w:sz w:val="15"/>
                <w:szCs w:val="15"/>
              </w:rPr>
              <w:t xml:space="preserve">A Delphi percentage measures how many experts agree, not how likely they are to be right; the paper's own scale calls 51% agreement a 'consider', so the apparatus systematically converts low-certainty evidence into high-confidence prose, and the agreement figure is the only number most readers will carry away</w:t>
            </w:r>
          </w:p>
          <w:p>
            <w:pPr>
              <w:pStyle w:val="ListParagraph"/>
              <w:numPr>
                <w:ilvl w:val="0"/>
                <w:numId w:val="2"/>
              </w:numPr>
              <w:spacing w:after="45"/>
            </w:pPr>
            <w:r>
              <w:rPr>
                <w:sz w:val="15"/>
                <w:szCs w:val="15"/>
              </w:rPr>
              <w:t xml:space="preserve">The 1 mm per year growth criterion in statements 28 and 39 has no cited derivation and lies below the measurement reproducibility of serial MRI of a multifocal pancreas across different scanners and readers, so it will generate both false stability and false progression</w:t>
            </w:r>
          </w:p>
          <w:p>
            <w:pPr>
              <w:pStyle w:val="ListParagraph"/>
              <w:numPr>
                <w:ilvl w:val="0"/>
                <w:numId w:val="2"/>
              </w:numPr>
              <w:spacing w:after="45"/>
            </w:pPr>
            <w:r>
              <w:rPr>
                <w:sz w:val="15"/>
                <w:szCs w:val="15"/>
              </w:rPr>
              <w:t xml:space="preserve">Panel selection was by recognised standing within the same societies that issued the 2001 and 2012 guidelines, and several authors wrote those, so the 'new or now explicit' labels partly re-endorse the panel's own prior positions</w:t>
            </w:r>
          </w:p>
          <w:p>
            <w:pPr>
              <w:pStyle w:val="ListParagraph"/>
              <w:numPr>
                <w:ilvl w:val="0"/>
                <w:numId w:val="2"/>
              </w:numPr>
              <w:spacing w:after="45"/>
            </w:pPr>
            <w:r>
              <w:rPr>
                <w:sz w:val="15"/>
                <w:szCs w:val="15"/>
              </w:rPr>
              <w:t xml:space="preserve">Recommending pancreatic MRI from age 10-15 commits asymptomatic children to lifelong imaging on the strength of penetrance data alone, with no outcome evidence that earlier detection reduces mortality and no analysis of the harms - incidental adrenal findings, which the paper separately flags as a growing problem, or the psychological burden of surveillance from childhood</w:t>
            </w:r>
          </w:p>
          <w:p>
            <w:pPr>
              <w:pStyle w:val="ListParagraph"/>
              <w:numPr>
                <w:ilvl w:val="0"/>
                <w:numId w:val="2"/>
              </w:numPr>
              <w:spacing w:after="45"/>
            </w:pPr>
            <w:r>
              <w:rPr>
                <w:sz w:val="15"/>
                <w:szCs w:val="15"/>
              </w:rPr>
              <w:t xml:space="preserve">The screening recommendations deliberately aim to detect 'clinically relevant disease, and not necessarily the earliest onset of disease', yet the interval recommendations are set by expert vote with no modelling of what interval achieves that distinction</w:t>
            </w:r>
          </w:p>
          <w:p>
            <w:pPr>
              <w:pStyle w:val="ListParagraph"/>
              <w:numPr>
                <w:ilvl w:val="0"/>
                <w:numId w:val="2"/>
              </w:numPr>
              <w:spacing w:after="45"/>
            </w:pPr>
            <w:r>
              <w:rPr>
                <w:sz w:val="15"/>
                <w:szCs w:val="15"/>
              </w:rPr>
              <w:t xml:space="preserve">Nothing in this document transfers to sporadic nonfunctioning pancreatic NET: in MEN1 the gland carries a field defect, lesions are multiple, patients are decades younger, and competing parathyroid, pituitary and thymic disease dominates the risk calculus - so the MEN1 2 cm threshold and the sporadic 2 cm threshold happen to share a number but not an evidence base</w:t>
            </w:r>
          </w:p>
        </w:tc>
      </w:tr>
    </w:tbl>
    <w:p>
      <w:pPr>
        <w:keepNext/>
        <w:spacing w:after="50" w:before="260"/>
      </w:pPr>
      <w:r>
        <w:rPr>
          <w:rFonts w:ascii="Cambria" w:cs="Cambria" w:eastAsia="Cambria" w:hAnsi="Cambria"/>
          <w:b/>
          <w:bCs/>
          <w:color w:val="17365D"/>
          <w:sz w:val="20"/>
          <w:szCs w:val="20"/>
        </w:rPr>
        <w:t xml:space="preserve">NETPET derivation</w:t>
      </w:r>
      <w:r>
        <w:rPr>
          <w:b/>
          <w:bCs/>
          <w:color w:val="176A87"/>
          <w:sz w:val="15"/>
          <w:szCs w:val="15"/>
        </w:rPr>
        <w:t xml:space="preserve">   Retrospective cohort</w:t>
      </w:r>
      <w:r>
        <w:rPr>
          <w:color w:val="5A6069"/>
          <w:sz w:val="15"/>
          <w:szCs w:val="15"/>
        </w:rPr>
        <w:t xml:space="preserve">   PMID 28435454</w:t>
      </w:r>
    </w:p>
    <w:p>
      <w:pPr>
        <w:spacing w:after="50" w:line="276"/>
      </w:pPr>
      <w:r>
        <w:rPr>
          <w:color w:val="5A6069"/>
          <w:sz w:val="17"/>
          <w:szCs w:val="17"/>
        </w:rPr>
        <w:t xml:space="preserve">Dual somatostatin receptor/FDG PET/CT imaging in metastatic neuroendocrine tumours: proposal for a novel grading scheme with prognostic significance.</w:t>
      </w:r>
    </w:p>
    <w:p>
      <w:pPr>
        <w:spacing w:after="50"/>
      </w:pPr>
      <w:r>
        <w:rPr>
          <w:b/>
          <w:bCs/>
          <w:color w:val="176A87"/>
          <w:sz w:val="16"/>
          <w:szCs w:val="16"/>
        </w:rPr>
        <w:t xml:space="preserve">Population. </w:t>
      </w:r>
      <w:r>
        <w:rPr>
          <w:sz w:val="16"/>
          <w:szCs w:val="16"/>
        </w:rPr>
        <w:t xml:space="preserve">62 patients with metastatic NET (24 pancreatic primaries, 39%), selected from 730 DOTATATE PET scans and 118 patients with both scans</w:t>
      </w:r>
    </w:p>
    <w:p>
      <w:pPr>
        <w:spacing w:after="70"/>
      </w:pPr>
      <w:r>
        <w:rPr>
          <w:b/>
          <w:bCs/>
          <w:color w:val="17365D"/>
          <w:sz w:val="16"/>
          <w:szCs w:val="16"/>
        </w:rPr>
        <w:t xml:space="preserve">Bottom line. </w:t>
      </w:r>
      <w:r>
        <w:rPr>
          <w:sz w:val="16"/>
          <w:szCs w:val="16"/>
        </w:rPr>
        <w:t xml:space="preserve">Dual DOTATATE/FDG PET summarised as a NETPET grade separated a group with FDG-positive, SSTR-negative disease and 11-month median survival from everyone else in a 62-patient mixed-primary cohort, but it is a hypothesis-generating single-centre analysis with no pancreas-specific signal and no adjustment for who received PRRT.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retrospective single-centre study whose findings, though intriguing, need prospective validation</w:t>
            </w:r>
          </w:p>
          <w:p>
            <w:pPr>
              <w:pStyle w:val="ListParagraph"/>
              <w:numPr>
                <w:ilvl w:val="0"/>
                <w:numId w:val="2"/>
              </w:numPr>
              <w:spacing w:after="45"/>
            </w:pPr>
            <w:r>
              <w:rPr>
                <w:sz w:val="15"/>
                <w:szCs w:val="15"/>
              </w:rPr>
              <w:t xml:space="preserve">The two PET scans were generally not performed on the same day, so shift in lesion position or size and rapid progression may impede accurate comparison, mitigated only by the 31-day limit</w:t>
            </w:r>
          </w:p>
          <w:p>
            <w:pPr>
              <w:pStyle w:val="ListParagraph"/>
              <w:numPr>
                <w:ilvl w:val="0"/>
                <w:numId w:val="2"/>
              </w:numPr>
              <w:spacing w:after="45"/>
            </w:pPr>
            <w:r>
              <w:rPr>
                <w:sz w:val="15"/>
                <w:szCs w:val="15"/>
              </w:rPr>
              <w:t xml:space="preserve">A novel grading system needs testing at other centres to establish practical utility and to measure inter-rater reliability</w:t>
            </w:r>
          </w:p>
          <w:p>
            <w:pPr>
              <w:pStyle w:val="ListParagraph"/>
              <w:numPr>
                <w:ilvl w:val="0"/>
                <w:numId w:val="2"/>
              </w:numPr>
              <w:spacing w:after="45"/>
            </w:pPr>
            <w:r>
              <w:rPr>
                <w:sz w:val="15"/>
                <w:szCs w:val="15"/>
              </w:rPr>
              <w:t xml:space="preserve">A larger cohort might have confirmed the prognostic significance of known determinants such as histological grade, whose non-significance here the authors attribute to the small heterogeneous sample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Only 39% of the cohort had pancreatic primaries and the remainder span midgut, lung, thymus and breast, so nothing in this paper is pancreas-specific despite its use as a PNET imaging citation</w:t>
            </w:r>
          </w:p>
          <w:p>
            <w:pPr>
              <w:pStyle w:val="ListParagraph"/>
              <w:numPr>
                <w:ilvl w:val="0"/>
                <w:numId w:val="2"/>
              </w:numPr>
              <w:spacing w:after="45"/>
            </w:pPr>
            <w:r>
              <w:rPr>
                <w:sz w:val="15"/>
                <w:szCs w:val="15"/>
              </w:rPr>
              <w:t xml:space="preserve">Readers were given 'all pertinent clinical information at the time of scanning', which includes histology and disease extent - the very comparators NETPET is said to outperform - so incorporation bias favours the index test</w:t>
            </w:r>
          </w:p>
          <w:p>
            <w:pPr>
              <w:pStyle w:val="ListParagraph"/>
              <w:numPr>
                <w:ilvl w:val="0"/>
                <w:numId w:val="2"/>
              </w:numPr>
              <w:spacing w:after="45"/>
            </w:pPr>
            <w:r>
              <w:rPr>
                <w:sz w:val="15"/>
                <w:szCs w:val="15"/>
              </w:rPr>
              <w:t xml:space="preserve">The reported result is for a three-way collapse (P1 / P2-4 / P5); the 5-point scale that the paper exists to propose is never shown to be prognostic level by level, and several sub-grades contain a single patient (P3a n = 1, P3b n = 1)</w:t>
            </w:r>
          </w:p>
          <w:p>
            <w:pPr>
              <w:pStyle w:val="ListParagraph"/>
              <w:numPr>
                <w:ilvl w:val="0"/>
                <w:numId w:val="2"/>
              </w:numPr>
              <w:spacing w:after="45"/>
            </w:pPr>
            <w:r>
              <w:rPr>
                <w:sz w:val="15"/>
                <w:szCs w:val="15"/>
              </w:rPr>
              <w:t xml:space="preserve">A third of the cohort received PRRT, for which SSTR-positive/FDG-negative disease is precisely the eligibility criterion, and treatment is not adjusted for, so the P1 survival advantage may measure access to Lutate rather than tumour biology</w:t>
            </w:r>
          </w:p>
          <w:p>
            <w:pPr>
              <w:pStyle w:val="ListParagraph"/>
              <w:numPr>
                <w:ilvl w:val="0"/>
                <w:numId w:val="2"/>
              </w:numPr>
              <w:spacing w:after="45"/>
            </w:pPr>
            <w:r>
              <w:rPr>
                <w:sz w:val="15"/>
                <w:szCs w:val="15"/>
              </w:rPr>
              <w:t xml:space="preserve">The comparator, WHO grade, was taken at the time of original diagnosis - potentially years before the scan pair - while NETPET was measured contemporaneously, systematically disadvantaging grade</w:t>
            </w:r>
          </w:p>
          <w:p>
            <w:pPr>
              <w:pStyle w:val="ListParagraph"/>
              <w:numPr>
                <w:ilvl w:val="0"/>
                <w:numId w:val="2"/>
              </w:numPr>
              <w:spacing w:after="45"/>
            </w:pPr>
            <w:r>
              <w:rPr>
                <w:sz w:val="15"/>
                <w:szCs w:val="15"/>
              </w:rPr>
              <w:t xml:space="preserve">With 62 patients and a median OS not reached in two of three strata, the effect estimates carry very wide uncertainty; no hazard ratios or confidence intervals are reported anywhere for the primary analysis</w:t>
            </w:r>
          </w:p>
          <w:p>
            <w:pPr>
              <w:pStyle w:val="ListParagraph"/>
              <w:numPr>
                <w:ilvl w:val="0"/>
                <w:numId w:val="2"/>
              </w:numPr>
              <w:spacing w:after="45"/>
            </w:pPr>
            <w:r>
              <w:rPr>
                <w:sz w:val="15"/>
                <w:szCs w:val="15"/>
              </w:rPr>
              <w:t xml:space="preserve">No correction for multiple testing across several candidate covariates, two cohort definitions and two analysis strategies</w:t>
            </w:r>
          </w:p>
        </w:tc>
      </w:tr>
    </w:tbl>
    <w:p>
      <w:pPr>
        <w:spacing w:after="0" w:line="276"/>
      </w:pPr>
      <w:r>
        <w:rPr>
          <w:color w:val="5A6069"/>
          <w:sz w:val="14"/>
          <w:szCs w:val="14"/>
        </w:rPr>
        <w:t xml:space="preserve">Funding: Cancer Institute of New South Wales through the Translational Cancer Research Centre programme (Sydney Vital); D. Chan, A. Hayes and D. Bailey received support from Sydney Vital. Authors declared no competing interests.</w:t>
      </w:r>
    </w:p>
    <w:p>
      <w:pPr>
        <w:keepNext/>
        <w:spacing w:after="50" w:before="260"/>
      </w:pPr>
      <w:r>
        <w:rPr>
          <w:rFonts w:ascii="Cambria" w:cs="Cambria" w:eastAsia="Cambria" w:hAnsi="Cambria"/>
          <w:b/>
          <w:bCs/>
          <w:color w:val="17365D"/>
          <w:sz w:val="20"/>
          <w:szCs w:val="20"/>
        </w:rPr>
        <w:t xml:space="preserve">NETPET validation</w:t>
      </w:r>
      <w:r>
        <w:rPr>
          <w:b/>
          <w:bCs/>
          <w:color w:val="176A87"/>
          <w:sz w:val="15"/>
          <w:szCs w:val="15"/>
        </w:rPr>
        <w:t xml:space="preserve">   Retrospective cohort</w:t>
      </w:r>
      <w:r>
        <w:rPr>
          <w:color w:val="5A6069"/>
          <w:sz w:val="15"/>
          <w:szCs w:val="15"/>
        </w:rPr>
        <w:t xml:space="preserve">   PMID 36434154</w:t>
      </w:r>
    </w:p>
    <w:p>
      <w:pPr>
        <w:spacing w:after="50" w:line="276"/>
      </w:pPr>
      <w:r>
        <w:rPr>
          <w:color w:val="5A6069"/>
          <w:sz w:val="17"/>
          <w:szCs w:val="17"/>
        </w:rPr>
        <w:t xml:space="preserve">Dual [68Ga]DOTATATE and [18F]FDG PET/CT in patients with metastatic gastroenteropancreatic neuroendocrine neoplasms: a multicentre validation of the NETPET score.</w:t>
      </w:r>
    </w:p>
    <w:p>
      <w:pPr>
        <w:spacing w:after="50"/>
      </w:pPr>
      <w:r>
        <w:rPr>
          <w:b/>
          <w:bCs/>
          <w:color w:val="176A87"/>
          <w:sz w:val="16"/>
          <w:szCs w:val="16"/>
        </w:rPr>
        <w:t xml:space="preserve">Population. </w:t>
      </w:r>
      <w:r>
        <w:rPr>
          <w:sz w:val="16"/>
          <w:szCs w:val="16"/>
        </w:rPr>
        <w:t xml:space="preserve">319 patients with metastatic or unresectable GEPNEN (114 pancreatic primaries, 36%)</w:t>
      </w:r>
    </w:p>
    <w:p>
      <w:pPr>
        <w:spacing w:after="70"/>
      </w:pPr>
      <w:r>
        <w:rPr>
          <w:b/>
          <w:bCs/>
          <w:color w:val="17365D"/>
          <w:sz w:val="16"/>
          <w:szCs w:val="16"/>
        </w:rPr>
        <w:t xml:space="preserve">Bottom line. </w:t>
      </w:r>
      <w:r>
        <w:rPr>
          <w:sz w:val="16"/>
          <w:szCs w:val="16"/>
        </w:rPr>
        <w:t xml:space="preserve">In 319 patients with metastatic GEP-NEN the NETPET score independently predicted overall survival and time to progression alongside histological grade, but two of the three contributing centres supplied the original derivation data, treatment was not adjusted for, and only a third of the cohort had pancreatic primaries.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makes the study susceptible to bias, although consecutive series were identified at each centre</w:t>
            </w:r>
          </w:p>
          <w:p>
            <w:pPr>
              <w:pStyle w:val="ListParagraph"/>
              <w:numPr>
                <w:ilvl w:val="0"/>
                <w:numId w:val="2"/>
              </w:numPr>
              <w:spacing w:after="45"/>
            </w:pPr>
            <w:r>
              <w:rPr>
                <w:sz w:val="15"/>
                <w:szCs w:val="15"/>
              </w:rPr>
              <w:t xml:space="preserve">The scan interval of up to 90 days allows lesions to shift or grow, impeding accurate comparison, though the median interval was only 9 days against a median TTP of 17.1 months</w:t>
            </w:r>
          </w:p>
          <w:p>
            <w:pPr>
              <w:pStyle w:val="ListParagraph"/>
              <w:numPr>
                <w:ilvl w:val="0"/>
                <w:numId w:val="2"/>
              </w:numPr>
              <w:spacing w:after="45"/>
            </w:pPr>
            <w:r>
              <w:rPr>
                <w:sz w:val="15"/>
                <w:szCs w:val="15"/>
              </w:rPr>
              <w:t xml:space="preserve">The treatments individual patients received were not reported, which may bias both TTP and OS; in particular starting PRRT may confer a survival advantage on the P1-P4 cohort</w:t>
            </w:r>
          </w:p>
          <w:p>
            <w:pPr>
              <w:pStyle w:val="ListParagraph"/>
              <w:numPr>
                <w:ilvl w:val="0"/>
                <w:numId w:val="2"/>
              </w:numPr>
              <w:spacing w:after="45"/>
            </w:pPr>
            <w:r>
              <w:rPr>
                <w:sz w:val="15"/>
                <w:szCs w:val="15"/>
              </w:rPr>
              <w:t xml:space="preserve">The approach to determining progression was not standardised across centres</w:t>
            </w:r>
          </w:p>
          <w:p>
            <w:pPr>
              <w:pStyle w:val="ListParagraph"/>
              <w:numPr>
                <w:ilvl w:val="0"/>
                <w:numId w:val="2"/>
              </w:numPr>
              <w:spacing w:after="45"/>
            </w:pPr>
            <w:r>
              <w:rPr>
                <w:sz w:val="15"/>
                <w:szCs w:val="15"/>
              </w:rPr>
              <w:t xml:space="preserve">Findings should ideally be confirmed in a prospective trial using NETPET as an exploratory endpoint, although accrual in an uncommon disease would be difficult</w:t>
            </w:r>
          </w:p>
          <w:p>
            <w:pPr>
              <w:pStyle w:val="ListParagraph"/>
              <w:numPr>
                <w:ilvl w:val="0"/>
                <w:numId w:val="2"/>
              </w:numPr>
              <w:spacing w:after="45"/>
            </w:pPr>
            <w:r>
              <w:rPr>
                <w:sz w:val="15"/>
                <w:szCs w:val="15"/>
              </w:rPr>
              <w:t xml:space="preserve">Larger numbers and longer follow-up are needed before concluding that NETPET further stratifies within histological grade, and to test it within well- and poorly differentiated grade 3</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Two of the three centres had already published their own NETPET series and the original 2017 derivation cohort came from one of them, so this is partly a re-analysis of the data that generated the hypothesis rather than external validation; a 239-patient interim version of this same cohort had already been presented in 2021</w:t>
            </w:r>
          </w:p>
          <w:p>
            <w:pPr>
              <w:pStyle w:val="ListParagraph"/>
              <w:numPr>
                <w:ilvl w:val="0"/>
                <w:numId w:val="2"/>
              </w:numPr>
              <w:spacing w:after="45"/>
            </w:pPr>
            <w:r>
              <w:rPr>
                <w:sz w:val="15"/>
                <w:szCs w:val="15"/>
              </w:rPr>
              <w:t xml:space="preserve">Only 36% of patients had pancreatic primaries and no pancreas-specific subgroup analysis is presented, so the score cannot be cited as evidence for managing pancreatic NET</w:t>
            </w:r>
          </w:p>
          <w:p>
            <w:pPr>
              <w:pStyle w:val="ListParagraph"/>
              <w:numPr>
                <w:ilvl w:val="0"/>
                <w:numId w:val="2"/>
              </w:numPr>
              <w:spacing w:after="45"/>
            </w:pPr>
            <w:r>
              <w:rPr>
                <w:sz w:val="15"/>
                <w:szCs w:val="15"/>
              </w:rPr>
              <w:t xml:space="preserve">Histological grade - the comparator the score is said to complement - was taken from whatever biopsy was available with no central pathology review across three countries, which biases the comparison in the index test's favour</w:t>
            </w:r>
          </w:p>
          <w:p>
            <w:pPr>
              <w:pStyle w:val="ListParagraph"/>
              <w:numPr>
                <w:ilvl w:val="0"/>
                <w:numId w:val="2"/>
              </w:numPr>
              <w:spacing w:after="45"/>
            </w:pPr>
            <w:r>
              <w:rPr>
                <w:sz w:val="15"/>
                <w:szCs w:val="15"/>
              </w:rPr>
              <w:t xml:space="preserve">The authors concede that treatment, including PRRT, was not modelled; since SSTR-positive/FDG-negative disease is the eligibility criterion for PRRT, the P1 advantage is confounded with access to an effective therapy</w:t>
            </w:r>
          </w:p>
          <w:p>
            <w:pPr>
              <w:pStyle w:val="ListParagraph"/>
              <w:numPr>
                <w:ilvl w:val="0"/>
                <w:numId w:val="2"/>
              </w:numPr>
              <w:spacing w:after="45"/>
            </w:pPr>
            <w:r>
              <w:rPr>
                <w:sz w:val="15"/>
                <w:szCs w:val="15"/>
              </w:rPr>
              <w:t xml:space="preserve">Time zero is the date of the second scan, which sits at an arbitrary and differing point in each patient's disease course and selects for patients who survived to be scanned, inviting left-truncation and immortal-time bias</w:t>
            </w:r>
          </w:p>
          <w:p>
            <w:pPr>
              <w:pStyle w:val="ListParagraph"/>
              <w:numPr>
                <w:ilvl w:val="0"/>
                <w:numId w:val="2"/>
              </w:numPr>
              <w:spacing w:after="45"/>
            </w:pPr>
            <w:r>
              <w:rPr>
                <w:sz w:val="15"/>
                <w:szCs w:val="15"/>
              </w:rPr>
              <w:t xml:space="preserve">The analysis again uses the pre-specified three-category collapse, so the 5-point scale the papers propose remains unvalidated at the level at which it is reported clinically</w:t>
            </w:r>
          </w:p>
          <w:p>
            <w:pPr>
              <w:pStyle w:val="ListParagraph"/>
              <w:numPr>
                <w:ilvl w:val="0"/>
                <w:numId w:val="2"/>
              </w:numPr>
              <w:spacing w:after="45"/>
            </w:pPr>
            <w:r>
              <w:rPr>
                <w:sz w:val="15"/>
                <w:szCs w:val="15"/>
              </w:rPr>
              <w:t xml:space="preserve">The finding that 59% of grade 1 patients were FDG-avid, well above published rates, is presented as a strength of dual imaging but is equally consistent with reader threshold drift or with grade misassignment, and is not resolved</w:t>
            </w:r>
          </w:p>
        </w:tc>
      </w:tr>
    </w:tbl>
    <w:p>
      <w:pPr>
        <w:spacing w:after="0" w:line="276"/>
      </w:pPr>
      <w:r>
        <w:rPr>
          <w:color w:val="5A6069"/>
          <w:sz w:val="14"/>
          <w:szCs w:val="14"/>
        </w:rPr>
        <w:t xml:space="preserve">Funding: No specific funding for the research project; D.L. Chan funded by NHMRC Australia grant GNT1175788. Several authors report honoraria or research support from Ipsen, Novartis, AAA, Pfizer, Lexicon, EMD Serono and others outside the submitted work.</w:t>
      </w:r>
    </w:p>
    <w:p>
      <w:pPr>
        <w:keepNext/>
        <w:spacing w:after="50" w:before="260"/>
      </w:pPr>
      <w:r>
        <w:rPr>
          <w:rFonts w:ascii="Cambria" w:cs="Cambria" w:eastAsia="Cambria" w:hAnsi="Cambria"/>
          <w:b/>
          <w:bCs/>
          <w:color w:val="17365D"/>
          <w:sz w:val="20"/>
          <w:szCs w:val="20"/>
        </w:rPr>
        <w:t xml:space="preserve">NORDIC NEC</w:t>
      </w:r>
      <w:r>
        <w:rPr>
          <w:b/>
          <w:bCs/>
          <w:color w:val="176A87"/>
          <w:sz w:val="15"/>
          <w:szCs w:val="15"/>
        </w:rPr>
        <w:t xml:space="preserve">   Retrospective cohort</w:t>
      </w:r>
      <w:r>
        <w:rPr>
          <w:color w:val="5A6069"/>
          <w:sz w:val="15"/>
          <w:szCs w:val="15"/>
        </w:rPr>
        <w:t xml:space="preserve">   PMID 22967994</w:t>
      </w:r>
    </w:p>
    <w:p>
      <w:pPr>
        <w:spacing w:after="50" w:line="276"/>
      </w:pPr>
      <w:r>
        <w:rPr>
          <w:color w:val="5A6069"/>
          <w:sz w:val="17"/>
          <w:szCs w:val="17"/>
        </w:rPr>
        <w:t xml:space="preserve">Predictive and prognostic factors for treatment and survival in 305 patients with advanced gastrointestinal neuroendocrine carcinoma (WHO G3): the NORDIC NEC study.</w:t>
      </w:r>
    </w:p>
    <w:p>
      <w:pPr>
        <w:spacing w:after="50"/>
      </w:pPr>
      <w:r>
        <w:rPr>
          <w:b/>
          <w:bCs/>
          <w:color w:val="176A87"/>
          <w:sz w:val="16"/>
          <w:szCs w:val="16"/>
        </w:rPr>
        <w:t xml:space="preserve">Population. </w:t>
      </w:r>
      <w:r>
        <w:rPr>
          <w:sz w:val="16"/>
          <w:szCs w:val="16"/>
        </w:rPr>
        <w:t xml:space="preserve">305 patients with advanced GI-NEC (71 pancreatic primaries, 23%): 252 given palliative chemotherapy and 53 best supportive care only</w:t>
      </w:r>
    </w:p>
    <w:p>
      <w:pPr>
        <w:spacing w:after="70"/>
      </w:pPr>
      <w:r>
        <w:rPr>
          <w:b/>
          <w:bCs/>
          <w:color w:val="17365D"/>
          <w:sz w:val="16"/>
          <w:szCs w:val="16"/>
        </w:rPr>
        <w:t xml:space="preserve">Bottom line. </w:t>
      </w:r>
      <w:r>
        <w:rPr>
          <w:sz w:val="16"/>
          <w:szCs w:val="16"/>
        </w:rPr>
        <w:t xml:space="preserve">The largest advanced GI-NEC cohort ever reported establishes performance status, primary site and raised platelets or LDH as the dominant prognostic factors and shows that tumours with Ki-67 below 55% respond less to platinum yet survive longer - but the untreated comparison group is a late-referral artefact, the 55% cut-off is internally derived and drops out of the multivariable model, and pancreatic NEC is a 71-patient subgroup.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its inherent limitations</w:t>
            </w:r>
          </w:p>
          <w:p>
            <w:pPr>
              <w:pStyle w:val="ListParagraph"/>
              <w:numPr>
                <w:ilvl w:val="0"/>
                <w:numId w:val="2"/>
              </w:numPr>
              <w:spacing w:after="45"/>
            </w:pPr>
            <w:r>
              <w:rPr>
                <w:sz w:val="15"/>
                <w:szCs w:val="15"/>
              </w:rPr>
              <w:t xml:space="preserve">The exceedingly low median survival of untreated patients may be biased by late referral and more advanced disease stage, as the worse performance status, white cell count and CRP suggest, or by conditions such as age that precluded chemotherapy</w:t>
            </w:r>
          </w:p>
          <w:p>
            <w:pPr>
              <w:pStyle w:val="ListParagraph"/>
              <w:numPr>
                <w:ilvl w:val="0"/>
                <w:numId w:val="2"/>
              </w:numPr>
              <w:spacing w:after="45"/>
            </w:pPr>
            <w:r>
              <w:rPr>
                <w:sz w:val="15"/>
                <w:szCs w:val="15"/>
              </w:rPr>
              <w:t xml:space="preserve">Ki-67 was assessed by many different pathologists in different countries, so the 55% analysis may be biased by methodology, pathologist experience and Ki-67 heterogeneity, and the cut-off should be interpreted with some caution</w:t>
            </w:r>
          </w:p>
          <w:p>
            <w:pPr>
              <w:pStyle w:val="ListParagraph"/>
              <w:numPr>
                <w:ilvl w:val="0"/>
                <w:numId w:val="2"/>
              </w:numPr>
              <w:spacing w:after="45"/>
            </w:pPr>
            <w:r>
              <w:rPr>
                <w:sz w:val="15"/>
                <w:szCs w:val="15"/>
              </w:rPr>
              <w:t xml:space="preserve">Patients were not specifically reclassified according to the new WHO 2010 criteria</w:t>
            </w:r>
          </w:p>
          <w:p>
            <w:pPr>
              <w:pStyle w:val="ListParagraph"/>
              <w:numPr>
                <w:ilvl w:val="0"/>
                <w:numId w:val="2"/>
              </w:numPr>
              <w:spacing w:after="45"/>
            </w:pPr>
            <w:r>
              <w:rPr>
                <w:sz w:val="15"/>
                <w:szCs w:val="15"/>
              </w:rPr>
              <w:t xml:space="preserve">Response rates were evaluated by RECIST 1.0 from radiological reports rather than from measured scans</w:t>
            </w:r>
          </w:p>
          <w:p>
            <w:pPr>
              <w:pStyle w:val="ListParagraph"/>
              <w:numPr>
                <w:ilvl w:val="0"/>
                <w:numId w:val="2"/>
              </w:numPr>
              <w:spacing w:after="45"/>
            </w:pPr>
            <w:r>
              <w:rPr>
                <w:sz w:val="15"/>
                <w:szCs w:val="15"/>
              </w:rPr>
              <w:t xml:space="preserve">There are limited data explaining why the abnormal laboratory values evolve and what they reflect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11-month versus 1-month contrast between chemotherapy and best supportive care is the paper's most quoted figure and is almost pure selection: the untreated group was twelve years older and half of it was PS 3-4, and a median survival of one month identifies patients referred at the point of death - the authors note this and still frame it as a reason to treat without delay</w:t>
            </w:r>
          </w:p>
          <w:p>
            <w:pPr>
              <w:pStyle w:val="ListParagraph"/>
              <w:numPr>
                <w:ilvl w:val="0"/>
                <w:numId w:val="2"/>
              </w:numPr>
              <w:spacing w:after="45"/>
            </w:pPr>
            <w:r>
              <w:rPr>
                <w:sz w:val="15"/>
                <w:szCs w:val="15"/>
              </w:rPr>
              <w:t xml:space="preserve">The Ki-67 threshold of 55% was derived by ROC in 42 randomly selected patients and then applied to the rest of the same cohort, so it is an internally generated cut-off with no external validation, and it disappears entirely from the multivariable model - meaning the paper's signature prognostic marker is not independently prognostic in its own analysis, a point the abstract does not convey</w:t>
            </w:r>
          </w:p>
          <w:p>
            <w:pPr>
              <w:pStyle w:val="ListParagraph"/>
              <w:numPr>
                <w:ilvl w:val="0"/>
                <w:numId w:val="2"/>
              </w:numPr>
              <w:spacing w:after="45"/>
            </w:pPr>
            <w:r>
              <w:rPr>
                <w:sz w:val="15"/>
                <w:szCs w:val="15"/>
              </w:rPr>
              <w:t xml:space="preserve">The regression that produces the final prognostic model runs on 170 of 252 chemotherapy patients after excluding the ROC derivation set and incomplete cases, which is not stated in the abstract</w:t>
            </w:r>
          </w:p>
          <w:p>
            <w:pPr>
              <w:pStyle w:val="ListParagraph"/>
              <w:numPr>
                <w:ilvl w:val="0"/>
                <w:numId w:val="2"/>
              </w:numPr>
              <w:spacing w:after="45"/>
            </w:pPr>
            <w:r>
              <w:rPr>
                <w:sz w:val="15"/>
                <w:szCs w:val="15"/>
              </w:rPr>
              <w:t xml:space="preserve">GI-NEC here pools oesophagus to rectum with 32% unknown primary; pancreatic NEC, the only portion relevant to a pancreatic pathway, is 71 patients analysed as a site subgroup with no multiplicity correction across seven sites</w:t>
            </w:r>
          </w:p>
          <w:p>
            <w:pPr>
              <w:pStyle w:val="ListParagraph"/>
              <w:numPr>
                <w:ilvl w:val="0"/>
                <w:numId w:val="2"/>
              </w:numPr>
              <w:spacing w:after="45"/>
            </w:pPr>
            <w:r>
              <w:rPr>
                <w:sz w:val="15"/>
                <w:szCs w:val="15"/>
              </w:rPr>
              <w:t xml:space="preserve">Small-cell versus non-small-cell morphology was taken from pathology report wording with no central review and no re-review of slides, which is the most likely explanation for the null result on morphology, yet the paper concludes the morphological classification is of uncertain clinical relevance</w:t>
            </w:r>
          </w:p>
          <w:p>
            <w:pPr>
              <w:pStyle w:val="ListParagraph"/>
              <w:numPr>
                <w:ilvl w:val="0"/>
                <w:numId w:val="2"/>
              </w:numPr>
              <w:spacing w:after="45"/>
            </w:pPr>
            <w:r>
              <w:rPr>
                <w:sz w:val="15"/>
                <w:szCs w:val="15"/>
              </w:rPr>
              <w:t xml:space="preserve">Response was assessed from radiological reports, not from measured target lesions, so the 31% response rate and the Ki-67 response gradient rest on unstandardised radiology narrative</w:t>
            </w:r>
          </w:p>
          <w:p>
            <w:pPr>
              <w:pStyle w:val="ListParagraph"/>
              <w:numPr>
                <w:ilvl w:val="0"/>
                <w:numId w:val="2"/>
              </w:numPr>
              <w:spacing w:after="45"/>
            </w:pPr>
            <w:r>
              <w:rPr>
                <w:sz w:val="15"/>
                <w:szCs w:val="15"/>
              </w:rPr>
              <w:t xml:space="preserve">Treatment choice between cisplatin and carboplatin was 'mainly due to different center policy', which makes the equivalence claim a comparison between centres rather than between drugs, confounded by everything else those centres did differently</w:t>
            </w:r>
          </w:p>
          <w:p>
            <w:pPr>
              <w:pStyle w:val="ListParagraph"/>
              <w:numPr>
                <w:ilvl w:val="0"/>
                <w:numId w:val="2"/>
              </w:numPr>
              <w:spacing w:after="45"/>
            </w:pPr>
            <w:r>
              <w:rPr>
                <w:sz w:val="15"/>
                <w:szCs w:val="15"/>
              </w:rPr>
              <w:t xml:space="preserve">The favourable 26-month survival in 36 patients with PS 0 and normal platelets and LDH is a post hoc subgroup defined by the model fitted to the same data</w:t>
            </w:r>
          </w:p>
        </w:tc>
      </w:tr>
    </w:tbl>
    <w:p>
      <w:pPr>
        <w:spacing w:after="0" w:line="276"/>
      </w:pPr>
      <w:r>
        <w:rPr>
          <w:color w:val="5A6069"/>
          <w:sz w:val="14"/>
          <w:szCs w:val="14"/>
        </w:rPr>
        <w:t xml:space="preserve">Funding: Nordic Cancer Union and Eckbo Foundations; H. Sorbye funded by the Norwegian Cancer Society, H. Gronbaek by the NOVO Nordisk Foundation, N. Holt by the Danish Research Council, E.T. Janson by the Swedish Cancer Society and I.H. Olsen by a Rigshospitalet research grant. The authors declared no conflicts of interest.</w:t>
      </w:r>
    </w:p>
    <w:p>
      <w:pPr>
        <w:keepNext/>
        <w:spacing w:after="50" w:before="260"/>
      </w:pPr>
      <w:r>
        <w:rPr>
          <w:rFonts w:ascii="Cambria" w:cs="Cambria" w:eastAsia="Cambria" w:hAnsi="Cambria"/>
          <w:b/>
          <w:bCs/>
          <w:color w:val="17365D"/>
          <w:sz w:val="20"/>
          <w:szCs w:val="20"/>
        </w:rPr>
        <w:t xml:space="preserve">Norton 2006</w:t>
      </w:r>
      <w:r>
        <w:rPr>
          <w:b/>
          <w:bCs/>
          <w:color w:val="176A87"/>
          <w:sz w:val="15"/>
          <w:szCs w:val="15"/>
        </w:rPr>
        <w:t xml:space="preserve">   Prospective cohort</w:t>
      </w:r>
      <w:r>
        <w:rPr>
          <w:color w:val="5A6069"/>
          <w:sz w:val="15"/>
          <w:szCs w:val="15"/>
        </w:rPr>
        <w:t xml:space="preserve">   PMID 16926567</w:t>
      </w:r>
    </w:p>
    <w:p>
      <w:pPr>
        <w:spacing w:after="50" w:line="276"/>
      </w:pPr>
      <w:r>
        <w:rPr>
          <w:color w:val="5A6069"/>
          <w:sz w:val="17"/>
          <w:szCs w:val="17"/>
        </w:rPr>
        <w:t xml:space="preserve">Surgery increases survival in patients with gastrinoma.</w:t>
      </w:r>
    </w:p>
    <w:p>
      <w:pPr>
        <w:spacing w:after="50"/>
      </w:pPr>
      <w:r>
        <w:rPr>
          <w:b/>
          <w:bCs/>
          <w:color w:val="176A87"/>
          <w:sz w:val="16"/>
          <w:szCs w:val="16"/>
        </w:rPr>
        <w:t xml:space="preserve">Population. </w:t>
      </w:r>
      <w:r>
        <w:rPr>
          <w:sz w:val="16"/>
          <w:szCs w:val="16"/>
        </w:rPr>
        <w:t xml:space="preserve">195 ZES patients: 160 who underwent surgical exploration and 35 who did not</w:t>
      </w:r>
    </w:p>
    <w:p>
      <w:pPr>
        <w:spacing w:after="70"/>
      </w:pPr>
      <w:r>
        <w:rPr>
          <w:b/>
          <w:bCs/>
          <w:color w:val="17365D"/>
          <w:sz w:val="16"/>
          <w:szCs w:val="16"/>
        </w:rPr>
        <w:t xml:space="preserve">Bottom line. </w:t>
      </w:r>
      <w:r>
        <w:rPr>
          <w:sz w:val="16"/>
          <w:szCs w:val="16"/>
        </w:rPr>
        <w:t xml:space="preserve">Over a mean 12 years of follow-up, routine exploration for gastrinoma was associated with far fewer liver metastases and a 15-year disease-related survival of 98% versus 74% without surgery, but the comparison is non-randomised with 35 self-selected controls, 2 disease-related deaths in the surgical arm, and no bearing on non-functioning pancreatic NET.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is not randomised; this is the authors' stated principal limitation</w:t>
            </w:r>
          </w:p>
          <w:p>
            <w:pPr>
              <w:pStyle w:val="ListParagraph"/>
              <w:numPr>
                <w:ilvl w:val="0"/>
                <w:numId w:val="2"/>
              </w:numPr>
              <w:spacing w:after="45"/>
            </w:pPr>
            <w:r>
              <w:rPr>
                <w:sz w:val="15"/>
                <w:szCs w:val="15"/>
              </w:rPr>
              <w:t xml:space="preserve">The 35 non-surgical patients did not have surgery for a mixture of reasons - refusal after discussion with the referring physician in 55%, concurrent illness, inability to consent, and the MEN1 size rule</w:t>
            </w:r>
          </w:p>
          <w:p>
            <w:pPr>
              <w:pStyle w:val="ListParagraph"/>
              <w:numPr>
                <w:ilvl w:val="0"/>
                <w:numId w:val="2"/>
              </w:numPr>
              <w:spacing w:after="45"/>
            </w:pPr>
            <w:r>
              <w:rPr>
                <w:sz w:val="15"/>
                <w:szCs w:val="15"/>
              </w:rPr>
              <w:t xml:space="preserve">The authors defend comparability by showing no significant difference in any clinical, laboratory or imaging parameter, including the factors previously shown to predict aggressive disease (sex, MEN1 status, disease duration, fasting gastrin, imaging results), and no difference in follow-up duration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gastrinoma study and almost all primaries were duodenal or nodal; it bears on functioning duodenopancreatic NET and not at all on incidental non-functioning pancreatic NET, yet it is the usual citation for the proposition that surgery prolongs survival in pancreatic NET</w:t>
            </w:r>
          </w:p>
          <w:p>
            <w:pPr>
              <w:pStyle w:val="ListParagraph"/>
              <w:numPr>
                <w:ilvl w:val="0"/>
                <w:numId w:val="2"/>
              </w:numPr>
              <w:spacing w:after="45"/>
            </w:pPr>
            <w:r>
              <w:rPr>
                <w:sz w:val="15"/>
                <w:szCs w:val="15"/>
              </w:rPr>
              <w:t xml:space="preserve">Thirty-five controls, of whom 10 were excluded from surgery by the MEN1 size rule and 5 by comorbidity, cannot be assumed exchangeable with 160 operated patients however many baseline variables match; refusing surgery after consulting one's own doctor is itself a marker of health behaviour, health literacy and access</w:t>
            </w:r>
          </w:p>
          <w:p>
            <w:pPr>
              <w:pStyle w:val="ListParagraph"/>
              <w:numPr>
                <w:ilvl w:val="0"/>
                <w:numId w:val="2"/>
              </w:numPr>
              <w:spacing w:after="45"/>
            </w:pPr>
            <w:r>
              <w:rPr>
                <w:sz w:val="15"/>
                <w:szCs w:val="15"/>
              </w:rPr>
              <w:t xml:space="preserve">Disease-related death in the surgical arm is 2 events, so the 23-fold difference and the 98% figure rest on single digits with no confidence interval reported for the ratio</w:t>
            </w:r>
          </w:p>
          <w:p>
            <w:pPr>
              <w:pStyle w:val="ListParagraph"/>
              <w:numPr>
                <w:ilvl w:val="0"/>
                <w:numId w:val="2"/>
              </w:numPr>
              <w:spacing w:after="45"/>
            </w:pPr>
            <w:r>
              <w:rPr>
                <w:sz w:val="15"/>
                <w:szCs w:val="15"/>
              </w:rPr>
              <w:t xml:space="preserve">Non-disease-related mortality was numerically higher in the controls (31% vs 20%), which is the expected signature of a sicker comparison group and undercuts the claim that the arms differed only in disease-specific risk; this is reported as non-significant rather than interpreted</w:t>
            </w:r>
          </w:p>
          <w:p>
            <w:pPr>
              <w:pStyle w:val="ListParagraph"/>
              <w:numPr>
                <w:ilvl w:val="0"/>
                <w:numId w:val="2"/>
              </w:numPr>
              <w:spacing w:after="45"/>
            </w:pPr>
            <w:r>
              <w:rPr>
                <w:sz w:val="15"/>
                <w:szCs w:val="15"/>
              </w:rPr>
              <w:t xml:space="preserve">Cause of death was adjudicated by the treating and operating investigators without blinding, in a study whose central endpoint is cause-specific</w:t>
            </w:r>
          </w:p>
          <w:p>
            <w:pPr>
              <w:pStyle w:val="ListParagraph"/>
              <w:numPr>
                <w:ilvl w:val="0"/>
                <w:numId w:val="2"/>
              </w:numPr>
              <w:spacing w:after="45"/>
            </w:pPr>
            <w:r>
              <w:rPr>
                <w:sz w:val="15"/>
                <w:szCs w:val="15"/>
              </w:rPr>
              <w:t xml:space="preserve">Controls were imaged every 6-12 months whereas operated patients were evaluated yearly, and controls less often had functional localisation studies, so ascertainment of liver metastases differed by arm in both direction and intensity</w:t>
            </w:r>
          </w:p>
          <w:p>
            <w:pPr>
              <w:pStyle w:val="ListParagraph"/>
              <w:numPr>
                <w:ilvl w:val="0"/>
                <w:numId w:val="2"/>
              </w:numPr>
              <w:spacing w:after="45"/>
            </w:pPr>
            <w:r>
              <w:rPr>
                <w:sz w:val="15"/>
                <w:szCs w:val="15"/>
              </w:rPr>
              <w:t xml:space="preserve">Accrual spans 1980 to the mid-2000s across three institutions while the operation itself changed mid-study - routine duodenotomy and intraoperative endoscopic transillumination from 1987, somatostatin receptor scintigraphy from 1994 - and all 10 patients in whom no tumour was found were operated before duodenotomy, so the arms are not method-contemporaneous</w:t>
            </w:r>
          </w:p>
          <w:p>
            <w:pPr>
              <w:pStyle w:val="ListParagraph"/>
              <w:numPr>
                <w:ilvl w:val="0"/>
                <w:numId w:val="2"/>
              </w:numPr>
              <w:spacing w:after="45"/>
            </w:pPr>
            <w:r>
              <w:rPr>
                <w:sz w:val="15"/>
                <w:szCs w:val="15"/>
              </w:rPr>
              <w:t xml:space="preserve">With 20-31% non-disease mortality over two decades, competing risk is substantial and no competing-risk analysis was performed; Kaplan-Meier censoring inflates the disease-specific separation</w:t>
            </w:r>
          </w:p>
        </w:tc>
      </w:tr>
    </w:tbl>
    <w:p>
      <w:pPr>
        <w:keepNext/>
        <w:spacing w:after="50" w:before="260"/>
      </w:pPr>
      <w:r>
        <w:rPr>
          <w:rFonts w:ascii="Cambria" w:cs="Cambria" w:eastAsia="Cambria" w:hAnsi="Cambria"/>
          <w:b/>
          <w:bCs/>
          <w:color w:val="17365D"/>
          <w:sz w:val="20"/>
          <w:szCs w:val="20"/>
        </w:rPr>
        <w:t xml:space="preserve">PANDORA</w:t>
      </w:r>
      <w:r>
        <w:rPr>
          <w:b/>
          <w:bCs/>
          <w:color w:val="176A87"/>
          <w:sz w:val="15"/>
          <w:szCs w:val="15"/>
        </w:rPr>
        <w:t xml:space="preserve">   Prospective cohort</w:t>
      </w:r>
      <w:r>
        <w:rPr>
          <w:color w:val="5A6069"/>
          <w:sz w:val="15"/>
          <w:szCs w:val="15"/>
        </w:rPr>
        <w:t xml:space="preserve">   PMID 33783475</w:t>
      </w:r>
    </w:p>
    <w:p>
      <w:pPr>
        <w:spacing w:after="50" w:line="276"/>
      </w:pPr>
      <w:r>
        <w:rPr>
          <w:color w:val="5A6069"/>
          <w:sz w:val="17"/>
          <w:szCs w:val="17"/>
        </w:rPr>
        <w:t xml:space="preserve">Watchful waiting for small non-functional pancreatic neuroendocrine tumours: nationwide prospective cohort study (PANDORA).</w:t>
      </w:r>
    </w:p>
    <w:p>
      <w:pPr>
        <w:spacing w:after="50"/>
      </w:pPr>
      <w:r>
        <w:rPr>
          <w:b/>
          <w:bCs/>
          <w:color w:val="176A87"/>
          <w:sz w:val="16"/>
          <w:szCs w:val="16"/>
        </w:rPr>
        <w:t xml:space="preserve">Population. </w:t>
      </w:r>
      <w:r>
        <w:rPr>
          <w:sz w:val="16"/>
          <w:szCs w:val="16"/>
        </w:rPr>
        <w:t xml:space="preserve">76 patients with a non-functional pancreatic NET of 2 cm or less</w:t>
      </w:r>
    </w:p>
    <w:p>
      <w:pPr>
        <w:spacing w:after="70"/>
      </w:pPr>
      <w:r>
        <w:rPr>
          <w:b/>
          <w:bCs/>
          <w:color w:val="17365D"/>
          <w:sz w:val="16"/>
          <w:szCs w:val="16"/>
        </w:rPr>
        <w:t xml:space="preserve">Bottom line. </w:t>
      </w:r>
      <w:r>
        <w:rPr>
          <w:sz w:val="16"/>
          <w:szCs w:val="16"/>
        </w:rPr>
        <w:t xml:space="preserve">A nationwide prospective surveillance protocol for sub-2 cm non-functional pancreatic NET was implemented with no disease-related death at a median 17 months, but with 76 patients, poor protocol adherence, six of eight progressing patients refusing the mandated operation, and one occult nodal plus peritoneal metastasis at 2.0 cm, this interim analysis establishes feasibility and nothing about oncological safety.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potential pitfall of wait-and-see is late detection of disease spread, as happened in the patient found to have peritoneal metastases at operation; the sensitivity of CT, MRI and DOTATATE PET-CT for small peritoneal deposits is known to be low</w:t>
            </w:r>
          </w:p>
          <w:p>
            <w:pPr>
              <w:pStyle w:val="ListParagraph"/>
              <w:numPr>
                <w:ilvl w:val="0"/>
                <w:numId w:val="2"/>
              </w:numPr>
              <w:spacing w:after="45"/>
            </w:pPr>
            <w:r>
              <w:rPr>
                <w:sz w:val="15"/>
                <w:szCs w:val="15"/>
              </w:rPr>
              <w:t xml:space="preserve">To truly evaluate the oncological safety of watchful waiting, longer follow-up is necessary; only short-term findings are reported</w:t>
            </w:r>
          </w:p>
          <w:p>
            <w:pPr>
              <w:pStyle w:val="ListParagraph"/>
              <w:numPr>
                <w:ilvl w:val="0"/>
                <w:numId w:val="2"/>
              </w:numPr>
              <w:spacing w:after="45"/>
            </w:pPr>
            <w:r>
              <w:rPr>
                <w:sz w:val="15"/>
                <w:szCs w:val="15"/>
              </w:rPr>
              <w:t xml:space="preserve">As is common in investigator-driven multicentre studies, not all centres adhered to the follow-up protocol; EUS was considered burdensome and was frequently rejected by patients and physicians, prompting the study group to reduce the EUS requirement</w:t>
            </w:r>
          </w:p>
          <w:p>
            <w:pPr>
              <w:pStyle w:val="ListParagraph"/>
              <w:numPr>
                <w:ilvl w:val="0"/>
                <w:numId w:val="2"/>
              </w:numPr>
              <w:spacing w:after="45"/>
            </w:pPr>
            <w:r>
              <w:rPr>
                <w:sz w:val="15"/>
                <w:szCs w:val="15"/>
              </w:rPr>
              <w:t xml:space="preserve">The quality-of-life results are too premature to draw conclusions about the reason for the difference from the reference population</w:t>
            </w:r>
          </w:p>
          <w:p>
            <w:pPr>
              <w:pStyle w:val="ListParagraph"/>
              <w:numPr>
                <w:ilvl w:val="0"/>
                <w:numId w:val="2"/>
              </w:numPr>
              <w:spacing w:after="45"/>
            </w:pPr>
            <w:r>
              <w:rPr>
                <w:sz w:val="15"/>
                <w:szCs w:val="15"/>
              </w:rPr>
              <w:t xml:space="preserve">Patients with malignant tumour features were excluded from the study, which the authors note when interpreting the favourable course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Seventy-six patients followed for a median of 17 months cannot support any statement about the safety of surveillance, yet the paper is routinely cited as the prospective evidence underwriting the 2 cm threshold; the resected series it is set against report recurrences at 4-7 years</w:t>
            </w:r>
          </w:p>
          <w:p>
            <w:pPr>
              <w:pStyle w:val="ListParagraph"/>
              <w:numPr>
                <w:ilvl w:val="0"/>
                <w:numId w:val="2"/>
              </w:numPr>
              <w:spacing w:after="45"/>
            </w:pPr>
            <w:r>
              <w:rPr>
                <w:sz w:val="15"/>
                <w:szCs w:val="15"/>
              </w:rPr>
              <w:t xml:space="preserve">This is an interim analysis of a single-arm cohort with no comparison group, no pre-specified non-inferiority margin and no stopping rule, so 'safe and feasible' rests entirely on absence of events in a sample too small and too briefly observed to generate them</w:t>
            </w:r>
          </w:p>
          <w:p>
            <w:pPr>
              <w:pStyle w:val="ListParagraph"/>
              <w:numPr>
                <w:ilvl w:val="0"/>
                <w:numId w:val="2"/>
              </w:numPr>
              <w:spacing w:after="45"/>
            </w:pPr>
            <w:r>
              <w:rPr>
                <w:sz w:val="15"/>
                <w:szCs w:val="15"/>
              </w:rPr>
              <w:t xml:space="preserve">The one genuinely informative event cuts against the conclusion: occult nodal and peritoneal disease in a tumour that was 2.0 cm on pathology is a 1 in 76 rate of under-staged malignancy at the top of the eligible size band, discovered only because the patient was operated</w:t>
            </w:r>
          </w:p>
          <w:p>
            <w:pPr>
              <w:pStyle w:val="ListParagraph"/>
              <w:numPr>
                <w:ilvl w:val="0"/>
                <w:numId w:val="2"/>
              </w:numPr>
              <w:spacing w:after="45"/>
            </w:pPr>
            <w:r>
              <w:rPr>
                <w:sz w:val="15"/>
                <w:szCs w:val="15"/>
              </w:rPr>
              <w:t xml:space="preserve">Six of the eight patients who met the protocol's own criterion for resection declined it, so the cohort's benign course reflects patient choice rather than the protocol being tested, and the protocol was in effect not evaluated</w:t>
            </w:r>
          </w:p>
          <w:p>
            <w:pPr>
              <w:pStyle w:val="ListParagraph"/>
              <w:numPr>
                <w:ilvl w:val="0"/>
                <w:numId w:val="2"/>
              </w:numPr>
              <w:spacing w:after="45"/>
            </w:pPr>
            <w:r>
              <w:rPr>
                <w:sz w:val="15"/>
                <w:szCs w:val="15"/>
              </w:rPr>
              <w:t xml:space="preserve">A quarter of patients were enrolled on a single imaging modality against a protocol requiring two, and 28-33% missed scheduled scans, so progression could have been missed rather than absent; one resected lesion was not a neuroendocrine tumour at all, which also means some surveilled lesions may not be</w:t>
            </w:r>
          </w:p>
          <w:p>
            <w:pPr>
              <w:pStyle w:val="ListParagraph"/>
              <w:numPr>
                <w:ilvl w:val="0"/>
                <w:numId w:val="2"/>
              </w:numPr>
              <w:spacing w:after="45"/>
            </w:pPr>
            <w:r>
              <w:rPr>
                <w:sz w:val="15"/>
                <w:szCs w:val="15"/>
              </w:rPr>
              <w:t xml:space="preserve">Eligibility excluded anyone whose lesion already looked malignant - exactly the population whose risk determines whether waiting is safe - so the study measures the natural history of lesions pre-selected as indolent</w:t>
            </w:r>
          </w:p>
          <w:p>
            <w:pPr>
              <w:pStyle w:val="ListParagraph"/>
              <w:numPr>
                <w:ilvl w:val="0"/>
                <w:numId w:val="2"/>
              </w:numPr>
              <w:spacing w:after="45"/>
            </w:pPr>
            <w:r>
              <w:rPr>
                <w:sz w:val="15"/>
                <w:szCs w:val="15"/>
              </w:rPr>
              <w:t xml:space="preserve">The quality-of-life signal, that patients enter surveillance with worse emotional functioning and insomnia than the general population, is the one patient-centred finding here and is dismissed as premature rather than pursued</w:t>
            </w:r>
          </w:p>
          <w:p>
            <w:pPr>
              <w:pStyle w:val="ListParagraph"/>
              <w:numPr>
                <w:ilvl w:val="0"/>
                <w:numId w:val="2"/>
              </w:numPr>
              <w:spacing w:after="45"/>
            </w:pPr>
            <w:r>
              <w:rPr>
                <w:sz w:val="15"/>
                <w:szCs w:val="15"/>
              </w:rPr>
              <w:t xml:space="preserve">Growth of 0.5 cm/year is used as the progression threshold without any evidence that it corresponds to biological risk, and two patients crossed 2.0 cm while their mean final size was 1.2 cm, so the threshold is detecting measurement variation as much as growth</w:t>
            </w:r>
          </w:p>
        </w:tc>
      </w:tr>
    </w:tbl>
    <w:p>
      <w:pPr>
        <w:keepNext/>
        <w:spacing w:after="50" w:before="260"/>
      </w:pPr>
      <w:r>
        <w:rPr>
          <w:rFonts w:ascii="Cambria" w:cs="Cambria" w:eastAsia="Cambria" w:hAnsi="Cambria"/>
          <w:b/>
          <w:bCs/>
          <w:color w:val="17365D"/>
          <w:sz w:val="20"/>
          <w:szCs w:val="20"/>
        </w:rPr>
        <w:t xml:space="preserve">Sadot 2016</w:t>
      </w:r>
      <w:r>
        <w:rPr>
          <w:b/>
          <w:bCs/>
          <w:color w:val="176A87"/>
          <w:sz w:val="15"/>
          <w:szCs w:val="15"/>
        </w:rPr>
        <w:t xml:space="preserve">   Retrospective cohort</w:t>
      </w:r>
      <w:r>
        <w:rPr>
          <w:color w:val="5A6069"/>
          <w:sz w:val="15"/>
          <w:szCs w:val="15"/>
        </w:rPr>
        <w:t xml:space="preserve">   PMID 26597365</w:t>
      </w:r>
    </w:p>
    <w:p>
      <w:pPr>
        <w:spacing w:after="50" w:line="276"/>
      </w:pPr>
      <w:r>
        <w:rPr>
          <w:color w:val="5A6069"/>
          <w:sz w:val="17"/>
          <w:szCs w:val="17"/>
        </w:rPr>
        <w:t xml:space="preserve">Observation versus resection for small asymptomatic pancreatic neuroendocrine tumors: a matched case-control study.</w:t>
      </w:r>
    </w:p>
    <w:p>
      <w:pPr>
        <w:spacing w:after="50"/>
      </w:pPr>
      <w:r>
        <w:rPr>
          <w:b/>
          <w:bCs/>
          <w:color w:val="176A87"/>
          <w:sz w:val="16"/>
          <w:szCs w:val="16"/>
        </w:rPr>
        <w:t xml:space="preserve">Population. </w:t>
      </w:r>
      <w:r>
        <w:rPr>
          <w:sz w:val="16"/>
          <w:szCs w:val="16"/>
        </w:rPr>
        <w:t xml:space="preserve">464 stage I-II PanNET reviewed; 104 in the observation group vs 77 size-matched resection controls (181 analysed)</w:t>
      </w:r>
    </w:p>
    <w:p>
      <w:pPr>
        <w:spacing w:after="70"/>
      </w:pPr>
      <w:r>
        <w:rPr>
          <w:b/>
          <w:bCs/>
          <w:color w:val="17365D"/>
          <w:sz w:val="16"/>
          <w:szCs w:val="16"/>
        </w:rPr>
        <w:t xml:space="preserve">Bottom line. </w:t>
      </w:r>
      <w:r>
        <w:rPr>
          <w:sz w:val="16"/>
          <w:szCs w:val="16"/>
        </w:rPr>
        <w:t xml:space="preserve">In carefully selected patients with sporadic, asymptomatic, mostly sub-centimetre PanNET at one tertiary centre, initial observation produced no metastases over a median 44 months, but the cohort was under 3 cm rather than under 2 cm, a quarter crossed over to surgery, the unoperated patients were followed only 33 months, and the survival comparison favours observation only because the two arms cannot experience the same events.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w:t>
            </w:r>
          </w:p>
          <w:p>
            <w:pPr>
              <w:pStyle w:val="ListParagraph"/>
              <w:numPr>
                <w:ilvl w:val="0"/>
                <w:numId w:val="2"/>
              </w:numPr>
              <w:spacing w:after="45"/>
            </w:pPr>
            <w:r>
              <w:rPr>
                <w:sz w:val="15"/>
                <w:szCs w:val="15"/>
              </w:rPr>
              <w:t xml:space="preserve">Relatively short follow-up of the observation group, which is why the authors stress that observation must be paired with a low threshold for intervention if aggressive features such as growth or nodal involvement appear</w:t>
            </w:r>
          </w:p>
          <w:p>
            <w:pPr>
              <w:pStyle w:val="ListParagraph"/>
              <w:numPr>
                <w:ilvl w:val="0"/>
                <w:numId w:val="2"/>
              </w:numPr>
              <w:spacing w:after="45"/>
            </w:pPr>
            <w:r>
              <w:rPr>
                <w:sz w:val="15"/>
                <w:szCs w:val="15"/>
              </w:rPr>
              <w:t xml:space="preserve">The question should ideally be answered by a prospective randomised study, which the authors judge unlikely to be accomplished given the rarity and indolence of the disease</w:t>
            </w:r>
          </w:p>
          <w:p>
            <w:pPr>
              <w:pStyle w:val="ListParagraph"/>
              <w:numPr>
                <w:ilvl w:val="0"/>
                <w:numId w:val="2"/>
              </w:numPr>
              <w:spacing w:after="45"/>
            </w:pPr>
            <w:r>
              <w:rPr>
                <w:sz w:val="15"/>
                <w:szCs w:val="15"/>
              </w:rPr>
              <w:t xml:space="preserve">Population-based data reaching the opposite conclusion are hard to interpret because registries lack familial status, growth characteristics, intent of surgery, margin status, comorbidity, performance status and consistent grading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inclusion band is under 3 cm, not 2 cm, yet this is a foundational citation for a 2 cm threshold; in fact the median lesion was 1.2-1.4 cm and 87% were T1, so the paper's evidence concerns tumours around 1 cm and is silent about the 2-3 cm range it nominally covers</w:t>
            </w:r>
          </w:p>
          <w:p>
            <w:pPr>
              <w:pStyle w:val="ListParagraph"/>
              <w:numPr>
                <w:ilvl w:val="0"/>
                <w:numId w:val="2"/>
              </w:numPr>
              <w:spacing w:after="45"/>
            </w:pPr>
            <w:r>
              <w:rPr>
                <w:sz w:val="15"/>
                <w:szCs w:val="15"/>
              </w:rPr>
              <w:t xml:space="preserve">Matching was on initial tumour size alone, deliberately leaving age, comorbidity, performance status and the surgeon's impression unbalanced; the observation arm was significantly older, so the two groups differ on the one variable most likely to determine who was offered an operation</w:t>
            </w:r>
          </w:p>
          <w:p>
            <w:pPr>
              <w:pStyle w:val="ListParagraph"/>
              <w:numPr>
                <w:ilvl w:val="0"/>
                <w:numId w:val="2"/>
              </w:numPr>
              <w:spacing w:after="45"/>
            </w:pPr>
            <w:r>
              <w:rPr>
                <w:sz w:val="15"/>
                <w:szCs w:val="15"/>
              </w:rPr>
              <w:t xml:space="preserve">The significant metastasis-free survival advantage for observation (99% vs 88%, p = 0.01) is an artefact of the endpoint rather than a finding: a resected patient can be recorded as recurring while an unresected patient with stable imaging cannot, so the two arms are not at risk of the same events; the authors report the direction of this implausible result without flagging it</w:t>
            </w:r>
          </w:p>
          <w:p>
            <w:pPr>
              <w:pStyle w:val="ListParagraph"/>
              <w:numPr>
                <w:ilvl w:val="0"/>
                <w:numId w:val="2"/>
              </w:numPr>
              <w:spacing w:after="45"/>
            </w:pPr>
            <w:r>
              <w:rPr>
                <w:sz w:val="15"/>
                <w:szCs w:val="15"/>
              </w:rPr>
              <w:t xml:space="preserve">A quarter of the observation arm had an operation and remain in that arm by intention to treat, so part of the arm's clean oncological record was purchased with the very surgery the paper argues can be avoided</w:t>
            </w:r>
          </w:p>
          <w:p>
            <w:pPr>
              <w:pStyle w:val="ListParagraph"/>
              <w:numPr>
                <w:ilvl w:val="0"/>
                <w:numId w:val="2"/>
              </w:numPr>
              <w:spacing w:after="45"/>
            </w:pPr>
            <w:r>
              <w:rPr>
                <w:sz w:val="15"/>
                <w:szCs w:val="15"/>
              </w:rPr>
              <w:t xml:space="preserve">The patients who were genuinely never operated were followed a median of 33 months, while the recurrences in the resected arm appeared at a median of 5.1 years - the observation arm was not watched long enough to experience the event the paper reports as absent</w:t>
            </w:r>
          </w:p>
          <w:p>
            <w:pPr>
              <w:pStyle w:val="ListParagraph"/>
              <w:numPr>
                <w:ilvl w:val="0"/>
                <w:numId w:val="2"/>
              </w:numPr>
              <w:spacing w:after="45"/>
            </w:pPr>
            <w:r>
              <w:rPr>
                <w:sz w:val="15"/>
                <w:szCs w:val="15"/>
              </w:rPr>
              <w:t xml:space="preserve">35% of the observation group never had tissue, so some lesions may not have been PanNET at all; those patients contribute to the 'no progression' numerator and denominator alike</w:t>
            </w:r>
          </w:p>
          <w:p>
            <w:pPr>
              <w:pStyle w:val="ListParagraph"/>
              <w:numPr>
                <w:ilvl w:val="0"/>
                <w:numId w:val="2"/>
              </w:numPr>
              <w:spacing w:after="45"/>
            </w:pPr>
            <w:r>
              <w:rPr>
                <w:sz w:val="15"/>
                <w:szCs w:val="15"/>
              </w:rPr>
              <w:t xml:space="preserve">Competing risk is material (6% died of other causes, median age 63) but is not modelled; Kaplan-Meier treats non-disease death as censoring and so overstates the chance of ever seeing a disease event</w:t>
            </w:r>
          </w:p>
          <w:p>
            <w:pPr>
              <w:pStyle w:val="ListParagraph"/>
              <w:numPr>
                <w:ilvl w:val="0"/>
                <w:numId w:val="2"/>
              </w:numPr>
              <w:spacing w:after="45"/>
            </w:pPr>
            <w:r>
              <w:rPr>
                <w:sz w:val="15"/>
                <w:szCs w:val="15"/>
              </w:rPr>
              <w:t xml:space="preserve">Fifty-one percent of observed tumours did grow, a fact visible only in a figure legend and submerged beneath an unchanged median size</w:t>
            </w:r>
          </w:p>
          <w:p>
            <w:pPr>
              <w:pStyle w:val="ListParagraph"/>
              <w:numPr>
                <w:ilvl w:val="0"/>
                <w:numId w:val="2"/>
              </w:numPr>
              <w:spacing w:after="45"/>
            </w:pPr>
            <w:r>
              <w:rPr>
                <w:sz w:val="15"/>
                <w:szCs w:val="15"/>
              </w:rPr>
              <w:t xml:space="preserve">Single tertiary referral centre with its own selection filter at the front door, and no accounting for the patients in the original 464 who were neither observed nor matched</w:t>
            </w:r>
          </w:p>
        </w:tc>
      </w:tr>
    </w:tbl>
    <w:p>
      <w:pPr>
        <w:spacing w:after="0" w:line="276"/>
      </w:pPr>
      <w:r>
        <w:rPr>
          <w:color w:val="5A6069"/>
          <w:sz w:val="14"/>
          <w:szCs w:val="14"/>
        </w:rPr>
        <w:t xml:space="preserve">Funding: Funded in part by NIH/NCI Cancer Center Support Grant P30 CA008748 and R21-CA158267; all authors declared no conflict of interest.</w:t>
      </w:r>
    </w:p>
    <w:p>
      <w:pPr>
        <w:keepNext/>
        <w:spacing w:after="50" w:before="260"/>
      </w:pPr>
      <w:r>
        <w:rPr>
          <w:rFonts w:ascii="Cambria" w:cs="Cambria" w:eastAsia="Cambria" w:hAnsi="Cambria"/>
          <w:b/>
          <w:bCs/>
          <w:color w:val="17365D"/>
          <w:sz w:val="20"/>
          <w:szCs w:val="20"/>
        </w:rPr>
        <w:t xml:space="preserve">Sadowski 2016</w:t>
      </w:r>
      <w:r>
        <w:rPr>
          <w:b/>
          <w:bCs/>
          <w:color w:val="176A87"/>
          <w:sz w:val="15"/>
          <w:szCs w:val="15"/>
        </w:rPr>
        <w:t xml:space="preserve">   Prospective cohort</w:t>
      </w:r>
      <w:r>
        <w:rPr>
          <w:color w:val="5A6069"/>
          <w:sz w:val="15"/>
          <w:szCs w:val="15"/>
        </w:rPr>
        <w:t xml:space="preserve">   PMID 26712231</w:t>
      </w:r>
    </w:p>
    <w:p>
      <w:pPr>
        <w:spacing w:after="50" w:line="276"/>
      </w:pPr>
      <w:r>
        <w:rPr>
          <w:color w:val="5A6069"/>
          <w:sz w:val="17"/>
          <w:szCs w:val="17"/>
        </w:rPr>
        <w:t xml:space="preserve">Prospective study of 68Ga-DOTATATE positron emission tomography/computed tomography for detecting gastro-entero-pancreatic neuroendocrine tumors and unknown primary sites.</w:t>
      </w:r>
    </w:p>
    <w:p>
      <w:pPr>
        <w:spacing w:after="50"/>
      </w:pPr>
      <w:r>
        <w:rPr>
          <w:b/>
          <w:bCs/>
          <w:color w:val="176A87"/>
          <w:sz w:val="16"/>
          <w:szCs w:val="16"/>
        </w:rPr>
        <w:t xml:space="preserve">Population. </w:t>
      </w:r>
      <w:r>
        <w:rPr>
          <w:sz w:val="16"/>
          <w:szCs w:val="16"/>
        </w:rPr>
        <w:t xml:space="preserve">131 patients; 891 lesions in the imaging denominator; 25 patients operated, giving 113 histologically confirmed lesions</w:t>
      </w:r>
    </w:p>
    <w:p>
      <w:pPr>
        <w:spacing w:after="70"/>
      </w:pPr>
      <w:r>
        <w:rPr>
          <w:b/>
          <w:bCs/>
          <w:color w:val="17365D"/>
          <w:sz w:val="16"/>
          <w:szCs w:val="16"/>
        </w:rPr>
        <w:t xml:space="preserve">Bottom line. </w:t>
      </w:r>
      <w:r>
        <w:rPr>
          <w:sz w:val="16"/>
          <w:szCs w:val="16"/>
        </w:rPr>
        <w:t xml:space="preserve">68Ga-DOTATATE PET/CT finds far more GEP-NET lesions than 111In-pentetreotide SPECT/CT or cross-sectional imaging and often changes the plan, but the comparison is made against a reference standard built from the tests themselves, and the study offers no outcome data and almost no pancreas-specific or sporadic-disease evidence.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Histopathological proof was not available for every detected lesion, so false positives are possible even though high SUV and location make most lesions likely true</w:t>
            </w:r>
          </w:p>
          <w:p>
            <w:pPr>
              <w:pStyle w:val="ListParagraph"/>
              <w:numPr>
                <w:ilvl w:val="0"/>
                <w:numId w:val="2"/>
              </w:numPr>
              <w:spacing w:after="45"/>
            </w:pPr>
            <w:r>
              <w:rPr>
                <w:sz w:val="15"/>
                <w:szCs w:val="15"/>
              </w:rPr>
              <w:t xml:space="preserve">The design is not a randomised controlled trial and there are no follow-up data, so it cannot show that treatment chosen on DOTATATE findings improved long-term outcome</w:t>
            </w:r>
          </w:p>
          <w:p>
            <w:pPr>
              <w:pStyle w:val="ListParagraph"/>
              <w:numPr>
                <w:ilvl w:val="0"/>
                <w:numId w:val="2"/>
              </w:numPr>
              <w:spacing w:after="45"/>
            </w:pPr>
            <w:r>
              <w:rPr>
                <w:sz w:val="15"/>
                <w:szCs w:val="15"/>
              </w:rPr>
              <w:t xml:space="preserve">Lesion count is only an approximation of tumour burden, not a measurement of tumour mass</w:t>
            </w:r>
          </w:p>
          <w:p>
            <w:pPr>
              <w:pStyle w:val="ListParagraph"/>
              <w:numPr>
                <w:ilvl w:val="0"/>
                <w:numId w:val="2"/>
              </w:numPr>
              <w:spacing w:after="45"/>
            </w:pPr>
            <w:r>
              <w:rPr>
                <w:sz w:val="15"/>
                <w:szCs w:val="15"/>
              </w:rPr>
              <w:t xml:space="preserve">The imaging denominator is not a perfect gold standard and may itself contain false positives</w:t>
            </w:r>
          </w:p>
          <w:p>
            <w:pPr>
              <w:pStyle w:val="ListParagraph"/>
              <w:numPr>
                <w:ilvl w:val="0"/>
                <w:numId w:val="2"/>
              </w:numPr>
              <w:spacing w:after="45"/>
            </w:pPr>
            <w:r>
              <w:rPr>
                <w:sz w:val="15"/>
                <w:szCs w:val="15"/>
              </w:rPr>
              <w:t xml:space="preserve">18F-FDG PET was not performed in every patient although DOTATATE is known to be less avid in poorly differentiated NET</w:t>
            </w:r>
          </w:p>
          <w:p>
            <w:pPr>
              <w:pStyle w:val="ListParagraph"/>
              <w:numPr>
                <w:ilvl w:val="0"/>
                <w:numId w:val="2"/>
              </w:numPr>
              <w:spacing w:after="45"/>
            </w:pPr>
            <w:r>
              <w:rPr>
                <w:sz w:val="15"/>
                <w:szCs w:val="15"/>
              </w:rPr>
              <w:t xml:space="preserve">Adding a diagnostic contrast-enhanced CT might have improved the sensitivity and specificity of both SPECT/CT and PET/CT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'imaging denominator' is the union of lesions seen on any of the three tests, which structurally forces the most sensitive modality toward 100% and the others downward - a composite-reference incorporation bias that inflates the 95% vs 45% vs 31% headline</w:t>
            </w:r>
          </w:p>
          <w:p>
            <w:pPr>
              <w:pStyle w:val="ListParagraph"/>
              <w:numPr>
                <w:ilvl w:val="0"/>
                <w:numId w:val="2"/>
              </w:numPr>
              <w:spacing w:after="45"/>
            </w:pPr>
            <w:r>
              <w:rPr>
                <w:sz w:val="15"/>
                <w:szCs w:val="15"/>
              </w:rPr>
              <w:t xml:space="preserve">Only 25 of 131 patients (19%) had any histology, so the one analysis with an independent reference standard rests on a fifth of the cohort, and in it DOTATATE's per-lesion accuracy falls from 95% to 64%</w:t>
            </w:r>
          </w:p>
          <w:p>
            <w:pPr>
              <w:pStyle w:val="ListParagraph"/>
              <w:numPr>
                <w:ilvl w:val="0"/>
                <w:numId w:val="2"/>
              </w:numPr>
              <w:spacing w:after="45"/>
            </w:pPr>
            <w:r>
              <w:rPr>
                <w:sz w:val="15"/>
                <w:szCs w:val="15"/>
              </w:rPr>
              <w:t xml:space="preserve">The cohort is deliberately enriched for familial disease (MEN1 and VHL were an inclusion criterion; 14 of 25 operated patients were syndromic), so the detection figures do not transfer to a sporadic incidental pancreatic lesion</w:t>
            </w:r>
          </w:p>
          <w:p>
            <w:pPr>
              <w:pStyle w:val="ListParagraph"/>
              <w:numPr>
                <w:ilvl w:val="0"/>
                <w:numId w:val="2"/>
              </w:numPr>
              <w:spacing w:after="45"/>
            </w:pPr>
            <w:r>
              <w:rPr>
                <w:sz w:val="15"/>
                <w:szCs w:val="15"/>
              </w:rPr>
              <w:t xml:space="preserve">Pancreatic lesions are 12% of the lesion total; this is a GEP-NET and unknown-primary imaging study being cited in a pancreatic pathway</w:t>
            </w:r>
          </w:p>
          <w:p>
            <w:pPr>
              <w:pStyle w:val="ListParagraph"/>
              <w:numPr>
                <w:ilvl w:val="0"/>
                <w:numId w:val="2"/>
              </w:numPr>
              <w:spacing w:after="45"/>
            </w:pPr>
            <w:r>
              <w:rPr>
                <w:sz w:val="15"/>
                <w:szCs w:val="15"/>
              </w:rPr>
              <w:t xml:space="preserve">Reported pancreatic sensitivity of 95.5% sits uneasily with the well-documented physiological DOTATATE uptake in the pancreatic head and uncinate process, which the paper excludes for spleen and adrenals but not for pancreas</w:t>
            </w:r>
          </w:p>
          <w:p>
            <w:pPr>
              <w:pStyle w:val="ListParagraph"/>
              <w:numPr>
                <w:ilvl w:val="0"/>
                <w:numId w:val="2"/>
              </w:numPr>
              <w:spacing w:after="45"/>
            </w:pPr>
            <w:r>
              <w:rPr>
                <w:sz w:val="15"/>
                <w:szCs w:val="15"/>
              </w:rPr>
              <w:t xml:space="preserve">'Change in management' was adjudicated unblinded by the same multidisciplinary team that ordered the scans, is not a validated endpoint, and 32.8% is reported without any check that the changed decisions were correct</w:t>
            </w:r>
          </w:p>
          <w:p>
            <w:pPr>
              <w:pStyle w:val="ListParagraph"/>
              <w:numPr>
                <w:ilvl w:val="0"/>
                <w:numId w:val="2"/>
              </w:numPr>
              <w:spacing w:after="45"/>
            </w:pPr>
            <w:r>
              <w:rPr>
                <w:sz w:val="15"/>
                <w:szCs w:val="15"/>
              </w:rPr>
              <w:t xml:space="preserve">Single tertiary referral centre under an IND, with patients travelling to the NIH, so both the pretest probability and the quality of the comparator imaging differ from community practice</w:t>
            </w:r>
          </w:p>
        </w:tc>
      </w:tr>
    </w:tbl>
    <w:p>
      <w:pPr>
        <w:spacing w:after="0" w:line="276"/>
      </w:pPr>
      <w:r>
        <w:rPr>
          <w:color w:val="5A6069"/>
          <w:sz w:val="14"/>
          <w:szCs w:val="14"/>
        </w:rPr>
        <w:t xml:space="preserve">Funding: Intramural Research Programs of the Center for Cancer Research, National Cancer Institute, and the National Institute of Diabetes and Digestive and Kidney Diseases, NIH; all authors declared no relationships.</w:t>
      </w:r>
    </w:p>
    <w:p>
      <w:pPr>
        <w:keepNext/>
        <w:spacing w:after="50" w:before="260"/>
      </w:pPr>
      <w:r>
        <w:rPr>
          <w:rFonts w:ascii="Cambria" w:cs="Cambria" w:eastAsia="Cambria" w:hAnsi="Cambria"/>
          <w:b/>
          <w:bCs/>
          <w:color w:val="17365D"/>
          <w:sz w:val="20"/>
          <w:szCs w:val="20"/>
        </w:rPr>
        <w:t xml:space="preserve">Singh 2018 follow-up</w:t>
      </w:r>
      <w:r>
        <w:rPr>
          <w:b/>
          <w:bCs/>
          <w:color w:val="176A87"/>
          <w:sz w:val="15"/>
          <w:szCs w:val="15"/>
        </w:rPr>
        <w:t xml:space="preserve">   Consensus statement</w:t>
      </w:r>
      <w:r>
        <w:rPr>
          <w:color w:val="5A6069"/>
          <w:sz w:val="15"/>
          <w:szCs w:val="15"/>
        </w:rPr>
        <w:t xml:space="preserve">   PMID 30054622</w:t>
      </w:r>
    </w:p>
    <w:p>
      <w:pPr>
        <w:spacing w:after="50" w:line="276"/>
      </w:pPr>
      <w:r>
        <w:rPr>
          <w:color w:val="5A6069"/>
          <w:sz w:val="17"/>
          <w:szCs w:val="17"/>
        </w:rPr>
        <w:t xml:space="preserve">Follow-up recommendations for completely resected gastroenteropancreatic neuroendocrine tumors.</w:t>
      </w:r>
    </w:p>
    <w:p>
      <w:pPr>
        <w:spacing w:after="50"/>
      </w:pPr>
      <w:r>
        <w:rPr>
          <w:b/>
          <w:bCs/>
          <w:color w:val="176A87"/>
          <w:sz w:val="16"/>
          <w:szCs w:val="16"/>
        </w:rPr>
        <w:t xml:space="preserve">Population. </w:t>
      </w:r>
      <w:r>
        <w:rPr>
          <w:sz w:val="16"/>
          <w:szCs w:val="16"/>
        </w:rPr>
        <w:t xml:space="preserve">22-member expert panel scoring 193 clinical scenarios; evidence base of 6 studies (994 patients) plus unpublished cohorts of 936 and 129 patients; practice survey of 163 respondents</w:t>
      </w:r>
    </w:p>
    <w:p>
      <w:pPr>
        <w:spacing w:after="70"/>
      </w:pPr>
      <w:r>
        <w:rPr>
          <w:b/>
          <w:bCs/>
          <w:color w:val="17365D"/>
          <w:sz w:val="16"/>
          <w:szCs w:val="16"/>
        </w:rPr>
        <w:t xml:space="preserve">Bottom line. </w:t>
      </w:r>
      <w:r>
        <w:rPr>
          <w:sz w:val="16"/>
          <w:szCs w:val="16"/>
        </w:rPr>
        <w:t xml:space="preserve">A RAND/UCLA consensus that de-intensifies the first three years after resection of a gastroenteropancreatic NET, extends surveillance beyond ten years, abandons biomarkers and chest imaging, and exempts grade 1 node-negative pancreatic tumours under 2 cm from any follow-up - the last being expert opinion rather than evidence, in a cohort whose 10-year recurrence rate was 48.5%.</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RAND/UCLA Appropriateness Method carries potential bias in the selection and interaction of expert panel members, and panellist fatigue in addressing 193 detailed scenarios</w:t>
            </w:r>
          </w:p>
          <w:p>
            <w:pPr>
              <w:pStyle w:val="ListParagraph"/>
              <w:numPr>
                <w:ilvl w:val="0"/>
                <w:numId w:val="2"/>
              </w:numPr>
              <w:spacing w:after="45"/>
            </w:pPr>
            <w:r>
              <w:rPr>
                <w:sz w:val="15"/>
                <w:szCs w:val="15"/>
              </w:rPr>
              <w:t xml:space="preserve">The Ontario cohort has no data on WHO 2010 tumour grade (it spans 1994-2012), on ENETS or AJCC staging, or on margin status</w:t>
            </w:r>
          </w:p>
          <w:p>
            <w:pPr>
              <w:pStyle w:val="ListParagraph"/>
              <w:numPr>
                <w:ilvl w:val="0"/>
                <w:numId w:val="2"/>
              </w:numPr>
              <w:spacing w:after="45"/>
            </w:pPr>
            <w:r>
              <w:rPr>
                <w:sz w:val="15"/>
                <w:szCs w:val="15"/>
              </w:rPr>
              <w:t xml:space="preserve">As with all guidelines, clinical judgment and individual patient-centred factors and preferences must be taken into account when implementing the recommendations</w:t>
            </w:r>
          </w:p>
          <w:p>
            <w:pPr>
              <w:pStyle w:val="ListParagraph"/>
              <w:numPr>
                <w:ilvl w:val="0"/>
                <w:numId w:val="2"/>
              </w:numPr>
              <w:spacing w:after="45"/>
            </w:pPr>
            <w:r>
              <w:rPr>
                <w:sz w:val="15"/>
                <w:szCs w:val="15"/>
              </w:rPr>
              <w:t xml:space="preserve">Cost-effectiveness, resource use and patient preferences in the NET setting all deserve examination and were not addressed</w:t>
            </w:r>
          </w:p>
          <w:p>
            <w:pPr>
              <w:pStyle w:val="ListParagraph"/>
              <w:numPr>
                <w:ilvl w:val="0"/>
                <w:numId w:val="2"/>
              </w:numPr>
              <w:spacing w:after="45"/>
            </w:pPr>
            <w:r>
              <w:rPr>
                <w:sz w:val="15"/>
                <w:szCs w:val="15"/>
              </w:rPr>
              <w:t xml:space="preserve">The correlation between earlier detection and an overall survival benefit should ultimately determine follow-up recommendations, but this will be difficult to resolve in NETs given their low incidence, heterogeneity and extended natural history</w:t>
            </w:r>
          </w:p>
          <w:p>
            <w:pPr>
              <w:pStyle w:val="ListParagraph"/>
              <w:numPr>
                <w:ilvl w:val="0"/>
                <w:numId w:val="2"/>
              </w:numPr>
              <w:spacing w:after="45"/>
            </w:pPr>
            <w:r>
              <w:rPr>
                <w:sz w:val="15"/>
                <w:szCs w:val="15"/>
              </w:rPr>
              <w:t xml:space="preserve">No differences were recommended between R0 and R1 resections because no data on that distinction were available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cohorts supplying the entire quantitative backbone were unpublished at the time of the consensus meeting, and the larger of them has no grade, stage or margin data - which are precisely the variables the resulting recommendations stratify on, so the panel stratified by factors its own evidence could not measure</w:t>
            </w:r>
          </w:p>
          <w:p>
            <w:pPr>
              <w:pStyle w:val="ListParagraph"/>
              <w:numPr>
                <w:ilvl w:val="0"/>
                <w:numId w:val="2"/>
              </w:numPr>
              <w:spacing w:after="45"/>
            </w:pPr>
            <w:r>
              <w:rPr>
                <w:sz w:val="15"/>
                <w:szCs w:val="15"/>
              </w:rPr>
              <w:t xml:space="preserve">The single most consequential statement, that grade 1 node-negative pancreatic tumours under 2 cm need no follow-up at all, is pure expert opinion at a 75% agreement threshold, in a dataset where cumulative recurrence reaches 48.5% at 10 years and median time to pancreatic recurrence is 7.2 years</w:t>
            </w:r>
          </w:p>
          <w:p>
            <w:pPr>
              <w:pStyle w:val="ListParagraph"/>
              <w:numPr>
                <w:ilvl w:val="0"/>
                <w:numId w:val="2"/>
              </w:numPr>
              <w:spacing w:after="45"/>
            </w:pPr>
            <w:r>
              <w:rPr>
                <w:sz w:val="15"/>
                <w:szCs w:val="15"/>
              </w:rPr>
              <w:t xml:space="preserve">Node-negative status in a small pancreatic tumour usually means few or no nodes were removed, so the exempted subgroup is partly defined by incomplete staging rather than by established absence of nodal disease - a circularity the paper does not address</w:t>
            </w:r>
          </w:p>
          <w:p>
            <w:pPr>
              <w:pStyle w:val="ListParagraph"/>
              <w:numPr>
                <w:ilvl w:val="0"/>
                <w:numId w:val="2"/>
              </w:numPr>
              <w:spacing w:after="45"/>
            </w:pPr>
            <w:r>
              <w:rPr>
                <w:sz w:val="15"/>
                <w:szCs w:val="15"/>
              </w:rPr>
              <w:t xml:space="preserve">The practice survey response rate was 15% (163 of 1068), and the clinicians who answered a survey about follow-up are plausibly those most invested in it, so the finding that existing guidelines are useless is itself subject to selection</w:t>
            </w:r>
          </w:p>
          <w:p>
            <w:pPr>
              <w:pStyle w:val="ListParagraph"/>
              <w:numPr>
                <w:ilvl w:val="0"/>
                <w:numId w:val="2"/>
              </w:numPr>
              <w:spacing w:after="45"/>
            </w:pPr>
            <w:r>
              <w:rPr>
                <w:sz w:val="15"/>
                <w:szCs w:val="15"/>
              </w:rPr>
              <w:t xml:space="preserve">Appropriateness was explicitly scored 'regardless of cost' while the discussion argues from resource allocation, radiation exposure and cost-effectiveness - the scoring instrument was blind to the consideration the conclusions invoke</w:t>
            </w:r>
          </w:p>
          <w:p>
            <w:pPr>
              <w:pStyle w:val="ListParagraph"/>
              <w:numPr>
                <w:ilvl w:val="0"/>
                <w:numId w:val="2"/>
              </w:numPr>
              <w:spacing w:after="45"/>
            </w:pPr>
            <w:r>
              <w:rPr>
                <w:sz w:val="15"/>
                <w:szCs w:val="15"/>
              </w:rPr>
              <w:t xml:space="preserve">The panel was drawn from the membership of the two societies issuing the guideline, and four of its own steering members wrote the 193 scenarios, so the questions and the answers come from the same group</w:t>
            </w:r>
          </w:p>
          <w:p>
            <w:pPr>
              <w:pStyle w:val="ListParagraph"/>
              <w:numPr>
                <w:ilvl w:val="0"/>
                <w:numId w:val="2"/>
              </w:numPr>
              <w:spacing w:after="45"/>
            </w:pPr>
            <w:r>
              <w:rPr>
                <w:sz w:val="15"/>
                <w:szCs w:val="15"/>
              </w:rPr>
              <w:t xml:space="preserve">Despite the 'patient-centered' framing, no patient-reported outcome, anxiety or preference data were collected or analysed; the single patient advocate's contribution is not separable from the panel vote</w:t>
            </w:r>
          </w:p>
          <w:p>
            <w:pPr>
              <w:pStyle w:val="ListParagraph"/>
              <w:numPr>
                <w:ilvl w:val="0"/>
                <w:numId w:val="2"/>
              </w:numPr>
              <w:spacing w:after="45"/>
            </w:pPr>
            <w:r>
              <w:rPr>
                <w:sz w:val="15"/>
                <w:szCs w:val="15"/>
              </w:rPr>
              <w:t xml:space="preserve">The recommendation against chromogranin A rests on one cited cohort of 100 resected ileal NETs, and the recommendation against chest imaging on an unquantified judgement that isolated pulmonary recurrence is rare</w:t>
            </w:r>
          </w:p>
          <w:p>
            <w:pPr>
              <w:pStyle w:val="ListParagraph"/>
              <w:numPr>
                <w:ilvl w:val="0"/>
                <w:numId w:val="2"/>
              </w:numPr>
              <w:spacing w:after="45"/>
            </w:pPr>
            <w:r>
              <w:rPr>
                <w:sz w:val="15"/>
                <w:szCs w:val="15"/>
              </w:rPr>
              <w:t xml:space="preserve">No consensus was reached on functional imaging, the fastest-moving part of the field, which leaves the schedule silent on the modality most likely to change it</w:t>
            </w:r>
          </w:p>
        </w:tc>
      </w:tr>
    </w:tbl>
    <w:p>
      <w:pPr>
        <w:spacing w:after="0" w:line="276"/>
      </w:pPr>
      <w:r>
        <w:rPr>
          <w:color w:val="5A6069"/>
          <w:sz w:val="14"/>
          <w:szCs w:val="14"/>
        </w:rPr>
        <w:t xml:space="preserve">Funding: Funded by the Commonwealth Neuroendocrine Tumour Collaboration (CommNETS), which provided administrative support but had no role in design, conduct, analysis or manuscript preparation; conflict of interest disclosures: none reported.</w:t>
      </w:r>
    </w:p>
    <w:p>
      <w:pPr>
        <w:keepNext/>
        <w:spacing w:after="50" w:before="260"/>
      </w:pPr>
      <w:r>
        <w:rPr>
          <w:rFonts w:ascii="Cambria" w:cs="Cambria" w:eastAsia="Cambria" w:hAnsi="Cambria"/>
          <w:b/>
          <w:bCs/>
          <w:color w:val="17365D"/>
          <w:sz w:val="20"/>
          <w:szCs w:val="20"/>
        </w:rPr>
        <w:t xml:space="preserve">SNMMI/EANM SSTR PET</w:t>
      </w:r>
      <w:r>
        <w:rPr>
          <w:b/>
          <w:bCs/>
          <w:color w:val="176A87"/>
          <w:sz w:val="15"/>
          <w:szCs w:val="15"/>
        </w:rPr>
        <w:t xml:space="preserve">   Guideline</w:t>
      </w:r>
      <w:r>
        <w:rPr>
          <w:color w:val="5A6069"/>
          <w:sz w:val="15"/>
          <w:szCs w:val="15"/>
        </w:rPr>
        <w:t xml:space="preserve">   PMID 36725249</w:t>
      </w:r>
    </w:p>
    <w:p>
      <w:pPr>
        <w:spacing w:after="50" w:line="276"/>
      </w:pPr>
      <w:r>
        <w:rPr>
          <w:color w:val="5A6069"/>
          <w:sz w:val="17"/>
          <w:szCs w:val="17"/>
        </w:rPr>
        <w:t xml:space="preserve">SNMMI procedure standard/EANM practice guideline for SSTR PET: imaging neuroendocrine tumors.</w:t>
      </w:r>
    </w:p>
    <w:p>
      <w:pPr>
        <w:spacing w:after="70"/>
      </w:pPr>
      <w:r>
        <w:rPr>
          <w:b/>
          <w:bCs/>
          <w:color w:val="17365D"/>
          <w:sz w:val="16"/>
          <w:szCs w:val="16"/>
        </w:rPr>
        <w:t xml:space="preserve">Bottom line. </w:t>
      </w:r>
      <w:r>
        <w:rPr>
          <w:sz w:val="16"/>
          <w:szCs w:val="16"/>
        </w:rPr>
        <w:t xml:space="preserve">The authoritative technical standard for acquiring, interpreting and reporting somatostatin receptor PET, including tracer dosimetry, the modified Krenning score and the pancreatic head uptake trap - but it is consensus without evidence grading, it calls three physically unequal tracers equivalent, and it gives no guidance on whether or how to use SSTR PET in a small pancreatic lesion under surveillance.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preamble states that the standard is not an inflexible rule or requirement of practice, is not intended to establish a legal standard of care, and the societies caution against its use in litigation</w:t>
            </w:r>
          </w:p>
          <w:p>
            <w:pPr>
              <w:pStyle w:val="ListParagraph"/>
              <w:numPr>
                <w:ilvl w:val="0"/>
                <w:numId w:val="2"/>
              </w:numPr>
              <w:spacing w:after="45"/>
            </w:pPr>
            <w:r>
              <w:rPr>
                <w:sz w:val="15"/>
                <w:szCs w:val="15"/>
              </w:rPr>
              <w:t xml:space="preserve">Adherence to the standard will not ensure an accurate diagnosis or a successful outcome; all that should be expected is a reasonable course of action based on current knowledge</w:t>
            </w:r>
          </w:p>
          <w:p>
            <w:pPr>
              <w:pStyle w:val="ListParagraph"/>
              <w:numPr>
                <w:ilvl w:val="0"/>
                <w:numId w:val="2"/>
              </w:numPr>
              <w:spacing w:after="45"/>
            </w:pPr>
            <w:r>
              <w:rPr>
                <w:sz w:val="15"/>
                <w:szCs w:val="15"/>
              </w:rPr>
              <w:t xml:space="preserve">SUV measurements may not be reproducible across scanners and institutions without standardisation of imaging protocols, scanner qualification and cross-calibration, and SUV is affected by lesion size and uptake time</w:t>
            </w:r>
          </w:p>
          <w:p>
            <w:pPr>
              <w:pStyle w:val="ListParagraph"/>
              <w:numPr>
                <w:ilvl w:val="0"/>
                <w:numId w:val="2"/>
              </w:numPr>
              <w:spacing w:after="45"/>
            </w:pPr>
            <w:r>
              <w:rPr>
                <w:sz w:val="15"/>
                <w:szCs w:val="15"/>
              </w:rPr>
              <w:t xml:space="preserve">It is unclear how SSTR PET should be used for selecting patients for PRRT because NETTER-1 enrolled patients on the basis of 111In-pentetreotide rather than PET</w:t>
            </w:r>
          </w:p>
          <w:p>
            <w:pPr>
              <w:pStyle w:val="ListParagraph"/>
              <w:numPr>
                <w:ilvl w:val="0"/>
                <w:numId w:val="2"/>
              </w:numPr>
              <w:spacing w:after="45"/>
            </w:pPr>
            <w:r>
              <w:rPr>
                <w:sz w:val="15"/>
                <w:szCs w:val="15"/>
              </w:rPr>
              <w:t xml:space="preserve">It is currently unclear whether delayed imaging with 64Cu-DOTATATE offers benefit over standard times</w:t>
            </w:r>
          </w:p>
          <w:p>
            <w:pPr>
              <w:pStyle w:val="ListParagraph"/>
              <w:numPr>
                <w:ilvl w:val="0"/>
                <w:numId w:val="2"/>
              </w:numPr>
              <w:spacing w:after="45"/>
            </w:pPr>
            <w:r>
              <w:rPr>
                <w:sz w:val="15"/>
                <w:szCs w:val="15"/>
              </w:rPr>
              <w:t xml:space="preserve">It is difficult to generalise how much of 68Ga's greater positron range will affect quantification in small lesions because of the complex interplay of detector resolution, system diameter, reconstruction algorithm and spatial filtering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document asserts that the three tracers can be considered equivalent for detecting SSTR-positive disease while in the same text quantifying a 10-20% SUV underestimation for 68Ga in 10-15 mm lesions and a five-fold count deficit for 64Cu; claims of equivalence and of measurable difference sit side by side with no head-to-head outcome data resolving them, which matters most for exactly the sub-centimetre pancreatic lesion a pathway is deciding about</w:t>
            </w:r>
          </w:p>
          <w:p>
            <w:pPr>
              <w:pStyle w:val="ListParagraph"/>
              <w:numPr>
                <w:ilvl w:val="0"/>
                <w:numId w:val="2"/>
              </w:numPr>
              <w:spacing w:after="45"/>
            </w:pPr>
            <w:r>
              <w:rPr>
                <w:sz w:val="15"/>
                <w:szCs w:val="15"/>
              </w:rPr>
              <w:t xml:space="preserve">There is no systematic review, no evidence grading and no strength-of-recommendation scheme, so a prospective trial, an expert opinion and an FDA package insert carry identical typographic authority, and the package inserts are cited repeatedly as primary sources for dosing and uptake timing</w:t>
            </w:r>
          </w:p>
          <w:p>
            <w:pPr>
              <w:pStyle w:val="ListParagraph"/>
              <w:numPr>
                <w:ilvl w:val="0"/>
                <w:numId w:val="2"/>
              </w:numPr>
              <w:spacing w:after="45"/>
            </w:pPr>
            <w:r>
              <w:rPr>
                <w:sz w:val="15"/>
                <w:szCs w:val="15"/>
              </w:rPr>
              <w:t xml:space="preserve">The instruction to discontinue long-acting somatostatin analogues 3-4 weeks before imaging is carried over from the EANM guideline while the adjacent text cites prospective evidence that this is unnecessary for lanreotide - leaving the reader with two contradictory instructions and no recommendation</w:t>
            </w:r>
          </w:p>
          <w:p>
            <w:pPr>
              <w:pStyle w:val="ListParagraph"/>
              <w:numPr>
                <w:ilvl w:val="0"/>
                <w:numId w:val="2"/>
              </w:numPr>
              <w:spacing w:after="45"/>
            </w:pPr>
            <w:r>
              <w:rPr>
                <w:sz w:val="15"/>
                <w:szCs w:val="15"/>
              </w:rPr>
              <w:t xml:space="preserve">Several authors hold intellectual property or consultancy relationships with the manufacturers of the tracers being standardised - one is named in a later ENETS document as inventor/IPR holder on 64Cu-DOTATATE - and the text of this version carries no individual disclosure statement, only a blanket line that no potential conflict was reported</w:t>
            </w:r>
          </w:p>
          <w:p>
            <w:pPr>
              <w:pStyle w:val="ListParagraph"/>
              <w:numPr>
                <w:ilvl w:val="0"/>
                <w:numId w:val="2"/>
              </w:numPr>
              <w:spacing w:after="45"/>
            </w:pPr>
            <w:r>
              <w:rPr>
                <w:sz w:val="15"/>
                <w:szCs w:val="15"/>
              </w:rPr>
              <w:t xml:space="preserve">Physiological uptake in the pancreatic head and uncinate process is the single largest source of false positives for any pancreatic pathway, and the standard acknowledges that its SUVs overlap with tumour but offers no decision rule beyond correlating with MRI or multiphase CT and following up</w:t>
            </w:r>
          </w:p>
          <w:p>
            <w:pPr>
              <w:pStyle w:val="ListParagraph"/>
              <w:numPr>
                <w:ilvl w:val="0"/>
                <w:numId w:val="2"/>
              </w:numPr>
              <w:spacing w:after="45"/>
            </w:pPr>
            <w:r>
              <w:rPr>
                <w:sz w:val="15"/>
                <w:szCs w:val="15"/>
              </w:rPr>
              <w:t xml:space="preserve">The standard is silent on whether SSTR PET should be performed at all for a sub-2 cm incidental pancreatic lesion under surveillance, and silent on whether serial SSTR PET has any role in surveillance - while simultaneously warning that change in uptake must not be read as response or progression, which removes the obvious use</w:t>
            </w:r>
          </w:p>
          <w:p>
            <w:pPr>
              <w:pStyle w:val="ListParagraph"/>
              <w:numPr>
                <w:ilvl w:val="0"/>
                <w:numId w:val="2"/>
              </w:numPr>
              <w:spacing w:after="45"/>
            </w:pPr>
            <w:r>
              <w:rPr>
                <w:sz w:val="15"/>
                <w:szCs w:val="15"/>
              </w:rPr>
              <w:t xml:space="preserve">The appropriate use criteria that define the indications are cited rather than reproduced, so the document that governs when to order the test does not itself contain the indications</w:t>
            </w:r>
          </w:p>
          <w:p>
            <w:pPr>
              <w:pStyle w:val="ListParagraph"/>
              <w:numPr>
                <w:ilvl w:val="0"/>
                <w:numId w:val="2"/>
              </w:numPr>
              <w:spacing w:after="45"/>
            </w:pPr>
            <w:r>
              <w:rPr>
                <w:sz w:val="15"/>
                <w:szCs w:val="15"/>
              </w:rPr>
              <w:t xml:space="preserve">Dosimetry is tabulated from four separate historical publications of varying vintage and method and presented as a single comparative table</w:t>
            </w:r>
          </w:p>
        </w:tc>
      </w:tr>
    </w:tbl>
    <w:p>
      <w:pPr>
        <w:keepNext/>
        <w:spacing w:after="50" w:before="260"/>
      </w:pPr>
      <w:r>
        <w:rPr>
          <w:rFonts w:ascii="Cambria" w:cs="Cambria" w:eastAsia="Cambria" w:hAnsi="Cambria"/>
          <w:b/>
          <w:bCs/>
          <w:color w:val="17365D"/>
          <w:sz w:val="20"/>
          <w:szCs w:val="20"/>
        </w:rPr>
        <w:t xml:space="preserve">Tang 2016</w:t>
      </w:r>
      <w:r>
        <w:rPr>
          <w:b/>
          <w:bCs/>
          <w:color w:val="176A87"/>
          <w:sz w:val="15"/>
          <w:szCs w:val="15"/>
        </w:rPr>
        <w:t xml:space="preserve">   Retrospective cohort</w:t>
      </w:r>
      <w:r>
        <w:rPr>
          <w:color w:val="5A6069"/>
          <w:sz w:val="15"/>
          <w:szCs w:val="15"/>
        </w:rPr>
        <w:t xml:space="preserve">   PMID 26482044</w:t>
      </w:r>
    </w:p>
    <w:p>
      <w:pPr>
        <w:spacing w:after="50" w:line="276"/>
      </w:pPr>
      <w:r>
        <w:rPr>
          <w:color w:val="5A6069"/>
          <w:sz w:val="17"/>
          <w:szCs w:val="17"/>
        </w:rPr>
        <w:t xml:space="preserve">Well-differentiated neuroendocrine tumors with a morphologically apparent high-grade component: a pathway distinct from poorly differentiated neuroendocrine carcinomas.</w:t>
      </w:r>
    </w:p>
    <w:p>
      <w:pPr>
        <w:spacing w:after="50"/>
      </w:pPr>
      <w:r>
        <w:rPr>
          <w:b/>
          <w:bCs/>
          <w:color w:val="176A87"/>
          <w:sz w:val="16"/>
          <w:szCs w:val="16"/>
        </w:rPr>
        <w:t xml:space="preserve">Population. </w:t>
      </w:r>
      <w:r>
        <w:rPr>
          <w:sz w:val="16"/>
          <w:szCs w:val="16"/>
        </w:rPr>
        <w:t xml:space="preserve">31 WD-NET with a high-grade component (21 pancreatic), compared with 329 low/intermediate-grade pancreatic WD-NET and 35 pancreatic PD-NEC</w:t>
      </w:r>
    </w:p>
    <w:p>
      <w:pPr>
        <w:spacing w:after="70"/>
      </w:pPr>
      <w:r>
        <w:rPr>
          <w:b/>
          <w:bCs/>
          <w:color w:val="17365D"/>
          <w:sz w:val="16"/>
          <w:szCs w:val="16"/>
        </w:rPr>
        <w:t xml:space="preserve">Bottom line. </w:t>
      </w:r>
      <w:r>
        <w:rPr>
          <w:sz w:val="16"/>
          <w:szCs w:val="16"/>
        </w:rPr>
        <w:t xml:space="preserve">Well-differentiated neuroendocrine tumours can contain a high-grade component that crosses the WHO G3 threshold while keeping the immunophenotype, DAXX/ATRX/MEN1 genotype and intermediate prognosis of a WD-NET rather than the Rb-deficient, p53-mutant, 16-month course of a true poorly differentiated carcinoma - an argument for splitting the G3 category, built on 31 archive-selected cases and four sequenced tumours.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20% volume cut-off defining the high-grade component was chosen arbitrarily to ensure both components were sufficiently represented, with no biological basis for the cut-point, as the authors state explicitly</w:t>
            </w:r>
          </w:p>
          <w:p>
            <w:pPr>
              <w:pStyle w:val="ListParagraph"/>
              <w:numPr>
                <w:ilvl w:val="0"/>
                <w:numId w:val="2"/>
              </w:numPr>
              <w:spacing w:after="45"/>
            </w:pPr>
            <w:r>
              <w:rPr>
                <w:sz w:val="15"/>
                <w:szCs w:val="15"/>
              </w:rPr>
              <w:t xml:space="preserve">A minimal mitotic rate for the high-grade regions was not specified, although all cases had more than 10 per 10 HPF</w:t>
            </w:r>
          </w:p>
          <w:p>
            <w:pPr>
              <w:pStyle w:val="ListParagraph"/>
              <w:numPr>
                <w:ilvl w:val="0"/>
                <w:numId w:val="2"/>
              </w:numPr>
              <w:spacing w:after="45"/>
            </w:pPr>
            <w:r>
              <w:rPr>
                <w:sz w:val="15"/>
                <w:szCs w:val="15"/>
              </w:rPr>
              <w:t xml:space="preserve">When high-grade features appear in a small biopsy without the lower-grade component, morphological evidence of grade progression is difficult to assess and the diagnosis depends on prior clinical history</w:t>
            </w:r>
          </w:p>
          <w:p>
            <w:pPr>
              <w:pStyle w:val="ListParagraph"/>
              <w:numPr>
                <w:ilvl w:val="0"/>
                <w:numId w:val="2"/>
              </w:numPr>
              <w:spacing w:after="45"/>
            </w:pPr>
            <w:r>
              <w:rPr>
                <w:sz w:val="15"/>
                <w:szCs w:val="15"/>
              </w:rPr>
              <w:t xml:space="preserve">TP53 mutational analysis was not performed; p53 immunoreactivity was used as a surrogate</w:t>
            </w:r>
          </w:p>
          <w:p>
            <w:pPr>
              <w:pStyle w:val="ListParagraph"/>
              <w:numPr>
                <w:ilvl w:val="0"/>
                <w:numId w:val="2"/>
              </w:numPr>
              <w:spacing w:after="45"/>
            </w:pPr>
            <w:r>
              <w:rPr>
                <w:sz w:val="15"/>
                <w:szCs w:val="15"/>
              </w:rPr>
              <w:t xml:space="preserve">In the absence of a lower-grade counterpart the high-grade component can be morphologically indistinguishable from a large-cell PD-NEC, which matters for biopsy interpretation, and absence of gene mutations or altered protein expression would not resolve it</w:t>
            </w:r>
          </w:p>
          <w:p>
            <w:pPr>
              <w:pStyle w:val="ListParagraph"/>
              <w:numPr>
                <w:ilvl w:val="0"/>
                <w:numId w:val="2"/>
              </w:numPr>
              <w:spacing w:after="45"/>
            </w:pPr>
            <w:r>
              <w:rPr>
                <w:sz w:val="15"/>
                <w:szCs w:val="15"/>
              </w:rPr>
              <w:t xml:space="preserve">The explanation for high-grade regions - neoplastic progression versus epigenetic variation or multiclonality - remains open and requires ongoing genomic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31 cases were assembled by searching two pathology archives for grade discrepancy, which selects for the very phenomenon being described; the design cannot estimate how often high-grade transformation occurs, and the paper does not say how many WD-NET were screened to find them</w:t>
            </w:r>
          </w:p>
          <w:p>
            <w:pPr>
              <w:pStyle w:val="ListParagraph"/>
              <w:numPr>
                <w:ilvl w:val="0"/>
                <w:numId w:val="2"/>
              </w:numPr>
              <w:spacing w:after="45"/>
            </w:pPr>
            <w:r>
              <w:rPr>
                <w:sz w:val="15"/>
                <w:szCs w:val="15"/>
              </w:rPr>
              <w:t xml:space="preserve">The genotype claim that distinguishes these tumours from PD-NEC rests on four sequenced pancreatic cases, and the PD-NEC comparator genotypes are imported from a previously published series rather than run in parallel, so the key molecular contrast is between four prospectively sequenced tumours and a literature control</w:t>
            </w:r>
          </w:p>
          <w:p>
            <w:pPr>
              <w:pStyle w:val="ListParagraph"/>
              <w:numPr>
                <w:ilvl w:val="0"/>
                <w:numId w:val="2"/>
              </w:numPr>
              <w:spacing w:after="45"/>
            </w:pPr>
            <w:r>
              <w:rPr>
                <w:sz w:val="15"/>
                <w:szCs w:val="15"/>
              </w:rPr>
              <w:t xml:space="preserve">Survival is compared against historical institutional cohorts of 329 and 35 patients spanning different eras, treatments and staging practices, with no matching other than the single stage IV analysis</w:t>
            </w:r>
          </w:p>
          <w:p>
            <w:pPr>
              <w:pStyle w:val="ListParagraph"/>
              <w:numPr>
                <w:ilvl w:val="0"/>
                <w:numId w:val="2"/>
              </w:numPr>
              <w:spacing w:after="45"/>
            </w:pPr>
            <w:r>
              <w:rPr>
                <w:sz w:val="15"/>
                <w:szCs w:val="15"/>
              </w:rPr>
              <w:t xml:space="preserve">That stage-matched analysis is the result most corrosive to the paper's own premise - transformed tumours did no worse than grade 1-2 WD-NET once stage was accounted for - yet the abstract leads with the unmatched 55 versus 162 month comparison and calls the high-grade component associated with unfavourable outcome</w:t>
            </w:r>
          </w:p>
          <w:p>
            <w:pPr>
              <w:pStyle w:val="ListParagraph"/>
              <w:numPr>
                <w:ilvl w:val="0"/>
                <w:numId w:val="2"/>
              </w:numPr>
              <w:spacing w:after="45"/>
            </w:pPr>
            <w:r>
              <w:rPr>
                <w:sz w:val="15"/>
                <w:szCs w:val="15"/>
              </w:rPr>
              <w:t xml:space="preserve">Six of 31 cases are biopsies only, so the defining feature of the entity, a coexisting lower-grade component, was inferred from clinical history rather than observed in those patients</w:t>
            </w:r>
          </w:p>
          <w:p>
            <w:pPr>
              <w:pStyle w:val="ListParagraph"/>
              <w:numPr>
                <w:ilvl w:val="0"/>
                <w:numId w:val="2"/>
              </w:numPr>
              <w:spacing w:after="45"/>
            </w:pPr>
            <w:r>
              <w:rPr>
                <w:sz w:val="15"/>
                <w:szCs w:val="15"/>
              </w:rPr>
              <w:t xml:space="preserve">FDG positivity in 10 of 10 comes from 10 patients selected for scanning, and the mean SUV of 2.9 is low, so the imaging phenotype is derived from a convenience sample</w:t>
            </w:r>
          </w:p>
          <w:p>
            <w:pPr>
              <w:pStyle w:val="ListParagraph"/>
              <w:numPr>
                <w:ilvl w:val="0"/>
                <w:numId w:val="2"/>
              </w:numPr>
              <w:spacing w:after="45"/>
            </w:pPr>
            <w:r>
              <w:rPr>
                <w:sz w:val="15"/>
                <w:szCs w:val="15"/>
              </w:rPr>
              <w:t xml:space="preserve">Chemotherapy outcomes pool regimens, treatment lines, adjuvant and palliative intent and four primary sites across 21 patients, which cannot support the inference that platinum confers no long-term benefit</w:t>
            </w:r>
          </w:p>
          <w:p>
            <w:pPr>
              <w:pStyle w:val="ListParagraph"/>
              <w:numPr>
                <w:ilvl w:val="0"/>
                <w:numId w:val="2"/>
              </w:numPr>
              <w:spacing w:after="45"/>
            </w:pPr>
            <w:r>
              <w:rPr>
                <w:sz w:val="15"/>
                <w:szCs w:val="15"/>
              </w:rPr>
              <w:t xml:space="preserve">Ten of 31 cases are non-pancreatic, and the pancreatic subgroup that carries the survival and genotype analysis is 21 patients</w:t>
            </w:r>
          </w:p>
        </w:tc>
      </w:tr>
    </w:tbl>
    <w:p>
      <w:pPr>
        <w:spacing w:after="0" w:line="276"/>
      </w:pPr>
      <w:r>
        <w:rPr>
          <w:color w:val="5A6069"/>
          <w:sz w:val="14"/>
          <w:szCs w:val="14"/>
        </w:rPr>
        <w:t xml:space="preserve">Funding: Partially supported by the Raymond and Beverley Sackler's Research Foundation and the Mushett Family Foundation. D.S. Klimstra reports speakers bureau honoraria from Novartis and is a consultant or advisory board member for Ipsen and Wren Labs.</w:t>
      </w:r>
    </w:p>
    <w:p>
      <w:pPr>
        <w:keepNext/>
        <w:spacing w:after="50" w:before="260"/>
      </w:pPr>
      <w:r>
        <w:rPr>
          <w:rFonts w:ascii="Cambria" w:cs="Cambria" w:eastAsia="Cambria" w:hAnsi="Cambria"/>
          <w:b/>
          <w:bCs/>
          <w:color w:val="17365D"/>
          <w:sz w:val="20"/>
          <w:szCs w:val="20"/>
        </w:rPr>
        <w:t xml:space="preserve">Triponez 2006</w:t>
      </w:r>
      <w:r>
        <w:rPr>
          <w:b/>
          <w:bCs/>
          <w:color w:val="176A87"/>
          <w:sz w:val="15"/>
          <w:szCs w:val="15"/>
        </w:rPr>
        <w:t xml:space="preserve">   Registry study</w:t>
      </w:r>
      <w:r>
        <w:rPr>
          <w:color w:val="5A6069"/>
          <w:sz w:val="15"/>
          <w:szCs w:val="15"/>
        </w:rPr>
        <w:t xml:space="preserve">   PMID 16432361</w:t>
      </w:r>
    </w:p>
    <w:p>
      <w:pPr>
        <w:spacing w:after="50" w:line="276"/>
      </w:pPr>
      <w:r>
        <w:rPr>
          <w:color w:val="5A6069"/>
          <w:sz w:val="17"/>
          <w:szCs w:val="17"/>
        </w:rPr>
        <w:t xml:space="preserve">Epidemiology data on 108 MEN 1 patients from the GTE with isolated nonfunctioning tumors of the pancreas.</w:t>
      </w:r>
    </w:p>
    <w:p>
      <w:pPr>
        <w:spacing w:after="50"/>
      </w:pPr>
      <w:r>
        <w:rPr>
          <w:b/>
          <w:bCs/>
          <w:color w:val="176A87"/>
          <w:sz w:val="16"/>
          <w:szCs w:val="16"/>
        </w:rPr>
        <w:t xml:space="preserve">Population. </w:t>
      </w:r>
      <w:r>
        <w:rPr>
          <w:sz w:val="16"/>
          <w:szCs w:val="16"/>
        </w:rPr>
        <w:t xml:space="preserve">108 MEN1 patients with isolated nonfunctioning pancreatic tumours, drawn from 579 registered MEN1 patients</w:t>
      </w:r>
    </w:p>
    <w:p>
      <w:pPr>
        <w:spacing w:after="70"/>
      </w:pPr>
      <w:r>
        <w:rPr>
          <w:b/>
          <w:bCs/>
          <w:color w:val="17365D"/>
          <w:sz w:val="16"/>
          <w:szCs w:val="16"/>
        </w:rPr>
        <w:t xml:space="preserve">Bottom line. </w:t>
      </w:r>
      <w:r>
        <w:rPr>
          <w:sz w:val="16"/>
          <w:szCs w:val="16"/>
        </w:rPr>
        <w:t xml:space="preserve">In the largest population-based MEN1 series, nonfunctioning pancreatic tumours are the commonest pancreaticoduodenal lesion, reach 34% penetrance by age 50 and shorten life expectancy by about nine years, with metastasis rising from 4% below 10 mm to 43% above 30 mm - the basis for not operating below 20 mm, although that specific threshold rests on single-digit event counts, imaging-defined metastasis and 4 years of follow-up.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There is wide overlap in tumour size between patients who had curative surgery and those who did not - one patient with an 8 mm tumour was resected while a patient with a 30 mm tumour and no metastasis was not - so the two groups are probably not comparable</w:t>
            </w:r>
          </w:p>
          <w:p>
            <w:pPr>
              <w:pStyle w:val="ListParagraph"/>
              <w:numPr>
                <w:ilvl w:val="0"/>
                <w:numId w:val="2"/>
              </w:numPr>
              <w:spacing w:after="45"/>
            </w:pPr>
            <w:r>
              <w:rPr>
                <w:sz w:val="15"/>
                <w:szCs w:val="15"/>
              </w:rPr>
              <w:t xml:space="preserve">Follow-up duration differed between the groups and patients were not randomly assigned to conservative or aggressive treatment</w:t>
            </w:r>
          </w:p>
          <w:p>
            <w:pPr>
              <w:pStyle w:val="ListParagraph"/>
              <w:numPr>
                <w:ilvl w:val="0"/>
                <w:numId w:val="2"/>
              </w:numPr>
              <w:spacing w:after="45"/>
            </w:pPr>
            <w:r>
              <w:rPr>
                <w:sz w:val="15"/>
                <w:szCs w:val="15"/>
              </w:rPr>
              <w:t xml:space="preserve">Classification of surgery as curative or non-curative was made retrospectively from intraoperative findings rather than on an intention-to-treat basis, which probably overestimates survival after curative surgery</w:t>
            </w:r>
          </w:p>
          <w:p>
            <w:pPr>
              <w:pStyle w:val="ListParagraph"/>
              <w:numPr>
                <w:ilvl w:val="0"/>
                <w:numId w:val="2"/>
              </w:numPr>
              <w:spacing w:after="45"/>
            </w:pPr>
            <w:r>
              <w:rPr>
                <w:sz w:val="15"/>
                <w:szCs w:val="15"/>
              </w:rPr>
              <w:t xml:space="preserve">The actual metastasis rate may be underestimated because only 40% had an operation and 60% of metastases were identified by imaging alone; CT has low sensitivity for small pancreatic tumours and metastases in MEN1, and a cited study found 26% of patients with radiographically demonstrated lesions had preoperatively unidentified metastases at operation</w:t>
            </w:r>
          </w:p>
          <w:p>
            <w:pPr>
              <w:pStyle w:val="ListParagraph"/>
              <w:numPr>
                <w:ilvl w:val="0"/>
                <w:numId w:val="2"/>
              </w:numPr>
              <w:spacing w:after="45"/>
            </w:pPr>
            <w:r>
              <w:rPr>
                <w:sz w:val="15"/>
                <w:szCs w:val="15"/>
              </w:rPr>
              <w:t xml:space="preserve">Because follow-up after diagnosis was relatively short, the rate of growth could not be predicted and the rate at which tumours migrate from one size group to another could not be evaluated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20 mm threshold the paper recommends is inferred from a metastasis gradient whose lowest two strata are 1 of 25 and 4 of 40 patients - rates whose confidence intervals overlap entirely - and the authors themselves report that survival in the 11-30 mm band was only slightly and non-significantly worse than at 10 mm or less, so the data support 'larger is worse' but not the specific cut point that subsequently entered international guidelines</w:t>
            </w:r>
          </w:p>
          <w:p>
            <w:pPr>
              <w:pStyle w:val="ListParagraph"/>
              <w:numPr>
                <w:ilvl w:val="0"/>
                <w:numId w:val="2"/>
              </w:numPr>
              <w:spacing w:after="45"/>
            </w:pPr>
            <w:r>
              <w:rPr>
                <w:sz w:val="15"/>
                <w:szCs w:val="15"/>
              </w:rPr>
              <w:t xml:space="preserve">The cohort spans 1956 to 2003 with prospective registration only from 1997, and the authors use the post-1997 subset for penetrance while using the whole cohort for metastasis and survival, so the two central estimates come from different populations imaged with different technology</w:t>
            </w:r>
          </w:p>
          <w:p>
            <w:pPr>
              <w:pStyle w:val="ListParagraph"/>
              <w:numPr>
                <w:ilvl w:val="0"/>
                <w:numId w:val="2"/>
              </w:numPr>
              <w:spacing w:after="45"/>
            </w:pPr>
            <w:r>
              <w:rPr>
                <w:sz w:val="15"/>
                <w:szCs w:val="15"/>
              </w:rPr>
              <w:t xml:space="preserve">Metastasis was imaging-defined in 60% of cases, and the authors cite evidence that a quarter of radiographically node-negative MEN1 patients have occult metastases at operation - which means the risk being weighed against the morbidity of surgery is systematically understated in the same analysis that recommends against surgery</w:t>
            </w:r>
          </w:p>
          <w:p>
            <w:pPr>
              <w:pStyle w:val="ListParagraph"/>
              <w:numPr>
                <w:ilvl w:val="0"/>
                <w:numId w:val="2"/>
              </w:numPr>
              <w:spacing w:after="45"/>
            </w:pPr>
            <w:r>
              <w:rPr>
                <w:sz w:val="15"/>
                <w:szCs w:val="15"/>
              </w:rPr>
              <w:t xml:space="preserve">Mean follow-up after diagnosis is 4.3 years in a disease whose victims die at a mean age of 43, so most of the hazard being adjudicated lies beyond the observation window; the 8-year survival estimates in the metastatic group have confidence intervals from 6% to 62%</w:t>
            </w:r>
          </w:p>
          <w:p>
            <w:pPr>
              <w:pStyle w:val="ListParagraph"/>
              <w:numPr>
                <w:ilvl w:val="0"/>
                <w:numId w:val="2"/>
              </w:numPr>
              <w:spacing w:after="45"/>
            </w:pPr>
            <w:r>
              <w:rPr>
                <w:sz w:val="15"/>
                <w:szCs w:val="15"/>
              </w:rPr>
              <w:t xml:space="preserve">The mortality argument is partly circular: life expectancy with a nonfunctioning tumour is compared against MEN1 patients without any pancreatic tumour, who differ systematically in age at diagnosis, screening intensity and era, and who by definition lack the lesion that defines the comparison</w:t>
            </w:r>
          </w:p>
          <w:p>
            <w:pPr>
              <w:pStyle w:val="ListParagraph"/>
              <w:numPr>
                <w:ilvl w:val="0"/>
                <w:numId w:val="2"/>
              </w:numPr>
              <w:spacing w:after="45"/>
            </w:pPr>
            <w:r>
              <w:rPr>
                <w:sz w:val="15"/>
                <w:szCs w:val="15"/>
              </w:rPr>
              <w:t xml:space="preserve">In MEN1 the pancreas carries a field defect with a mean of 2.9 tumours per patient, so a size threshold applied to the largest lesion ignores the remaining disease, and the authors' own data show 2 of 32 curatively resected patients needed reoperation for new tumours within 6 years</w:t>
            </w:r>
          </w:p>
          <w:p>
            <w:pPr>
              <w:pStyle w:val="ListParagraph"/>
              <w:numPr>
                <w:ilvl w:val="0"/>
                <w:numId w:val="2"/>
              </w:numPr>
              <w:spacing w:after="45"/>
            </w:pPr>
            <w:r>
              <w:rPr>
                <w:sz w:val="15"/>
                <w:szCs w:val="15"/>
              </w:rPr>
              <w:t xml:space="preserve">Thirty-two curatively operated patients and 66 unoperated patients with non-significant differences in metastasis, progression and death is an underpowered null, not evidence of equivalence; no power calculation or equivalence margin is offered</w:t>
            </w:r>
          </w:p>
        </w:tc>
      </w:tr>
    </w:tbl>
    <w:p>
      <w:pPr>
        <w:spacing w:after="0" w:line="276"/>
      </w:pPr>
      <w:r>
        <w:rPr>
          <w:color w:val="5A6069"/>
          <w:sz w:val="14"/>
          <w:szCs w:val="14"/>
        </w:rPr>
        <w:t xml:space="preserve">Funding: Supported in part by a grant from the University Hospital of Geneva, Switzerland, to F. Triponez.</w:t>
      </w:r>
    </w:p>
    <w:p>
      <w:pPr>
        <w:keepNext/>
        <w:spacing w:after="50" w:before="260"/>
      </w:pPr>
      <w:r>
        <w:rPr>
          <w:rFonts w:ascii="Cambria" w:cs="Cambria" w:eastAsia="Cambria" w:hAnsi="Cambria"/>
          <w:b/>
          <w:bCs/>
          <w:color w:val="17365D"/>
          <w:sz w:val="20"/>
          <w:szCs w:val="20"/>
        </w:rPr>
        <w:t xml:space="preserve">Weynand 2014</w:t>
      </w:r>
      <w:r>
        <w:rPr>
          <w:b/>
          <w:bCs/>
          <w:color w:val="176A87"/>
          <w:sz w:val="15"/>
          <w:szCs w:val="15"/>
        </w:rPr>
        <w:t xml:space="preserve">   Retrospective cohort</w:t>
      </w:r>
      <w:r>
        <w:rPr>
          <w:color w:val="5A6069"/>
          <w:sz w:val="15"/>
          <w:szCs w:val="15"/>
        </w:rPr>
        <w:t xml:space="preserve">   PMID 24750272</w:t>
      </w:r>
    </w:p>
    <w:p>
      <w:pPr>
        <w:spacing w:after="50" w:line="276"/>
      </w:pPr>
      <w:r>
        <w:rPr>
          <w:color w:val="5A6069"/>
          <w:sz w:val="17"/>
          <w:szCs w:val="17"/>
        </w:rPr>
        <w:t xml:space="preserve">Pancreatic neuroendocrine tumour grading on endoscopic ultrasound-guided fine needle aspiration: high reproducibility and inter-observer agreement of the Ki-67 labelling index.</w:t>
      </w:r>
    </w:p>
    <w:p>
      <w:pPr>
        <w:spacing w:after="50"/>
      </w:pPr>
      <w:r>
        <w:rPr>
          <w:b/>
          <w:bCs/>
          <w:color w:val="176A87"/>
          <w:sz w:val="16"/>
          <w:szCs w:val="16"/>
        </w:rPr>
        <w:t xml:space="preserve">Population. </w:t>
      </w:r>
      <w:r>
        <w:rPr>
          <w:sz w:val="16"/>
          <w:szCs w:val="16"/>
        </w:rPr>
        <w:t xml:space="preserve">46 pNETs in 45 patients; 33 tumours in 32 patients resected and available for histological comparison</w:t>
      </w:r>
    </w:p>
    <w:p>
      <w:pPr>
        <w:spacing w:after="70"/>
      </w:pPr>
      <w:r>
        <w:rPr>
          <w:b/>
          <w:bCs/>
          <w:color w:val="17365D"/>
          <w:sz w:val="16"/>
          <w:szCs w:val="16"/>
        </w:rPr>
        <w:t xml:space="preserve">Bottom line. </w:t>
      </w:r>
      <w:r>
        <w:rPr>
          <w:sz w:val="16"/>
          <w:szCs w:val="16"/>
        </w:rPr>
        <w:t xml:space="preserve">EUS-FNA Ki-67 is highly reproducible between readers and a cytological G3 result reliably marks aggressive disease, but it under-grades G2 tumours in about 70% of cases, so a low cytological Ki-67 cannot be used to certify a small pancreatic NET as low grade.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Cytology tends to underestimate the grade obtained on the resection specimen, so a low cytological Ki-67 should not be taken as proof of a low-grade tumour</w:t>
            </w:r>
          </w:p>
          <w:p>
            <w:pPr>
              <w:pStyle w:val="ListParagraph"/>
              <w:numPr>
                <w:ilvl w:val="0"/>
                <w:numId w:val="2"/>
              </w:numPr>
              <w:spacing w:after="45"/>
            </w:pPr>
            <w:r>
              <w:rPr>
                <w:sz w:val="15"/>
                <w:szCs w:val="15"/>
              </w:rPr>
              <w:t xml:space="preserve">EUS-FNA cellularity is variable and the needle may not sample the most mitotically active region, which the authors attribute to genuine intratumoural heterogeneity of proliferation</w:t>
            </w:r>
          </w:p>
          <w:p>
            <w:pPr>
              <w:pStyle w:val="ListParagraph"/>
              <w:numPr>
                <w:ilvl w:val="0"/>
                <w:numId w:val="2"/>
              </w:numPr>
              <w:spacing w:after="45"/>
            </w:pPr>
            <w:r>
              <w:rPr>
                <w:sz w:val="15"/>
                <w:szCs w:val="15"/>
              </w:rPr>
              <w:t xml:space="preserve">Only one resected tumour was cytological G3, which weakens the survival separation at the top of the scale</w:t>
            </w:r>
          </w:p>
          <w:p>
            <w:pPr>
              <w:pStyle w:val="ListParagraph"/>
              <w:numPr>
                <w:ilvl w:val="0"/>
                <w:numId w:val="2"/>
              </w:numPr>
              <w:spacing w:after="45"/>
            </w:pPr>
            <w:r>
              <w:rPr>
                <w:sz w:val="15"/>
                <w:szCs w:val="15"/>
              </w:rPr>
              <w:t xml:space="preserve">Neither a 2% nor a 5% cytological cut-off gave acceptable correlation with histological grade</w:t>
            </w:r>
          </w:p>
          <w:p>
            <w:pPr>
              <w:pStyle w:val="ListParagraph"/>
              <w:numPr>
                <w:ilvl w:val="0"/>
                <w:numId w:val="2"/>
              </w:numPr>
              <w:spacing w:after="45"/>
            </w:pPr>
            <w:r>
              <w:rPr>
                <w:sz w:val="15"/>
                <w:szCs w:val="15"/>
              </w:rPr>
              <w:t xml:space="preserve">Identifying that counted cells are genuinely neuroendocrine is difficult on dispersed cytological material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title advertises 'high reproducibility and inter-observer agreement', which is true only of two readers scoring the same slide; the clinically relevant question - does cytology predict resection grade - returned a kappa of 0.21 that the authors themselves call very low, and that result is not in the title</w:t>
            </w:r>
          </w:p>
          <w:p>
            <w:pPr>
              <w:pStyle w:val="ListParagraph"/>
              <w:numPr>
                <w:ilvl w:val="0"/>
                <w:numId w:val="2"/>
              </w:numPr>
              <w:spacing w:after="45"/>
            </w:pPr>
            <w:r>
              <w:rPr>
                <w:sz w:val="15"/>
                <w:szCs w:val="15"/>
              </w:rPr>
              <w:t xml:space="preserve">The concordance analysis can only include the 33 resected tumours, so the denominator is a resected population and nothing here tells you how cytology performs in the small lesions actually being watched</w:t>
            </w:r>
          </w:p>
          <w:p>
            <w:pPr>
              <w:pStyle w:val="ListParagraph"/>
              <w:numPr>
                <w:ilvl w:val="0"/>
                <w:numId w:val="2"/>
              </w:numPr>
              <w:spacing w:after="45"/>
            </w:pPr>
            <w:r>
              <w:rPr>
                <w:sz w:val="15"/>
                <w:szCs w:val="15"/>
              </w:rPr>
              <w:t xml:space="preserve">PFS was calculated 'independently from surgery', mixing resected and unresected patients in the same curves, so the cytological grade effect is confounded by whether the tumour was removed</w:t>
            </w:r>
          </w:p>
          <w:p>
            <w:pPr>
              <w:pStyle w:val="ListParagraph"/>
              <w:numPr>
                <w:ilvl w:val="0"/>
                <w:numId w:val="2"/>
              </w:numPr>
              <w:spacing w:after="45"/>
            </w:pPr>
            <w:r>
              <w:rPr>
                <w:sz w:val="15"/>
                <w:szCs w:val="15"/>
              </w:rPr>
              <w:t xml:space="preserve">The cG3 group that drives the significant PFS separation consists of 4 patients, all of whom the authors state were locally advanced, node-positive or metastatic at diagnosis, so cytological G3 may be a marker of stage rather than an independent grading achievement</w:t>
            </w:r>
          </w:p>
          <w:p>
            <w:pPr>
              <w:pStyle w:val="ListParagraph"/>
              <w:numPr>
                <w:ilvl w:val="0"/>
                <w:numId w:val="2"/>
              </w:numPr>
              <w:spacing w:after="45"/>
            </w:pPr>
            <w:r>
              <w:rPr>
                <w:sz w:val="15"/>
                <w:szCs w:val="15"/>
              </w:rPr>
              <w:t xml:space="preserve">The second cytology reader was a gastroenterologist, not a pathologist, while the histology arm used two pathologists, so the two inter-observer coefficients are not comparable</w:t>
            </w:r>
          </w:p>
          <w:p>
            <w:pPr>
              <w:pStyle w:val="ListParagraph"/>
              <w:numPr>
                <w:ilvl w:val="0"/>
                <w:numId w:val="2"/>
              </w:numPr>
              <w:spacing w:after="45"/>
            </w:pPr>
            <w:r>
              <w:rPr>
                <w:sz w:val="15"/>
                <w:szCs w:val="15"/>
              </w:rPr>
              <w:t xml:space="preserve">Fourteen years of accrual spans the 2000, 2004 and 2010 WHO classifications; the cases were retrospectively reclassified to WHO 2010 without re-review of the original diagnostic material</w:t>
            </w:r>
          </w:p>
          <w:p>
            <w:pPr>
              <w:pStyle w:val="ListParagraph"/>
              <w:numPr>
                <w:ilvl w:val="0"/>
                <w:numId w:val="2"/>
              </w:numPr>
              <w:spacing w:after="45"/>
            </w:pPr>
            <w:r>
              <w:rPr>
                <w:sz w:val="15"/>
                <w:szCs w:val="15"/>
              </w:rPr>
              <w:t xml:space="preserve">No adjustment for multiple comparisons across several cut-offs, subgroups and endpoints in 46 tumours</w:t>
            </w:r>
          </w:p>
        </w:tc>
      </w:tr>
    </w:tbl>
    <w:p>
      <w:pPr>
        <w:keepNext/>
        <w:spacing w:after="50" w:before="260"/>
      </w:pPr>
      <w:r>
        <w:rPr>
          <w:rFonts w:ascii="Cambria" w:cs="Cambria" w:eastAsia="Cambria" w:hAnsi="Cambria"/>
          <w:b/>
          <w:bCs/>
          <w:color w:val="17365D"/>
          <w:sz w:val="20"/>
          <w:szCs w:val="20"/>
        </w:rPr>
        <w:t xml:space="preserve">Wild 2021 GLP-1R review</w:t>
      </w:r>
      <w:r>
        <w:rPr>
          <w:b/>
          <w:bCs/>
          <w:color w:val="176A87"/>
          <w:sz w:val="15"/>
          <w:szCs w:val="15"/>
        </w:rPr>
        <w:t xml:space="preserve">   Review</w:t>
      </w:r>
      <w:r>
        <w:rPr>
          <w:color w:val="5A6069"/>
          <w:sz w:val="15"/>
          <w:szCs w:val="15"/>
        </w:rPr>
        <w:t xml:space="preserve">   PMID 34230073</w:t>
      </w:r>
    </w:p>
    <w:p>
      <w:pPr>
        <w:spacing w:after="50" w:line="276"/>
      </w:pPr>
      <w:r>
        <w:rPr>
          <w:color w:val="5A6069"/>
          <w:sz w:val="17"/>
          <w:szCs w:val="17"/>
        </w:rPr>
        <w:t xml:space="preserve">Glucagon-like peptide-1 receptor as emerging target: will it make it to the clinic?</w:t>
      </w:r>
    </w:p>
    <w:p>
      <w:pPr>
        <w:spacing w:after="70"/>
      </w:pPr>
      <w:r>
        <w:rPr>
          <w:b/>
          <w:bCs/>
          <w:color w:val="17365D"/>
          <w:sz w:val="16"/>
          <w:szCs w:val="16"/>
        </w:rPr>
        <w:t xml:space="preserve">Bottom line. </w:t>
      </w:r>
      <w:r>
        <w:rPr>
          <w:sz w:val="16"/>
          <w:szCs w:val="16"/>
        </w:rPr>
        <w:t xml:space="preserve">A useful map of GLP-1 receptor biology and of exendin tracer performance for occult benign insulinoma and adult nesidioblastosis, but it is an unsystematic review by the tracer's developers whose comparative sensitivity table mixes incommensurable studies, and it says nothing about non-functioning pancreatic NET.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main limitation the authors give is availability: GLP-1R imaging is not yet authorised for routine clinical use</w:t>
            </w:r>
          </w:p>
          <w:p>
            <w:pPr>
              <w:pStyle w:val="ListParagraph"/>
              <w:numPr>
                <w:ilvl w:val="0"/>
                <w:numId w:val="2"/>
              </w:numPr>
              <w:spacing w:after="45"/>
            </w:pPr>
            <w:r>
              <w:rPr>
                <w:sz w:val="15"/>
                <w:szCs w:val="15"/>
              </w:rPr>
              <w:t xml:space="preserve">High and persistent kidney uptake of radiometal-labelled exendin restricts therapeutic use and raises pancreatic background</w:t>
            </w:r>
          </w:p>
          <w:p>
            <w:pPr>
              <w:pStyle w:val="ListParagraph"/>
              <w:numPr>
                <w:ilvl w:val="0"/>
                <w:numId w:val="2"/>
              </w:numPr>
              <w:spacing w:after="45"/>
            </w:pPr>
            <w:r>
              <w:rPr>
                <w:sz w:val="15"/>
                <w:szCs w:val="15"/>
              </w:rPr>
              <w:t xml:space="preserve">Quantification of beta-cell mass showed marked differences only in established type 1 diabetes, so GLP-1R imaging may not detect submaximal changes</w:t>
            </w:r>
          </w:p>
          <w:p>
            <w:pPr>
              <w:pStyle w:val="ListParagraph"/>
              <w:numPr>
                <w:ilvl w:val="0"/>
                <w:numId w:val="2"/>
              </w:numPr>
              <w:spacing w:after="45"/>
            </w:pPr>
            <w:r>
              <w:rPr>
                <w:sz w:val="15"/>
                <w:szCs w:val="15"/>
              </w:rPr>
              <w:t xml:space="preserve">Evidence for comparator tracers is called scarce and controversial, and no prospective head-to-head comparison with 18F-DOPA PET/CT has been done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narrative review by the group that developed, labelled and clinically validated the tracer, published in a supplement, and the comparative sensitivity table is substantially assembled from their own prospective studies</w:t>
            </w:r>
          </w:p>
          <w:p>
            <w:pPr>
              <w:pStyle w:val="ListParagraph"/>
              <w:numPr>
                <w:ilvl w:val="0"/>
                <w:numId w:val="2"/>
              </w:numPr>
              <w:spacing w:after="45"/>
            </w:pPr>
            <w:r>
              <w:rPr>
                <w:sz w:val="15"/>
                <w:szCs w:val="15"/>
              </w:rPr>
              <w:t xml:space="preserve">Table 3 places sensitivities from heterogeneous studies with different reference standards, different referral filters and different lesion sizes side by side as if they were comparable; several comparator figures rest on 5-13 patients, and the 18F-DOPA rows explicitly breach the review's own 12-patient rule</w:t>
            </w:r>
          </w:p>
          <w:p>
            <w:pPr>
              <w:pStyle w:val="ListParagraph"/>
              <w:numPr>
                <w:ilvl w:val="0"/>
                <w:numId w:val="2"/>
              </w:numPr>
              <w:spacing w:after="45"/>
            </w:pPr>
            <w:r>
              <w:rPr>
                <w:sz w:val="15"/>
                <w:szCs w:val="15"/>
              </w:rPr>
              <w:t xml:space="preserve">Diagnostic sensitivity in this literature is measured almost entirely in patients who reached surgery, so every number in the table shares the same verification bias and the table does not flag it</w:t>
            </w:r>
          </w:p>
          <w:p>
            <w:pPr>
              <w:pStyle w:val="ListParagraph"/>
              <w:numPr>
                <w:ilvl w:val="0"/>
                <w:numId w:val="2"/>
              </w:numPr>
              <w:spacing w:after="45"/>
            </w:pPr>
            <w:r>
              <w:rPr>
                <w:sz w:val="15"/>
                <w:szCs w:val="15"/>
              </w:rPr>
              <w:t xml:space="preserve">Receptor density figures come from in vitro autoradiography on 26-27 surgical samples, i.e. resected benign insulinomas, which cannot establish incidence in unresected or occult lesions</w:t>
            </w:r>
          </w:p>
          <w:p>
            <w:pPr>
              <w:pStyle w:val="ListParagraph"/>
              <w:numPr>
                <w:ilvl w:val="0"/>
                <w:numId w:val="2"/>
              </w:numPr>
              <w:spacing w:after="45"/>
            </w:pPr>
            <w:r>
              <w:rPr>
                <w:sz w:val="15"/>
                <w:szCs w:val="15"/>
              </w:rPr>
              <w:t xml:space="preserve">There is no evidence grading, no risk-of-bias appraisal and no quantitative synthesis, so a prospective crossover study and a case report carry the same typographic weight</w:t>
            </w:r>
          </w:p>
          <w:p>
            <w:pPr>
              <w:pStyle w:val="ListParagraph"/>
              <w:numPr>
                <w:ilvl w:val="0"/>
                <w:numId w:val="2"/>
              </w:numPr>
              <w:spacing w:after="45"/>
            </w:pPr>
            <w:r>
              <w:rPr>
                <w:sz w:val="15"/>
                <w:szCs w:val="15"/>
              </w:rPr>
              <w:t xml:space="preserve">The review contains nothing on non-functioning pancreatic NET, so despite being filed under pancreatic imaging it does not bear on the 2 cm observation-versus-resection question at all</w:t>
            </w:r>
          </w:p>
          <w:p>
            <w:pPr>
              <w:pStyle w:val="ListParagraph"/>
              <w:numPr>
                <w:ilvl w:val="0"/>
                <w:numId w:val="2"/>
              </w:numPr>
              <w:spacing w:after="45"/>
            </w:pPr>
            <w:r>
              <w:rPr>
                <w:sz w:val="15"/>
                <w:szCs w:val="15"/>
              </w:rPr>
              <w:t xml:space="preserve">The framing question 'will it make it to the clinic?' and the proposed algorithm are advocacy for an unlicensed tracer, and the stated aspiration that it 'will replace' ASVS is not supported by any comparative study of the two</w:t>
            </w:r>
          </w:p>
        </w:tc>
      </w:tr>
    </w:tbl>
    <w:p>
      <w:pPr>
        <w:spacing w:after="0" w:line="276"/>
      </w:pPr>
      <w:r>
        <w:rPr>
          <w:color w:val="5A6069"/>
          <w:sz w:val="14"/>
          <w:szCs w:val="14"/>
        </w:rPr>
        <w:t xml:space="preserve">Funding: Swiss National Science Foundation grant 320030-152938 and the Desiree and Niels Yde Foundation grant 389-12; the authors reported no potential conflict of interest, although they are the developers of the tracer under review.</w:t>
      </w:r>
    </w:p>
    <w:p>
      <w:pPr>
        <w:keepNext/>
        <w:spacing w:after="50" w:before="260"/>
      </w:pPr>
      <w:r>
        <w:rPr>
          <w:rFonts w:ascii="Cambria" w:cs="Cambria" w:eastAsia="Cambria" w:hAnsi="Cambria"/>
          <w:b/>
          <w:bCs/>
          <w:color w:val="17365D"/>
          <w:sz w:val="20"/>
          <w:szCs w:val="20"/>
        </w:rPr>
        <w:t xml:space="preserve">Yang 2022 SEER</w:t>
      </w:r>
      <w:r>
        <w:rPr>
          <w:b/>
          <w:bCs/>
          <w:color w:val="176A87"/>
          <w:sz w:val="15"/>
          <w:szCs w:val="15"/>
        </w:rPr>
        <w:t xml:space="preserve">   Registry study</w:t>
      </w:r>
      <w:r>
        <w:rPr>
          <w:color w:val="5A6069"/>
          <w:sz w:val="15"/>
          <w:szCs w:val="15"/>
        </w:rPr>
        <w:t xml:space="preserve">   PMID 35923628</w:t>
      </w:r>
    </w:p>
    <w:p>
      <w:pPr>
        <w:spacing w:after="50" w:line="276"/>
      </w:pPr>
      <w:r>
        <w:rPr>
          <w:color w:val="5A6069"/>
          <w:sz w:val="17"/>
          <w:szCs w:val="17"/>
        </w:rPr>
        <w:t xml:space="preserve">Reappraisal of a 2-cm cutoff size for the management of nonfunctional pancreatic neuroendocrine tumors: a population-based study.</w:t>
      </w:r>
    </w:p>
    <w:p>
      <w:pPr>
        <w:spacing w:after="50"/>
      </w:pPr>
      <w:r>
        <w:rPr>
          <w:b/>
          <w:bCs/>
          <w:color w:val="176A87"/>
          <w:sz w:val="16"/>
          <w:szCs w:val="16"/>
        </w:rPr>
        <w:t xml:space="preserve">Population. </w:t>
      </w:r>
      <w:r>
        <w:rPr>
          <w:sz w:val="16"/>
          <w:szCs w:val="16"/>
        </w:rPr>
        <w:t xml:space="preserve">5172 patients with PanNEN, 1760 (34.0%) with tumours 2 cm or less; 1621 NF-PanNET of whom 1350 had surgery and 271 observation; 259 matched pairs after propensity matching</w:t>
      </w:r>
    </w:p>
    <w:p>
      <w:pPr>
        <w:spacing w:after="70"/>
      </w:pPr>
      <w:r>
        <w:rPr>
          <w:b/>
          <w:bCs/>
          <w:color w:val="17365D"/>
          <w:sz w:val="16"/>
          <w:szCs w:val="16"/>
        </w:rPr>
        <w:t xml:space="preserve">Bottom line. </w:t>
      </w:r>
      <w:r>
        <w:rPr>
          <w:sz w:val="16"/>
          <w:szCs w:val="16"/>
        </w:rPr>
        <w:t xml:space="preserve">A SEER analysis arguing that tumour size alone should not decide observation versus surgery for sub-2 cm non-functional pancreatic NET, but its central comparison is between operated patients and a residual unoperated group that was older and sicker, and the equal cancer-specific survival after matching points to selection rather than to any benefit of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Inherent biases of a retrospective design could not be completely eliminated even with propensity score matching</w:t>
            </w:r>
          </w:p>
          <w:p>
            <w:pPr>
              <w:pStyle w:val="ListParagraph"/>
              <w:numPr>
                <w:ilvl w:val="0"/>
                <w:numId w:val="2"/>
              </w:numPr>
              <w:spacing w:after="45"/>
            </w:pPr>
            <w:r>
              <w:rPr>
                <w:sz w:val="15"/>
                <w:szCs w:val="15"/>
              </w:rPr>
              <w:t xml:space="preserve">SEER lacks important prognostic parameters including the Ki-67 index and surgery-related complications</w:t>
            </w:r>
          </w:p>
          <w:p>
            <w:pPr>
              <w:pStyle w:val="ListParagraph"/>
              <w:numPr>
                <w:ilvl w:val="0"/>
                <w:numId w:val="2"/>
              </w:numPr>
              <w:spacing w:after="45"/>
            </w:pPr>
            <w:r>
              <w:rPr>
                <w:sz w:val="15"/>
                <w:szCs w:val="15"/>
              </w:rPr>
              <w:t xml:space="preserve">The small number of patients remaining after propensity score matching may limit the generalisability of the results</w:t>
            </w:r>
          </w:p>
          <w:p>
            <w:pPr>
              <w:pStyle w:val="ListParagraph"/>
              <w:numPr>
                <w:ilvl w:val="0"/>
                <w:numId w:val="2"/>
              </w:numPr>
              <w:spacing w:after="45"/>
            </w:pPr>
            <w:r>
              <w:rPr>
                <w:sz w:val="15"/>
                <w:szCs w:val="15"/>
              </w:rPr>
              <w:t xml:space="preserve">Further prospective multicentric studies and more robust data are required to validate the conservative policy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signature finding - surgery improves overall survival while cancer-specific survival is identical - is the classic pattern of confounding by comorbidity and selection, not a treatment effect, and the authors nevertheless report the OS difference as a survival advantage of surgery in the abstract</w:t>
            </w:r>
          </w:p>
          <w:p>
            <w:pPr>
              <w:pStyle w:val="ListParagraph"/>
              <w:numPr>
                <w:ilvl w:val="0"/>
                <w:numId w:val="2"/>
              </w:numPr>
              <w:spacing w:after="45"/>
            </w:pPr>
            <w:r>
              <w:rPr>
                <w:sz w:val="15"/>
                <w:szCs w:val="15"/>
              </w:rPr>
              <w:t xml:space="preserve">SEER cannot distinguish a patient enrolled in planned surveillance from one never offered an operation because of frailty, dementia or advanced age, so the 'observation' arm is a residual category of the unoperated; the pre-matching table shows it was older and had seven times the rate of liver involvement</w:t>
            </w:r>
          </w:p>
          <w:p>
            <w:pPr>
              <w:pStyle w:val="ListParagraph"/>
              <w:numPr>
                <w:ilvl w:val="0"/>
                <w:numId w:val="2"/>
              </w:numPr>
              <w:spacing w:after="45"/>
            </w:pPr>
            <w:r>
              <w:rPr>
                <w:sz w:val="15"/>
                <w:szCs w:val="15"/>
              </w:rPr>
              <w:t xml:space="preserve">Functional status, symptoms and incidental detection are not recorded in SEER, so 'nonfunctional' and 'asymptomatic' are assumed rather than established, and some functional tumours are certainly included</w:t>
            </w:r>
          </w:p>
          <w:p>
            <w:pPr>
              <w:pStyle w:val="ListParagraph"/>
              <w:numPr>
                <w:ilvl w:val="0"/>
                <w:numId w:val="2"/>
              </w:numPr>
              <w:spacing w:after="45"/>
            </w:pPr>
            <w:r>
              <w:rPr>
                <w:sz w:val="15"/>
                <w:szCs w:val="15"/>
              </w:rPr>
              <w:t xml:space="preserve">The 2.50 cm ROC cutoff is derived and reported in the same dataset with no validation, and 'aggressiveness' is a composite of poor differentiation, nodal involvement, liver involvement and advanced stage - variables mathematically entangled with size and with each other, so that size is guaranteed to predict the composite; specificity of 63% would be unusable clinically</w:t>
            </w:r>
          </w:p>
          <w:p>
            <w:pPr>
              <w:pStyle w:val="ListParagraph"/>
              <w:numPr>
                <w:ilvl w:val="0"/>
                <w:numId w:val="2"/>
              </w:numPr>
              <w:spacing w:after="45"/>
            </w:pPr>
            <w:r>
              <w:rPr>
                <w:sz w:val="15"/>
                <w:szCs w:val="15"/>
              </w:rPr>
              <w:t xml:space="preserve">The exploratory 407-patient subgroup was selected using the Cox model fitted to the same data, so its null result is circular rather than independent corroboration</w:t>
            </w:r>
          </w:p>
          <w:p>
            <w:pPr>
              <w:pStyle w:val="ListParagraph"/>
              <w:numPr>
                <w:ilvl w:val="0"/>
                <w:numId w:val="2"/>
              </w:numPr>
              <w:spacing w:after="45"/>
            </w:pPr>
            <w:r>
              <w:rPr>
                <w:sz w:val="15"/>
                <w:szCs w:val="15"/>
              </w:rPr>
              <w:t xml:space="preserve">Propensity matching left 259 per arm and could only balance the variables SEER records; what it cannot balance - performance status, comorbidity, Ki-67, reason for not operating - is exactly what drives the OS gap</w:t>
            </w:r>
          </w:p>
          <w:p>
            <w:pPr>
              <w:pStyle w:val="ListParagraph"/>
              <w:numPr>
                <w:ilvl w:val="0"/>
                <w:numId w:val="2"/>
              </w:numPr>
              <w:spacing w:after="45"/>
            </w:pPr>
            <w:r>
              <w:rPr>
                <w:sz w:val="15"/>
                <w:szCs w:val="15"/>
              </w:rPr>
              <w:t xml:space="preserve">There is no imaging follow-up, no growth rate, no crossover and no information on surveillance intensity, so the paper has no purchase at all on surveillance as a management strategy despite its title</w:t>
            </w:r>
          </w:p>
          <w:p>
            <w:pPr>
              <w:pStyle w:val="ListParagraph"/>
              <w:numPr>
                <w:ilvl w:val="0"/>
                <w:numId w:val="2"/>
              </w:numPr>
              <w:spacing w:after="45"/>
            </w:pPr>
            <w:r>
              <w:rPr>
                <w:sz w:val="15"/>
                <w:szCs w:val="15"/>
              </w:rPr>
              <w:t xml:space="preserve">The paper misspells the central reference it reinterprets ('Ssdot et al.') and attributes Cherenfant's findings to Gratian, which is a sign of how closely the source literature was read</w:t>
            </w:r>
          </w:p>
        </w:tc>
      </w:tr>
    </w:tbl>
    <w:p>
      <w:pPr>
        <w:keepNext/>
        <w:spacing w:after="50" w:before="260"/>
      </w:pPr>
      <w:r>
        <w:rPr>
          <w:rFonts w:ascii="Cambria" w:cs="Cambria" w:eastAsia="Cambria" w:hAnsi="Cambria"/>
          <w:b/>
          <w:bCs/>
          <w:color w:val="17365D"/>
          <w:sz w:val="20"/>
          <w:szCs w:val="20"/>
        </w:rPr>
        <w:t xml:space="preserve">Zheng-Pywell 2022</w:t>
      </w:r>
      <w:r>
        <w:rPr>
          <w:b/>
          <w:bCs/>
          <w:color w:val="176A87"/>
          <w:sz w:val="15"/>
          <w:szCs w:val="15"/>
        </w:rPr>
        <w:t xml:space="preserve">   Retrospective cohort</w:t>
      </w:r>
      <w:r>
        <w:rPr>
          <w:color w:val="5A6069"/>
          <w:sz w:val="15"/>
          <w:szCs w:val="15"/>
        </w:rPr>
        <w:t xml:space="preserve">   PMID 35380181</w:t>
      </w:r>
    </w:p>
    <w:p>
      <w:pPr>
        <w:spacing w:after="50" w:line="276"/>
      </w:pPr>
      <w:r>
        <w:rPr>
          <w:color w:val="5A6069"/>
          <w:sz w:val="17"/>
          <w:szCs w:val="17"/>
        </w:rPr>
        <w:t xml:space="preserve">Are we undertreating Black patients with nonfunctional pancreatic neuroendocrine tumors? Critical analysis of current surveillance guidelines by race.</w:t>
      </w:r>
    </w:p>
    <w:p>
      <w:pPr>
        <w:spacing w:after="50"/>
      </w:pPr>
      <w:r>
        <w:rPr>
          <w:b/>
          <w:bCs/>
          <w:color w:val="176A87"/>
          <w:sz w:val="16"/>
          <w:szCs w:val="16"/>
        </w:rPr>
        <w:t xml:space="preserve">Population. </w:t>
      </w:r>
      <w:r>
        <w:rPr>
          <w:sz w:val="16"/>
          <w:szCs w:val="16"/>
        </w:rPr>
        <w:t xml:space="preserve">453 patients (388 or 389 White, 65 Black) in the initial dataset and 5532 (4772 White, 760 Black) in the NCDB validation dataset</w:t>
      </w:r>
    </w:p>
    <w:p>
      <w:pPr>
        <w:spacing w:after="70"/>
      </w:pPr>
      <w:r>
        <w:rPr>
          <w:b/>
          <w:bCs/>
          <w:color w:val="17365D"/>
          <w:sz w:val="16"/>
          <w:szCs w:val="16"/>
        </w:rPr>
        <w:t xml:space="preserve">Bottom line. </w:t>
      </w:r>
      <w:r>
        <w:rPr>
          <w:sz w:val="16"/>
          <w:szCs w:val="16"/>
        </w:rPr>
        <w:t xml:space="preserve">Among resected nonfunctional PNET, Black patients had roughly double the rate of nodal metastasis in tumours under 2 cm and tumour size did not predict nodal spread in them at all - a signal worth taking seriously, but it rests on 7 of 30 patients, does not replicate below 1 cm, comes entirely from an operated population, and offers no measure of access or delay to explain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retrospective nature makes unintentional contributions of bias likely</w:t>
            </w:r>
          </w:p>
          <w:p>
            <w:pPr>
              <w:pStyle w:val="ListParagraph"/>
              <w:numPr>
                <w:ilvl w:val="0"/>
                <w:numId w:val="2"/>
              </w:numPr>
              <w:spacing w:after="45"/>
            </w:pPr>
            <w:r>
              <w:rPr>
                <w:sz w:val="15"/>
                <w:szCs w:val="15"/>
              </w:rPr>
              <w:t xml:space="preserve">Individual patients may be represented in both datasets because institutions in the USNETSG also submit reports to the NCDB</w:t>
            </w:r>
          </w:p>
          <w:p>
            <w:pPr>
              <w:pStyle w:val="ListParagraph"/>
              <w:numPr>
                <w:ilvl w:val="0"/>
                <w:numId w:val="2"/>
              </w:numPr>
              <w:spacing w:after="45"/>
            </w:pPr>
            <w:r>
              <w:rPr>
                <w:sz w:val="15"/>
                <w:szCs w:val="15"/>
              </w:rPr>
              <w:t xml:space="preserve">The NCDB does not report WHO grade, so exclusion of grade 3 relies on differentiation; the authors argue most grade 3 tumours are poorly differentiated so the analysis should still be weighted to lower grade</w:t>
            </w:r>
          </w:p>
          <w:p>
            <w:pPr>
              <w:pStyle w:val="ListParagraph"/>
              <w:numPr>
                <w:ilvl w:val="0"/>
                <w:numId w:val="2"/>
              </w:numPr>
              <w:spacing w:after="45"/>
            </w:pPr>
            <w:r>
              <w:rPr>
                <w:sz w:val="15"/>
                <w:szCs w:val="15"/>
              </w:rPr>
              <w:t xml:space="preserve">The indolent nature of PNET makes survival analysis difficult even with a median three-year follow-up</w:t>
            </w:r>
          </w:p>
          <w:p>
            <w:pPr>
              <w:pStyle w:val="ListParagraph"/>
              <w:numPr>
                <w:ilvl w:val="0"/>
                <w:numId w:val="2"/>
              </w:numPr>
              <w:spacing w:after="45"/>
            </w:pPr>
            <w:r>
              <w:rPr>
                <w:sz w:val="15"/>
                <w:szCs w:val="15"/>
              </w:rPr>
              <w:t xml:space="preserve">The low rate of recurrence in Black patients (3 events) limits meaningful comparison of disease-free survival between racial groups</w:t>
            </w:r>
          </w:p>
          <w:p>
            <w:pPr>
              <w:pStyle w:val="ListParagraph"/>
              <w:numPr>
                <w:ilvl w:val="0"/>
                <w:numId w:val="2"/>
              </w:numPr>
              <w:spacing w:after="45"/>
            </w:pPr>
            <w:r>
              <w:rPr>
                <w:sz w:val="15"/>
                <w:szCs w:val="15"/>
              </w:rPr>
              <w:t xml:space="preserve">Disease-free survival is not synonymous with overall survival, so no conclusions about patient mortality can be derived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policy-relevant cell is 7 of 30 Black patients with sub-2 cm tumours and the sub-1 cm claim is 2 of 8 - counts from which a recommendation to resect more aggressively by race cannot responsibly be drawn, and the validation cohort fails to reproduce the sub-1 cm finding at all (10% vs 9%, p = 0.66), which the paper notes but does not let alter the conclusion</w:t>
            </w:r>
          </w:p>
          <w:p>
            <w:pPr>
              <w:pStyle w:val="ListParagraph"/>
              <w:numPr>
                <w:ilvl w:val="0"/>
                <w:numId w:val="2"/>
              </w:numPr>
              <w:spacing w:after="45"/>
            </w:pPr>
            <w:r>
              <w:rPr>
                <w:sz w:val="15"/>
                <w:szCs w:val="15"/>
              </w:rPr>
              <w:t xml:space="preserve">Every patient in both cohorts was resected and had nodes removed, so this measures the prevalence of nodal metastasis among people already selected for an oncological operation, not among the surveillance candidates the guideline addresses - the very selection the paper criticises in the guideline is reproduced in its own design</w:t>
            </w:r>
          </w:p>
          <w:p>
            <w:pPr>
              <w:pStyle w:val="ListParagraph"/>
              <w:numPr>
                <w:ilvl w:val="0"/>
                <w:numId w:val="2"/>
              </w:numPr>
              <w:spacing w:after="45"/>
            </w:pPr>
            <w:r>
              <w:rPr>
                <w:sz w:val="15"/>
                <w:szCs w:val="15"/>
              </w:rPr>
              <w:t xml:space="preserve">Race is treated as a biological variable with no measure of insurance, income, referral delay, time from symptom to diagnosis or access to imaging, any of which would produce the same size-independent association between Black race and nodal disease at resection</w:t>
            </w:r>
          </w:p>
          <w:p>
            <w:pPr>
              <w:pStyle w:val="ListParagraph"/>
              <w:numPr>
                <w:ilvl w:val="0"/>
                <w:numId w:val="2"/>
              </w:numPr>
              <w:spacing w:after="45"/>
            </w:pPr>
            <w:r>
              <w:rPr>
                <w:sz w:val="15"/>
                <w:szCs w:val="15"/>
              </w:rPr>
              <w:t xml:space="preserve">The authors acknowledge the two datasets overlap institutionally, which means the NCDB 'validation' partly re-analyses the same patients and is not independent</w:t>
            </w:r>
          </w:p>
          <w:p>
            <w:pPr>
              <w:pStyle w:val="ListParagraph"/>
              <w:numPr>
                <w:ilvl w:val="0"/>
                <w:numId w:val="2"/>
              </w:numPr>
              <w:spacing w:after="45"/>
            </w:pPr>
            <w:r>
              <w:rPr>
                <w:sz w:val="15"/>
                <w:szCs w:val="15"/>
              </w:rPr>
              <w:t xml:space="preserve">Grade is excluded from one dataset and unavailable in the other, so the observed nodal difference may track grade, which is a stronger determinant of nodal spread than size</w:t>
            </w:r>
          </w:p>
          <w:p>
            <w:pPr>
              <w:pStyle w:val="ListParagraph"/>
              <w:numPr>
                <w:ilvl w:val="0"/>
                <w:numId w:val="2"/>
              </w:numPr>
              <w:spacing w:after="45"/>
            </w:pPr>
            <w:r>
              <w:rPr>
                <w:sz w:val="15"/>
                <w:szCs w:val="15"/>
              </w:rPr>
              <w:t xml:space="preserve">The recommendation runs opposite to this group's own prior USNETSG finding that node-negative Black patients had better five-year recurrence-free survival than White patients - a contradiction that is quoted in the discussion and then left unreconciled</w:t>
            </w:r>
          </w:p>
          <w:p>
            <w:pPr>
              <w:pStyle w:val="ListParagraph"/>
              <w:numPr>
                <w:ilvl w:val="0"/>
                <w:numId w:val="2"/>
              </w:numPr>
              <w:spacing w:after="45"/>
            </w:pPr>
            <w:r>
              <w:rPr>
                <w:sz w:val="15"/>
                <w:szCs w:val="15"/>
              </w:rPr>
              <w:t xml:space="preserve">Six size strata are compared across two datasets with additional regressions and subanalyses, with no correction for multiple comparisons; several of the significant p values would not survive one</w:t>
            </w:r>
          </w:p>
          <w:p>
            <w:pPr>
              <w:pStyle w:val="ListParagraph"/>
              <w:numPr>
                <w:ilvl w:val="0"/>
                <w:numId w:val="2"/>
              </w:numPr>
              <w:spacing w:after="45"/>
            </w:pPr>
            <w:r>
              <w:rPr>
                <w:sz w:val="15"/>
                <w:szCs w:val="15"/>
              </w:rPr>
              <w:t xml:space="preserve">The title's framing question ('are we undertreating Black patients?') presupposes that more resection is the remedy, when the same data are equally consistent with Black patients reaching resection later in the disease course</w:t>
            </w:r>
          </w:p>
        </w:tc>
      </w:tr>
    </w:tbl>
    <w:p>
      <w:pPr>
        <w:spacing w:after="0" w:line="276"/>
      </w:pPr>
      <w:r>
        <w:rPr>
          <w:color w:val="5A6069"/>
          <w:sz w:val="14"/>
          <w:szCs w:val="14"/>
        </w:rPr>
        <w:t xml:space="preserve">Funding: National Cancer Institute of the NIH awards T32CA229102 and K08CA234209. Disclosures: C. Yates receives consulting fees from Amgen, QED Therapeutics and Riptide Biosciences and owns stock in Riptide; F. Rocha is a paid consultant to Medtronic.</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AACE MEN1 2025 — Del Rivero J, Gangi A, Annes JP, et al. American Association of Clinical Endocrinology consensus statement on management of multiple endocrine neoplasia type 1. Endocr Pract. 2025 (published online 26 March 2025). doi:10</w:t>
      </w:r>
    </w:p>
    <w:p>
      <w:pPr>
        <w:pStyle w:val="ListParagraph"/>
        <w:numPr>
          <w:ilvl w:val="0"/>
          <w:numId w:val="2"/>
        </w:numPr>
        <w:spacing w:after="60" w:line="268"/>
      </w:pPr>
      <w:r>
        <w:rPr>
          <w:color w:val="15181F"/>
          <w:sz w:val="16"/>
          <w:szCs w:val="16"/>
        </w:rPr>
        <w:t xml:space="preserve">ENETS 2023 functioning — Hofland J, Falconi M, Christ E, et al. European Neuroendocrine Tumor Society 2023 guidance paper for functioning pancreatic neuroendocrine tumour syndromes. J Neuroendocrinol. 2023;35(8):e13318. doi:10.1111/jne.13318. PM</w:t>
      </w:r>
    </w:p>
    <w:p>
      <w:pPr>
        <w:pStyle w:val="ListParagraph"/>
        <w:numPr>
          <w:ilvl w:val="0"/>
          <w:numId w:val="2"/>
        </w:numPr>
        <w:spacing w:after="60" w:line="268"/>
      </w:pPr>
      <w:r>
        <w:rPr>
          <w:color w:val="15181F"/>
          <w:sz w:val="16"/>
          <w:szCs w:val="16"/>
        </w:rPr>
        <w:t xml:space="preserve">ENETS 2023 NEC — Sorbye H, Grande E, Pavel M, et al. European Neuroendocrine Tumor Society (ENETS) 2023 guidance paper for digestive neuroendocrine carcinoma. J Neuroendocrinol. 2023;35(3):e13249. doi:10.1111/jne.13249. PMID:36924180.</w:t>
      </w:r>
    </w:p>
    <w:p>
      <w:pPr>
        <w:pStyle w:val="ListParagraph"/>
        <w:numPr>
          <w:ilvl w:val="0"/>
          <w:numId w:val="2"/>
        </w:numPr>
        <w:spacing w:after="60" w:line="268"/>
      </w:pPr>
      <w:r>
        <w:rPr>
          <w:color w:val="15181F"/>
          <w:sz w:val="16"/>
          <w:szCs w:val="16"/>
        </w:rPr>
        <w:t xml:space="preserve">Full-text depot, read 7 October 2026 — Twenty-eight of the 33 indexed papers on this page were obtained in full text, abstracted to a fixed schema capturing setting, inclusion, exclusion, results, the authors' own stated limitations, an independent critique a</w:t>
      </w:r>
    </w:p>
    <w:p>
      <w:pPr>
        <w:pStyle w:val="ListParagraph"/>
        <w:numPr>
          <w:ilvl w:val="0"/>
          <w:numId w:val="2"/>
        </w:numPr>
        <w:spacing w:after="60" w:line="268"/>
      </w:pPr>
      <w:r>
        <w:rPr>
          <w:color w:val="15181F"/>
          <w:sz w:val="16"/>
          <w:szCs w:val="16"/>
        </w:rPr>
        <w:t xml:space="preserve">MEN1 pancreas consensus — Niederle B, Selberherr A, Bartsch DK, et al. Multiple endocrine neoplasia type 1 (MEN1) and the pancreas: diagnosis and treatment of functioning and non-functioning pancreatic and duodenal neuroendocrine neoplasia within</w:t>
      </w:r>
    </w:p>
    <w:p>
      <w:pPr>
        <w:pStyle w:val="ListParagraph"/>
        <w:numPr>
          <w:ilvl w:val="0"/>
          <w:numId w:val="2"/>
        </w:numPr>
        <w:spacing w:after="60" w:line="268"/>
      </w:pPr>
      <w:r>
        <w:rPr>
          <w:color w:val="15181F"/>
          <w:sz w:val="16"/>
          <w:szCs w:val="16"/>
        </w:rPr>
        <w:t xml:space="preserve">NANETS 2020 surgical — Howe JR, Merchant NB, Conrad C, et al. The North American Neuroendocrine Tumor Society consensus paper on the surgical management of pancreatic neuroendocrine tumors. Pancreas. 2020;49(1):1-33. doi:10.1097/MPA.0000000000</w:t>
      </w:r>
    </w:p>
    <w:p>
      <w:pPr>
        <w:pStyle w:val="ListParagraph"/>
        <w:numPr>
          <w:ilvl w:val="0"/>
          <w:numId w:val="2"/>
        </w:numPr>
        <w:spacing w:after="60" w:line="268"/>
      </w:pPr>
      <w:r>
        <w:rPr>
          <w:color w:val="15181F"/>
          <w:sz w:val="16"/>
          <w:szCs w:val="16"/>
        </w:rPr>
        <w:t xml:space="preserve">NCCN Neuroendocrine and Adrenal Tumors — National Comprehensive Cancer Network. Neuroendocrine and Adrenal Tumors. NCCN Clinical Practice Guidelines in Oncology. Version not stated in the programme-supplied extraction: its most recent references, including the </w:t>
      </w:r>
    </w:p>
    <w:p>
      <w:pPr>
        <w:pStyle w:val="ListParagraph"/>
        <w:numPr>
          <w:ilvl w:val="0"/>
          <w:numId w:val="2"/>
        </w:numPr>
        <w:spacing w:after="60" w:line="268"/>
      </w:pPr>
      <w:r>
        <w:rPr>
          <w:color w:val="15181F"/>
          <w:sz w:val="16"/>
          <w:szCs w:val="16"/>
        </w:rPr>
        <w:t xml:space="preserve">NCT05040360 — Randomised trial of chemotherapy after resection of pancreatic neuroendocrine tumour, cited by NCCN as the ongoing study exploring the utility of adjuvant treatment. Named here because it is the correct destination for a</w:t>
      </w:r>
    </w:p>
    <w:p>
      <w:pPr>
        <w:pStyle w:val="ListParagraph"/>
        <w:numPr>
          <w:ilvl w:val="0"/>
          <w:numId w:val="2"/>
        </w:numPr>
        <w:spacing w:after="60" w:line="268"/>
      </w:pPr>
      <w:r>
        <w:rPr>
          <w:color w:val="15181F"/>
          <w:sz w:val="16"/>
          <w:szCs w:val="16"/>
        </w:rPr>
        <w:t xml:space="preserve">NELM pathway — Memorial Hermann Neuroendocrine Liver Metastases System Roadmap, as rendered on the NELM pathway page, Draft v0.6. The destination for every patient on this page who develops or presents with hepatic metastases. It carri</w:t>
      </w:r>
    </w:p>
    <w:p>
      <w:pPr>
        <w:pStyle w:val="ListParagraph"/>
        <w:numPr>
          <w:ilvl w:val="0"/>
          <w:numId w:val="2"/>
        </w:numPr>
        <w:spacing w:after="60" w:line="268"/>
      </w:pPr>
      <w:r>
        <w:rPr>
          <w:color w:val="15181F"/>
          <w:sz w:val="16"/>
          <w:szCs w:val="16"/>
        </w:rPr>
        <w:t xml:space="preserve">This page is a first draft — There is no Memorial Hermann system roadmap for primary pancreatic neuroendocrine tumour and no guideline alignment worksheet for it. Every position on this page was assembled from published guidelines and primary litera</w:t>
      </w:r>
    </w:p>
    <w:p>
      <w:pPr>
        <w:pStyle w:val="ListParagraph"/>
        <w:numPr>
          <w:ilvl w:val="0"/>
          <w:numId w:val="2"/>
        </w:numPr>
        <w:spacing w:after="60" w:line="268"/>
      </w:pPr>
      <w:r>
        <w:rPr>
          <w:color w:val="15181F"/>
          <w:sz w:val="16"/>
          <w:szCs w:val="16"/>
        </w:rPr>
        <w:t xml:space="preserve">WHO 2019 digestive — Klimstra DS, Klöppel G, La Rosa S, et al. Classification of neuroendocrine neoplasms of the digestive system. In: WHO Classification of Tumours Editorial Board. Digestive system tumours. 5th ed, vol 1. Lyon: Internationa</w:t>
      </w:r>
    </w:p>
    <w:p>
      <w:pPr>
        <w:pStyle w:val="Heading1"/>
        <w:widowControl/>
        <w:keepNext/>
      </w:pPr>
      <w:r>
        <w:t xml:space="preserve">References: previously treated extrahepatic disease</w:t>
      </w:r>
    </w:p>
    <w:p>
      <w:pPr>
        <w:pStyle w:val="Normal"/>
        <w:widowControl/>
        <w:spacing w:after="120"/>
      </w:pPr>
      <w:r>
        <w:t xml:space="preserve"/>
      </w:r>
      <w:r>
        <w:fldChar w:fldCharType="begin"/>
      </w:r>
      <w:r>
        <w:instrText xml:space="preserve"> ADDIN EN.REFLIST </w:instrText>
      </w:r>
      <w:r>
        <w:fldChar w:fldCharType="separate"/>
      </w:r>
      <w:r>
        <w:t xml:space="preserve">[V16-1] Howe, James R; Merchant, Nipun B; Conrad, Claudius; et al. The North American Neuroendocrine Tumor Society Consensus Paper on the Surgical Management of Pancreatic Neuroendocrine Tumors. Pancreas. 2020; 49(1):1-33. </w:t>
      </w:r>
      <w:hyperlink r:id="rId13">
        <w:r>
          <w:rPr>
            <w:color w:val="0563C1"/>
            <w:u w:val="single"/>
          </w:rPr>
          <w:t>Source</w:t>
        </w:r>
      </w:hyperlink>
      <w:r>
        <w:t xml:space="preserve"> | </w:t>
      </w:r>
      <w:hyperlink r:id="rId14">
        <w:r>
          <w:rPr>
            <w:color w:val="0563C1"/>
            <w:u w:val="single"/>
          </w:rPr>
          <w:t>Full-text access</w:t>
        </w:r>
      </w:hyperlink>
    </w:p>
    <w:p>
      <w:pPr>
        <w:pStyle w:val="Normal"/>
        <w:widowControl/>
        <w:spacing w:after="120"/>
      </w:pPr>
      <w:r>
        <w:t xml:space="preserve"/>
      </w:r>
      <w:r>
        <w:t xml:space="preserve">[V16-2] Partelli, Stefano; Cirocchi, Roberto; Rancoita, Paola M V; et al. A Systematic review and meta-analysis on the role of palliative primary resection for pancreatic neuroendocrine neoplasm with liver metastases. HPB : the official journal of the International Hepato Pancreato Biliary Association. 2017; 20(3):197-203. </w:t>
      </w:r>
      <w:hyperlink r:id="rId15">
        <w:r>
          <w:rPr>
            <w:color w:val="0563C1"/>
            <w:u w:val="single"/>
          </w:rPr>
          <w:t>Source</w:t>
        </w:r>
      </w:hyperlink>
      <w:r>
        <w:t xml:space="preserve"> | Local PDF not available in this update</w:t>
      </w:r>
    </w:p>
    <w:p>
      <w:pPr>
        <w:pStyle w:val="Normal"/>
        <w:widowControl/>
        <w:spacing w:after="120"/>
      </w:pPr>
      <w:r>
        <w:t xml:space="preserve"/>
      </w:r>
      <w:r>
        <w:t xml:space="preserve">[V16-3] Podrascanin, Vanja; Ammann, Markus; Gudmundsdottir, Hallbera; et al. The Role of Primary Tumor Resection in Surgical Management of Asymptomatic Metastatic PNETs: A Retrospective Single-Center Study. Annals of surgical oncology. 2025; 33(4):3526-3534. </w:t>
      </w:r>
      <w:hyperlink r:id="rId1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pNET-R1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1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PNET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97/MPA.0000000000001454"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16/j.hpb.2017.10.014" TargetMode="External"/><Relationship Id="rId12" Type="http://schemas.openxmlformats.org/officeDocument/2006/relationships/hyperlink" Target="https://doi.org/10.1245/s10434-025-18835-z" TargetMode="External"/><Relationship Id="rId13" Type="http://schemas.openxmlformats.org/officeDocument/2006/relationships/hyperlink" Target="https://doi.org/10.1097/MPA.0000000000001454"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016/j.hpb.2017.10.014" TargetMode="External"/><Relationship Id="rId16" Type="http://schemas.openxmlformats.org/officeDocument/2006/relationships/hyperlink" Target="https://doi.org/10.1245/s10434-025-18835-z"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PNET system roadmap v0.2</dc:title>
  <dc:subject>Pancreatic neuroendocrine tumour, primary</dc:subject>
  <dc:creator>Memorial Hermann / UTHealth Houston tumour roadmap programme</dc:creator>
  <dc:description>Draft under development. Not ratified clinical policy.</dc:description>
  <cp:lastModifiedBy>Un-named</cp:lastModifiedBy>
  <cp:revision>1</cp:revision>
  <dcterms:created xsi:type="dcterms:W3CDTF">2026-10-10T04:29:19.408Z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