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Colorectal liver metastases — High-risk transplant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transplant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https://drliuhao.github.io/mh-liver-pathways/transplant/crlm/#high-risk</w:t>
      </w:r>
    </w:p>
    <w:p>
      <w:pPr>
        <w:spacing w:after="160"/>
      </w:pPr>
      <w:r>
        <w:rPr>
          <w:b/>
          <w:i w:val="0"/>
        </w:rPr>
        <w:t xml:space="preserve">Companion files: </w:t>
      </w:r>
      <w:r>
        <w:rPr>
          <w:b w:val="0"/>
          <w:i w:val="0"/>
          <w:sz w:val="20"/>
        </w:rPr>
        <w:t xml:space="preserve">Full content: </w:t>
      </w:r>
      <w:r>
        <w:rPr>
          <w:b w:val="0"/>
          <w:i/>
        </w:rPr>
        <w:t>CRLM_5_High_Risk_Transplant_Protocol.docx</w:t>
      </w:r>
      <w:r>
        <w:rPr>
          <w:b w:val="0"/>
          <w:i w:val="0"/>
          <w:sz w:val="20"/>
        </w:rPr>
        <w:t xml:space="preserve"> · Decision discussion for all settings: </w:t>
      </w:r>
      <w:r>
        <w:rPr>
          <w:b w:val="0"/>
          <w:i/>
        </w:rPr>
        <w:t>CRLM_7_Decision_Discussion.docx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CRLM-B1</w:t>
            </w:r>
          </w:p>
        </w:tc>
        <w:tc>
          <w:tcPr>
            <w:tcW w:type="dxa" w:w="2520"/>
            <w:tcW w:w="3500" w:type="dxa"/>
            <w:shd w:val="clear" w:color="auto" w:fill="F1F5F8"/>
          </w:tcPr>
          <w:p>
            <w:pPr>
              <w:spacing w:after="0"/>
            </w:pPr>
            <w:r>
              <w:rPr>
                <w:b w:val="0"/>
                <w:i w:val="0"/>
                <w:sz w:val="19"/>
              </w:rPr>
              <w:t>What exactly proves persistent unresectability?</w:t>
            </w:r>
          </w:p>
        </w:tc>
        <w:tc>
          <w:tcPr>
            <w:tcW w:type="dxa" w:w="2520"/>
            <w:tcW w:w="3780" w:type="dxa"/>
            <w:shd w:val="clear" w:color="auto" w:fill="F1F5F8"/>
          </w:tcPr>
          <w:p>
            <w:pPr>
              <w:spacing w:after="0"/>
            </w:pPr>
            <w:r>
              <w:rPr>
                <w:b w:val="0"/>
                <w:i w:val="0"/>
                <w:sz w:val="19"/>
              </w:rPr>
              <w:t>Require two expert HPB certifications of persistent unresectability, not a lesion-count shortcut.</w:t>
            </w:r>
          </w:p>
        </w:tc>
        <w:tc>
          <w:tcPr>
            <w:tcW w:type="dxa" w:w="2520"/>
            <w:tcW w:w="1500" w:type="dxa"/>
            <w:shd w:val="clear" w:color="auto" w:fill="F1F5F8"/>
          </w:tcPr>
          <w:p>
            <w:pPr>
              <w:spacing w:after="0"/>
            </w:pPr>
            <w:r>
              <w:rPr>
                <w:b w:val="0"/>
                <w:i w:val="0"/>
                <w:color w:val="5A6069"/>
                <w:sz w:val="18"/>
              </w:rPr>
              <w:t>Review the standard treatment · not activated</w:t>
            </w:r>
          </w:p>
        </w:tc>
      </w:tr>
      <w:tr>
        <w:trPr>
          <w:cantSplit/>
        </w:trPr>
        <w:tc>
          <w:tcPr>
            <w:tcW w:type="dxa" w:w="2520"/>
            <w:tcW w:w="1300" w:type="dxa"/>
            <w:shd w:val="clear" w:color="auto" w:fill="FFFFFF"/>
          </w:tcPr>
          <w:p>
            <w:pPr>
              <w:spacing w:after="0"/>
            </w:pPr>
            <w:r>
              <w:rPr>
                <w:b/>
                <w:i w:val="0"/>
                <w:sz w:val="19"/>
              </w:rPr>
              <w:t>CRLM-B2</w:t>
            </w:r>
          </w:p>
        </w:tc>
        <w:tc>
          <w:tcPr>
            <w:tcW w:type="dxa" w:w="2520"/>
            <w:tcW w:w="3500" w:type="dxa"/>
            <w:shd w:val="clear" w:color="auto" w:fill="FFFFFF"/>
          </w:tcPr>
          <w:p>
            <w:pPr>
              <w:spacing w:after="0"/>
            </w:pPr>
            <w:r>
              <w:rPr>
                <w:b w:val="0"/>
                <w:i w:val="0"/>
                <w:sz w:val="19"/>
              </w:rPr>
              <w:t>How do we handle PET-negative/disappearing lesions or radiographic NED?</w:t>
            </w:r>
          </w:p>
        </w:tc>
        <w:tc>
          <w:tcPr>
            <w:tcW w:type="dxa" w:w="2520"/>
            <w:tcW w:w="3780" w:type="dxa"/>
            <w:shd w:val="clear" w:color="auto" w:fill="FFFFFF"/>
          </w:tcPr>
          <w:p>
            <w:pPr>
              <w:spacing w:after="0"/>
            </w:pPr>
            <w:r>
              <w:rPr>
                <w:b w:val="0"/>
                <w:i w:val="0"/>
                <w:sz w:val="19"/>
              </w:rPr>
              <w:t>Do not activate LT solely for presumed microscopic disease in radiographic NED; separate residual cancer from treatment-related liver failure.</w:t>
            </w:r>
          </w:p>
        </w:tc>
        <w:tc>
          <w:tcPr>
            <w:tcW w:type="dxa" w:w="2520"/>
            <w:tcW w:w="1500" w:type="dxa"/>
            <w:shd w:val="clear" w:color="auto" w:fill="FFFFFF"/>
          </w:tcPr>
          <w:p>
            <w:pPr>
              <w:spacing w:after="0"/>
            </w:pPr>
            <w:r>
              <w:rPr>
                <w:b w:val="0"/>
                <w:i w:val="0"/>
                <w:color w:val="5A6069"/>
                <w:sz w:val="18"/>
              </w:rPr>
              <w:t>No transplant for presumed microscopic disease · not activated</w:t>
            </w:r>
          </w:p>
        </w:tc>
      </w:tr>
      <w:tr>
        <w:trPr>
          <w:cantSplit/>
        </w:trPr>
        <w:tc>
          <w:tcPr>
            <w:tcW w:type="dxa" w:w="2520"/>
            <w:tcW w:w="1300" w:type="dxa"/>
            <w:shd w:val="clear" w:color="auto" w:fill="F1F5F8"/>
          </w:tcPr>
          <w:p>
            <w:pPr>
              <w:spacing w:after="0"/>
            </w:pPr>
            <w:r>
              <w:rPr>
                <w:b/>
                <w:i w:val="0"/>
                <w:sz w:val="19"/>
              </w:rPr>
              <w:t>CRLM-B3</w:t>
            </w:r>
          </w:p>
        </w:tc>
        <w:tc>
          <w:tcPr>
            <w:tcW w:type="dxa" w:w="2520"/>
            <w:tcW w:w="3500" w:type="dxa"/>
            <w:shd w:val="clear" w:color="auto" w:fill="F1F5F8"/>
          </w:tcPr>
          <w:p>
            <w:pPr>
              <w:spacing w:after="0"/>
            </w:pPr>
            <w:r>
              <w:rPr>
                <w:b w:val="0"/>
                <w:i w:val="0"/>
                <w:sz w:val="19"/>
              </w:rPr>
              <w:t>Which molecular or extrahepatic expansions should be studied?</w:t>
            </w:r>
          </w:p>
        </w:tc>
        <w:tc>
          <w:tcPr>
            <w:tcW w:type="dxa" w:w="2520"/>
            <w:tcW w:w="3780" w:type="dxa"/>
            <w:shd w:val="clear" w:color="auto" w:fill="F1F5F8"/>
          </w:tcPr>
          <w:p>
            <w:pPr>
              <w:spacing w:after="0"/>
            </w:pPr>
            <w:r>
              <w:rPr>
                <w:b w:val="0"/>
                <w:i w:val="0"/>
                <w:sz w:val="19"/>
              </w:rPr>
              <w:t>Do not open molecular expansions initially; permit KRAS-mutant disease when all other selected criteria are met. Previous extrahepatic disease follows CRLM-B5.</w:t>
            </w:r>
          </w:p>
        </w:tc>
        <w:tc>
          <w:tcPr>
            <w:tcW w:type="dxa" w:w="2520"/>
            <w:tcW w:w="1500" w:type="dxa"/>
            <w:shd w:val="clear" w:color="auto" w:fill="F1F5F8"/>
          </w:tcPr>
          <w:p>
            <w:pPr>
              <w:spacing w:after="0"/>
            </w:pPr>
            <w:r>
              <w:rPr>
                <w:b w:val="0"/>
                <w:i w:val="0"/>
                <w:color w:val="5A6069"/>
                <w:sz w:val="18"/>
              </w:rPr>
              <w:t>Initial selection and expansion limits · not activated</w:t>
            </w:r>
          </w:p>
        </w:tc>
      </w:tr>
      <w:tr>
        <w:trPr>
          <w:cantSplit/>
        </w:trPr>
        <w:tc>
          <w:tcPr>
            <w:tcW w:type="dxa" w:w="2520"/>
            <w:tcW w:w="1300" w:type="dxa"/>
            <w:shd w:val="clear" w:color="auto" w:fill="FFFFFF"/>
          </w:tcPr>
          <w:p>
            <w:pPr>
              <w:spacing w:after="0"/>
            </w:pPr>
            <w:r>
              <w:rPr>
                <w:b/>
                <w:i w:val="0"/>
                <w:sz w:val="19"/>
              </w:rPr>
              <w:t>CRLM-B4</w:t>
            </w:r>
          </w:p>
        </w:tc>
        <w:tc>
          <w:tcPr>
            <w:tcW w:type="dxa" w:w="2520"/>
            <w:tcW w:w="3500" w:type="dxa"/>
            <w:shd w:val="clear" w:color="auto" w:fill="FFFFFF"/>
          </w:tcPr>
          <w:p>
            <w:pPr>
              <w:spacing w:after="0"/>
            </w:pPr>
            <w:r>
              <w:rPr>
                <w:b w:val="0"/>
                <w:i w:val="0"/>
                <w:sz w:val="19"/>
              </w:rPr>
              <w:t>How much recurrence/graft use is acceptable for the observed survival benefit?</w:t>
            </w:r>
          </w:p>
        </w:tc>
        <w:tc>
          <w:tcPr>
            <w:tcW w:type="dxa" w:w="2520"/>
            <w:tcW w:w="3780" w:type="dxa"/>
            <w:shd w:val="clear" w:color="auto" w:fill="FFFFFF"/>
          </w:tcPr>
          <w:p>
            <w:pPr>
              <w:spacing w:after="0"/>
            </w:pPr>
            <w:r>
              <w:rPr>
                <w:b w:val="0"/>
                <w:i w:val="0"/>
                <w:sz w:val="19"/>
              </w:rPr>
              <w:t>Accept that recurrence may coexist with meaningful survival benefit, but plan one graft and account for recurrence treatment and all additional graft use.</w:t>
            </w:r>
          </w:p>
        </w:tc>
        <w:tc>
          <w:tcPr>
            <w:tcW w:type="dxa" w:w="2520"/>
            <w:tcW w:w="1500" w:type="dxa"/>
            <w:shd w:val="clear" w:color="auto" w:fill="FFFFFF"/>
          </w:tcPr>
          <w:p>
            <w:pPr>
              <w:spacing w:after="0"/>
            </w:pPr>
            <w:r>
              <w:rPr>
                <w:b w:val="0"/>
                <w:i w:val="0"/>
                <w:color w:val="5A6069"/>
                <w:sz w:val="18"/>
              </w:rPr>
              <w:t>Review expected benefit · not activated</w:t>
            </w:r>
          </w:p>
        </w:tc>
      </w:tr>
      <w:tr>
        <w:trPr>
          <w:cantSplit/>
        </w:trPr>
        <w:tc>
          <w:tcPr>
            <w:tcW w:type="dxa" w:w="2520"/>
            <w:tcW w:w="1300" w:type="dxa"/>
            <w:shd w:val="clear" w:color="auto" w:fill="F1F5F8"/>
          </w:tcPr>
          <w:p>
            <w:pPr>
              <w:spacing w:after="0"/>
            </w:pPr>
            <w:r>
              <w:rPr>
                <w:b/>
                <w:i w:val="0"/>
                <w:sz w:val="19"/>
              </w:rPr>
              <w:t>CRLM-B5</w:t>
            </w:r>
          </w:p>
        </w:tc>
        <w:tc>
          <w:tcPr>
            <w:tcW w:type="dxa" w:w="2520"/>
            <w:tcW w:w="3500" w:type="dxa"/>
            <w:shd w:val="clear" w:color="auto" w:fill="F1F5F8"/>
          </w:tcPr>
          <w:p>
            <w:pPr>
              <w:spacing w:after="0"/>
            </w:pPr>
            <w:r>
              <w:rPr>
                <w:b w:val="0"/>
                <w:i w:val="0"/>
                <w:sz w:val="19"/>
              </w:rPr>
              <w:t>Should a lung-only study stratum be opened for completely treated pulmonary metastases, and if so with which interval and biology limits? All other previously treated extrahepatic sites stay closed.</w:t>
            </w:r>
          </w:p>
        </w:tc>
        <w:tc>
          <w:tcPr>
            <w:tcW w:type="dxa" w:w="2520"/>
            <w:tcW w:w="3780" w:type="dxa"/>
            <w:shd w:val="clear" w:color="auto" w:fill="F1F5F8"/>
          </w:tcPr>
          <w:p>
            <w:pPr>
              <w:spacing w:after="0"/>
            </w:pPr>
            <w:r>
              <w:rPr>
                <w:b w:val="0"/>
                <w:i w:val="0"/>
                <w:sz w:val="19"/>
              </w:rPr>
              <w:t>Keep previously treated extrahepatic disease closed in the initial CRLM pathway. Propose one narrow study stratum for limited, completely treated lung-only metastases; every other site stays closed.</w:t>
            </w:r>
          </w:p>
        </w:tc>
        <w:tc>
          <w:tcPr>
            <w:tcW w:type="dxa" w:w="2520"/>
            <w:tcW w:w="1500" w:type="dxa"/>
            <w:shd w:val="clear" w:color="auto" w:fill="F1F5F8"/>
          </w:tcPr>
          <w:p>
            <w:pPr>
              <w:spacing w:after="0"/>
            </w:pPr>
            <w:r>
              <w:rPr>
                <w:b w:val="0"/>
                <w:i w:val="0"/>
                <w:color w:val="5A6069"/>
                <w:sz w:val="18"/>
              </w:rPr>
              <w:t>Closed · lung-only study proposed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CRLM-B1 — Confirm that complete resection is not feasible</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What exactly proves persistent unresectability?</w:t>
      </w:r>
    </w:p>
    <w:p>
      <w:pPr>
        <w:spacing w:after="80"/>
      </w:pPr>
      <w:r>
        <w:rPr>
          <w:b/>
          <w:i w:val="0"/>
        </w:rPr>
        <w:t xml:space="preserve">When it applies: </w:t>
      </w:r>
      <w:r>
        <w:rPr>
          <w:b w:val="0"/>
          <w:i w:val="0"/>
        </w:rPr>
        <w:t>Confirm persistent unresectability after reviewing all realistic approaches to complete tumor clearance.</w:t>
      </w:r>
    </w:p>
    <w:p>
      <w:pPr>
        <w:spacing w:after="80"/>
      </w:pPr>
      <w:r>
        <w:rPr>
          <w:b/>
          <w:i w:val="0"/>
        </w:rPr>
        <w:t xml:space="preserve">Where it is decided: </w:t>
      </w:r>
      <w:hyperlink r:id="rId6">
        <w:r>
          <w:rPr>
            <w:color w:val="0563C1"/>
            <w:u w:val="single"/>
          </w:rPr>
          <w:t xml:space="preserve">Confirm unresectability</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“at least two expert liver surgeons” Independent expert unresectability assessment was part of the trial, not inferred from tumor count.</w:t>
            </w:r>
          </w:p>
        </w:tc>
        <w:tc>
          <w:tcPr>
            <w:tcW w:type="dxa" w:w="3360"/>
            <w:tcW w:w="2400" w:type="dxa"/>
            <w:shd w:val="clear" w:color="auto" w:fill="F1F5F8"/>
          </w:tcPr>
          <w:p>
            <w:pPr>
              <w:spacing w:after="0"/>
            </w:pPr>
            <w:r>
              <w:rPr>
                <w:b w:val="0"/>
                <w:i w:val="0"/>
                <w:color w:val="5A6069"/>
                <w:sz w:val="18"/>
              </w:rPr>
              <w:t>Published PDF p3 / journal p1109, Procedures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“does not estimate the function and regenerative capacity of FLR” CT volume alone does not establish function. Table 2 gives &gt;20%, &gt;30% and &gt;40% suggested resection thresholds for normal, chemotherapy-exposed and cirrhotic/cholestatic liver respectively.</w:t>
            </w:r>
          </w:p>
        </w:tc>
        <w:tc>
          <w:tcPr>
            <w:tcW w:type="dxa" w:w="3360"/>
            <w:tcW w:w="2400" w:type="dxa"/>
            <w:shd w:val="clear" w:color="auto" w:fill="FFFFFF"/>
          </w:tcPr>
          <w:p>
            <w:pPr>
              <w:spacing w:after="0"/>
            </w:pPr>
            <w:r>
              <w:rPr>
                <w:b w:val="0"/>
                <w:i w:val="0"/>
                <w:color w:val="5A6069"/>
                <w:sz w:val="18"/>
              </w:rPr>
              <w:t>CIRSE 2024, Indications and Contra-Indications; thresholds in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Dueland 2020 · SECA-II</w:t>
            </w:r>
          </w:p>
        </w:tc>
        <w:tc>
          <w:tcPr>
            <w:tcW w:type="dxa" w:w="3360"/>
            <w:tcW w:w="3900" w:type="dxa"/>
            <w:shd w:val="clear" w:color="auto" w:fill="F1F5F8"/>
          </w:tcPr>
          <w:p>
            <w:pPr>
              <w:spacing w:after="0"/>
            </w:pPr>
            <w:r>
              <w:rPr>
                <w:b w:val="0"/>
                <w:i w:val="0"/>
                <w:sz w:val="19"/>
              </w:rPr>
              <w:t>Prospective single-centre SECA-II initial report, 15 highly selected recipients transplanted 2012–2016, without a randomized non-LT comparator. R0 primary; ECOG 0–1; liver-only disease with no prior extrahepatic metastases; at least one year from diagnosis to listing; at least 10% chemotherapy response. Additional size/number and response restrictions applied. All 15 had Oslo score 0–1. Median largest lesion at LT 24 mm, number five; only one KRAS-mutated case. Median wait 29 days, no wait-list dropout.</w:t>
            </w:r>
          </w:p>
        </w:tc>
        <w:tc>
          <w:tcPr>
            <w:tcW w:type="dxa" w:w="3360"/>
            <w:tcW w:w="4180" w:type="dxa"/>
            <w:shd w:val="clear" w:color="auto" w:fill="F1F5F8"/>
          </w:tcPr>
          <w:p>
            <w:pPr>
              <w:spacing w:after="0"/>
            </w:pPr>
            <w:r>
              <w:rPr>
                <w:b w:val="0"/>
                <w:i w:val="0"/>
                <w:sz w:val="19"/>
              </w:rPr>
              <w:t>Time zero LT. Median follow-up 36 months (range 5–60). Reported one-, three-, five-year OS 100%, 83%, 83%; sparse five-year tail. Median DFS 13.7 months, with one-, two-, three-year DFS 53%, 44%, 35%. Eight patients recurred, six in lung. Seven of 15 had Clavien-Dindo IIIa–IVa complications requiring intervention. No adjuvant chemotherapy.</w:t>
            </w:r>
          </w:p>
          <w:p>
            <w:pPr>
              <w:spacing w:after="0"/>
            </w:pPr>
            <w:r>
              <w:rPr>
                <w:b w:val="0"/>
                <w:i/>
                <w:sz w:val="19"/>
              </w:rPr>
              <w:t>Limits: The 15-patient cohort is included in the later 25-patient SECA-II report, not independent corroboration. Selected response, low burden and short wait strongly limit generalizability. The better OS than DFS demonstrates salvage opportunities but not that recurrence is harmless. A 10% response criterion is not the same as the current NLRB &gt;10% growth exclusion or standard RECIST 1.1 progression.</w:t>
            </w:r>
          </w:p>
          <w:p>
            <w:pPr>
              <w:spacing w:after="0"/>
            </w:pPr>
            <w:r>
              <w:rPr>
                <w:b w:val="0"/>
                <w:i w:val="0"/>
                <w:color w:val="5A6069"/>
                <w:sz w:val="18"/>
              </w:rPr>
              <w:t>Ann Surg 2020;271:212–218; local seven-page PDF, pp.1–3 eligibility/Table 1 and pp.4–6 survival/recurrence/complications.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Bilhim 2024</w:t>
            </w:r>
          </w:p>
        </w:tc>
        <w:tc>
          <w:tcPr>
            <w:tcW w:type="dxa" w:w="3360"/>
            <w:tcW w:w="3900" w:type="dxa"/>
            <w:shd w:val="clear" w:color="auto" w:fill="FFFFFF"/>
          </w:tcPr>
          <w:p>
            <w:pPr>
              <w:spacing w:after="0"/>
            </w:pPr>
            <w:r>
              <w:rPr>
                <w:b w:val="0"/>
                <w:i w:val="0"/>
                <w:sz w:val="19"/>
              </w:rPr>
              <w:t>CIRSE consensus standards for portal-vein embolization and liver venous deprivation, 2024; not a transplant-versus-resection comparative trial. Assesses future liver remnant volume and function, vascular/biliary anatomy, parenchymal quality and capacity for hypertrophy before major hepatectomy.</w:t>
            </w:r>
          </w:p>
        </w:tc>
        <w:tc>
          <w:tcPr>
            <w:tcW w:type="dxa" w:w="3360"/>
            <w:tcW w:w="4180" w:type="dxa"/>
            <w:shd w:val="clear" w:color="auto" w:fill="FFFFFF"/>
          </w:tcPr>
          <w:p>
            <w:pPr>
              <w:spacing w:after="0"/>
            </w:pPr>
            <w:r>
              <w:rPr>
                <w:b w:val="0"/>
                <w:i w:val="0"/>
                <w:sz w:val="19"/>
              </w:rPr>
              <w:t>Frequently used planning benchmarks are approximately &gt;20% normal parenchyma, &gt;30% chemotherapy-exposed/injured liver and &gt;40% cirrhosis. These are resection-risk benchmarks, not an LT eligibility test or a guarantee of safe resection.</w:t>
            </w:r>
          </w:p>
          <w:p>
            <w:pPr>
              <w:spacing w:after="0"/>
            </w:pPr>
            <w:r>
              <w:rPr>
                <w:b w:val="0"/>
                <w:i/>
                <w:sz w:val="19"/>
              </w:rPr>
              <w:t>Limits: Volume cannot substitute for function, and the relevant injury severity differs by patient. Failure of a numerical FLR threshold alone does not establish persistent oncological unresectability if PVE/LVD, staged or parenchymal-sparing treatment remains feasible.</w:t>
            </w:r>
          </w:p>
          <w:p>
            <w:pPr>
              <w:spacing w:after="0"/>
            </w:pPr>
            <w:r>
              <w:rPr>
                <w:b w:val="0"/>
                <w:i w:val="0"/>
                <w:color w:val="5A6069"/>
                <w:sz w:val="18"/>
              </w:rPr>
              <w:t>Cardiovasc Intervent Radiol 2024;47:1025–1036; complete PDF patient selection/FLR assessment.</w:t>
            </w:r>
          </w:p>
        </w:tc>
      </w:tr>
    </w:tbl>
    <w:p>
      <w:pPr>
        <w:spacing w:after="40"/>
      </w:pPr>
    </w:p>
    <w:p>
      <w:pPr>
        <w:pStyle w:val="Heading3"/>
        <w:keepNext/>
        <w:spacing w:before="120" w:after="80"/>
      </w:pPr>
      <w:r>
        <w:rPr>
          <w:b w:val="0"/>
          <w:i w:val="0"/>
        </w:rPr>
        <w:t>Our proposed selection (OPEN)</w:t>
      </w:r>
    </w:p>
    <w:p>
      <w:pPr>
        <w:spacing w:after="80"/>
      </w:pPr>
      <w:r>
        <w:rPr>
          <w:b w:val="0"/>
          <w:i w:val="0"/>
        </w:rPr>
        <w:t>Require two expert HPB certifications of persistent unresectability, not a lesion-count shortcut.</w:t>
      </w:r>
    </w:p>
    <w:p>
      <w:pPr>
        <w:numPr>
          <w:ilvl w:val="0"/>
          <w:numId w:val="5"/>
        </w:numPr>
        <w:spacing w:after="40"/>
      </w:pPr>
      <w:r>
        <w:rPr>
          <w:b w:val="0"/>
          <w:i w:val="0"/>
        </w:rPr>
        <w:t>Proposed requirements: two HPB surgeons, including one who is not the proposed transplant surgeon, agree that complete nontransplant clearance is infeasible. Include radiology, oncology and an ablation/HAI-capable clinician; disagreement is HOLD with independent external review.</w:t>
      </w:r>
    </w:p>
    <w:p>
      <w:pPr>
        <w:numPr>
          <w:ilvl w:val="0"/>
          <w:numId w:val="5"/>
        </w:numPr>
        <w:spacing w:after="40"/>
      </w:pPr>
      <w:r>
        <w:rPr>
          <w:b w:val="0"/>
          <w:i w:val="0"/>
        </w:rPr>
        <w:t>Review parenchymal-sparing, staged, combined resection/ablation and hypertrophy-assisted options. Use FLR benchmarks of about 20% in normal liver, 30% in chemotherapy-injured liver and 40% in cirrhosis to assess resection—not as automatic LT criteria. Assess function, inflow, outflow and biliary drainage as well as volume.</w:t>
      </w:r>
    </w:p>
    <w:p>
      <w:pPr>
        <w:numPr>
          <w:ilvl w:val="0"/>
          <w:numId w:val="5"/>
        </w:numPr>
        <w:spacing w:after="40"/>
      </w:pPr>
      <w:r>
        <w:rPr>
          <w:b w:val="0"/>
          <w:i w:val="0"/>
        </w:rPr>
        <w:t>Renew certification after meaningful response or material treatment change and within 30 days before a final decision to proceed with transplantation. Restage approximately every eight weeks on active treatment. Consider HAI conversion when appropriate; do not mandate HAI treatment for every patient.</w:t>
      </w:r>
    </w:p>
    <w:p>
      <w:pPr>
        <w:spacing w:after="80"/>
      </w:pPr>
      <w:r>
        <w:rPr>
          <w:b/>
          <w:i w:val="0"/>
        </w:rPr>
        <w:t xml:space="preserve">Why: </w:t>
      </w:r>
      <w:r>
        <w:rPr>
          <w:b w:val="0"/>
          <w:i w:val="0"/>
        </w:rPr>
        <w:t>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w:t>
      </w:r>
    </w:p>
    <w:p>
      <w:pPr>
        <w:spacing w:after="80"/>
      </w:pPr>
      <w:r>
        <w:rPr>
          <w:b/>
          <w:i w:val="0"/>
        </w:rPr>
        <w:t xml:space="preserve">Against, or uncertain: </w:t>
      </w:r>
      <w:r>
        <w:rPr>
          <w:b w:val="0"/>
          <w:i w:val="0"/>
        </w:rPr>
        <w:t>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spacing w:after="80"/>
      </w:pPr>
      <w:r>
        <w:rPr>
          <w:b/>
          <w:i w:val="0"/>
        </w:rPr>
        <w:t xml:space="preserve">Certainty: </w:t>
      </w:r>
      <w:r>
        <w:rPr>
          <w:b w:val="0"/>
          <w:i w:val="0"/>
        </w:rPr>
        <w:t>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spacing w:after="80"/>
      </w:pPr>
      <w:r>
        <w:rPr>
          <w:b/>
          <w:i w:val="0"/>
        </w:rPr>
        <w:t xml:space="preserve">Tests and records: </w:t>
      </w:r>
      <w:r>
        <w:rPr>
          <w:b w:val="0"/>
          <w:i w:val="0"/>
        </w:rPr>
        <w:t>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spacing w:after="80"/>
      </w:pPr>
      <w:r>
        <w:rPr>
          <w:b/>
          <w:i w:val="0"/>
        </w:rPr>
        <w:t xml:space="preserve">Allocation: </w:t>
      </w:r>
      <w:r>
        <w:rPr>
          <w:b w:val="0"/>
          <w:i w:val="0"/>
        </w:rPr>
        <w:t>Persistent unresectability is a clinical finding; the separate NLRB molecular, timing, imaging and response requirements still apply if exception review is pursued.</w:t>
      </w:r>
    </w:p>
    <w:p>
      <w:pPr>
        <w:spacing w:after="40"/>
      </w:pPr>
      <w:r>
        <w:rPr>
          <w:b/>
          <w:i w:val="0"/>
        </w:rPr>
        <w:t xml:space="preserve">Basis for the proposed thresholds: </w:t>
      </w:r>
    </w:p>
    <w:p>
      <w:pPr>
        <w:numPr>
          <w:ilvl w:val="0"/>
          <w:numId w:val="5"/>
        </w:numPr>
        <w:spacing w:after="40"/>
      </w:pPr>
      <w:r>
        <w:rPr>
          <w:b w:val="0"/>
          <w:i w:val="0"/>
        </w:rPr>
        <w:t>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spacing w:before="120" w:after="80"/>
      </w:pPr>
      <w:r>
        <w:rPr>
          <w:b w:val="0"/>
          <w:i w:val="0"/>
        </w:rPr>
        <w:t>CRLM-B1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CRLM-B2 — No tumor is visible after treatment</w:t>
      </w:r>
    </w:p>
    <w:p>
      <w:pPr>
        <w:spacing w:after="80"/>
      </w:pPr>
      <w:r>
        <w:rPr>
          <w:b w:val="0"/>
          <w:i w:val="0"/>
          <w:color w:val="5A6069"/>
          <w:sz w:val="18"/>
        </w:rPr>
        <w:t>No transplant for presumed microscopic disease · not activated · High-risk review</w:t>
      </w:r>
    </w:p>
    <w:p>
      <w:pPr>
        <w:spacing w:after="80"/>
      </w:pPr>
      <w:r>
        <w:rPr>
          <w:b/>
          <w:i w:val="0"/>
        </w:rPr>
        <w:t xml:space="preserve">Question: </w:t>
      </w:r>
      <w:r>
        <w:rPr>
          <w:b w:val="0"/>
          <w:i w:val="0"/>
        </w:rPr>
        <w:t>How do we handle PET-negative/disappearing lesions or radiographic NED?</w:t>
      </w:r>
    </w:p>
    <w:p>
      <w:pPr>
        <w:spacing w:after="80"/>
      </w:pPr>
      <w:r>
        <w:rPr>
          <w:b/>
          <w:i w:val="0"/>
        </w:rPr>
        <w:t xml:space="preserve">When it applies: </w:t>
      </w:r>
      <w:r>
        <w:rPr>
          <w:b w:val="0"/>
          <w:i w:val="0"/>
        </w:rPr>
        <w:t>No visible tumor after treatment is a reason to reassess the indication; presumed microscopic disease alone does not justify transplantation.</w:t>
      </w:r>
    </w:p>
    <w:p>
      <w:pPr>
        <w:spacing w:after="80"/>
      </w:pPr>
      <w:r>
        <w:rPr>
          <w:b/>
          <w:i w:val="0"/>
        </w:rPr>
        <w:t xml:space="preserve">Where it is decided: </w:t>
      </w:r>
      <w:hyperlink r:id="rId10">
        <w:r>
          <w:rPr>
            <w:color w:val="0563C1"/>
            <w:u w:val="single"/>
          </w:rPr>
          <w:t xml:space="preserve">Treat and observe</w:t>
        </w:r>
      </w:hyperlink>
      <w:r>
        <w:rPr>
          <w:b w:val="0"/>
          <w:i w:val="0"/>
        </w:rPr>
        <w:t xml:space="preserve"> · </w:t>
      </w:r>
      <w:hyperlink r:id="rId11">
        <w:r>
          <w:rPr>
            <w:color w:val="0563C1"/>
            <w:u w:val="single"/>
          </w:rPr>
          <w:t xml:space="preserve">Restage for transplant</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Chávez-Villa 2023 · occult disease</w:t>
            </w:r>
          </w:p>
        </w:tc>
        <w:tc>
          <w:tcPr>
            <w:tcW w:type="dxa" w:w="3360"/>
            <w:tcW w:w="5480" w:type="dxa"/>
            <w:shd w:val="clear" w:color="auto" w:fill="F1F5F8"/>
          </w:tcPr>
          <w:p>
            <w:pPr>
              <w:spacing w:after="0"/>
            </w:pPr>
            <w:r>
              <w:rPr>
                <w:b w:val="0"/>
                <w:i w:val="0"/>
                <w:sz w:val="19"/>
              </w:rPr>
              <w:t>“4 (57.1%) of the 7 patients who demonstrated complete radiographic response harbored viable carcinoma on explant pathology.” Imaging can miss viable tumor; this selected series does not prove comparative benefit from transplanting all NED patients.</w:t>
            </w:r>
          </w:p>
        </w:tc>
        <w:tc>
          <w:tcPr>
            <w:tcW w:type="dxa" w:w="3360"/>
            <w:tcW w:w="2400" w:type="dxa"/>
            <w:shd w:val="clear" w:color="auto" w:fill="F1F5F8"/>
          </w:tcPr>
          <w:p>
            <w:pPr>
              <w:spacing w:after="0"/>
            </w:pPr>
            <w:r>
              <w:rPr>
                <w:b w:val="0"/>
                <w:i w:val="0"/>
                <w:color w:val="5A6069"/>
                <w:sz w:val="18"/>
              </w:rPr>
              <w:t>Published PDF p1 / journal pe1026,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Chávez-Villa 2023 · occult disease</w:t>
            </w:r>
          </w:p>
        </w:tc>
        <w:tc>
          <w:tcPr>
            <w:tcW w:type="dxa" w:w="3360"/>
            <w:tcW w:w="3900" w:type="dxa"/>
            <w:shd w:val="clear" w:color="auto" w:fill="F1F5F8"/>
          </w:tcPr>
          <w:p>
            <w:pPr>
              <w:spacing w:after="0"/>
            </w:pPr>
            <w:r>
              <w:rPr>
                <w:b w:val="0"/>
                <w:i w:val="0"/>
                <w:sz w:val="19"/>
              </w:rPr>
              <w:t>Retrospective radiology–explant study of 14 selected LT recipients; eight indications were unresectable disease and six treatment-associated liver failure/biliary complications. Median 11 original lesions and 24 chemotherapy cycles; extensive systemic/local therapy. Seven had PET-defined complete radiographic response. This was a transplanted-only, highly selected sample.</w:t>
            </w:r>
          </w:p>
        </w:tc>
        <w:tc>
          <w:tcPr>
            <w:tcW w:type="dxa" w:w="3360"/>
            <w:tcW w:w="4180" w:type="dxa"/>
            <w:shd w:val="clear" w:color="auto" w:fill="F1F5F8"/>
          </w:tcPr>
          <w:p>
            <w:pPr>
              <w:spacing w:after="0"/>
            </w:pPr>
            <w:r>
              <w:rPr>
                <w:b w:val="0"/>
                <w:i w:val="0"/>
                <w:sz w:val="19"/>
              </w:rPr>
              <w:t>Explant contained viable carcinoma in 11/14; nine had additional lesions not accounted for on pre-LT imaging. Four of seven imaging complete responders still had viable tumour. The three pathological complete responders were all in the liver-failure indication group.</w:t>
            </w:r>
          </w:p>
          <w:p>
            <w:pPr>
              <w:spacing w:after="0"/>
            </w:pPr>
            <w:r>
              <w:rPr>
                <w:b w:val="0"/>
                <w:i/>
                <w:sz w:val="19"/>
              </w:rPr>
              <w:t>Limits: 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p>
            <w:pPr>
              <w:spacing w:after="0"/>
            </w:pPr>
            <w:r>
              <w:rPr>
                <w:b w:val="0"/>
                <w:i w:val="0"/>
                <w:color w:val="5A6069"/>
                <w:sz w:val="18"/>
              </w:rPr>
              <w:t>Ann Surg 2023;278:e1026–e1034; full PDF methods, radiology/explant correlation tables, Results and Discussion.</w:t>
            </w:r>
          </w:p>
        </w:tc>
      </w:tr>
      <w:tr>
        <w:trPr>
          <w:cantSplit/>
        </w:trPr>
        <w:tc>
          <w:tcPr>
            <w:tcW w:type="dxa" w:w="3360"/>
            <w:tcW w:w="2000" w:type="dxa"/>
            <w:shd w:val="clear" w:color="auto" w:fill="FFFFFF"/>
          </w:tcPr>
          <w:p>
            <w:pPr>
              <w:spacing w:after="0"/>
            </w:pPr>
            <w:r>
              <w:rPr>
                <w:b/>
                <w:i w:val="0"/>
                <w:sz w:val="19"/>
              </w:rPr>
              <w:t>Kataoka 2025 · DREAM</w:t>
            </w:r>
          </w:p>
        </w:tc>
        <w:tc>
          <w:tcPr>
            <w:tcW w:type="dxa" w:w="3360"/>
            <w:tcW w:w="3900" w:type="dxa"/>
            <w:shd w:val="clear" w:color="auto" w:fill="FFFFFF"/>
          </w:tcPr>
          <w:p>
            <w:pPr>
              <w:spacing w:after="0"/>
            </w:pPr>
            <w:r>
              <w:rPr>
                <w:b w:val="0"/>
                <w:i w:val="0"/>
                <w:sz w:val="19"/>
              </w:rPr>
              <w:t>Prospective international DREAM diagnostic study at 21 centres: 233 registered initially unresectable/borderline CRLM patients, 112 planned conversion surgery, 109 operated. Primary diagnostic analysis had 152 evaluable CT-plus-MRI disappearing lesions from 44 patients. Post-treatment CT plus MRI (diffusion, T1/T2 and contrast); disappearance on both defined confirmed DLM. Reference was pathology for resected sites or no site recurrence over two years for unresected sites. Fifty-one confirmed lesions were non-evaluable, including deaths and incomplete imaging follow-up.</w:t>
            </w:r>
          </w:p>
        </w:tc>
        <w:tc>
          <w:tcPr>
            <w:tcW w:type="dxa" w:w="3360"/>
            <w:tcW w:w="4180" w:type="dxa"/>
            <w:shd w:val="clear" w:color="auto" w:fill="FFFFFF"/>
          </w:tcPr>
          <w:p>
            <w:pPr>
              <w:spacing w:after="0"/>
            </w:pPr>
            <w:r>
              <w:rPr>
                <w:b w:val="0"/>
                <w:i w:val="0"/>
                <w:sz w:val="19"/>
              </w:rPr>
              <w:t>Nonviability NPV was 62.5% (95/152; 90% CI 50.8–74.2), failing the prespecified &gt;85% benchmark; CT-alone NPV 52.9%. Resected confirmed DLM: 50/88 nonviable; left-behind: 45/64 without site recurrence. In the n=45 R0/1, no-extrahepatic-disease subgroup, resecting all confirmed DLM (19 patients) versus leaving at least one (26) yielded DFS HR 0.92 (95% CI 0.48–1.77), OS HR 0.80 (0.21–3.08), with time measured after surgery; survival comparisons were not powered or randomized. Median follow-up 26.1 months.</w:t>
            </w:r>
          </w:p>
          <w:p>
            <w:pPr>
              <w:spacing w:after="0"/>
            </w:pPr>
            <w:r>
              <w:rPr>
                <w:b w:val="0"/>
                <w:i/>
                <w:sz w:val="19"/>
              </w:rPr>
              <w:t>Limits: Lesion-level diagnostic probability is not patient-level benefit. Two-year non-recurrence is not pathology; evaluability selection and noncentral imaging review are limitations. Neither disappearance equals cure nor uncertain viability requires removal/LT. A nonsignificant survival comparison is not equivalence or evidence that resection is futile.</w:t>
            </w:r>
          </w:p>
          <w:p>
            <w:pPr>
              <w:spacing w:after="0"/>
            </w:pPr>
            <w:r>
              <w:rPr>
                <w:b w:val="0"/>
                <w:i w:val="0"/>
                <w:color w:val="5A6069"/>
                <w:sz w:val="18"/>
              </w:rPr>
              <w:t>JAMA Surg 2025 DOI10.1001/jamasurg.2025.3600; PDF E1–E3 design/endpoint; E5 Figure 1 and survival; E7 Figure 4/limitations.</w:t>
            </w:r>
          </w:p>
        </w:tc>
      </w:tr>
      <w:tr>
        <w:trPr>
          <w:cantSplit/>
        </w:trPr>
        <w:tc>
          <w:tcPr>
            <w:tcW w:type="dxa" w:w="3360"/>
            <w:tcW w:w="2000" w:type="dxa"/>
            <w:shd w:val="clear" w:color="auto" w:fill="F1F5F8"/>
          </w:tcPr>
          <w:p>
            <w:pPr>
              <w:spacing w:after="0"/>
            </w:pPr>
            <w:r>
              <w:rPr>
                <w:b/>
                <w:i w:val="0"/>
                <w:sz w:val="19"/>
              </w:rPr>
              <w:t>Oba 2018 · disappearing lesions</w:t>
            </w:r>
          </w:p>
        </w:tc>
        <w:tc>
          <w:tcPr>
            <w:tcW w:type="dxa" w:w="3360"/>
            <w:tcW w:w="3900" w:type="dxa"/>
            <w:shd w:val="clear" w:color="auto" w:fill="F1F5F8"/>
          </w:tcPr>
          <w:p>
            <w:pPr>
              <w:spacing w:after="0"/>
            </w:pPr>
            <w:r>
              <w:rPr>
                <w:b w:val="0"/>
                <w:i w:val="0"/>
                <w:sz w:val="19"/>
              </w:rPr>
              <w:t>Retrospective hepatectomy imaging series, 184 patients, 59 with 275 CT-disappearing metastases; primary published abstract verified, full PDF pending. Hepatocyte-specific MRI followed by contrast-enhanced intraoperative ultrasound (CE-IOUS); surgically selected population, unlike an all-transplant referral cohort.</w:t>
            </w:r>
          </w:p>
        </w:tc>
        <w:tc>
          <w:tcPr>
            <w:tcW w:type="dxa" w:w="3360"/>
            <w:tcW w:w="4180" w:type="dxa"/>
            <w:shd w:val="clear" w:color="auto" w:fill="F1F5F8"/>
          </w:tcPr>
          <w:p>
            <w:pPr>
              <w:spacing w:after="0"/>
            </w:pPr>
            <w:r>
              <w:rPr>
                <w:b w:val="0"/>
                <w:i w:val="0"/>
                <w:sz w:val="19"/>
              </w:rPr>
              <w:t>MRI identified 71 CT-disappearing lesions, of which 65 were viable; CE-IOUS found 94 additional lesions. Of 110 undetected by both modalities, 68 were resected and three viable (4%); among 42 left behind, six recurred (14%) over median 27 months.</w:t>
            </w:r>
          </w:p>
          <w:p>
            <w:pPr>
              <w:spacing w:after="0"/>
            </w:pPr>
            <w:r>
              <w:rPr>
                <w:b w:val="0"/>
                <w:i/>
                <w:sz w:val="19"/>
              </w:rPr>
              <w:t>Limits: Lesion-level retrospective selection and assay sequence differ from DREAM. More sensitive imaging can identify residual disease, but these data do not prove that every original site must be resected or that NED warrants LT.</w:t>
            </w:r>
          </w:p>
          <w:p>
            <w:pPr>
              <w:spacing w:after="0"/>
            </w:pPr>
            <w:r>
              <w:rPr>
                <w:b w:val="0"/>
                <w:i w:val="0"/>
                <w:color w:val="5A6069"/>
                <w:sz w:val="18"/>
              </w:rPr>
              <w:t>HPB 2018;20:708–714; DOI10.1016/j.hpb.2018.02.377; PMID29534862 abstract.</w:t>
            </w:r>
          </w:p>
        </w:tc>
      </w:tr>
      <w:tr>
        <w:trPr>
          <w:cantSplit/>
        </w:trPr>
        <w:tc>
          <w:tcPr>
            <w:tcW w:type="dxa" w:w="3360"/>
            <w:tcW w:w="2000" w:type="dxa"/>
            <w:shd w:val="clear" w:color="auto" w:fill="FFFFFF"/>
          </w:tcPr>
          <w:p>
            <w:pPr>
              <w:spacing w:after="0"/>
            </w:pPr>
            <w:r>
              <w:rPr>
                <w:b/>
                <w:i w:val="0"/>
                <w:sz w:val="19"/>
              </w:rPr>
              <w:t>Wehrle 2024 · intensive LRT</w:t>
            </w:r>
          </w:p>
        </w:tc>
        <w:tc>
          <w:tcPr>
            <w:tcW w:type="dxa" w:w="3360"/>
            <w:tcW w:w="3900" w:type="dxa"/>
            <w:shd w:val="clear" w:color="auto" w:fill="FFFFFF"/>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FFFFF"/>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bl>
    <w:p>
      <w:pPr>
        <w:spacing w:after="40"/>
      </w:pPr>
    </w:p>
    <w:p>
      <w:pPr>
        <w:pStyle w:val="Heading3"/>
        <w:keepNext/>
        <w:spacing w:before="120" w:after="80"/>
      </w:pPr>
      <w:r>
        <w:rPr>
          <w:b w:val="0"/>
          <w:i w:val="0"/>
        </w:rPr>
        <w:t>Our proposed selection (OPEN)</w:t>
      </w:r>
    </w:p>
    <w:p>
      <w:pPr>
        <w:spacing w:after="80"/>
      </w:pPr>
      <w:r>
        <w:rPr>
          <w:b w:val="0"/>
          <w:i w:val="0"/>
        </w:rPr>
        <w:t>Do not activate LT solely for presumed microscopic disease in radiographic NED; separate residual cancer from treatment-related liver failure.</w:t>
      </w:r>
    </w:p>
    <w:p>
      <w:pPr>
        <w:numPr>
          <w:ilvl w:val="0"/>
          <w:numId w:val="5"/>
        </w:numPr>
        <w:spacing w:after="40"/>
      </w:pPr>
      <w:r>
        <w:rPr>
          <w:b w:val="0"/>
          <w:i w:val="0"/>
        </w:rPr>
        <w:t>Residual unresectable disease: convincing viable/suspicious disease on appropriate cross-sectional imaging may proceed to B1 review even if PET is negative. PET negativity alone does not prove cure.</w:t>
      </w:r>
    </w:p>
    <w:p>
      <w:pPr>
        <w:numPr>
          <w:ilvl w:val="0"/>
          <w:numId w:val="5"/>
        </w:numPr>
        <w:spacing w:after="40"/>
      </w:pPr>
      <w:r>
        <w:rPr>
          <w:b w:val="0"/>
          <w:i w:val="0"/>
        </w:rPr>
        <w:t>Radiographic NED/occult-residual-risk: no convincing remaining disease on high-quality staging. Maintain the original lesion map, continue appropriate oncology care and reassess in about eight weeks; LT for presumed microscopic risk requires a separately approved NED study.</w:t>
      </w:r>
    </w:p>
    <w:p>
      <w:pPr>
        <w:numPr>
          <w:ilvl w:val="0"/>
          <w:numId w:val="5"/>
        </w:numPr>
        <w:spacing w:after="40"/>
      </w:pPr>
      <w:r>
        <w:rPr>
          <w:b w:val="0"/>
          <w:i w:val="0"/>
        </w:rPr>
        <w:t>Irreversible treatment-related liver failure: evaluate a separate liver-failure indication with independent hepatology and oncologic-suitability review. Do not relabel it active unresectable cancer. Do not stop effective treatment to provoke recurrence or biopsy every scar.</w:t>
      </w:r>
    </w:p>
    <w:p>
      <w:pPr>
        <w:numPr>
          <w:ilvl w:val="0"/>
          <w:numId w:val="5"/>
        </w:numPr>
        <w:spacing w:after="40"/>
      </w:pPr>
      <w:r>
        <w:rPr>
          <w:b w:val="0"/>
          <w:i w:val="0"/>
        </w:rPr>
        <w:t>Keep all original lesion sites mapped. Disappearance does not establish eradication, but uncertain microscopic viability alone does not establish persistent unresectability or transplant benefit; diagnostic accuracy and treatment benefit are different questions.</w:t>
      </w:r>
    </w:p>
    <w:p>
      <w:pPr>
        <w:spacing w:after="80"/>
      </w:pPr>
      <w:r>
        <w:rPr>
          <w:b/>
          <w:i w:val="0"/>
        </w:rPr>
        <w:t xml:space="preserve">Why: </w:t>
      </w:r>
      <w:r>
        <w:rPr>
          <w:b w:val="0"/>
          <w:i w:val="0"/>
        </w:rPr>
        <w:t>CT/MRI/PET negativity cannot reliably establish pathological eradication. However, uncertain residual microscopic disease also does not automatically establish clinically meaningful persistent unresectability or an LT benefit. DREAM provides the crucial balance: substantial residual risk despite disappearance, but no adequately powered proof that removing every invisible site improves survival. The small US LT series is genuine NED/injury experience but remains selected and uncontrolled.</w:t>
      </w:r>
    </w:p>
    <w:p>
      <w:pPr>
        <w:spacing w:after="80"/>
      </w:pPr>
      <w:r>
        <w:rPr>
          <w:b/>
          <w:i w:val="0"/>
        </w:rPr>
        <w:t xml:space="preserve">Against, or uncertain: </w:t>
      </w:r>
      <w:r>
        <w:rPr>
          <w:b w:val="0"/>
          <w:i w:val="0"/>
        </w:rPr>
        <w:t>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spacing w:after="80"/>
      </w:pPr>
      <w:r>
        <w:rPr>
          <w:b/>
          <w:i w:val="0"/>
        </w:rPr>
        <w:t xml:space="preserve">Certainty: </w:t>
      </w:r>
      <w:r>
        <w:rPr>
          <w:b w:val="0"/>
          <w:i w:val="0"/>
        </w:rPr>
        <w:t>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spacing w:after="80"/>
      </w:pPr>
      <w:r>
        <w:rPr>
          <w:b/>
          <w:i w:val="0"/>
        </w:rPr>
        <w:t xml:space="preserve">Tests and records: </w:t>
      </w:r>
      <w:r>
        <w:rPr>
          <w:b w:val="0"/>
          <w:i w:val="0"/>
        </w:rPr>
        <w:t>Expert comparison of pretreatment and current liver MRI/CT; systemic staging; treatment dates and PET interpretation; liver reserve; separate adjudication of NED versus suspicious residual sites.</w:t>
      </w:r>
    </w:p>
    <w:p>
      <w:pPr>
        <w:spacing w:after="80"/>
      </w:pPr>
      <w:r>
        <w:rPr>
          <w:b/>
          <w:i w:val="0"/>
        </w:rPr>
        <w:t xml:space="preserve">Allocation: </w:t>
      </w:r>
      <w:r>
        <w:rPr>
          <w:b w:val="0"/>
          <w:i w:val="0"/>
        </w:rPr>
        <w:t>A separate liver-failure indication does not automatically meet the CRLM exception pathway. Obtain case-specific clinical and allocation adjudication.</w:t>
      </w:r>
    </w:p>
    <w:p>
      <w:pPr>
        <w:spacing w:after="40"/>
      </w:pPr>
      <w:r>
        <w:rPr>
          <w:b/>
          <w:i w:val="0"/>
        </w:rPr>
        <w:t xml:space="preserve">Basis for the proposed thresholds: </w:t>
      </w:r>
    </w:p>
    <w:p>
      <w:pPr>
        <w:numPr>
          <w:ilvl w:val="0"/>
          <w:numId w:val="5"/>
        </w:numPr>
        <w:spacing w:after="40"/>
      </w:pPr>
      <w:r>
        <w:rPr>
          <w:b w:val="0"/>
          <w:i w:val="0"/>
        </w:rPr>
        <w:t>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spacing w:before="120" w:after="80"/>
      </w:pPr>
      <w:r>
        <w:rPr>
          <w:b w:val="0"/>
          <w:i w:val="0"/>
        </w:rPr>
        <w:t>CRLM-B2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CRLM-B3 — Molecular findings and other initial limits</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Which molecular or extrahepatic expansions should be studied?</w:t>
      </w:r>
    </w:p>
    <w:p>
      <w:pPr>
        <w:spacing w:after="80"/>
      </w:pPr>
      <w:r>
        <w:rPr>
          <w:b/>
          <w:i w:val="0"/>
        </w:rPr>
        <w:t xml:space="preserve">When it applies: </w:t>
      </w:r>
      <w:r>
        <w:rPr>
          <w:b w:val="0"/>
          <w:i w:val="0"/>
        </w:rPr>
        <w:t>Review molecular markers, CEA, primary-tumor margins and treatment timing. Previous extrahepatic disease has its own review (CRLM-B5).</w:t>
      </w:r>
    </w:p>
    <w:p>
      <w:pPr>
        <w:spacing w:after="80"/>
      </w:pPr>
      <w:r>
        <w:rPr>
          <w:b/>
          <w:i w:val="0"/>
        </w:rPr>
        <w:t xml:space="preserve">Where it is decided: </w:t>
      </w:r>
      <w:hyperlink r:id="rId13">
        <w:r>
          <w:rPr>
            <w:color w:val="0563C1"/>
            <w:u w:val="single"/>
          </w:rPr>
          <w:t xml:space="preserve">Review molecular markers and CEA</w:t>
        </w:r>
      </w:hyperlink>
      <w:r>
        <w:rPr>
          <w:b w:val="0"/>
          <w:i w:val="0"/>
        </w:rPr>
        <w:t xml:space="preserve"> · </w:t>
      </w:r>
      <w:hyperlink r:id="rId14">
        <w:r>
          <w:rPr>
            <w:color w:val="0563C1"/>
            <w:u w:val="single"/>
          </w:rPr>
          <w:t xml:space="preserve">Confirm primary treatment and timing</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“BRAF wild type, microsatellite stable” Molecular guidance is more specific than simply “favorable biology”; KRAS is not stated as a blanket exclusion.</w:t>
            </w:r>
          </w:p>
        </w:tc>
        <w:tc>
          <w:tcPr>
            <w:tcW w:type="dxa" w:w="3360"/>
            <w:tcW w:w="2400" w:type="dxa"/>
            <w:shd w:val="clear" w:color="auto" w:fill="F1F5F8"/>
          </w:tcPr>
          <w:p>
            <w:pPr>
              <w:spacing w:after="0"/>
            </w:pPr>
            <w:r>
              <w:rPr>
                <w:b w:val="0"/>
                <w:i w:val="0"/>
                <w:color w:val="5A6069"/>
                <w:sz w:val="18"/>
              </w:rPr>
              <w:t>December 2025 oncology guidance p9, initial CRLM exception criteria</w:t>
            </w:r>
          </w:p>
        </w:tc>
      </w:tr>
      <w:tr>
        <w:trPr>
          <w:cantSplit/>
        </w:trPr>
        <w:tc>
          <w:tcPr>
            <w:tcW w:type="dxa" w:w="3360"/>
            <w:tcW w:w="2200" w:type="dxa"/>
            <w:shd w:val="clear" w:color="auto" w:fill="FFFFFF"/>
          </w:tcPr>
          <w:p>
            <w:pPr>
              <w:spacing w:after="0"/>
            </w:pPr>
            <w:r>
              <w:rPr>
                <w:b/>
                <w:i w:val="0"/>
                <w:sz w:val="19"/>
              </w:rPr>
              <w:t>SECA-II arm D</w:t>
            </w:r>
          </w:p>
        </w:tc>
        <w:tc>
          <w:tcPr>
            <w:tcW w:type="dxa" w:w="3360"/>
            <w:tcW w:w="5480" w:type="dxa"/>
            <w:shd w:val="clear" w:color="auto" w:fill="FFFFFF"/>
          </w:tcPr>
          <w:p>
            <w:pPr>
              <w:spacing w:after="0"/>
            </w:pPr>
            <w:r>
              <w:rPr>
                <w:b w:val="0"/>
                <w:i w:val="0"/>
                <w:sz w:val="19"/>
              </w:rPr>
              <w:t>“Median disease-free and overall survival was 4 and 18 months respectively.” Poor outcomes after multiple simultaneous relaxations caution against broad expansion; the study does not isolate any one criterion’s causal effect.</w:t>
            </w:r>
          </w:p>
        </w:tc>
        <w:tc>
          <w:tcPr>
            <w:tcW w:type="dxa" w:w="3360"/>
            <w:tcW w:w="2400" w:type="dxa"/>
            <w:shd w:val="clear" w:color="auto" w:fill="FFFFFF"/>
          </w:tcPr>
          <w:p>
            <w:pPr>
              <w:spacing w:after="0"/>
            </w:pPr>
            <w:r>
              <w:rPr>
                <w:b w:val="0"/>
                <w:i w:val="0"/>
                <w:color w:val="5A6069"/>
                <w:sz w:val="18"/>
              </w:rPr>
              <w:t>Published PDF p1 / journal p467,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Grut 2022 · MTV</w:t>
            </w:r>
          </w:p>
        </w:tc>
        <w:tc>
          <w:tcPr>
            <w:tcW w:type="dxa" w:w="3360"/>
            <w:tcW w:w="3900" w:type="dxa"/>
            <w:shd w:val="clear" w:color="auto" w:fill="FFFFFF"/>
          </w:tcPr>
          <w:p>
            <w:pPr>
              <w:spacing w:after="0"/>
            </w:pPr>
            <w:r>
              <w:rPr>
                <w:b w:val="0"/>
                <w:i w:val="0"/>
                <w:sz w:val="19"/>
              </w:rPr>
              <w:t>Retrospective prognostic analysis of 40 SECA recipients (23 SECA-I, 17 SECA-II); overlapping, not a new transplant efficacy cohort. Pretransplant FDG-PET MTV quantified across liver lesions. Outcome-derived ROC cutoff 66.09 cm³ was rounded to 70; TLG cutoff was 238.8, not identical to IHPBA's 260 recommendation. PET timing relative to chemotherapy and LT affects measurement.</w:t>
            </w:r>
          </w:p>
        </w:tc>
        <w:tc>
          <w:tcPr>
            <w:tcW w:type="dxa" w:w="3360"/>
            <w:tcW w:w="4180" w:type="dxa"/>
            <w:shd w:val="clear" w:color="auto" w:fill="FFFFFF"/>
          </w:tcPr>
          <w:p>
            <w:pPr>
              <w:spacing w:after="0"/>
            </w:pPr>
            <w:r>
              <w:rPr>
                <w:b w:val="0"/>
                <w:i w:val="0"/>
                <w:sz w:val="19"/>
              </w:rPr>
              <w:t>MTV &lt;70 group n=26 versus higher MTV n=14: five-year OS 76% versus 21%, ten-year OS 50% versus 7%, measured from LT. This is a prognostic association in transplanted patients.</w:t>
            </w:r>
          </w:p>
          <w:p>
            <w:pPr>
              <w:spacing w:after="0"/>
            </w:pPr>
            <w:r>
              <w:rPr>
                <w:b w:val="0"/>
                <w:i/>
                <w:sz w:val="19"/>
              </w:rPr>
              <w:t>Limits: Data-derived cutoff, small sample, SECA overlap and no non-LT interaction test. Reducing MTV below 70 with treatment has not been shown to cause improved LT benefit; PET negativity cannot certify microscopic eradication.</w:t>
            </w:r>
          </w:p>
          <w:p>
            <w:pPr>
              <w:spacing w:after="0"/>
            </w:pPr>
            <w:r>
              <w:rPr>
                <w:b w:val="0"/>
                <w:i w:val="0"/>
                <w:color w:val="5A6069"/>
                <w:sz w:val="18"/>
              </w:rPr>
              <w:t>Ann Nucl Med 2022;36:1073–1081; Methods ROC/cutoffs, Results survival tables/figures and PET-timing discussion.</w:t>
            </w:r>
          </w:p>
        </w:tc>
      </w:tr>
      <w:tr>
        <w:trPr>
          <w:cantSplit/>
        </w:trPr>
        <w:tc>
          <w:tcPr>
            <w:tcW w:type="dxa" w:w="3360"/>
            <w:tcW w:w="2000" w:type="dxa"/>
            <w:shd w:val="clear" w:color="auto" w:fill="F1F5F8"/>
          </w:tcPr>
          <w:p>
            <w:pPr>
              <w:spacing w:after="0"/>
            </w:pPr>
            <w:r>
              <w:rPr>
                <w:b/>
                <w:i w:val="0"/>
                <w:sz w:val="19"/>
              </w:rPr>
              <w:t>Wehrle 2025 · PET</w:t>
            </w:r>
          </w:p>
        </w:tc>
        <w:tc>
          <w:tcPr>
            <w:tcW w:type="dxa" w:w="3360"/>
            <w:tcW w:w="3900" w:type="dxa"/>
            <w:shd w:val="clear" w:color="auto" w:fill="F1F5F8"/>
          </w:tcPr>
          <w:p>
            <w:pPr>
              <w:spacing w:after="0"/>
            </w:pPr>
            <w:r>
              <w:rPr>
                <w:b w:val="0"/>
                <w:i w:val="0"/>
                <w:sz w:val="19"/>
              </w:rPr>
              <w:t>Two-US-centre retrospective study of 26 recipients, 2017–2023; 24 received living-donor grafts. Published abstract reviewed; complete PDF unavailable in searched depots/Downloads. Highly selected CRLM recipients with pre-LT PET, not an unselected screening cohort. Possible institutional and patient overlap with US intensive-LRT, occult-explant and ctDNA reports.</w:t>
            </w:r>
          </w:p>
        </w:tc>
        <w:tc>
          <w:tcPr>
            <w:tcW w:type="dxa" w:w="3360"/>
            <w:tcW w:w="4180" w:type="dxa"/>
            <w:shd w:val="clear" w:color="auto" w:fill="F1F5F8"/>
          </w:tcPr>
          <w:p>
            <w:pPr>
              <w:spacing w:after="0"/>
            </w:pPr>
            <w:r>
              <w:rPr>
                <w:b w:val="0"/>
                <w:i w:val="0"/>
                <w:sz w:val="19"/>
              </w:rPr>
              <w:t>Eight recurrences; median follow-up 609 days. Abstract reports two-year OS 11/13 and RFS 8/13 among those reaching that follow-up, and median RFS 0.83 versus 4.1 years with MTV at least 70 versus below 70.</w:t>
            </w:r>
          </w:p>
          <w:p>
            <w:pPr>
              <w:spacing w:after="0"/>
            </w:pPr>
            <w:r>
              <w:rPr>
                <w:b w:val="0"/>
                <w:i/>
                <w:sz w:val="19"/>
              </w:rPr>
              <w:t>Limits: Small, short follow-up and abstract numerical/CI inconsistencies. Do not reproduce its inconsistent hazard ratio or call the 70-cm³ rule prospectively validated. Retrieve full methods before using for a binding operational cutoff.</w:t>
            </w:r>
          </w:p>
          <w:p>
            <w:pPr>
              <w:spacing w:after="0"/>
            </w:pPr>
            <w:r>
              <w:rPr>
                <w:b w:val="0"/>
                <w:i w:val="0"/>
                <w:color w:val="5A6069"/>
                <w:sz w:val="18"/>
              </w:rPr>
              <w:t>Liver Transpl 2025;31:298–310; PubMed PMID39526884 abstract only.</w:t>
            </w:r>
          </w:p>
        </w:tc>
      </w:tr>
      <w:tr>
        <w:trPr>
          <w:cantSplit/>
        </w:trPr>
        <w:tc>
          <w:tcPr>
            <w:tcW w:type="dxa" w:w="3360"/>
            <w:tcW w:w="2000" w:type="dxa"/>
            <w:shd w:val="clear" w:color="auto" w:fill="FFFFFF"/>
          </w:tcPr>
          <w:p>
            <w:pPr>
              <w:spacing w:after="0"/>
            </w:pPr>
            <w:r>
              <w:rPr>
                <w:b/>
                <w:i w:val="0"/>
                <w:sz w:val="19"/>
              </w:rPr>
              <w:t>Wehrle 2023 · ctDNA</w:t>
            </w:r>
          </w:p>
        </w:tc>
        <w:tc>
          <w:tcPr>
            <w:tcW w:type="dxa" w:w="3360"/>
            <w:tcW w:w="3900" w:type="dxa"/>
            <w:shd w:val="clear" w:color="auto" w:fill="FFFFFF"/>
          </w:tcPr>
          <w:p>
            <w:pPr>
              <w:spacing w:after="0"/>
            </w:pPr>
            <w:r>
              <w:rPr>
                <w:b w:val="0"/>
                <w:i w:val="0"/>
                <w:sz w:val="19"/>
              </w:rPr>
              <w:t>Observational mixed resection/LT cohort, 52 patients with ctDNA data, 34 preoperative and 18 postoperative tests; only nine paired samples. Abstract-only verification. Guardant360 profiling, variable timing; the 29 mutation types reported are not 29 patients. Not a ctDNA-directed LT eligibility trial.</w:t>
            </w:r>
          </w:p>
        </w:tc>
        <w:tc>
          <w:tcPr>
            <w:tcW w:type="dxa" w:w="3360"/>
            <w:tcW w:w="4180" w:type="dxa"/>
            <w:shd w:val="clear" w:color="auto" w:fill="FFFFFF"/>
          </w:tcPr>
          <w:p>
            <w:pPr>
              <w:spacing w:after="0"/>
            </w:pPr>
            <w:r>
              <w:rPr>
                <w:b w:val="0"/>
                <w:i w:val="0"/>
                <w:sz w:val="19"/>
              </w:rPr>
              <w:t>All nine paired patients were ctDNA-positive preoperatively; three remained positive postoperatively. Abstract reports postoperative recurrence 57% versus 0% by ctDNA status (P=0.0419).</w:t>
            </w:r>
          </w:p>
          <w:p>
            <w:pPr>
              <w:spacing w:after="0"/>
            </w:pPr>
            <w:r>
              <w:rPr>
                <w:b w:val="0"/>
                <w:i/>
                <w:sz w:val="19"/>
              </w:rPr>
              <w:t>Limits: Small numbers, mixed operations, incomplete pairs, possible overlap with other centre cohorts and no strategy comparison. Association supports research and risk discussion, not mandatory negative ctDNA, empirical treatment until negative, or declaring cure from a negative result.</w:t>
            </w:r>
          </w:p>
          <w:p>
            <w:pPr>
              <w:spacing w:after="0"/>
            </w:pPr>
            <w:r>
              <w:rPr>
                <w:b w:val="0"/>
                <w:i w:val="0"/>
                <w:color w:val="5A6069"/>
                <w:sz w:val="18"/>
              </w:rPr>
              <w:t>JCO Clin Cancer Inform 2023;7:e2300111; PubMed PMID37820293 abstract only.</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Do not open molecular expansions initially; permit KRAS-mutant disease when all other selected criteria are met. Previous extrahepatic disease follows CRLM-B5.</w:t>
      </w:r>
    </w:p>
    <w:p>
      <w:pPr>
        <w:numPr>
          <w:ilvl w:val="0"/>
          <w:numId w:val="5"/>
        </w:numPr>
        <w:spacing w:after="40"/>
      </w:pPr>
      <w:r>
        <w:rPr>
          <w:b w:val="0"/>
          <w:i w:val="0"/>
        </w:rPr>
        <w:t>Initial proposed exclusions: BRAF-mutant disease, MSI-H/dMMR disease, R1 primary margins, pretreatment liver lesion &gt;10 cm, or progression despite treatment. Previous extrahepatic disease is addressed separately in CRLM-B5. Preserve these as separate research questions; do not combine several relaxations.</w:t>
      </w:r>
    </w:p>
    <w:p>
      <w:pPr>
        <w:numPr>
          <w:ilvl w:val="0"/>
          <w:numId w:val="5"/>
        </w:numPr>
        <w:spacing w:after="40"/>
      </w:pPr>
      <w:r>
        <w:rPr>
          <w:b w:val="0"/>
          <w:i w:val="0"/>
        </w:rPr>
        <w:t>Proposed CEA requirement: strictly &lt;80 ng/mL, including initial activation. Repeat a borderline/unexpected result and review the trajectory; a falling value still ≥80 does not clear this local rule.</w:t>
      </w:r>
    </w:p>
    <w:p>
      <w:pPr>
        <w:numPr>
          <w:ilvl w:val="0"/>
          <w:numId w:val="5"/>
        </w:numPr>
        <w:spacing w:after="40"/>
      </w:pPr>
      <w:r>
        <w:rPr>
          <w:b w:val="0"/>
          <w:i w:val="0"/>
        </w:rPr>
        <w:t>Require ≥6 months of documented control and the applicable ≥12-month CRLM-diagnosis interval. Report ordinary RECIST separately from the NLRB &gt;10% wording; new lesions or concerning growth are HOLD pending central measurement review.</w:t>
      </w:r>
    </w:p>
    <w:p>
      <w:pPr>
        <w:numPr>
          <w:ilvl w:val="0"/>
          <w:numId w:val="5"/>
        </w:numPr>
        <w:spacing w:after="40"/>
      </w:pPr>
      <w:r>
        <w:rPr>
          <w:b w:val="0"/>
          <w:i w:val="0"/>
        </w:rPr>
        <w:t>Confirmed progression resets the proposed six-month control clock after subsequent effective treatment; one improved scan is insufficient. Use the actual application imaging/CEA windows. Do not delay indicated primary surgery to manufacture eligibility.</w:t>
      </w:r>
    </w:p>
    <w:p>
      <w:pPr>
        <w:spacing w:after="80"/>
      </w:pPr>
      <w:r>
        <w:rPr>
          <w:b/>
          <w:i w:val="0"/>
        </w:rPr>
        <w:t xml:space="preserve">Why: </w:t>
      </w:r>
      <w:r>
        <w:rPr>
          <w:b w:val="0"/>
          <w:i w:val="0"/>
        </w:rPr>
        <w:t>BRAF-wild-type, controlled liver-only disease with a cleared primary has the strongest treatment evidence. KRAS mutation alone was allowed in TransMet (17/47 assigned LT),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w:t>
      </w:r>
    </w:p>
    <w:p>
      <w:pPr>
        <w:spacing w:after="80"/>
      </w:pPr>
      <w:r>
        <w:rPr>
          <w:b/>
          <w:i w:val="0"/>
        </w:rPr>
        <w:t xml:space="preserve">Against, or uncertain: </w:t>
      </w:r>
      <w:r>
        <w:rPr>
          <w:b w:val="0"/>
          <w:i w:val="0"/>
        </w:rPr>
        <w:t>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spacing w:after="80"/>
      </w:pPr>
      <w:r>
        <w:rPr>
          <w:b/>
          <w:i w:val="0"/>
        </w:rPr>
        <w:t xml:space="preserve">Certainty: </w:t>
      </w:r>
      <w:r>
        <w:rPr>
          <w:b w:val="0"/>
          <w:i w:val="0"/>
        </w:rPr>
        <w:t>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spacing w:after="80"/>
      </w:pPr>
      <w:r>
        <w:rPr>
          <w:b/>
          <w:i w:val="0"/>
        </w:rPr>
        <w:t xml:space="preserve">Tests and records: </w:t>
      </w:r>
      <w:r>
        <w:rPr>
          <w:b w:val="0"/>
          <w:i w:val="0"/>
        </w:rPr>
        <w:t>Primary R0 pathology; BRAF, RAS and MMR/MSI; original maximum lesion diameter; complete EHD history; dated CEA; dated response and primary/CRLM diagnosis; current staging.</w:t>
      </w:r>
    </w:p>
    <w:p>
      <w:pPr>
        <w:spacing w:after="80"/>
      </w:pPr>
      <w:r>
        <w:rPr>
          <w:b/>
          <w:i w:val="0"/>
        </w:rPr>
        <w:t xml:space="preserve">Allocation: </w:t>
      </w:r>
      <w:r>
        <w:rPr>
          <w:b w:val="0"/>
          <w:i w:val="0"/>
        </w:rPr>
        <w:t>National guidance, study criteria and local choices remain separate. Confirm current NLRB wording at application and do not substitute RECIST for an expressly different guidance threshold.</w:t>
      </w:r>
    </w:p>
    <w:p>
      <w:pPr>
        <w:spacing w:after="40"/>
      </w:pPr>
      <w:r>
        <w:rPr>
          <w:b/>
          <w:i w:val="0"/>
        </w:rPr>
        <w:t xml:space="preserve">Basis for the proposed thresholds: </w:t>
      </w:r>
    </w:p>
    <w:p>
      <w:pPr>
        <w:numPr>
          <w:ilvl w:val="0"/>
          <w:numId w:val="5"/>
        </w:numPr>
        <w:spacing w:after="40"/>
      </w:pPr>
      <w:r>
        <w:rPr>
          <w:b w:val="0"/>
          <w:i w:val="0"/>
        </w:rPr>
        <w:t>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spacing w:before="120" w:after="80"/>
      </w:pPr>
      <w:r>
        <w:rPr>
          <w:b w:val="0"/>
          <w:i w:val="0"/>
        </w:rPr>
        <w:t>CRLM-B3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CRLM-B4 — Expected benefit, recurrence and graft use</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How much recurrence/graft use is acceptable for the observed survival benefit?</w:t>
      </w:r>
    </w:p>
    <w:p>
      <w:pPr>
        <w:spacing w:after="80"/>
      </w:pPr>
      <w:r>
        <w:rPr>
          <w:b/>
          <w:i w:val="0"/>
        </w:rPr>
        <w:t xml:space="preserve">When it applies: </w:t>
      </w:r>
      <w:r>
        <w:rPr>
          <w:b w:val="0"/>
          <w:i w:val="0"/>
        </w:rPr>
        <w:t>Compare expected benefit with continued nontransplant treatment and discuss recurrence and future graft use.</w:t>
      </w:r>
    </w:p>
    <w:p>
      <w:pPr>
        <w:spacing w:after="80"/>
      </w:pPr>
      <w:r>
        <w:rPr>
          <w:b/>
          <w:i w:val="0"/>
        </w:rPr>
        <w:t xml:space="preserve">Where it is decided: </w:t>
      </w:r>
      <w:hyperlink r:id="rId16">
        <w:r>
          <w:rPr>
            <w:color w:val="0563C1"/>
            <w:u w:val="single"/>
          </w:rPr>
          <w:t xml:space="preserve">Request and renew the MELD exception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“three (8%) of 36 patients who received a transplant were retransplanted” Additional graft use is real. The 36 per-protocol recipients differ from the 40-recipient safety population.</w:t>
            </w:r>
          </w:p>
        </w:tc>
        <w:tc>
          <w:tcPr>
            <w:tcW w:type="dxa" w:w="3360"/>
            <w:tcW w:w="2400" w:type="dxa"/>
            <w:shd w:val="clear" w:color="auto" w:fill="F1F5F8"/>
          </w:tcPr>
          <w:p>
            <w:pPr>
              <w:spacing w:after="0"/>
            </w:pPr>
            <w:r>
              <w:rPr>
                <w:b w:val="0"/>
                <w:i w:val="0"/>
                <w:color w:val="5A6069"/>
                <w:sz w:val="18"/>
              </w:rPr>
              <w:t>Published PDF p9 / journal p1115,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Wehrle 2024 · intensive LRT</w:t>
            </w:r>
          </w:p>
        </w:tc>
        <w:tc>
          <w:tcPr>
            <w:tcW w:type="dxa" w:w="3360"/>
            <w:tcW w:w="3900" w:type="dxa"/>
            <w:shd w:val="clear" w:color="auto" w:fill="F1F5F8"/>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1F5F8"/>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Accept that recurrence may coexist with meaningful survival benefit, but plan one graft and account for recurrence treatment and all additional graft use.</w:t>
      </w:r>
    </w:p>
    <w:p>
      <w:pPr>
        <w:numPr>
          <w:ilvl w:val="0"/>
          <w:numId w:val="5"/>
        </w:numPr>
        <w:spacing w:after="40"/>
      </w:pPr>
      <w:r>
        <w:rPr>
          <w:b w:val="0"/>
          <w:i w:val="0"/>
        </w:rPr>
        <w:t>Before considering transplantation: a patient-specific benefit comparison against accessible non-LT care, feasible recurrence-treatment options, and a realistic local wait/treatment plan. Reassess about every eight weeks while waiting; no unsupported maximum-wait exclusion is imposed.</w:t>
      </w:r>
    </w:p>
    <w:p>
      <w:pPr>
        <w:numPr>
          <w:ilvl w:val="0"/>
          <w:numId w:val="5"/>
        </w:numPr>
        <w:spacing w:after="40"/>
      </w:pPr>
      <w:r>
        <w:rPr>
          <w:b w:val="0"/>
          <w:i w:val="0"/>
        </w:rPr>
        <w:t>Plan one graft per recipient; no planned retransplantation for oncologic recurrence. Rescue of early nononcologic graft failure remains a separate standard transplant/allocation decision and is never promised or withheld by this rule.</w:t>
      </w:r>
    </w:p>
    <w:p>
      <w:pPr>
        <w:numPr>
          <w:ilvl w:val="0"/>
          <w:numId w:val="5"/>
        </w:numPr>
        <w:spacing w:after="40"/>
      </w:pPr>
      <w:r>
        <w:rPr>
          <w:b w:val="0"/>
          <w:i w:val="0"/>
        </w:rPr>
        <w:t>No low recurrence-rate/RFS cutoff is substituted for survival or quality-of-life benefit. Record all-screened outcomes, recurrence treatment burden, time off therapy, graft loss/retransplantation and functional recovery. Apply the one-event early safety pause in ALLOC-B4 to newly activated experimental cohorts.</w:t>
      </w:r>
    </w:p>
    <w:p>
      <w:pPr>
        <w:spacing w:after="80"/>
      </w:pPr>
      <w:r>
        <w:rPr>
          <w:b/>
          <w:i w:val="0"/>
        </w:rPr>
        <w:t xml:space="preserve">Why: </w:t>
      </w:r>
      <w:r>
        <w:rPr>
          <w:b w:val="0"/>
          <w:i w:val="0"/>
        </w:rPr>
        <w:t>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w:t>
      </w:r>
    </w:p>
    <w:p>
      <w:pPr>
        <w:spacing w:after="80"/>
      </w:pPr>
      <w:r>
        <w:rPr>
          <w:b/>
          <w:i w:val="0"/>
        </w:rPr>
        <w:t xml:space="preserve">Against, or uncertain: </w:t>
      </w:r>
      <w:r>
        <w:rPr>
          <w:b w:val="0"/>
          <w:i w:val="0"/>
        </w:rPr>
        <w:t>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spacing w:after="80"/>
      </w:pPr>
      <w:r>
        <w:rPr>
          <w:b/>
          <w:i w:val="0"/>
        </w:rPr>
        <w:t xml:space="preserve">Certainty: </w:t>
      </w:r>
      <w:r>
        <w:rPr>
          <w:b w:val="0"/>
          <w:i w:val="0"/>
        </w:rPr>
        <w:t>Moderate-to-high for a survival advantage in selected TransMet patients; low for an individual numerical benefit model, long-wait extrapolation, high-risk graft strategies or predetermined retransplant policy. Long-term SECA-II is informative but small and uncontrolled.</w:t>
      </w:r>
    </w:p>
    <w:p>
      <w:pPr>
        <w:spacing w:after="80"/>
      </w:pPr>
      <w:r>
        <w:rPr>
          <w:b/>
          <w:i w:val="0"/>
        </w:rPr>
        <w:t xml:space="preserve">Tests and records: </w:t>
      </w:r>
      <w:r>
        <w:rPr>
          <w:b w:val="0"/>
          <w:i w:val="0"/>
        </w:rPr>
        <w:t>Contemporary comparator; current fitness/control; recurrence options; local access estimate; patient priorities; graft-use and follow-up plan.</w:t>
      </w:r>
    </w:p>
    <w:p>
      <w:pPr>
        <w:spacing w:after="80"/>
      </w:pPr>
      <w:r>
        <w:rPr>
          <w:b/>
          <w:i w:val="0"/>
        </w:rPr>
        <w:t xml:space="preserve">Allocation: </w:t>
      </w:r>
      <w:r>
        <w:rPr>
          <w:b w:val="0"/>
          <w:i w:val="0"/>
        </w:rPr>
        <w:t>Do not promise trial survival where waiting/access differ materially. Count all grafts and downstream allocation consequences, including LDLT recipients who later need DDLT.</w:t>
      </w:r>
    </w:p>
    <w:p>
      <w:pPr>
        <w:spacing w:after="40"/>
      </w:pPr>
      <w:r>
        <w:rPr>
          <w:b/>
          <w:i w:val="0"/>
        </w:rPr>
        <w:t xml:space="preserve">Basis for the proposed thresholds: </w:t>
      </w:r>
    </w:p>
    <w:p>
      <w:pPr>
        <w:numPr>
          <w:ilvl w:val="0"/>
          <w:numId w:val="5"/>
        </w:numPr>
        <w:spacing w:after="40"/>
      </w:pPr>
      <w:r>
        <w:rPr>
          <w:b w:val="0"/>
          <w:i w:val="0"/>
        </w:rPr>
        <w:t>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spacing w:before="120" w:after="80"/>
      </w:pPr>
      <w:r>
        <w:rPr>
          <w:b w:val="0"/>
          <w:i w:val="0"/>
        </w:rPr>
        <w:t>CRLM-B4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CRLM-B5 — Previously treated extrahepatic disease</w:t>
      </w:r>
    </w:p>
    <w:p>
      <w:pPr>
        <w:spacing w:after="80"/>
      </w:pPr>
      <w:r>
        <w:rPr>
          <w:b w:val="0"/>
          <w:i w:val="0"/>
          <w:color w:val="5A6069"/>
          <w:sz w:val="18"/>
        </w:rPr>
        <w:t>Closed · lung-only study proposed · not activated · High-risk review</w:t>
      </w:r>
    </w:p>
    <w:p>
      <w:pPr>
        <w:spacing w:after="80"/>
      </w:pPr>
      <w:r>
        <w:rPr>
          <w:b/>
          <w:i w:val="0"/>
        </w:rPr>
        <w:t xml:space="preserve">Question: </w:t>
      </w:r>
      <w:r>
        <w:rPr>
          <w:b w:val="0"/>
          <w:i w:val="0"/>
        </w:rPr>
        <w:t>Should a lung-only study stratum be opened for completely treated pulmonary metastases, and if so with which interval and biology limits? All other previously treated extrahepatic sites stay closed.</w:t>
      </w:r>
    </w:p>
    <w:p>
      <w:pPr>
        <w:spacing w:after="80"/>
      </w:pPr>
      <w:r>
        <w:rPr>
          <w:b/>
          <w:i w:val="0"/>
        </w:rPr>
        <w:t xml:space="preserve">When it applies: </w:t>
      </w:r>
      <w:r>
        <w:rPr>
          <w:b w:val="0"/>
          <w:i w:val="0"/>
        </w:rPr>
        <w:t>Use when colorectal cancer has involved any site outside the liver (after primary resection, removed together with the primary, or as local relapse), including disease later resected, ablated, irradiated or in response to treatment.</w:t>
      </w:r>
    </w:p>
    <w:p>
      <w:pPr>
        <w:spacing w:after="80"/>
      </w:pPr>
      <w:r>
        <w:rPr>
          <w:b/>
          <w:i w:val="0"/>
        </w:rPr>
        <w:t xml:space="preserve">Where it is decided: </w:t>
      </w:r>
      <w:hyperlink r:id="rId18">
        <w:r>
          <w:rPr>
            <w:color w:val="0563C1"/>
            <w:u w:val="single"/>
          </w:rPr>
          <w:t xml:space="preserve">Stage the disease</w:t>
        </w:r>
      </w:hyperlink>
      <w:r>
        <w:rPr>
          <w:b w:val="0"/>
          <w:i w:val="0"/>
        </w:rPr>
        <w:t xml:space="preserve"> · </w:t>
      </w:r>
      <w:hyperlink r:id="rId11">
        <w:r>
          <w:rPr>
            <w:color w:val="0563C1"/>
            <w:u w:val="single"/>
          </w:rPr>
          <w:t xml:space="preserve">Restage for transplant</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randomized trial of liver transplantation plus chemotherapy versus chemotherapy alone; 94 randomized. Required no extrahepatic disease and excluded prior or current extrahepatic disease and local recurrence.</w:t>
            </w:r>
          </w:p>
        </w:tc>
        <w:tc>
          <w:tcPr>
            <w:tcW w:type="dxa" w:w="3360"/>
            <w:tcW w:w="4180" w:type="dxa"/>
            <w:shd w:val="clear" w:color="auto" w:fill="F1F5F8"/>
          </w:tcPr>
          <w:p>
            <w:pPr>
              <w:spacing w:after="0"/>
            </w:pPr>
            <w:r>
              <w:rPr>
                <w:b w:val="0"/>
                <w:i w:val="0"/>
                <w:sz w:val="19"/>
              </w:rPr>
              <w:t>Five-year overall survival 56.6% versus 12.6% by intention to treat (HR 0.37).</w:t>
            </w:r>
          </w:p>
          <w:p>
            <w:pPr>
              <w:spacing w:after="0"/>
            </w:pPr>
            <w:r>
              <w:rPr>
                <w:b w:val="0"/>
                <w:i/>
                <w:sz w:val="19"/>
              </w:rPr>
              <w:t>Limits: Provides no data on patients with previous extrahepatic disease; its benefit cannot be extrapolated to them.</w:t>
            </w:r>
          </w:p>
          <w:p>
            <w:pPr>
              <w:spacing w:after="0"/>
            </w:pPr>
            <w:r>
              <w:rPr>
                <w:b w:val="0"/>
                <w:i w:val="0"/>
                <w:color w:val="5A6069"/>
                <w:sz w:val="18"/>
              </w:rPr>
              <w:t>Lancet 2024; eligibility criteria in Methods.</w:t>
            </w:r>
          </w:p>
        </w:tc>
      </w:tr>
      <w:tr>
        <w:trPr>
          <w:cantSplit/>
        </w:trPr>
        <w:tc>
          <w:tcPr>
            <w:tcW w:type="dxa" w:w="3360"/>
            <w:tcW w:w="2000" w:type="dxa"/>
            <w:shd w:val="clear" w:color="auto" w:fill="FFFFFF"/>
          </w:tcPr>
          <w:p>
            <w:pPr>
              <w:spacing w:after="0"/>
            </w:pPr>
            <w:r>
              <w:rPr>
                <w:b/>
                <w:i w:val="0"/>
                <w:sz w:val="19"/>
              </w:rPr>
              <w:t>IHPBA 2021</w:t>
            </w:r>
          </w:p>
        </w:tc>
        <w:tc>
          <w:tcPr>
            <w:tcW w:type="dxa" w:w="3360"/>
            <w:tcW w:w="3900" w:type="dxa"/>
            <w:shd w:val="clear" w:color="auto" w:fill="FFFFFF"/>
          </w:tcPr>
          <w:p>
            <w:pPr>
              <w:spacing w:after="0"/>
            </w:pPr>
            <w:r>
              <w:rPr>
                <w:b w:val="0"/>
                <w:i w:val="0"/>
                <w:sz w:val="19"/>
              </w:rPr>
              <w:t>2021 international Delphi consensus on transplantation for non-resectable colorectal liver metastases. Statement 9: there is no evidence to support transplantation in patients who initially present with or subsequently develop extrahepatic or extracolonic metastases. Statements 10–12: high-resolution chest CT and FDG PET-CT to rule out extrahepatic disease; nodal sampling when suspicion is high and PET is inconclusive.</w:t>
            </w:r>
          </w:p>
        </w:tc>
        <w:tc>
          <w:tcPr>
            <w:tcW w:type="dxa" w:w="3360"/>
            <w:tcW w:w="4180" w:type="dxa"/>
            <w:shd w:val="clear" w:color="auto" w:fill="FFFFFF"/>
          </w:tcPr>
          <w:p>
            <w:pPr>
              <w:spacing w:after="0"/>
            </w:pPr>
            <w:r>
              <w:rPr>
                <w:b w:val="0"/>
                <w:i w:val="0"/>
                <w:sz w:val="19"/>
              </w:rPr>
              <w:t>Statement 41: isolated pulmonary recurrence after transplantation should be considered for resection. The text notes that many lung recurrences were retrospectively visible at transplantation and do not grow faster under immunosuppression.</w:t>
            </w:r>
          </w:p>
          <w:p>
            <w:pPr>
              <w:spacing w:after="0"/>
            </w:pPr>
            <w:r>
              <w:rPr>
                <w:b w:val="0"/>
                <w:i/>
                <w:sz w:val="19"/>
              </w:rPr>
              <w:t>Limits: Expert consensus. It treats extrahepatic disease as a sign of disseminated disease and does not separately address completely treated lung-only disease.</w:t>
            </w:r>
          </w:p>
          <w:p>
            <w:pPr>
              <w:spacing w:after="0"/>
            </w:pPr>
            <w:r>
              <w:rPr>
                <w:b w:val="0"/>
                <w:i w:val="0"/>
                <w:color w:val="5A6069"/>
                <w:sz w:val="18"/>
              </w:rPr>
              <w:t>Lancet Gastroenterol Hepatol 2021;6:933–946; statements 9–12 and 41, recurrence discussion.</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Unlike SECA-I and SECA-II, patients with resectable pulmonary metastases or previous resection of pulmonary metastases were eligible. One recipient had a pulmonary metastasis resected eight years before transplantation (node-negative sigmoid primary, at most two liver metastases).</w:t>
            </w:r>
          </w:p>
        </w:tc>
        <w:tc>
          <w:tcPr>
            <w:tcW w:type="dxa" w:w="3360"/>
            <w:tcW w:w="4180" w:type="dxa"/>
            <w:shd w:val="clear" w:color="auto" w:fill="F1F5F8"/>
          </w:tcPr>
          <w:p>
            <w:pPr>
              <w:spacing w:after="0"/>
            </w:pPr>
            <w:r>
              <w:rPr>
                <w:b w:val="0"/>
                <w:i w:val="0"/>
                <w:sz w:val="19"/>
              </w:rPr>
              <w:t>Only two of ten were recurrence-free (23 and 26 months); one was the recipient with the previously resected lung metastasis. A second recipient had an ovarian metastasis removed with the primary 14 months before transplantation and relapsed in the lung at 5 months. Overall median DFS 4 months and OS 18 months; the lung was the first relapse site in six.</w:t>
            </w:r>
          </w:p>
          <w:p>
            <w:pPr>
              <w:spacing w:after="0"/>
            </w:pPr>
            <w:r>
              <w:rPr>
                <w:b w:val="0"/>
                <w:i/>
                <w:sz w:val="19"/>
              </w:rPr>
              <w:t>Limits: One relevant patient within a cohort that combined several adverse biological, anatomical and donor features; it cannot estimate the effect of prior lung disease.</w:t>
            </w:r>
          </w:p>
          <w:p>
            <w:pPr>
              <w:spacing w:after="0"/>
            </w:pPr>
            <w:r>
              <w:rPr>
                <w:b w:val="0"/>
                <w:i w:val="0"/>
                <w:color w:val="5A6069"/>
                <w:sz w:val="18"/>
              </w:rPr>
              <w:t>BJS Open 2020;4:467–477; Methods, Table 2 (patient 1) and Discussion.</w:t>
            </w:r>
          </w:p>
        </w:tc>
      </w:tr>
      <w:tr>
        <w:trPr>
          <w:cantSplit/>
        </w:trPr>
        <w:tc>
          <w:tcPr>
            <w:tcW w:type="dxa" w:w="3360"/>
            <w:tcW w:w="2000" w:type="dxa"/>
            <w:shd w:val="clear" w:color="auto" w:fill="FFFFFF"/>
          </w:tcPr>
          <w:p>
            <w:pPr>
              <w:spacing w:after="0"/>
            </w:pPr>
            <w:r>
              <w:rPr>
                <w:b/>
                <w:i w:val="0"/>
                <w:sz w:val="19"/>
              </w:rPr>
              <w:t>Hagness · SECA-I recurrence</w:t>
            </w:r>
          </w:p>
        </w:tc>
        <w:tc>
          <w:tcPr>
            <w:tcW w:type="dxa" w:w="3360"/>
            <w:tcW w:w="3900" w:type="dxa"/>
            <w:shd w:val="clear" w:color="auto" w:fill="FFFFFF"/>
          </w:tcPr>
          <w:p>
            <w:pPr>
              <w:spacing w:after="0"/>
            </w:pPr>
            <w:r>
              <w:rPr>
                <w:b w:val="0"/>
                <w:i w:val="0"/>
                <w:sz w:val="19"/>
              </w:rPr>
              <w:t>Prospective SECA-I cohort, 21 recipients; recurrence-pattern analysis with re-review of pre-transplant chest CT. Liver-only disease was required at inclusion.</w:t>
            </w:r>
          </w:p>
        </w:tc>
        <w:tc>
          <w:tcPr>
            <w:tcW w:type="dxa" w:w="3360"/>
            <w:tcW w:w="4180" w:type="dxa"/>
            <w:shd w:val="clear" w:color="auto" w:fill="FFFFFF"/>
          </w:tcPr>
          <w:p>
            <w:pPr>
              <w:spacing w:after="0"/>
            </w:pPr>
            <w:r>
              <w:rPr>
                <w:b w:val="0"/>
                <w:i w:val="0"/>
                <w:sz w:val="19"/>
              </w:rPr>
              <w:t>Thirteen of 16 single-site first recurrences were pulmonary; on retrospective review, 7 recipients already had untreated pulmonary metastases at transplantation and 6 were among the longest survivors.</w:t>
            </w:r>
          </w:p>
          <w:p>
            <w:pPr>
              <w:spacing w:after="0"/>
            </w:pPr>
            <w:r>
              <w:rPr>
                <w:b w:val="0"/>
                <w:i/>
                <w:sz w:val="19"/>
              </w:rPr>
              <w:t>Limits: Small cohort; the lesions were untreated and found retrospectively; no statistical test; not evidence that treated lung disease is safe.</w:t>
            </w:r>
          </w:p>
          <w:p>
            <w:pPr>
              <w:spacing w:after="0"/>
            </w:pPr>
            <w:r>
              <w:rPr>
                <w:b w:val="0"/>
                <w:i w:val="0"/>
                <w:color w:val="5A6069"/>
                <w:sz w:val="18"/>
              </w:rPr>
              <w:t>Ann Surg Oncol 2014; Results (full text).</w:t>
            </w:r>
          </w:p>
        </w:tc>
      </w:tr>
      <w:tr>
        <w:trPr>
          <w:cantSplit/>
        </w:trPr>
        <w:tc>
          <w:tcPr>
            <w:tcW w:type="dxa" w:w="3360"/>
            <w:tcW w:w="2000" w:type="dxa"/>
            <w:shd w:val="clear" w:color="auto" w:fill="F1F5F8"/>
          </w:tcPr>
          <w:p>
            <w:pPr>
              <w:spacing w:after="0"/>
            </w:pPr>
            <w:r>
              <w:rPr>
                <w:b/>
                <w:i w:val="0"/>
                <w:sz w:val="19"/>
              </w:rPr>
              <w:t>Grut · lung metastasis growth</w:t>
            </w:r>
          </w:p>
        </w:tc>
        <w:tc>
          <w:tcPr>
            <w:tcW w:type="dxa" w:w="3360"/>
            <w:tcW w:w="3900" w:type="dxa"/>
            <w:shd w:val="clear" w:color="auto" w:fill="F1F5F8"/>
          </w:tcPr>
          <w:p>
            <w:pPr>
              <w:spacing w:after="0"/>
            </w:pPr>
            <w:r>
              <w:rPr>
                <w:b w:val="0"/>
                <w:i w:val="0"/>
                <w:sz w:val="19"/>
              </w:rPr>
              <w:t>Case–control imaging study: 11 SECA recipients with 18 resected lung metastases versus 12 non-transplanted rectal cancer controls. Lung metastases arising after transplantation.</w:t>
            </w:r>
          </w:p>
        </w:tc>
        <w:tc>
          <w:tcPr>
            <w:tcW w:type="dxa" w:w="3360"/>
            <w:tcW w:w="4180" w:type="dxa"/>
            <w:shd w:val="clear" w:color="auto" w:fill="F1F5F8"/>
          </w:tcPr>
          <w:p>
            <w:pPr>
              <w:spacing w:after="0"/>
            </w:pPr>
            <w:r>
              <w:rPr>
                <w:b w:val="0"/>
                <w:i w:val="0"/>
                <w:sz w:val="19"/>
              </w:rPr>
              <w:t>Median tumour-volume doubling time 125 versus 130 days by diameter; five-year overall survival after first pulmonary resection 51% in the transplant group.</w:t>
            </w:r>
          </w:p>
          <w:p>
            <w:pPr>
              <w:spacing w:after="0"/>
            </w:pPr>
            <w:r>
              <w:rPr>
                <w:b w:val="0"/>
                <w:i/>
                <w:sz w:val="19"/>
              </w:rPr>
              <w:t>Limits: Small selected groups; addresses growth after transplantation, not eligibility after previous lung disease.</w:t>
            </w:r>
          </w:p>
          <w:p>
            <w:pPr>
              <w:spacing w:after="0"/>
            </w:pPr>
            <w:r>
              <w:rPr>
                <w:b w:val="0"/>
                <w:i w:val="0"/>
                <w:color w:val="5A6069"/>
                <w:sz w:val="18"/>
              </w:rPr>
              <w:t>Br J Surg; abstract.</w:t>
            </w:r>
          </w:p>
        </w:tc>
      </w:tr>
      <w:tr>
        <w:trPr>
          <w:cantSplit/>
        </w:trPr>
        <w:tc>
          <w:tcPr>
            <w:tcW w:type="dxa" w:w="3360"/>
            <w:tcW w:w="2000" w:type="dxa"/>
            <w:shd w:val="clear" w:color="auto" w:fill="FFFFFF"/>
          </w:tcPr>
          <w:p>
            <w:pPr>
              <w:spacing w:after="0"/>
            </w:pPr>
            <w:r>
              <w:rPr>
                <w:b/>
                <w:i w:val="0"/>
                <w:sz w:val="19"/>
              </w:rPr>
              <w:t>Dueland 2022 · lung resection after LT</w:t>
            </w:r>
          </w:p>
        </w:tc>
        <w:tc>
          <w:tcPr>
            <w:tcW w:type="dxa" w:w="3360"/>
            <w:tcW w:w="3900" w:type="dxa"/>
            <w:shd w:val="clear" w:color="auto" w:fill="FFFFFF"/>
          </w:tcPr>
          <w:p>
            <w:pPr>
              <w:spacing w:after="0"/>
            </w:pPr>
            <w:r>
              <w:rPr>
                <w:b w:val="0"/>
                <w:i w:val="0"/>
                <w:sz w:val="19"/>
              </w:rPr>
              <w:t>Oslo cohort: 14 of 55 recipients whose first relapse was pulmonary and treated by resection. Pre-transplant liver PET metabolic tumour volume (MTV) used for stratification.</w:t>
            </w:r>
          </w:p>
        </w:tc>
        <w:tc>
          <w:tcPr>
            <w:tcW w:type="dxa" w:w="3360"/>
            <w:tcW w:w="4180" w:type="dxa"/>
            <w:shd w:val="clear" w:color="auto" w:fill="FFFFFF"/>
          </w:tcPr>
          <w:p>
            <w:pPr>
              <w:spacing w:after="0"/>
            </w:pPr>
            <w:r>
              <w:rPr>
                <w:b w:val="0"/>
                <w:i w:val="0"/>
                <w:sz w:val="19"/>
              </w:rPr>
              <w:t>Ten-year overall survival from lung resection 64.5%; 85.7% with MTV &lt;70 cm³ versus 25.0% above. Eight had no evidence of disease 7–131 months after lung resection.</w:t>
            </w:r>
          </w:p>
          <w:p>
            <w:pPr>
              <w:spacing w:after="0"/>
            </w:pPr>
            <w:r>
              <w:rPr>
                <w:b w:val="0"/>
                <w:i/>
                <w:sz w:val="19"/>
              </w:rPr>
              <w:t>Limits: Post-transplant recurrence in a small selected group; does not test transplantation after treated lung disease.</w:t>
            </w:r>
          </w:p>
          <w:p>
            <w:pPr>
              <w:spacing w:after="0"/>
            </w:pPr>
            <w:r>
              <w:rPr>
                <w:b w:val="0"/>
                <w:i w:val="0"/>
                <w:color w:val="5A6069"/>
                <w:sz w:val="18"/>
              </w:rPr>
              <w:t>Cancers 2022;14:5042; Results.</w:t>
            </w:r>
          </w:p>
        </w:tc>
      </w:tr>
      <w:tr>
        <w:trPr>
          <w:cantSplit/>
        </w:trPr>
        <w:tc>
          <w:tcPr>
            <w:tcW w:type="dxa" w:w="3360"/>
            <w:tcW w:w="2000" w:type="dxa"/>
            <w:shd w:val="clear" w:color="auto" w:fill="F1F5F8"/>
          </w:tcPr>
          <w:p>
            <w:pPr>
              <w:spacing w:after="0"/>
            </w:pPr>
            <w:r>
              <w:rPr>
                <w:b/>
                <w:i w:val="0"/>
                <w:sz w:val="19"/>
              </w:rPr>
              <w:t>SECA-III registration</w:t>
            </w:r>
          </w:p>
        </w:tc>
        <w:tc>
          <w:tcPr>
            <w:tcW w:type="dxa" w:w="3360"/>
            <w:tcW w:w="3900" w:type="dxa"/>
            <w:shd w:val="clear" w:color="auto" w:fill="F1F5F8"/>
          </w:tcPr>
          <w:p>
            <w:pPr>
              <w:spacing w:after="0"/>
            </w:pPr>
            <w:r>
              <w:rPr>
                <w:b w:val="0"/>
                <w:i w:val="0"/>
                <w:sz w:val="19"/>
              </w:rPr>
              <w:t>Oslo randomized trial of transplantation versus chemotherapy or other treatment after progression on, or intolerance of, first-line chemotherapy; target 30. Allows resectable lung lesions, all &lt;15 mm. Excludes previous resection of local relapse or non-hepatic metastasis within the last 2 years or resection of pulmonary or liver hilus lymph node metastases in the last year, and previously diagnosed bone, CNS or thoracic/abdominal nodal metastases.</w:t>
            </w:r>
          </w:p>
        </w:tc>
        <w:tc>
          <w:tcPr>
            <w:tcW w:type="dxa" w:w="3360"/>
            <w:tcW w:w="4180" w:type="dxa"/>
            <w:shd w:val="clear" w:color="auto" w:fill="F1F5F8"/>
          </w:tcPr>
          <w:p>
            <w:pPr>
              <w:spacing w:after="0"/>
            </w:pPr>
            <w:r>
              <w:rPr>
                <w:b w:val="0"/>
                <w:i w:val="0"/>
                <w:sz w:val="19"/>
              </w:rPr>
              <w:t>Recruiting; no results posted.</w:t>
            </w:r>
          </w:p>
          <w:p>
            <w:pPr>
              <w:spacing w:after="0"/>
            </w:pPr>
            <w:r>
              <w:rPr>
                <w:b w:val="0"/>
                <w:i/>
                <w:sz w:val="19"/>
              </w:rPr>
              <w:t>Limits: Registry wording for a different population (progression on first-line therapy); eligibility may change.</w:t>
            </w:r>
          </w:p>
          <w:p>
            <w:pPr>
              <w:spacing w:after="0"/>
            </w:pPr>
            <w:r>
              <w:rPr>
                <w:b w:val="0"/>
                <w:i w:val="0"/>
                <w:color w:val="5A6069"/>
                <w:sz w:val="18"/>
              </w:rPr>
              <w:t>ClinicalTrials.gov NCT03494946, eligibility criteria (current version).</w:t>
            </w:r>
          </w:p>
        </w:tc>
      </w:tr>
      <w:tr>
        <w:trPr>
          <w:cantSplit/>
        </w:trPr>
        <w:tc>
          <w:tcPr>
            <w:tcW w:type="dxa" w:w="3360"/>
            <w:tcW w:w="2000" w:type="dxa"/>
            <w:shd w:val="clear" w:color="auto" w:fill="FFFFFF"/>
          </w:tcPr>
          <w:p>
            <w:pPr>
              <w:spacing w:after="0"/>
            </w:pPr>
            <w:r>
              <w:rPr>
                <w:b/>
                <w:i w:val="0"/>
                <w:sz w:val="19"/>
              </w:rPr>
              <w:t>Fukumitsu 2024 · Japanese LDLT protocol</w:t>
            </w:r>
          </w:p>
        </w:tc>
        <w:tc>
          <w:tcPr>
            <w:tcW w:type="dxa" w:w="3360"/>
            <w:tcW w:w="3900" w:type="dxa"/>
            <w:shd w:val="clear" w:color="auto" w:fill="FFFFFF"/>
          </w:tcPr>
          <w:p>
            <w:pPr>
              <w:spacing w:after="0"/>
            </w:pPr>
            <w:r>
              <w:rPr>
                <w:b w:val="0"/>
                <w:i w:val="0"/>
                <w:sz w:val="19"/>
              </w:rPr>
              <w:t>Japanese multicentre single-arm living-donor transplantation protocol (11 university hospitals; target 23). No distant metastasis except the liver, but patients with no more than three lung metastases and no recurrence for more than six months after treatment are eligible; RAS and BRAF mutations are not exclusions; central eligibility review. No size limit is set.</w:t>
            </w:r>
          </w:p>
        </w:tc>
        <w:tc>
          <w:tcPr>
            <w:tcW w:type="dxa" w:w="3360"/>
            <w:tcW w:w="4180" w:type="dxa"/>
            <w:shd w:val="clear" w:color="auto" w:fill="FFFFFF"/>
          </w:tcPr>
          <w:p>
            <w:pPr>
              <w:spacing w:after="0"/>
            </w:pPr>
            <w:r>
              <w:rPr>
                <w:b w:val="0"/>
                <w:i w:val="0"/>
                <w:sz w:val="19"/>
              </w:rPr>
              <w:t>Protocol only; outcomes not yet reported.</w:t>
            </w:r>
          </w:p>
          <w:p>
            <w:pPr>
              <w:spacing w:after="0"/>
            </w:pPr>
            <w:r>
              <w:rPr>
                <w:b w:val="0"/>
                <w:i/>
                <w:sz w:val="19"/>
              </w:rPr>
              <w:t>Limits: The authors describe the criteria as relatively broad; no control arm.</w:t>
            </w:r>
          </w:p>
          <w:p>
            <w:pPr>
              <w:spacing w:after="0"/>
            </w:pPr>
            <w:r>
              <w:rPr>
                <w:b w:val="0"/>
                <w:i w:val="0"/>
                <w:color w:val="5A6069"/>
                <w:sz w:val="18"/>
              </w:rPr>
              <w:t>BMJ Open 2024; eligibility criteria and strengths/limitations.</w:t>
            </w:r>
          </w:p>
        </w:tc>
      </w:tr>
      <w:tr>
        <w:trPr>
          <w:cantSplit/>
        </w:trPr>
        <w:tc>
          <w:tcPr>
            <w:tcW w:type="dxa" w:w="3360"/>
            <w:tcW w:w="2000" w:type="dxa"/>
            <w:shd w:val="clear" w:color="auto" w:fill="F1F5F8"/>
          </w:tcPr>
          <w:p>
            <w:pPr>
              <w:spacing w:after="0"/>
            </w:pPr>
            <w:r>
              <w:rPr>
                <w:b/>
                <w:i w:val="0"/>
                <w:sz w:val="19"/>
              </w:rPr>
              <w:t>PulMiCC 2020</w:t>
            </w:r>
          </w:p>
        </w:tc>
        <w:tc>
          <w:tcPr>
            <w:tcW w:type="dxa" w:w="3360"/>
            <w:tcW w:w="3900" w:type="dxa"/>
            <w:shd w:val="clear" w:color="auto" w:fill="F1F5F8"/>
          </w:tcPr>
          <w:p>
            <w:pPr>
              <w:spacing w:after="0"/>
            </w:pPr>
            <w:r>
              <w:rPr>
                <w:b w:val="0"/>
                <w:i w:val="0"/>
                <w:sz w:val="19"/>
              </w:rPr>
              <w:t>Randomized trial of pulmonary metastasectomy versus no metastasectomy; 93 randomized at 14 hospitals. One to six resectable lung metastases at a median 2.7 years after colorectal resection; 29% had prior liver metastasectomy.</w:t>
            </w:r>
          </w:p>
        </w:tc>
        <w:tc>
          <w:tcPr>
            <w:tcW w:type="dxa" w:w="3360"/>
            <w:tcW w:w="4180" w:type="dxa"/>
            <w:shd w:val="clear" w:color="auto" w:fill="F1F5F8"/>
          </w:tcPr>
          <w:p>
            <w:pPr>
              <w:spacing w:after="0"/>
            </w:pPr>
            <w:r>
              <w:rPr>
                <w:b w:val="0"/>
                <w:i w:val="0"/>
                <w:sz w:val="19"/>
              </w:rPr>
              <w:t>Adjusted hazard ratio for death within five years 0.87 (0.51–1.48; unadjusted 0.93, 0.56–1.56); five-year survival 36.4% with metastasectomy versus 29.6% without.</w:t>
            </w:r>
          </w:p>
          <w:p>
            <w:pPr>
              <w:spacing w:after="0"/>
            </w:pPr>
            <w:r>
              <w:rPr>
                <w:b w:val="0"/>
                <w:i/>
                <w:sz w:val="19"/>
              </w:rPr>
              <w:t>Limits: Closed at 31% of the planned 300; inconclusive; not a transplant population.</w:t>
            </w:r>
          </w:p>
          <w:p>
            <w:pPr>
              <w:spacing w:after="0"/>
            </w:pPr>
            <w:r>
              <w:rPr>
                <w:b w:val="0"/>
                <w:i w:val="0"/>
                <w:color w:val="5A6069"/>
                <w:sz w:val="18"/>
              </w:rPr>
              <w:t>Colorectal Dis 2020; Results (full text).</w:t>
            </w:r>
          </w:p>
        </w:tc>
      </w:tr>
      <w:tr>
        <w:trPr>
          <w:cantSplit/>
        </w:trPr>
        <w:tc>
          <w:tcPr>
            <w:tcW w:type="dxa" w:w="3360"/>
            <w:tcW w:w="2000" w:type="dxa"/>
            <w:shd w:val="clear" w:color="auto" w:fill="FFFFFF"/>
          </w:tcPr>
          <w:p>
            <w:pPr>
              <w:spacing w:after="0"/>
            </w:pPr>
            <w:r>
              <w:rPr>
                <w:b/>
                <w:i w:val="0"/>
                <w:sz w:val="19"/>
              </w:rPr>
              <w:t>Salah 2014 · lung metastasectomy after liver resection</w:t>
            </w:r>
          </w:p>
        </w:tc>
        <w:tc>
          <w:tcPr>
            <w:tcW w:type="dxa" w:w="3360"/>
            <w:tcW w:w="3900" w:type="dxa"/>
            <w:shd w:val="clear" w:color="auto" w:fill="FFFFFF"/>
          </w:tcPr>
          <w:p>
            <w:pPr>
              <w:spacing w:after="0"/>
            </w:pPr>
            <w:r>
              <w:rPr>
                <w:b w:val="0"/>
                <w:i w:val="0"/>
                <w:sz w:val="19"/>
              </w:rPr>
              <w:t>Pooled individual-patient analysis of 146 patients undergoing pulmonary metastasectomy after previous curative liver resection (five studies). Lung metastases detected a median 23 months after liver resection.</w:t>
            </w:r>
          </w:p>
        </w:tc>
        <w:tc>
          <w:tcPr>
            <w:tcW w:type="dxa" w:w="3360"/>
            <w:tcW w:w="4180" w:type="dxa"/>
            <w:shd w:val="clear" w:color="auto" w:fill="FFFFFF"/>
          </w:tcPr>
          <w:p>
            <w:pPr>
              <w:spacing w:after="0"/>
            </w:pPr>
            <w:r>
              <w:rPr>
                <w:b w:val="0"/>
                <w:i w:val="0"/>
                <w:sz w:val="19"/>
              </w:rPr>
              <w:t>Five-year overall survival 54.4% and recurrence-free survival 29.3% from lung resection; thoracic lymph-node involvement was the only independent adverse factor (HR 4.86, 95% CI 1.56–15.14).</w:t>
            </w:r>
          </w:p>
          <w:p>
            <w:pPr>
              <w:spacing w:after="0"/>
            </w:pPr>
            <w:r>
              <w:rPr>
                <w:b w:val="0"/>
                <w:i/>
                <w:sz w:val="19"/>
              </w:rPr>
              <w:t>Limits: Retrospective selected surgical series; not transplant recipients.</w:t>
            </w:r>
          </w:p>
          <w:p>
            <w:pPr>
              <w:spacing w:after="0"/>
            </w:pPr>
            <w:r>
              <w:rPr>
                <w:b w:val="0"/>
                <w:i w:val="0"/>
                <w:color w:val="5A6069"/>
                <w:sz w:val="18"/>
              </w:rPr>
              <w:t>Ann Surg Oncol; abstract.</w:t>
            </w:r>
          </w:p>
        </w:tc>
      </w:tr>
      <w:tr>
        <w:trPr>
          <w:cantSplit/>
        </w:trPr>
        <w:tc>
          <w:tcPr>
            <w:tcW w:type="dxa" w:w="3360"/>
            <w:tcW w:w="2000" w:type="dxa"/>
            <w:shd w:val="clear" w:color="auto" w:fill="F1F5F8"/>
          </w:tcPr>
          <w:p>
            <w:pPr>
              <w:spacing w:after="0"/>
            </w:pPr>
            <w:r>
              <w:rPr>
                <w:b/>
                <w:i w:val="0"/>
                <w:sz w:val="19"/>
              </w:rPr>
              <w:t>Hwang 2014 · resection with extrahepatic disease</w:t>
            </w:r>
          </w:p>
        </w:tc>
        <w:tc>
          <w:tcPr>
            <w:tcW w:type="dxa" w:w="3360"/>
            <w:tcW w:w="3900" w:type="dxa"/>
            <w:shd w:val="clear" w:color="auto" w:fill="F1F5F8"/>
          </w:tcPr>
          <w:p>
            <w:pPr>
              <w:spacing w:after="0"/>
            </w:pPr>
            <w:r>
              <w:rPr>
                <w:b w:val="0"/>
                <w:i w:val="0"/>
                <w:sz w:val="19"/>
              </w:rPr>
              <w:t>Systematic review of liver resection for CRLM with extrahepatic disease: 50 studies, 3481 patients. Hepatic resection in the presence of extrahepatic disease; heterogeneous timing and treatment.</w:t>
            </w:r>
          </w:p>
        </w:tc>
        <w:tc>
          <w:tcPr>
            <w:tcW w:type="dxa" w:w="3360"/>
            <w:tcW w:w="4180" w:type="dxa"/>
            <w:shd w:val="clear" w:color="auto" w:fill="F1F5F8"/>
          </w:tcPr>
          <w:p>
            <w:pPr>
              <w:spacing w:after="0"/>
            </w:pPr>
            <w:r>
              <w:rPr>
                <w:b w:val="0"/>
                <w:i w:val="0"/>
                <w:sz w:val="19"/>
              </w:rPr>
              <w:t>Median survival by extrahepatic site: lung 45 months, portal or para-aortic nodes 26 months, peritoneum 29 months.</w:t>
            </w:r>
          </w:p>
          <w:p>
            <w:pPr>
              <w:spacing w:after="0"/>
            </w:pPr>
            <w:r>
              <w:rPr>
                <w:b w:val="0"/>
                <w:i/>
                <w:sz w:val="19"/>
              </w:rPr>
              <w:t>Limits: Non-transplant, heterogeneous observational studies.</w:t>
            </w:r>
          </w:p>
          <w:p>
            <w:pPr>
              <w:spacing w:after="0"/>
            </w:pPr>
            <w:r>
              <w:rPr>
                <w:b w:val="0"/>
                <w:i w:val="0"/>
                <w:color w:val="5A6069"/>
                <w:sz w:val="18"/>
              </w:rPr>
              <w:t>Eur J Cancer 2014; abstract.</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CRLM exclusions for an initial exception: extrahepatic disease after primary tumor resection (including lymphadenopathy outside the primary lymph-node resection) and local relapse. Extension requires no development of extrahepatic disease. Staging: CT/MRI of chest, abdomen and pelvis and PET within one month of the initial request.</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Governs MELD-exception review, not clinical suitability or living-donor eligibility.</w:t>
            </w:r>
          </w:p>
          <w:p>
            <w:pPr>
              <w:spacing w:after="0"/>
            </w:pPr>
            <w:r>
              <w:rPr>
                <w:b w:val="0"/>
                <w:i w:val="0"/>
                <w:color w:val="5A6069"/>
                <w:sz w:val="18"/>
              </w:rPr>
              <w:t>Official PDF, CRLM section.</w:t>
            </w:r>
          </w:p>
        </w:tc>
      </w:tr>
      <w:tr>
        <w:trPr>
          <w:cantSplit/>
        </w:trPr>
        <w:tc>
          <w:tcPr>
            <w:tcW w:type="dxa" w:w="3360"/>
            <w:tcW w:w="2000" w:type="dxa"/>
            <w:shd w:val="clear" w:color="auto" w:fill="F1F5F8"/>
          </w:tcPr>
          <w:p>
            <w:pPr>
              <w:spacing w:after="0"/>
            </w:pPr>
            <w:r>
              <w:rPr>
                <w:b/>
                <w:i w:val="0"/>
                <w:sz w:val="19"/>
              </w:rPr>
              <w:t>Dueland 2023 · Oslo long-term</w:t>
            </w:r>
          </w:p>
        </w:tc>
        <w:tc>
          <w:tcPr>
            <w:tcW w:type="dxa" w:w="3360"/>
            <w:tcW w:w="3900" w:type="dxa"/>
            <w:shd w:val="clear" w:color="auto" w:fill="F1F5F8"/>
          </w:tcPr>
          <w:p>
            <w:pPr>
              <w:spacing w:after="0"/>
            </w:pPr>
            <w:r>
              <w:rPr>
                <w:b w:val="0"/>
                <w:i w:val="0"/>
                <w:sz w:val="19"/>
              </w:rPr>
              <w:t>Oslo pooled cohort; 72 listed, 61 transplanted. PET-CT before transplantation; prior extrahepatic disease not analysed.</w:t>
            </w:r>
          </w:p>
        </w:tc>
        <w:tc>
          <w:tcPr>
            <w:tcW w:type="dxa" w:w="3360"/>
            <w:tcW w:w="4180" w:type="dxa"/>
            <w:shd w:val="clear" w:color="auto" w:fill="F1F5F8"/>
          </w:tcPr>
          <w:p>
            <w:pPr>
              <w:spacing w:after="0"/>
            </w:pPr>
            <w:r>
              <w:rPr>
                <w:b w:val="0"/>
                <w:i w:val="0"/>
                <w:sz w:val="19"/>
              </w:rPr>
              <w:t>10 of 72 listed were not transplanted because of extrahepatic disease, 7 with hilar nodal metastasis on frozen section at laparotomy; intention-to-treat 5-year survival 42.6%.</w:t>
            </w:r>
          </w:p>
          <w:p>
            <w:pPr>
              <w:spacing w:after="0"/>
            </w:pPr>
            <w:r>
              <w:rPr>
                <w:b w:val="0"/>
                <w:i/>
                <w:sz w:val="19"/>
              </w:rPr>
              <w:t>Limits: No control group.</w:t>
            </w:r>
          </w:p>
          <w:p>
            <w:pPr>
              <w:spacing w:after="0"/>
            </w:pPr>
            <w:r>
              <w:rPr>
                <w:b w:val="0"/>
                <w:i w:val="0"/>
                <w:color w:val="5A6069"/>
                <w:sz w:val="18"/>
              </w:rPr>
              <w:t>JAMA Surg 2023; Results (full text).</w:t>
            </w:r>
          </w:p>
        </w:tc>
      </w:tr>
      <w:tr>
        <w:trPr>
          <w:cantSplit/>
        </w:trPr>
        <w:tc>
          <w:tcPr>
            <w:tcW w:type="dxa" w:w="3360"/>
            <w:tcW w:w="2000" w:type="dxa"/>
            <w:shd w:val="clear" w:color="auto" w:fill="FFFFFF"/>
          </w:tcPr>
          <w:p>
            <w:pPr>
              <w:spacing w:after="0"/>
            </w:pPr>
            <w:r>
              <w:rPr>
                <w:b/>
                <w:i w:val="0"/>
                <w:sz w:val="19"/>
              </w:rPr>
              <w:t>Hernandez-Alejandro 2022 · North American LDLT</w:t>
            </w:r>
          </w:p>
        </w:tc>
        <w:tc>
          <w:tcPr>
            <w:tcW w:type="dxa" w:w="3360"/>
            <w:tcW w:w="3900" w:type="dxa"/>
            <w:shd w:val="clear" w:color="auto" w:fill="FFFFFF"/>
          </w:tcPr>
          <w:p>
            <w:pPr>
              <w:spacing w:after="0"/>
            </w:pPr>
            <w:r>
              <w:rPr>
                <w:b w:val="0"/>
                <w:i w:val="0"/>
                <w:sz w:val="19"/>
              </w:rPr>
              <w:t>North American living-donor series; 91 evaluated, 10 transplanted. Liver-confined disease with sustained control; abdominal exploration before the donor operation.</w:t>
            </w:r>
          </w:p>
        </w:tc>
        <w:tc>
          <w:tcPr>
            <w:tcW w:type="dxa" w:w="3360"/>
            <w:tcW w:w="4180" w:type="dxa"/>
            <w:shd w:val="clear" w:color="auto" w:fill="FFFFFF"/>
          </w:tcPr>
          <w:p>
            <w:pPr>
              <w:spacing w:after="0"/>
            </w:pPr>
            <w:r>
              <w:rPr>
                <w:b w:val="0"/>
                <w:i w:val="0"/>
                <w:sz w:val="19"/>
              </w:rPr>
              <w:t>1 of 10 had PET-negative portal nodal metastasis in the explant and recurred in the peritoneum at 121 days.</w:t>
            </w:r>
          </w:p>
          <w:p>
            <w:pPr>
              <w:spacing w:after="0"/>
            </w:pPr>
            <w:r>
              <w:rPr>
                <w:b w:val="0"/>
                <w:i/>
                <w:sz w:val="19"/>
              </w:rPr>
              <w:t>Limits: Ten patients.</w:t>
            </w:r>
          </w:p>
          <w:p>
            <w:pPr>
              <w:spacing w:after="0"/>
            </w:pPr>
            <w:r>
              <w:rPr>
                <w:b w:val="0"/>
                <w:i w:val="0"/>
                <w:color w:val="5A6069"/>
                <w:sz w:val="18"/>
              </w:rPr>
              <w:t>JAMA Surg 2022; Table 4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Keep previously treated extrahepatic disease closed in the initial CRLM pathway. Propose one narrow study stratum for limited, completely treated lung-only metastases; every other site stays closed.</w:t>
      </w:r>
    </w:p>
    <w:p>
      <w:pPr>
        <w:numPr>
          <w:ilvl w:val="0"/>
          <w:numId w:val="5"/>
        </w:numPr>
        <w:spacing w:after="40"/>
      </w:pPr>
      <w:r>
        <w:rPr>
          <w:b w:val="0"/>
          <w:i w:val="0"/>
        </w:rPr>
        <w:t>Default: extrahepatic metastasis after primary resection (including nodes outside the primary resection field), extrahepatic metastasis removed with the primary, and local relapse are outside the initial pathway, even after resection, ablation, radiotherapy or complete response. Response to systemic therapy alone never counts as clearance.</w:t>
      </w:r>
    </w:p>
    <w:p>
      <w:pPr>
        <w:numPr>
          <w:ilvl w:val="0"/>
          <w:numId w:val="5"/>
        </w:numPr>
        <w:spacing w:after="40"/>
      </w:pPr>
      <w:r>
        <w:rPr>
          <w:b w:val="0"/>
          <w:i w:val="0"/>
        </w:rPr>
        <w:t>Proposed lung-only study stratum (not active; needs its own protocol, institutional and IRB approval, and a living-donor or individually reviewed allocation route): pulmonary metastases only, at most three lesions in total, each completely treated with curative intent (R0 resection preferred; stereotactic radiotherapy or ablation only with documented local control), no thoracic nodal involvement on pathology or PET-CT, and no recurrence outside the liver for ≥12 months after the last lung treatment.</w:t>
      </w:r>
    </w:p>
    <w:p>
      <w:pPr>
        <w:numPr>
          <w:ilvl w:val="0"/>
          <w:numId w:val="5"/>
        </w:numPr>
        <w:spacing w:after="40"/>
      </w:pPr>
      <w:r>
        <w:rPr>
          <w:b w:val="0"/>
          <w:i w:val="0"/>
        </w:rPr>
        <w:t>The stratum adds no other relaxation: every CRLM-B3 limit still applies (BRAF wild type, MSS/pMMR, R0 primary, CEA &lt;80 ng/mL, no pretreatment liver lesion &gt;10 cm, documented disease control), and chest CT and PET-CT within one month show no disease outside the liver. Do not combine it with another expansion.</w:t>
      </w:r>
    </w:p>
    <w:p>
      <w:pPr>
        <w:numPr>
          <w:ilvl w:val="0"/>
          <w:numId w:val="5"/>
        </w:numPr>
        <w:spacing w:after="40"/>
      </w:pPr>
      <w:r>
        <w:rPr>
          <w:b w:val="0"/>
          <w:i w:val="0"/>
        </w:rPr>
        <w:t>Hilar nodes: frozen section of hilar nodes before implantation, and before donor hepatectomy in living donation; a positive node ends the transplant. In Oslo, 7 of 72 listed patients were stopped at laparotomy for hilar nodal metastasis.</w:t>
      </w:r>
    </w:p>
    <w:p>
      <w:pPr>
        <w:numPr>
          <w:ilvl w:val="0"/>
          <w:numId w:val="5"/>
        </w:numPr>
        <w:spacing w:after="40"/>
      </w:pPr>
      <w:r>
        <w:rPr>
          <w:b w:val="0"/>
          <w:i w:val="0"/>
        </w:rPr>
        <w:t>Closed, with no proposed stratum: nodal disease outside the primary resection field; peritoneal, ovarian, adrenal, bone, brain or other non-lung sites; local relapse; more than three lung lesions; thoracic nodal involvement; or recurrence after lung treatment. A new or indeterminate extrahepatic lesion during evaluation or on the waiting list is HOLD for characterization and restaging; it does not enter the stratum.</w:t>
      </w:r>
    </w:p>
    <w:p>
      <w:pPr>
        <w:spacing w:after="80"/>
      </w:pPr>
      <w:r>
        <w:rPr>
          <w:b/>
          <w:i w:val="0"/>
        </w:rPr>
        <w:t xml:space="preserve">Why: </w:t>
      </w:r>
      <w:r>
        <w:rPr>
          <w:b w:val="0"/>
          <w:i w:val="0"/>
        </w:rPr>
        <w:t>Lung-limited colorectal metastasis is the most indolent extrahepatic pattern, and the transplant experience points the same way. On retrospective review of SECA-I chest CT, 7 of 21 recipients already had untreated pulmonary metastases at transplantation, and 6 of them were among the longest survivors; no statistical test was reported. Lung metastases after transplantation grew no faster than in non-transplanted controls (median doubling time 125 versus 130 days), and the 14 Oslo recipients whose lung recurrence was resected had 64.5% ten-year survival from lung resection. IHPBA advises that isolated pulmonary recurrence after transplantation be considered for resection. Newer protocols admit limited, treated lung disease: SECA-III excludes recent resection of non-hepatic metastases and any previous bone, CNS or thoracic or abdominal nodal metastasis, and a Japanese living-donor study accepts up to three treated lung metastases without recurrence for more than six months. This supports studying a lung-only stratum, not opening it.</w:t>
      </w:r>
    </w:p>
    <w:p>
      <w:pPr>
        <w:spacing w:after="80"/>
      </w:pPr>
      <w:r>
        <w:rPr>
          <w:b/>
          <w:i w:val="0"/>
        </w:rPr>
        <w:t xml:space="preserve">Against, or uncertain: </w:t>
      </w:r>
      <w:r>
        <w:rPr>
          <w:b w:val="0"/>
          <w:i w:val="0"/>
        </w:rPr>
        <w:t>Direct evidence is one patient. In SECA-II arm D, the recipient whose lung metastasis had been resected eight years earlier was recurrence-free at 23 months, but the arm overall did poorly (median DFS 4 months, OS 18 months) because several adverse features were combined. IHPBA states there is no evidence to support transplantation in patients who present with or subsequently develop extrahepatic metastases; TransMet excluded prior or current extrahepatic disease and local recurrence; and NLRB excludes post-resection extrahepatic disease. In PulMiCC, lung metastasectomy did not clearly improve survival (HR 0.93, 95% CI 0.56–1.56), so successful lung treatment may select favourable biology rather than cure it. After liver resection, nodal and peritoneal extrahepatic disease had markedly shorter survival than lung disease (median 26 and 29 versus 45 months).</w:t>
      </w:r>
    </w:p>
    <w:p>
      <w:pPr>
        <w:spacing w:after="80"/>
      </w:pPr>
      <w:r>
        <w:rPr>
          <w:b/>
          <w:i w:val="0"/>
        </w:rPr>
        <w:t xml:space="preserve">Certainty: </w:t>
      </w:r>
      <w:r>
        <w:rPr>
          <w:b w:val="0"/>
          <w:i w:val="0"/>
        </w:rPr>
        <w:t>Very low for transplantation after previously treated extrahepatic disease (one reported recipient); low for the indirect inference that lung-limited disease behaves indolently after transplantation; no transplant evidence for previous nodal, peritoneal or other sites.</w:t>
      </w:r>
    </w:p>
    <w:p>
      <w:pPr>
        <w:spacing w:after="80"/>
      </w:pPr>
      <w:r>
        <w:rPr>
          <w:b/>
          <w:i w:val="0"/>
        </w:rPr>
        <w:t xml:space="preserve">Tests and records: </w:t>
      </w:r>
      <w:r>
        <w:rPr>
          <w:b w:val="0"/>
          <w:i w:val="0"/>
        </w:rPr>
        <w:t>Dated history of every extrahepatic site: imaging, operative and pathology reports, radiotherapy or ablation records and margins; thoracic nodal status; number and size of lung lesions; interval from primary resection to lung disease and from the last lung treatment to evaluation; chest CT and PET-CT within one month; dated CEA series. Plan intraoperative hilar node frozen section before implantation (and before donor hepatectomy).</w:t>
      </w:r>
    </w:p>
    <w:p>
      <w:pPr>
        <w:spacing w:after="80"/>
      </w:pPr>
      <w:r>
        <w:rPr>
          <w:b/>
          <w:i w:val="0"/>
        </w:rPr>
        <w:t xml:space="preserve">Allocation: </w:t>
      </w:r>
      <w:r>
        <w:rPr>
          <w:b w:val="0"/>
          <w:i w:val="0"/>
        </w:rPr>
        <w:t>NLRB guidance excludes extrahepatic disease after primary tumor resection (including lymphadenopathy outside the primary lymph-node resection) and local relapse from an initial CRLM MELD exception, and requires no development of extrahepatic disease for extension. A standardized deceased-donor exception is therefore not available. The lung-only stratum would need living-donor transplantation within an approved study or an individual NLRB request that states the deviation; this proposal implies neither.</w:t>
      </w:r>
    </w:p>
    <w:p>
      <w:pPr>
        <w:spacing w:after="40"/>
      </w:pPr>
      <w:r>
        <w:rPr>
          <w:b/>
          <w:i w:val="0"/>
        </w:rPr>
        <w:t xml:space="preserve">Basis for the proposed thresholds: </w:t>
      </w:r>
    </w:p>
    <w:p>
      <w:pPr>
        <w:numPr>
          <w:ilvl w:val="0"/>
          <w:numId w:val="5"/>
        </w:numPr>
        <w:spacing w:after="40"/>
      </w:pPr>
      <w:r>
        <w:rPr>
          <w:b w:val="0"/>
          <w:i w:val="0"/>
        </w:rPr>
        <w:t>At most three lung lesions follows the Japanese living-donor protocol. Twelve months without recurrence after lung treatment sits between that protocol (more than six months) and SECA-III, which excludes resection of non-hepatic metastases within the last two years and of pulmonary or liver-hilum lymph-node metastases within the last year. Excluding thoracic nodal involvement reflects its strong adverse effect after lung metastasectomy in patients with previously resected liver metastases (HR 4.86). None of these limits has been tested in transplant recipients.</w:t>
      </w:r>
    </w:p>
    <w:p>
      <w:pPr>
        <w:pStyle w:val="Heading3"/>
        <w:keepNext/>
        <w:spacing w:before="120" w:after="80"/>
      </w:pPr>
      <w:r>
        <w:rPr>
          <w:b w:val="0"/>
          <w:i w:val="0"/>
        </w:rPr>
        <w:t>CRLM-B5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Free full text</w:t>
        </w:r>
      </w:hyperlink>
      <w:r>
        <w:rPr>
          <w:b w:val="0"/>
          <w:i w:val="0"/>
          <w:sz w:val="19"/>
        </w:rPr>
        <w:t xml:space="preserve"> · </w:t>
      </w:r>
      <w:hyperlink r:id="rId27">
        <w:r>
          <w:rPr>
            <w:color w:val="0563C1"/>
            <w:u w:val="single"/>
            <w:sz w:val="19"/>
          </w:rPr>
          <w:t xml:space="preserve">Source</w:t>
        </w:r>
      </w:hyperlink>
      <w:r>
        <w:rPr>
          <w:b w:val="0"/>
          <w:i w:val="0"/>
          <w:sz w:val="19"/>
        </w:rPr>
        <w:t xml:space="preserve"> · </w:t>
      </w:r>
      <w:hyperlink r:id="rId28">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9">
        <w:r>
          <w:rPr>
            <w:color w:val="0563C1"/>
            <w:u w:val="single"/>
            <w:sz w:val="19"/>
          </w:rPr>
          <w:t xml:space="preserve">PubMed</w:t>
        </w:r>
      </w:hyperlink>
      <w:r>
        <w:rPr>
          <w:b w:val="0"/>
          <w:i w:val="0"/>
          <w:sz w:val="19"/>
        </w:rPr>
        <w:t xml:space="preserve"> · </w:t>
      </w:r>
      <w:hyperlink r:id="rId30">
        <w:r>
          <w:rPr>
            <w:color w:val="0563C1"/>
            <w:u w:val="single"/>
            <w:sz w:val="19"/>
          </w:rPr>
          <w:t xml:space="preserve">Journal</w:t>
        </w:r>
      </w:hyperlink>
      <w:r>
        <w:rPr>
          <w:b w:val="0"/>
          <w:i w:val="0"/>
          <w:sz w:val="19"/>
        </w:rPr>
        <w:t xml:space="preserve"> · </w:t>
      </w:r>
      <w:hyperlink r:id="rId31">
        <w:r>
          <w:rPr>
            <w:color w:val="0563C1"/>
            <w:u w:val="single"/>
            <w:sz w:val="19"/>
          </w:rPr>
          <w:t xml:space="preserve">TMC library</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32">
        <w:r>
          <w:rPr>
            <w:color w:val="0563C1"/>
            <w:u w:val="single"/>
            <w:sz w:val="19"/>
          </w:rPr>
          <w:t xml:space="preserve">PubMed</w:t>
        </w:r>
      </w:hyperlink>
      <w:r>
        <w:rPr>
          <w:b w:val="0"/>
          <w:i w:val="0"/>
          <w:sz w:val="19"/>
        </w:rPr>
        <w:t xml:space="preserve"> · </w:t>
      </w:r>
      <w:hyperlink r:id="rId33">
        <w:r>
          <w:rPr>
            <w:color w:val="0563C1"/>
            <w:u w:val="single"/>
            <w:sz w:val="19"/>
          </w:rPr>
          <w:t xml:space="preserve">Journal</w:t>
        </w:r>
      </w:hyperlink>
      <w:r>
        <w:rPr>
          <w:b w:val="0"/>
          <w:i w:val="0"/>
          <w:sz w:val="19"/>
        </w:rPr>
        <w:t xml:space="preserve"> · </w:t>
      </w:r>
      <w:hyperlink r:id="rId34">
        <w:r>
          <w:rPr>
            <w:color w:val="0563C1"/>
            <w:u w:val="single"/>
            <w:sz w:val="19"/>
          </w:rPr>
          <w:t xml:space="preserve">Free full text</w:t>
        </w:r>
      </w:hyperlink>
      <w:r>
        <w:rPr>
          <w:b w:val="0"/>
          <w:i w:val="0"/>
          <w:sz w:val="19"/>
        </w:rPr>
        <w:t xml:space="preserve"> · </w:t>
      </w:r>
      <w:hyperlink r:id="rId35">
        <w:r>
          <w:rPr>
            <w:color w:val="0563C1"/>
            <w:u w:val="single"/>
            <w:sz w:val="19"/>
          </w:rPr>
          <w:t xml:space="preserve">Source</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Chandra 2026 · HAIP comparator</w:t>
      </w:r>
      <w:r>
        <w:rPr>
          <w:b w:val="0"/>
          <w:i w:val="0"/>
          <w:sz w:val="19"/>
        </w:rPr>
        <w:t xml:space="preserve"> — Transplant-Eligible Colorectal Liver Metastasis Patients Treated with Hepatic Artery Infusion Pump – A Retrospective Cohort Study</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Chávez-Villa 2023 · occult disease</w:t>
      </w:r>
      <w:r>
        <w:rPr>
          <w:b w:val="0"/>
          <w:i w:val="0"/>
          <w:sz w:val="19"/>
        </w:rPr>
        <w:t xml:space="preserve"> — The High Incidence of Occult Carcinoma in Total Hepatectomy Specimens of Patients Treated for Unresectable Colorectal Liver Metastases With Liver Transplant</w:t>
      </w:r>
      <w:r>
        <w:rPr>
          <w:b w:val="0"/>
          <w:i w:val="0"/>
          <w:sz w:val="19"/>
        </w:rPr>
        <w:t xml:space="preserve">  </w:t>
      </w:r>
      <w:hyperlink r:id="rId40">
        <w:r>
          <w:rPr>
            <w:color w:val="0563C1"/>
            <w:u w:val="single"/>
            <w:sz w:val="19"/>
          </w:rPr>
          <w:t xml:space="preserve">PubMed</w:t>
        </w:r>
      </w:hyperlink>
      <w:r>
        <w:rPr>
          <w:b w:val="0"/>
          <w:i w:val="0"/>
          <w:sz w:val="19"/>
        </w:rPr>
        <w:t xml:space="preserve"> · </w:t>
      </w:r>
      <w:hyperlink r:id="rId41">
        <w:r>
          <w:rPr>
            <w:color w:val="0563C1"/>
            <w:u w:val="single"/>
            <w:sz w:val="19"/>
          </w:rPr>
          <w:t xml:space="preserve">Journal</w:t>
        </w:r>
      </w:hyperlink>
      <w:r>
        <w:rPr>
          <w:b w:val="0"/>
          <w:i w:val="0"/>
          <w:sz w:val="19"/>
        </w:rPr>
        <w:t xml:space="preserve"> · </w:t>
      </w:r>
      <w:hyperlink r:id="rId42">
        <w:r>
          <w:rPr>
            <w:color w:val="0563C1"/>
            <w:u w:val="single"/>
            <w:sz w:val="19"/>
          </w:rPr>
          <w:t xml:space="preserve">Free full text</w:t>
        </w:r>
      </w:hyperlink>
      <w:r>
        <w:rPr>
          <w:b w:val="0"/>
          <w:i w:val="0"/>
          <w:sz w:val="19"/>
        </w:rPr>
        <w:t xml:space="preserve"> · </w:t>
      </w:r>
      <w:hyperlink r:id="rId43">
        <w:r>
          <w:rPr>
            <w:color w:val="0563C1"/>
            <w:u w:val="single"/>
            <w:sz w:val="19"/>
          </w:rPr>
          <w:t xml:space="preserve">Source</w:t>
        </w:r>
      </w:hyperlink>
      <w:r>
        <w:rPr>
          <w:b w:val="0"/>
          <w:i w:val="0"/>
          <w:sz w:val="19"/>
        </w:rPr>
        <w:t xml:space="preserve"> · </w:t>
      </w:r>
      <w:hyperlink r:id="rId44">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Dueland 2020 · SECA-II</w:t>
      </w:r>
      <w:r>
        <w:rPr>
          <w:b w:val="0"/>
          <w:i w:val="0"/>
          <w:sz w:val="19"/>
        </w:rPr>
        <w:t xml:space="preserve"> — Survival Following Liver Transplantation for Patients With Nonresectable Liver-only Colorectal Metastases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Dueland 2022 · lung resection after LT</w:t>
      </w:r>
      <w:r>
        <w:rPr>
          <w:b w:val="0"/>
          <w:i w:val="0"/>
          <w:sz w:val="19"/>
        </w:rPr>
        <w:t xml:space="preserve"> — PET-uptake in liver metastases as method to predict tumor biological behavior in patients transplanted for colorectal liver metastases developing lung recurrence</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Source</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Dueland 2023 · Oslo long-term</w:t>
      </w:r>
      <w:r>
        <w:rPr>
          <w:b w:val="0"/>
          <w:i w:val="0"/>
          <w:sz w:val="19"/>
        </w:rPr>
        <w:t xml:space="preserve"> — Long-Term Survival, Prognostic Factors, and Selection of Patients With Colorectal Cancer for Liver Transplant: A Nonrandomized Controlled Trial</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Dueland 2026 · SECA-II ten-year</w:t>
      </w:r>
      <w:r>
        <w:rPr>
          <w:b w:val="0"/>
          <w:i w:val="0"/>
          <w:sz w:val="19"/>
        </w:rPr>
        <w:t xml:space="preserve"> — Liver Transplantation for Nonresectable Colorectal Liver Metastases: Ten-year Follow-up and Assessment of Curative Rate in the SECA-II Study</w:t>
      </w:r>
      <w:r>
        <w:rPr>
          <w:b w:val="0"/>
          <w:i w:val="0"/>
          <w:sz w:val="19"/>
        </w:rPr>
        <w:t xml:space="preserve">  </w:t>
      </w:r>
      <w:hyperlink r:id="rId60">
        <w:r>
          <w:rPr>
            <w:color w:val="0563C1"/>
            <w:u w:val="single"/>
            <w:sz w:val="19"/>
          </w:rPr>
          <w:t xml:space="preserve">PubMed</w:t>
        </w:r>
      </w:hyperlink>
      <w:r>
        <w:rPr>
          <w:b w:val="0"/>
          <w:i w:val="0"/>
          <w:sz w:val="19"/>
        </w:rPr>
        <w:t xml:space="preserve"> · </w:t>
      </w:r>
      <w:hyperlink r:id="rId61">
        <w:r>
          <w:rPr>
            <w:color w:val="0563C1"/>
            <w:u w:val="single"/>
            <w:sz w:val="19"/>
          </w:rPr>
          <w:t xml:space="preserve">Journal</w:t>
        </w:r>
      </w:hyperlink>
      <w:r>
        <w:rPr>
          <w:b w:val="0"/>
          <w:i w:val="0"/>
          <w:sz w:val="19"/>
        </w:rPr>
        <w:t xml:space="preserve"> · </w:t>
      </w:r>
      <w:hyperlink r:id="rId62">
        <w:r>
          <w:rPr>
            <w:color w:val="0563C1"/>
            <w:u w:val="single"/>
            <w:sz w:val="19"/>
          </w:rPr>
          <w:t xml:space="preserve">Source</w:t>
        </w:r>
      </w:hyperlink>
      <w:r>
        <w:rPr>
          <w:b w:val="0"/>
          <w:i w:val="0"/>
          <w:sz w:val="19"/>
        </w:rPr>
        <w:t xml:space="preserve"> · </w:t>
      </w:r>
      <w:hyperlink r:id="rId63">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Free full text</w:t>
        </w:r>
      </w:hyperlink>
      <w:r>
        <w:rPr>
          <w:b w:val="0"/>
          <w:i w:val="0"/>
          <w:sz w:val="19"/>
        </w:rPr>
        <w:t xml:space="preserve"> · </w:t>
      </w:r>
      <w:hyperlink r:id="rId67">
        <w:r>
          <w:rPr>
            <w:color w:val="0563C1"/>
            <w:u w:val="single"/>
            <w:sz w:val="19"/>
          </w:rPr>
          <w:t xml:space="preserve">Source</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Source</w:t>
        </w:r>
      </w:hyperlink>
      <w:r>
        <w:rPr>
          <w:b w:val="0"/>
          <w:i w:val="0"/>
          <w:sz w:val="19"/>
        </w:rPr>
        <w:t xml:space="preserve"> · </w:t>
      </w:r>
      <w:hyperlink r:id="rId72">
        <w:r>
          <w:rPr>
            <w:color w:val="0563C1"/>
            <w:u w:val="single"/>
            <w:sz w:val="19"/>
          </w:rPr>
          <w:t xml:space="preserve">TMC library</w:t>
        </w:r>
      </w:hyperlink>
    </w:p>
    <w:p>
      <w:pPr>
        <w:spacing w:after="60"/>
      </w:pPr>
      <w:r>
        <w:rPr>
          <w:b/>
          <w:i w:val="0"/>
          <w:sz w:val="19"/>
        </w:rPr>
        <w:t>Fukumitsu 2024 · Japanese LDLT protocol</w:t>
      </w:r>
      <w:r>
        <w:rPr>
          <w:b w:val="0"/>
          <w:i w:val="0"/>
          <w:sz w:val="19"/>
        </w:rPr>
        <w:t xml:space="preserve"> — Living-donor liver transplantation for non-resectable colorectal liver metastases: protocol for a multicentric, single-arm study</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Source</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Grut 2022 · MTV</w:t>
      </w:r>
      <w:r>
        <w:rPr>
          <w:b w:val="0"/>
          <w:i w:val="0"/>
          <w:sz w:val="19"/>
        </w:rPr>
        <w:t xml:space="preserve"> — Metabolic tumor volume predicts long-term survival after transplantation for unresectable colorectal liver metastases: 15 years of experience from the SECA study</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Grut · lung metastasis growth</w:t>
      </w:r>
      <w:r>
        <w:rPr>
          <w:b w:val="0"/>
          <w:i w:val="0"/>
          <w:sz w:val="19"/>
        </w:rPr>
        <w:t xml:space="preserve"> — Growth rates of pulmonary metastases after liver transplantation for unresectable colorectal liver metastases</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Hagness · SECA-I recurrence</w:t>
      </w:r>
      <w:r>
        <w:rPr>
          <w:b w:val="0"/>
          <w:i w:val="0"/>
          <w:sz w:val="19"/>
        </w:rPr>
        <w:t xml:space="preserve"> — Patterns of recurrence after liver transplantation for nonresectable liver metastases from colorectal cancer</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Source</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Hernandez-Alejandro 2022 · North American LDLT</w:t>
      </w:r>
      <w:r>
        <w:rPr>
          <w:b w:val="0"/>
          <w:i w:val="0"/>
          <w:sz w:val="19"/>
        </w:rPr>
        <w:t xml:space="preserve"> — Recipient and Donor Outcomes After Living-Donor Liver Transplant for Unresectable Colorectal Liver Metastases</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92">
        <w:r>
          <w:rPr>
            <w:color w:val="0563C1"/>
            <w:u w:val="single"/>
            <w:sz w:val="19"/>
          </w:rPr>
          <w:t xml:space="preserve">Source</w:t>
        </w:r>
      </w:hyperlink>
    </w:p>
    <w:p>
      <w:pPr>
        <w:spacing w:after="60"/>
      </w:pPr>
      <w:r>
        <w:rPr>
          <w:b/>
          <w:i w:val="0"/>
          <w:sz w:val="19"/>
        </w:rPr>
        <w:t>Hwang 2014 · resection with extrahepatic disease</w:t>
      </w:r>
      <w:r>
        <w:rPr>
          <w:b w:val="0"/>
          <w:i w:val="0"/>
          <w:sz w:val="19"/>
        </w:rPr>
        <w:t xml:space="preserve"> — Systematic review of outcomes of patients undergoing resection for colorectal liver metastases in the setting of extra hepatic disease</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IHPBA 2021</w:t>
      </w:r>
      <w:r>
        <w:rPr>
          <w:b w:val="0"/>
          <w:i w:val="0"/>
          <w:sz w:val="19"/>
        </w:rPr>
        <w:t xml:space="preserve"> — Liver transplantation for non-resectable colorectal liver metastases: the International Hepato-Pancreato-Biliary Association consensus guidelines</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Kataoka 2025 · DREAM</w:t>
      </w:r>
      <w:r>
        <w:rPr>
          <w:b w:val="0"/>
          <w:i w:val="0"/>
          <w:sz w:val="19"/>
        </w:rPr>
        <w:t xml:space="preserve"> — Diagnostic Accuracy of Imaging in Assessing Nonviability of Disappearing Colorectal Liver Metastasis</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Source</w:t>
        </w:r>
      </w:hyperlink>
      <w:r>
        <w:rPr>
          <w:b w:val="0"/>
          <w:i w:val="0"/>
          <w:sz w:val="19"/>
        </w:rPr>
        <w:t xml:space="preserve"> · </w:t>
      </w:r>
      <w:hyperlink r:id="rId102">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06">
        <w:r>
          <w:rPr>
            <w:color w:val="0563C1"/>
            <w:u w:val="single"/>
            <w:sz w:val="19"/>
          </w:rPr>
          <w:t xml:space="preserve">Source</w:t>
        </w:r>
      </w:hyperlink>
    </w:p>
    <w:p>
      <w:pPr>
        <w:spacing w:after="60"/>
      </w:pPr>
      <w:r>
        <w:rPr>
          <w:b/>
          <w:i w:val="0"/>
          <w:sz w:val="19"/>
        </w:rPr>
        <w:t>Oba 2018 · disappearing lesions</w:t>
      </w:r>
      <w:r>
        <w:rPr>
          <w:b w:val="0"/>
          <w:i w:val="0"/>
          <w:sz w:val="19"/>
        </w:rPr>
        <w:t xml:space="preserve"> — Clinical implications of disappearing colorectal liver metastases have changed in the era of hepatocyte-specific MRI and contrast-enhanced intraoperative ultrasonography</w:t>
      </w:r>
      <w:r>
        <w:rPr>
          <w:b w:val="0"/>
          <w:i w:val="0"/>
          <w:sz w:val="19"/>
        </w:rPr>
        <w:t xml:space="preserve">  </w:t>
      </w:r>
      <w:hyperlink r:id="rId107">
        <w:r>
          <w:rPr>
            <w:color w:val="0563C1"/>
            <w:u w:val="single"/>
            <w:sz w:val="19"/>
          </w:rPr>
          <w:t xml:space="preserve">PubMed</w:t>
        </w:r>
      </w:hyperlink>
      <w:r>
        <w:rPr>
          <w:b w:val="0"/>
          <w:i w:val="0"/>
          <w:sz w:val="19"/>
        </w:rPr>
        <w:t xml:space="preserve"> · </w:t>
      </w:r>
      <w:hyperlink r:id="rId108">
        <w:r>
          <w:rPr>
            <w:color w:val="0563C1"/>
            <w:u w:val="single"/>
            <w:sz w:val="19"/>
          </w:rPr>
          <w:t xml:space="preserve">Journal</w:t>
        </w:r>
      </w:hyperlink>
      <w:r>
        <w:rPr>
          <w:b w:val="0"/>
          <w:i w:val="0"/>
          <w:sz w:val="19"/>
        </w:rPr>
        <w:t xml:space="preserve"> · </w:t>
      </w:r>
      <w:hyperlink r:id="rId109">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10">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11">
        <w:r>
          <w:rPr>
            <w:color w:val="0563C1"/>
            <w:u w:val="single"/>
            <w:sz w:val="19"/>
          </w:rPr>
          <w:t xml:space="preserve">Source</w:t>
        </w:r>
      </w:hyperlink>
    </w:p>
    <w:p>
      <w:pPr>
        <w:spacing w:after="60"/>
      </w:pPr>
      <w:r>
        <w:rPr>
          <w:b/>
          <w:i w:val="0"/>
          <w:sz w:val="19"/>
        </w:rPr>
        <w:t>PulMiCC 2020</w:t>
      </w:r>
      <w:r>
        <w:rPr>
          <w:b w:val="0"/>
          <w:i w:val="0"/>
          <w:sz w:val="19"/>
        </w:rPr>
        <w:t xml:space="preserve"> — Pulmonary metastasectomy in colorectal cancer: updated analysis of 93 randomized patients - control survival is much better than previously assumed</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Source</w:t>
        </w:r>
      </w:hyperlink>
      <w:r>
        <w:rPr>
          <w:b w:val="0"/>
          <w:i w:val="0"/>
          <w:sz w:val="19"/>
        </w:rPr>
        <w:t xml:space="preserve"> · </w:t>
      </w:r>
      <w:hyperlink r:id="rId115">
        <w:r>
          <w:rPr>
            <w:color w:val="0563C1"/>
            <w:u w:val="single"/>
            <w:sz w:val="19"/>
          </w:rPr>
          <w:t xml:space="preserve">TMC library</w:t>
        </w:r>
      </w:hyperlink>
    </w:p>
    <w:p>
      <w:pPr>
        <w:spacing w:after="60"/>
      </w:pPr>
      <w:r>
        <w:rPr>
          <w:b/>
          <w:i w:val="0"/>
          <w:sz w:val="19"/>
        </w:rPr>
        <w:t>Salah 2014 · lung metastasectomy after liver resection</w:t>
      </w:r>
      <w:r>
        <w:rPr>
          <w:b w:val="0"/>
          <w:i w:val="0"/>
          <w:sz w:val="19"/>
        </w:rPr>
        <w:t xml:space="preserve"> — Pulmonary metastasectomy in colorectal cancer patients with previously resected liver metastasis: pooled analysis</w:t>
      </w:r>
      <w:r>
        <w:rPr>
          <w:b w:val="0"/>
          <w:i w:val="0"/>
          <w:sz w:val="19"/>
        </w:rPr>
        <w:t xml:space="preserve">  </w:t>
      </w:r>
      <w:hyperlink r:id="rId116">
        <w:r>
          <w:rPr>
            <w:color w:val="0563C1"/>
            <w:u w:val="single"/>
            <w:sz w:val="19"/>
          </w:rPr>
          <w:t xml:space="preserve">PubMed</w:t>
        </w:r>
      </w:hyperlink>
      <w:r>
        <w:rPr>
          <w:b w:val="0"/>
          <w:i w:val="0"/>
          <w:sz w:val="19"/>
        </w:rPr>
        <w:t xml:space="preserve"> · </w:t>
      </w:r>
      <w:hyperlink r:id="rId117">
        <w:r>
          <w:rPr>
            <w:color w:val="0563C1"/>
            <w:u w:val="single"/>
            <w:sz w:val="19"/>
          </w:rPr>
          <w:t xml:space="preserve">Journal</w:t>
        </w:r>
      </w:hyperlink>
      <w:r>
        <w:rPr>
          <w:b w:val="0"/>
          <w:i w:val="0"/>
          <w:sz w:val="19"/>
        </w:rPr>
        <w:t xml:space="preserve"> · </w:t>
      </w:r>
      <w:hyperlink r:id="rId118">
        <w:r>
          <w:rPr>
            <w:color w:val="0563C1"/>
            <w:u w:val="single"/>
            <w:sz w:val="19"/>
          </w:rPr>
          <w:t xml:space="preserve">TMC library</w:t>
        </w:r>
      </w:hyperlink>
    </w:p>
    <w:p>
      <w:pPr>
        <w:spacing w:after="60"/>
      </w:pPr>
      <w:r>
        <w:rPr>
          <w:b/>
          <w:i w:val="0"/>
          <w:sz w:val="19"/>
        </w:rPr>
        <w:t>SECA-II arm D</w:t>
      </w:r>
      <w:r>
        <w:rPr>
          <w:b w:val="0"/>
          <w:i w:val="0"/>
          <w:sz w:val="19"/>
        </w:rPr>
        <w:t xml:space="preserve"> — Liver transplantation for unresectable colorectal liver metastases in patients and donors with extended criteria (SECA-II arm D study)</w:t>
      </w:r>
      <w:r>
        <w:rPr>
          <w:b w:val="0"/>
          <w:i w:val="0"/>
          <w:sz w:val="19"/>
        </w:rPr>
        <w:t xml:space="preserve">  </w:t>
      </w:r>
      <w:hyperlink r:id="rId119">
        <w:r>
          <w:rPr>
            <w:color w:val="0563C1"/>
            <w:u w:val="single"/>
            <w:sz w:val="19"/>
          </w:rPr>
          <w:t xml:space="preserve">PubMed</w:t>
        </w:r>
      </w:hyperlink>
      <w:r>
        <w:rPr>
          <w:b w:val="0"/>
          <w:i w:val="0"/>
          <w:sz w:val="19"/>
        </w:rPr>
        <w:t xml:space="preserve"> · </w:t>
      </w:r>
      <w:hyperlink r:id="rId120">
        <w:r>
          <w:rPr>
            <w:color w:val="0563C1"/>
            <w:u w:val="single"/>
            <w:sz w:val="19"/>
          </w:rPr>
          <w:t xml:space="preserve">Journal</w:t>
        </w:r>
      </w:hyperlink>
      <w:r>
        <w:rPr>
          <w:b w:val="0"/>
          <w:i w:val="0"/>
          <w:sz w:val="19"/>
        </w:rPr>
        <w:t xml:space="preserve"> · </w:t>
      </w:r>
      <w:hyperlink r:id="rId121">
        <w:r>
          <w:rPr>
            <w:color w:val="0563C1"/>
            <w:u w:val="single"/>
            <w:sz w:val="19"/>
          </w:rPr>
          <w:t xml:space="preserve">Free full text</w:t>
        </w:r>
      </w:hyperlink>
      <w:r>
        <w:rPr>
          <w:b w:val="0"/>
          <w:i w:val="0"/>
          <w:sz w:val="19"/>
        </w:rPr>
        <w:t xml:space="preserve"> · </w:t>
      </w:r>
      <w:hyperlink r:id="rId122">
        <w:r>
          <w:rPr>
            <w:color w:val="0563C1"/>
            <w:u w:val="single"/>
            <w:sz w:val="19"/>
          </w:rPr>
          <w:t xml:space="preserve">Source</w:t>
        </w:r>
      </w:hyperlink>
      <w:r>
        <w:rPr>
          <w:b w:val="0"/>
          <w:i w:val="0"/>
          <w:sz w:val="19"/>
        </w:rPr>
        <w:t xml:space="preserve"> · </w:t>
      </w:r>
      <w:hyperlink r:id="rId123">
        <w:r>
          <w:rPr>
            <w:color w:val="0563C1"/>
            <w:u w:val="single"/>
            <w:sz w:val="19"/>
          </w:rPr>
          <w:t xml:space="preserve">TMC library</w:t>
        </w:r>
      </w:hyperlink>
    </w:p>
    <w:p>
      <w:pPr>
        <w:spacing w:after="60"/>
      </w:pPr>
      <w:r>
        <w:rPr>
          <w:b/>
          <w:i w:val="0"/>
          <w:sz w:val="19"/>
        </w:rPr>
        <w:t>SECA-III registration</w:t>
      </w:r>
      <w:r>
        <w:rPr>
          <w:b w:val="0"/>
          <w:i w:val="0"/>
          <w:sz w:val="19"/>
        </w:rPr>
        <w:t xml:space="preserve"> — A randomized clinical trial comparing overall survival in selected patients with colorectal carcinoma treated by liver transplantation or chemotherapy (SECA-III)</w:t>
      </w:r>
      <w:r>
        <w:rPr>
          <w:b w:val="0"/>
          <w:i w:val="0"/>
          <w:sz w:val="19"/>
        </w:rPr>
        <w:t xml:space="preserve">  </w:t>
      </w:r>
      <w:hyperlink r:id="rId124">
        <w:r>
          <w:rPr>
            <w:color w:val="0563C1"/>
            <w:u w:val="single"/>
            <w:sz w:val="19"/>
          </w:rPr>
          <w:t xml:space="preserve">Source</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25">
        <w:r>
          <w:rPr>
            <w:color w:val="0563C1"/>
            <w:u w:val="single"/>
            <w:sz w:val="19"/>
          </w:rPr>
          <w:t xml:space="preserve">PubMed</w:t>
        </w:r>
      </w:hyperlink>
      <w:r>
        <w:rPr>
          <w:b w:val="0"/>
          <w:i w:val="0"/>
          <w:sz w:val="19"/>
        </w:rPr>
        <w:t xml:space="preserve"> · </w:t>
      </w:r>
      <w:hyperlink r:id="rId126">
        <w:r>
          <w:rPr>
            <w:color w:val="0563C1"/>
            <w:u w:val="single"/>
            <w:sz w:val="19"/>
          </w:rPr>
          <w:t xml:space="preserve">Journal</w:t>
        </w:r>
      </w:hyperlink>
      <w:r>
        <w:rPr>
          <w:b w:val="0"/>
          <w:i w:val="0"/>
          <w:sz w:val="19"/>
        </w:rPr>
        <w:t xml:space="preserve"> · </w:t>
      </w:r>
      <w:hyperlink r:id="rId127">
        <w:r>
          <w:rPr>
            <w:color w:val="0563C1"/>
            <w:u w:val="single"/>
            <w:sz w:val="19"/>
          </w:rPr>
          <w:t xml:space="preserve">Free full text</w:t>
        </w:r>
      </w:hyperlink>
      <w:r>
        <w:rPr>
          <w:b w:val="0"/>
          <w:i w:val="0"/>
          <w:sz w:val="19"/>
        </w:rPr>
        <w:t xml:space="preserve"> · </w:t>
      </w:r>
      <w:hyperlink r:id="rId128">
        <w:r>
          <w:rPr>
            <w:color w:val="0563C1"/>
            <w:u w:val="single"/>
            <w:sz w:val="19"/>
          </w:rPr>
          <w:t xml:space="preserve">Source</w:t>
        </w:r>
      </w:hyperlink>
      <w:r>
        <w:rPr>
          <w:b w:val="0"/>
          <w:i w:val="0"/>
          <w:sz w:val="19"/>
        </w:rPr>
        <w:t xml:space="preserve"> · </w:t>
      </w:r>
      <w:hyperlink r:id="rId129">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30">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2">
        <w:r>
          <w:rPr>
            <w:color w:val="0563C1"/>
            <w:u w:val="single"/>
            <w:sz w:val="19"/>
          </w:rPr>
          <w:t xml:space="preserve">TMC library</w:t>
        </w:r>
      </w:hyperlink>
    </w:p>
    <w:p>
      <w:pPr>
        <w:spacing w:after="60"/>
      </w:pPr>
      <w:r>
        <w:rPr>
          <w:b/>
          <w:i w:val="0"/>
          <w:sz w:val="19"/>
        </w:rPr>
        <w:t>Wehrle 2023 · ctDNA</w:t>
      </w:r>
      <w:r>
        <w:rPr>
          <w:b w:val="0"/>
          <w:i w:val="0"/>
          <w:sz w:val="19"/>
        </w:rPr>
        <w:t xml:space="preserve"> — Circulating Tumor DNA in Colorectal Cancer Liver Metastasis: Analysis of Patients Receiving Liver Resection and Transplant</w:t>
      </w:r>
      <w:r>
        <w:rPr>
          <w:b w:val="0"/>
          <w:i w:val="0"/>
          <w:sz w:val="19"/>
        </w:rPr>
        <w:t xml:space="preserve">  </w:t>
      </w:r>
      <w:hyperlink r:id="rId133">
        <w:r>
          <w:rPr>
            <w:color w:val="0563C1"/>
            <w:u w:val="single"/>
            <w:sz w:val="19"/>
          </w:rPr>
          <w:t xml:space="preserve">PubMed</w:t>
        </w:r>
      </w:hyperlink>
      <w:r>
        <w:rPr>
          <w:b w:val="0"/>
          <w:i w:val="0"/>
          <w:sz w:val="19"/>
        </w:rPr>
        <w:t xml:space="preserve"> · </w:t>
      </w:r>
      <w:hyperlink r:id="rId134">
        <w:r>
          <w:rPr>
            <w:color w:val="0563C1"/>
            <w:u w:val="single"/>
            <w:sz w:val="19"/>
          </w:rPr>
          <w:t xml:space="preserve">Journal</w:t>
        </w:r>
      </w:hyperlink>
      <w:r>
        <w:rPr>
          <w:b w:val="0"/>
          <w:i w:val="0"/>
          <w:sz w:val="19"/>
        </w:rPr>
        <w:t xml:space="preserve"> · </w:t>
      </w:r>
      <w:hyperlink r:id="rId135">
        <w:r>
          <w:rPr>
            <w:color w:val="0563C1"/>
            <w:u w:val="single"/>
            <w:sz w:val="19"/>
          </w:rPr>
          <w:t xml:space="preserve">TMC library</w:t>
        </w:r>
      </w:hyperlink>
    </w:p>
    <w:p>
      <w:pPr>
        <w:spacing w:after="60"/>
      </w:pPr>
      <w:r>
        <w:rPr>
          <w:b/>
          <w:i w:val="0"/>
          <w:sz w:val="19"/>
        </w:rPr>
        <w:t>Wehrle 2024 · intensive LRT</w:t>
      </w:r>
      <w:r>
        <w:rPr>
          <w:b w:val="0"/>
          <w:i w:val="0"/>
          <w:sz w:val="19"/>
        </w:rPr>
        <w:t xml:space="preserve"> — Intensive locoregional therapy before liver transplantation for colorectal cancer liver metastasis: A novel pretransplant protocol</w:t>
      </w:r>
      <w:r>
        <w:rPr>
          <w:b w:val="0"/>
          <w:i w:val="0"/>
          <w:sz w:val="19"/>
        </w:rPr>
        <w:t xml:space="preserve">  </w:t>
      </w:r>
      <w:hyperlink r:id="rId136">
        <w:r>
          <w:rPr>
            <w:color w:val="0563C1"/>
            <w:u w:val="single"/>
            <w:sz w:val="19"/>
          </w:rPr>
          <w:t xml:space="preserve">PubMed</w:t>
        </w:r>
      </w:hyperlink>
      <w:r>
        <w:rPr>
          <w:b w:val="0"/>
          <w:i w:val="0"/>
          <w:sz w:val="19"/>
        </w:rPr>
        <w:t xml:space="preserve"> · </w:t>
      </w:r>
      <w:hyperlink r:id="rId137">
        <w:r>
          <w:rPr>
            <w:color w:val="0563C1"/>
            <w:u w:val="single"/>
            <w:sz w:val="19"/>
          </w:rPr>
          <w:t xml:space="preserve">Journal</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Wehrle 2025 · PET</w:t>
      </w:r>
      <w:r>
        <w:rPr>
          <w:b w:val="0"/>
          <w:i w:val="0"/>
          <w:sz w:val="19"/>
        </w:rPr>
        <w:t xml:space="preserve"> — Pretransplant metabolic tumor volume predicts recurrence following liver transplantation for colorectal metastasis: A multicenter study</w:t>
      </w:r>
      <w:r>
        <w:rPr>
          <w:b w:val="0"/>
          <w:i w:val="0"/>
          <w:sz w:val="19"/>
        </w:rPr>
        <w:t xml:space="preserve">  </w:t>
      </w:r>
      <w:hyperlink r:id="rId139">
        <w:r>
          <w:rPr>
            <w:color w:val="0563C1"/>
            <w:u w:val="single"/>
            <w:sz w:val="19"/>
          </w:rPr>
          <w:t xml:space="preserve">PubMed</w:t>
        </w:r>
      </w:hyperlink>
      <w:r>
        <w:rPr>
          <w:b w:val="0"/>
          <w:i w:val="0"/>
          <w:sz w:val="19"/>
        </w:rPr>
        <w:t xml:space="preserve"> · </w:t>
      </w:r>
      <w:hyperlink r:id="rId140">
        <w:r>
          <w:rPr>
            <w:color w:val="0563C1"/>
            <w:u w:val="single"/>
            <w:sz w:val="19"/>
          </w:rPr>
          <w:t xml:space="preserve">Journal</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42">
        <w:r>
          <w:rPr>
            <w:color w:val="0563C1"/>
            <w:u w:val="single"/>
            <w:sz w:val="19"/>
          </w:rPr>
          <w:t xml:space="preserve">PubMed</w:t>
        </w:r>
      </w:hyperlink>
      <w:r>
        <w:rPr>
          <w:b w:val="0"/>
          <w:i w:val="0"/>
          <w:sz w:val="19"/>
        </w:rPr>
        <w:t xml:space="preserve"> · </w:t>
      </w:r>
      <w:hyperlink r:id="rId143">
        <w:r>
          <w:rPr>
            <w:color w:val="0563C1"/>
            <w:u w:val="single"/>
            <w:sz w:val="19"/>
          </w:rPr>
          <w:t xml:space="preserve">Journal</w:t>
        </w:r>
      </w:hyperlink>
      <w:r>
        <w:rPr>
          <w:b w:val="0"/>
          <w:i w:val="0"/>
          <w:sz w:val="19"/>
        </w:rPr>
        <w:t xml:space="preserve"> · </w:t>
      </w:r>
      <w:hyperlink r:id="rId144">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45">
        <w:r>
          <w:rPr>
            <w:color w:val="0563C1"/>
            <w:u w:val="single"/>
            <w:sz w:val="19"/>
          </w:rPr>
          <w:t xml:space="preserve">PubMed</w:t>
        </w:r>
      </w:hyperlink>
      <w:r>
        <w:rPr>
          <w:b w:val="0"/>
          <w:i w:val="0"/>
          <w:sz w:val="19"/>
        </w:rPr>
        <w:t xml:space="preserve"> · </w:t>
      </w:r>
      <w:hyperlink r:id="rId146">
        <w:r>
          <w:rPr>
            <w:color w:val="0563C1"/>
            <w:u w:val="single"/>
            <w:sz w:val="19"/>
          </w:rPr>
          <w:t xml:space="preserve">Journal</w:t>
        </w:r>
      </w:hyperlink>
      <w:r>
        <w:rPr>
          <w:b w:val="0"/>
          <w:i w:val="0"/>
          <w:sz w:val="19"/>
        </w:rPr>
        <w:t xml:space="preserve"> · </w:t>
      </w:r>
      <w:hyperlink r:id="rId147">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48">
        <w:r>
          <w:rPr>
            <w:color w:val="0563C1"/>
            <w:u w:val="single"/>
            <w:sz w:val="19"/>
          </w:rPr>
          <w:t xml:space="preserve">PubMed</w:t>
        </w:r>
      </w:hyperlink>
      <w:r>
        <w:rPr>
          <w:b w:val="0"/>
          <w:i w:val="0"/>
          <w:sz w:val="19"/>
        </w:rPr>
        <w:t xml:space="preserve"> · </w:t>
      </w:r>
      <w:hyperlink r:id="rId149">
        <w:r>
          <w:rPr>
            <w:color w:val="0563C1"/>
            <w:u w:val="single"/>
            <w:sz w:val="19"/>
          </w:rPr>
          <w:t xml:space="preserve">Journal</w:t>
        </w:r>
      </w:hyperlink>
      <w:r>
        <w:rPr>
          <w:b w:val="0"/>
          <w:i w:val="0"/>
          <w:sz w:val="19"/>
        </w:rPr>
        <w:t xml:space="preserve"> · </w:t>
      </w:r>
      <w:hyperlink r:id="rId150">
        <w:r>
          <w:rPr>
            <w:color w:val="0563C1"/>
            <w:u w:val="single"/>
            <w:sz w:val="19"/>
          </w:rPr>
          <w:t xml:space="preserve">Free full text</w:t>
        </w:r>
      </w:hyperlink>
      <w:r>
        <w:rPr>
          <w:b w:val="0"/>
          <w:i w:val="0"/>
          <w:sz w:val="19"/>
        </w:rPr>
        <w:t xml:space="preserve"> · </w:t>
      </w:r>
      <w:hyperlink r:id="rId151">
        <w:r>
          <w:rPr>
            <w:color w:val="0563C1"/>
            <w:u w:val="single"/>
            <w:sz w:val="19"/>
          </w:rPr>
          <w:t xml:space="preserve">Source</w:t>
        </w:r>
      </w:hyperlink>
      <w:r>
        <w:rPr>
          <w:b w:val="0"/>
          <w:i w:val="0"/>
          <w:sz w:val="19"/>
        </w:rPr>
        <w:t xml:space="preserve"> · </w:t>
      </w:r>
      <w:hyperlink r:id="rId152">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crlm/#unresectability" TargetMode="External"/><Relationship Id="rId9" Type="http://schemas.openxmlformats.org/officeDocument/2006/relationships/hyperlink" Target="https://drliuhao.github.io/mh-liver-pathways/transplant/crlm/#high-risk-crlm-b1" TargetMode="External"/><Relationship Id="rId10" Type="http://schemas.openxmlformats.org/officeDocument/2006/relationships/hyperlink" Target="https://drliuhao.github.io/mh-liver-pathways/transplant/crlm/#control" TargetMode="External"/><Relationship Id="rId11" Type="http://schemas.openxmlformats.org/officeDocument/2006/relationships/hyperlink" Target="https://drliuhao.github.io/mh-liver-pathways/transplant/crlm/#restaging" TargetMode="External"/><Relationship Id="rId12" Type="http://schemas.openxmlformats.org/officeDocument/2006/relationships/hyperlink" Target="https://drliuhao.github.io/mh-liver-pathways/transplant/crlm/#high-risk-crlm-b2" TargetMode="External"/><Relationship Id="rId13" Type="http://schemas.openxmlformats.org/officeDocument/2006/relationships/hyperlink" Target="https://drliuhao.github.io/mh-liver-pathways/transplant/crlm/#biology" TargetMode="External"/><Relationship Id="rId14" Type="http://schemas.openxmlformats.org/officeDocument/2006/relationships/hyperlink" Target="https://drliuhao.github.io/mh-liver-pathways/transplant/crlm/#clocks" TargetMode="External"/><Relationship Id="rId15" Type="http://schemas.openxmlformats.org/officeDocument/2006/relationships/hyperlink" Target="https://drliuhao.github.io/mh-liver-pathways/transplant/crlm/#high-risk-crlm-b3" TargetMode="External"/><Relationship Id="rId16" Type="http://schemas.openxmlformats.org/officeDocument/2006/relationships/hyperlink" Target="https://drliuhao.github.io/mh-liver-pathways/transplant/crlm/#review" TargetMode="External"/><Relationship Id="rId17" Type="http://schemas.openxmlformats.org/officeDocument/2006/relationships/hyperlink" Target="https://drliuhao.github.io/mh-liver-pathways/transplant/crlm/#high-risk-crlm-b4" TargetMode="External"/><Relationship Id="rId18" Type="http://schemas.openxmlformats.org/officeDocument/2006/relationships/hyperlink" Target="https://drliuhao.github.io/mh-liver-pathways/transplant/crlm/#map-disease" TargetMode="External"/><Relationship Id="rId19" Type="http://schemas.openxmlformats.org/officeDocument/2006/relationships/hyperlink" Target="https://drliuhao.github.io/mh-liver-pathways/transplant/crlm/#high-risk-crlm-b5" TargetMode="External"/><Relationship Id="rId20" Type="http://schemas.openxmlformats.org/officeDocument/2006/relationships/hyperlink" Target="https://drliuhao.github.io/mh-liver-pathways/transplant/crlm/#high-risk-alloc-b1" TargetMode="External"/><Relationship Id="rId21" Type="http://schemas.openxmlformats.org/officeDocument/2006/relationships/hyperlink" Target="https://drliuhao.github.io/mh-liver-pathways/transplant/crlm/#high-risk-alloc-b2" TargetMode="External"/><Relationship Id="rId22" Type="http://schemas.openxmlformats.org/officeDocument/2006/relationships/hyperlink" Target="https://drliuhao.github.io/mh-liver-pathways/transplant/crlm/#high-risk-alloc-b3" TargetMode="External"/><Relationship Id="rId23" Type="http://schemas.openxmlformats.org/officeDocument/2006/relationships/hyperlink" Target="https://drliuhao.github.io/mh-liver-pathways/transplant/crlm/#high-risk-alloc-b4" TargetMode="External"/><Relationship Id="rId24" Type="http://schemas.openxmlformats.org/officeDocument/2006/relationships/hyperlink" Target="https://pubmed.ncbi.nlm.nih.gov/22335782/" TargetMode="External"/><Relationship Id="rId25" Type="http://schemas.openxmlformats.org/officeDocument/2006/relationships/hyperlink" Target="https://doi.org/10.1111/j.1600-6143.2011.03972.x" TargetMode="External"/><Relationship Id="rId26" Type="http://schemas.openxmlformats.org/officeDocument/2006/relationships/hyperlink" Target="https://pmc.ncbi.nlm.nih.gov/articles/PMC3732171/pdf/nihms-491154.pdf" TargetMode="External"/><Relationship Id="rId27" Type="http://schemas.openxmlformats.org/officeDocument/2006/relationships/hyperlink" Target="https://pmc.ncbi.nlm.nih.gov/articles/PMC3732171/" TargetMode="External"/><Relationship Id="rId28" Type="http://schemas.openxmlformats.org/officeDocument/2006/relationships/hyperlink" Target="https://thslc-houston.primo.exlibrisgroup.com/discovery/search?vid=01TEXASHEALTH_HOUSTON%3ATMC_INST&amp;query=any,contains,10.1111%2Fj.1600-6143.2011.03972.x&amp;lang=en" TargetMode="External"/><Relationship Id="rId29" Type="http://schemas.openxmlformats.org/officeDocument/2006/relationships/hyperlink" Target="https://pubmed.ncbi.nlm.nih.gov/38521169/" TargetMode="External"/><Relationship Id="rId30" Type="http://schemas.openxmlformats.org/officeDocument/2006/relationships/hyperlink" Target="https://doi.org/10.1016/j.jhep.2024.03.020" TargetMode="External"/><Relationship Id="rId31" Type="http://schemas.openxmlformats.org/officeDocument/2006/relationships/hyperlink" Target="https://thslc-houston.primo.exlibrisgroup.com/discovery/search?vid=01TEXASHEALTH_HOUSTON%3ATMC_INST&amp;query=any,contains,10.1016%2Fj.jhep.2024.03.020&amp;lang=en" TargetMode="External"/><Relationship Id="rId32" Type="http://schemas.openxmlformats.org/officeDocument/2006/relationships/hyperlink" Target="https://pubmed.ncbi.nlm.nih.gov/38884781/" TargetMode="External"/><Relationship Id="rId33" Type="http://schemas.openxmlformats.org/officeDocument/2006/relationships/hyperlink" Target="https://doi.org/10.1007/s00270-024-03743-8" TargetMode="External"/><Relationship Id="rId34" Type="http://schemas.openxmlformats.org/officeDocument/2006/relationships/hyperlink" Target="https://pmc.ncbi.nlm.nih.gov/articles/PMC11303578/pdf/270_2024_Article_3743.pdf" TargetMode="External"/><Relationship Id="rId35" Type="http://schemas.openxmlformats.org/officeDocument/2006/relationships/hyperlink" Target="https://pmc.ncbi.nlm.nih.gov/articles/PMC11303578/" TargetMode="External"/><Relationship Id="rId36" Type="http://schemas.openxmlformats.org/officeDocument/2006/relationships/hyperlink" Target="https://thslc-houston.primo.exlibrisgroup.com/discovery/search?vid=01TEXASHEALTH_HOUSTON%3ATMC_INST&amp;query=any,contains,10.1007%2Fs00270-024-03743-8&amp;lang=en" TargetMode="External"/><Relationship Id="rId37" Type="http://schemas.openxmlformats.org/officeDocument/2006/relationships/hyperlink" Target="https://pubmed.ncbi.nlm.nih.gov/41630086/" TargetMode="External"/><Relationship Id="rId38" Type="http://schemas.openxmlformats.org/officeDocument/2006/relationships/hyperlink" Target="https://doi.org/10.1097/SLA.0000000000007021" TargetMode="External"/><Relationship Id="rId39" Type="http://schemas.openxmlformats.org/officeDocument/2006/relationships/hyperlink" Target="https://thslc-houston.primo.exlibrisgroup.com/discovery/search?vid=01TEXASHEALTH_HOUSTON%3ATMC_INST&amp;query=any,contains,10.1097%2FSLA.0000000000007021&amp;lang=en" TargetMode="External"/><Relationship Id="rId40" Type="http://schemas.openxmlformats.org/officeDocument/2006/relationships/hyperlink" Target="https://pubmed.ncbi.nlm.nih.gov/36692112/" TargetMode="External"/><Relationship Id="rId41" Type="http://schemas.openxmlformats.org/officeDocument/2006/relationships/hyperlink" Target="https://doi.org/10.1097/SLA.0000000000005803" TargetMode="External"/><Relationship Id="rId42" Type="http://schemas.openxmlformats.org/officeDocument/2006/relationships/hyperlink" Target="https://pmc.ncbi.nlm.nih.gov/articles/PMC10549889/pdf/sla-278-e1026.pdf" TargetMode="External"/><Relationship Id="rId43" Type="http://schemas.openxmlformats.org/officeDocument/2006/relationships/hyperlink" Target="https://pmc.ncbi.nlm.nih.gov/articles/PMC10549889/" TargetMode="External"/><Relationship Id="rId44" Type="http://schemas.openxmlformats.org/officeDocument/2006/relationships/hyperlink" Target="https://thslc-houston.primo.exlibrisgroup.com/discovery/search?vid=01TEXASHEALTH_HOUSTON%3ATMC_INST&amp;query=any,contains,10.1097%2FSLA.0000000000005803&amp;lang=en" TargetMode="External"/><Relationship Id="rId45" Type="http://schemas.openxmlformats.org/officeDocument/2006/relationships/hyperlink" Target="https://pubmed.ncbi.nlm.nih.gov/27647626/" TargetMode="External"/><Relationship Id="rId46" Type="http://schemas.openxmlformats.org/officeDocument/2006/relationships/hyperlink" Target="https://doi.org/10.1111/ajt.14055" TargetMode="External"/><Relationship Id="rId47" Type="http://schemas.openxmlformats.org/officeDocument/2006/relationships/hyperlink" Target="https://pmc.ncbi.nlm.nih.gov/articles/PMC5359081/pdf/nihms818467.pdf" TargetMode="External"/><Relationship Id="rId48" Type="http://schemas.openxmlformats.org/officeDocument/2006/relationships/hyperlink" Target="https://pmc.ncbi.nlm.nih.gov/articles/PMC5359081/" TargetMode="External"/><Relationship Id="rId49" Type="http://schemas.openxmlformats.org/officeDocument/2006/relationships/hyperlink" Target="https://thslc-houston.primo.exlibrisgroup.com/discovery/search?vid=01TEXASHEALTH_HOUSTON%3ATMC_INST&amp;query=any,contains,10.1111%2Fajt.14055&amp;lang=en" TargetMode="External"/><Relationship Id="rId50" Type="http://schemas.openxmlformats.org/officeDocument/2006/relationships/hyperlink" Target="https://pubmed.ncbi.nlm.nih.gov/31188200/" TargetMode="External"/><Relationship Id="rId51" Type="http://schemas.openxmlformats.org/officeDocument/2006/relationships/hyperlink" Target="https://doi.org/10.1097/SLA.0000000000003404" TargetMode="External"/><Relationship Id="rId52" Type="http://schemas.openxmlformats.org/officeDocument/2006/relationships/hyperlink" Target="https://thslc-houston.primo.exlibrisgroup.com/discovery/search?vid=01TEXASHEALTH_HOUSTON%3ATMC_INST&amp;query=any,contains,10.1097%2FSLA.0000000000003404&amp;lang=en" TargetMode="External"/><Relationship Id="rId53" Type="http://schemas.openxmlformats.org/officeDocument/2006/relationships/hyperlink" Target="https://pubmed.ncbi.nlm.nih.gov/36291826/" TargetMode="External"/><Relationship Id="rId54" Type="http://schemas.openxmlformats.org/officeDocument/2006/relationships/hyperlink" Target="https://doi.org/10.3390/cancers14205042" TargetMode="External"/><Relationship Id="rId55" Type="http://schemas.openxmlformats.org/officeDocument/2006/relationships/hyperlink" Target="https://pmc.ncbi.nlm.nih.gov/articles/PMC9599638/" TargetMode="External"/><Relationship Id="rId56" Type="http://schemas.openxmlformats.org/officeDocument/2006/relationships/hyperlink" Target="https://thslc-houston.primo.exlibrisgroup.com/discovery/search?vid=01TEXASHEALTH_HOUSTON%3ATMC_INST&amp;query=any,contains,10.3390%2Fcancers14205042&amp;lang=en" TargetMode="External"/><Relationship Id="rId57" Type="http://schemas.openxmlformats.org/officeDocument/2006/relationships/hyperlink" Target="https://pubmed.ncbi.nlm.nih.gov/37494056/" TargetMode="External"/><Relationship Id="rId58" Type="http://schemas.openxmlformats.org/officeDocument/2006/relationships/hyperlink" Target="https://doi.org/10.1001/jamasurg.2023.2932" TargetMode="External"/><Relationship Id="rId59" Type="http://schemas.openxmlformats.org/officeDocument/2006/relationships/hyperlink" Target="https://thslc-houston.primo.exlibrisgroup.com/discovery/search?vid=01TEXASHEALTH_HOUSTON%3ATMC_INST&amp;query=any,contains,10.1001%2Fjamasurg.2023.2932&amp;lang=en" TargetMode="External"/><Relationship Id="rId60" Type="http://schemas.openxmlformats.org/officeDocument/2006/relationships/hyperlink" Target="https://pubmed.ncbi.nlm.nih.gov/42572136/" TargetMode="External"/><Relationship Id="rId61" Type="http://schemas.openxmlformats.org/officeDocument/2006/relationships/hyperlink" Target="https://doi.org/10.1097/sla.0000000000007200" TargetMode="External"/><Relationship Id="rId62" Type="http://schemas.openxmlformats.org/officeDocument/2006/relationships/hyperlink" Target="https://doi.org/10.1097/SLA.0000000000007200" TargetMode="External"/><Relationship Id="rId63" Type="http://schemas.openxmlformats.org/officeDocument/2006/relationships/hyperlink" Target="https://thslc-houston.primo.exlibrisgroup.com/discovery/search?vid=01TEXASHEALTH_HOUSTON%3ATMC_INST&amp;query=any,contains,10.1097%2Fsla.0000000000007200&amp;lang=en" TargetMode="External"/><Relationship Id="rId64" Type="http://schemas.openxmlformats.org/officeDocument/2006/relationships/hyperlink" Target="https://pubmed.ncbi.nlm.nih.gov/42270817/" TargetMode="External"/><Relationship Id="rId65" Type="http://schemas.openxmlformats.org/officeDocument/2006/relationships/hyperlink" Target="https://doi.org/10.1038/s41571-026-01160-z" TargetMode="External"/><Relationship Id="rId66" Type="http://schemas.openxmlformats.org/officeDocument/2006/relationships/hyperlink" Target="https://pmc.ncbi.nlm.nih.gov/articles/PMC13665261/pdf/nihms-2192929.pdf" TargetMode="External"/><Relationship Id="rId67" Type="http://schemas.openxmlformats.org/officeDocument/2006/relationships/hyperlink" Target="https://pmc.ncbi.nlm.nih.gov/articles/PMC13665261/" TargetMode="External"/><Relationship Id="rId68" Type="http://schemas.openxmlformats.org/officeDocument/2006/relationships/hyperlink" Target="https://thslc-houston.primo.exlibrisgroup.com/discovery/search?vid=01TEXASHEALTH_HOUSTON%3ATMC_INST&amp;query=any,contains,10.1038%2Fs41571-026-01160-z&amp;lang=en" TargetMode="External"/><Relationship Id="rId69" Type="http://schemas.openxmlformats.org/officeDocument/2006/relationships/hyperlink" Target="https://pubmed.ncbi.nlm.nih.gov/27777223/" TargetMode="External"/><Relationship Id="rId70" Type="http://schemas.openxmlformats.org/officeDocument/2006/relationships/hyperlink" Target="https://doi.org/10.1136/bmj.i5239" TargetMode="External"/><Relationship Id="rId71" Type="http://schemas.openxmlformats.org/officeDocument/2006/relationships/hyperlink" Target="https://pmc.ncbi.nlm.nih.gov/articles/PMC5076380/" TargetMode="External"/><Relationship Id="rId72" Type="http://schemas.openxmlformats.org/officeDocument/2006/relationships/hyperlink" Target="https://thslc-houston.primo.exlibrisgroup.com/discovery/search?vid=01TEXASHEALTH_HOUSTON%3ATMC_INST&amp;query=any,contains,10.1136%2Fbmj.i5239&amp;lang=en" TargetMode="External"/><Relationship Id="rId73" Type="http://schemas.openxmlformats.org/officeDocument/2006/relationships/hyperlink" Target="https://pubmed.ncbi.nlm.nih.gov/39566949/" TargetMode="External"/><Relationship Id="rId74" Type="http://schemas.openxmlformats.org/officeDocument/2006/relationships/hyperlink" Target="https://doi.org/10.1136/bmjopen-2024-088188" TargetMode="External"/><Relationship Id="rId75" Type="http://schemas.openxmlformats.org/officeDocument/2006/relationships/hyperlink" Target="https://pmc.ncbi.nlm.nih.gov/articles/PMC11580313/" TargetMode="External"/><Relationship Id="rId76" Type="http://schemas.openxmlformats.org/officeDocument/2006/relationships/hyperlink" Target="https://thslc-houston.primo.exlibrisgroup.com/discovery/search?vid=01TEXASHEALTH_HOUSTON%3ATMC_INST&amp;query=any,contains,10.1136%2Fbmjopen-2024-088188&amp;lang=en" TargetMode="External"/><Relationship Id="rId77" Type="http://schemas.openxmlformats.org/officeDocument/2006/relationships/hyperlink" Target="https://pubmed.ncbi.nlm.nih.gov/36241941/" TargetMode="External"/><Relationship Id="rId78" Type="http://schemas.openxmlformats.org/officeDocument/2006/relationships/hyperlink" Target="https://doi.org/10.1007/s12149-022-01796-8" TargetMode="External"/><Relationship Id="rId79" Type="http://schemas.openxmlformats.org/officeDocument/2006/relationships/hyperlink" Target="https://pmc.ncbi.nlm.nih.gov/articles/PMC9668778/pdf/12149_2022_Article_1796.pdf" TargetMode="External"/><Relationship Id="rId80" Type="http://schemas.openxmlformats.org/officeDocument/2006/relationships/hyperlink" Target="https://pmc.ncbi.nlm.nih.gov/articles/PMC9668778/" TargetMode="External"/><Relationship Id="rId81" Type="http://schemas.openxmlformats.org/officeDocument/2006/relationships/hyperlink" Target="https://thslc-houston.primo.exlibrisgroup.com/discovery/search?vid=01TEXASHEALTH_HOUSTON%3ATMC_INST&amp;query=any,contains,10.1007%2Fs12149-022-01796-8&amp;lang=en" TargetMode="External"/><Relationship Id="rId82" Type="http://schemas.openxmlformats.org/officeDocument/2006/relationships/hyperlink" Target="https://pubmed.ncbi.nlm.nih.gov/29168565/" TargetMode="External"/><Relationship Id="rId83" Type="http://schemas.openxmlformats.org/officeDocument/2006/relationships/hyperlink" Target="https://doi.org/10.1002/bjs.10651" TargetMode="External"/><Relationship Id="rId84" Type="http://schemas.openxmlformats.org/officeDocument/2006/relationships/hyperlink" Target="https://thslc-houston.primo.exlibrisgroup.com/discovery/search?vid=01TEXASHEALTH_HOUSTON%3ATMC_INST&amp;query=any,contains,10.1002%2Fbjs.10651&amp;lang=en" TargetMode="External"/><Relationship Id="rId85" Type="http://schemas.openxmlformats.org/officeDocument/2006/relationships/hyperlink" Target="https://pubmed.ncbi.nlm.nih.gov/24370906/" TargetMode="External"/><Relationship Id="rId86" Type="http://schemas.openxmlformats.org/officeDocument/2006/relationships/hyperlink" Target="https://doi.org/10.1245/s10434-013-3449-9" TargetMode="External"/><Relationship Id="rId87" Type="http://schemas.openxmlformats.org/officeDocument/2006/relationships/hyperlink" Target="https://pmc.ncbi.nlm.nih.gov/articles/PMC3942624/" TargetMode="External"/><Relationship Id="rId88" Type="http://schemas.openxmlformats.org/officeDocument/2006/relationships/hyperlink" Target="https://thslc-houston.primo.exlibrisgroup.com/discovery/search?vid=01TEXASHEALTH_HOUSTON%3ATMC_INST&amp;query=any,contains,10.1245%2Fs10434-013-3449-9&amp;lang=en" TargetMode="External"/><Relationship Id="rId89" Type="http://schemas.openxmlformats.org/officeDocument/2006/relationships/hyperlink" Target="https://pubmed.ncbi.nlm.nih.gov/35353121/" TargetMode="External"/><Relationship Id="rId90" Type="http://schemas.openxmlformats.org/officeDocument/2006/relationships/hyperlink" Target="https://doi.org/10.1001/jamasurg.2022.0300" TargetMode="External"/><Relationship Id="rId91" Type="http://schemas.openxmlformats.org/officeDocument/2006/relationships/hyperlink" Target="https://thslc-houston.primo.exlibrisgroup.com/discovery/search?vid=01TEXASHEALTH_HOUSTON%3ATMC_INST&amp;query=any,contains,10.1001%2Fjamasurg.2022.0300&amp;lang=en" TargetMode="External"/><Relationship Id="rId92" Type="http://schemas.openxmlformats.org/officeDocument/2006/relationships/hyperlink" Target="https://www.ecfr.gov/current/title-45/subtitle-A/subchapter-A/part-46/subpart-A/section-46.111" TargetMode="External"/><Relationship Id="rId93" Type="http://schemas.openxmlformats.org/officeDocument/2006/relationships/hyperlink" Target="https://pubmed.ncbi.nlm.nih.gov/24767470/" TargetMode="External"/><Relationship Id="rId94" Type="http://schemas.openxmlformats.org/officeDocument/2006/relationships/hyperlink" Target="https://doi.org/10.1016/j.ejca.2014.03.277" TargetMode="External"/><Relationship Id="rId95" Type="http://schemas.openxmlformats.org/officeDocument/2006/relationships/hyperlink" Target="https://thslc-houston.primo.exlibrisgroup.com/discovery/search?vid=01TEXASHEALTH_HOUSTON%3ATMC_INST&amp;query=any,contains,10.1016%2Fj.ejca.2014.03.277&amp;lang=en" TargetMode="External"/><Relationship Id="rId96" Type="http://schemas.openxmlformats.org/officeDocument/2006/relationships/hyperlink" Target="https://pubmed.ncbi.nlm.nih.gov/34506756/" TargetMode="External"/><Relationship Id="rId97" Type="http://schemas.openxmlformats.org/officeDocument/2006/relationships/hyperlink" Target="https://doi.org/10.1016/S2468-1253(21)00219-3" TargetMode="External"/><Relationship Id="rId98" Type="http://schemas.openxmlformats.org/officeDocument/2006/relationships/hyperlink" Target="https://thslc-houston.primo.exlibrisgroup.com/discovery/search?vid=01TEXASHEALTH_HOUSTON%3ATMC_INST&amp;query=any,contains,10.1016%2FS2468-1253%2821%2900219-3&amp;lang=en" TargetMode="External"/><Relationship Id="rId99" Type="http://schemas.openxmlformats.org/officeDocument/2006/relationships/hyperlink" Target="https://pubmed.ncbi.nlm.nih.gov/40960802/" TargetMode="External"/><Relationship Id="rId100" Type="http://schemas.openxmlformats.org/officeDocument/2006/relationships/hyperlink" Target="https://doi.org/10.1001/jamasurg.2025.3600" TargetMode="External"/><Relationship Id="rId101" Type="http://schemas.openxmlformats.org/officeDocument/2006/relationships/hyperlink" Target="https://pmc.ncbi.nlm.nih.gov/articles/PMC12444651/" TargetMode="External"/><Relationship Id="rId102" Type="http://schemas.openxmlformats.org/officeDocument/2006/relationships/hyperlink" Target="https://thslc-houston.primo.exlibrisgroup.com/discovery/search?vid=01TEXASHEALTH_HOUSTON%3ATMC_INST&amp;query=any,contains,10.1001%2Fjamasurg.2025.3600&amp;lang=en" TargetMode="External"/><Relationship Id="rId103" Type="http://schemas.openxmlformats.org/officeDocument/2006/relationships/hyperlink" Target="https://pubmed.ncbi.nlm.nih.gov/42835360/" TargetMode="External"/><Relationship Id="rId104" Type="http://schemas.openxmlformats.org/officeDocument/2006/relationships/hyperlink" Target="https://doi.org/10.1155/joot/2545887" TargetMode="External"/><Relationship Id="rId105" Type="http://schemas.openxmlformats.org/officeDocument/2006/relationships/hyperlink" Target="https://thslc-houston.primo.exlibrisgroup.com/discovery/search?vid=01TEXASHEALTH_HOUSTON%3ATMC_INST&amp;query=any,contains,10.1155%2Fjoot%2F2545887&amp;lang=en" TargetMode="External"/><Relationship Id="rId106" Type="http://schemas.openxmlformats.org/officeDocument/2006/relationships/hyperlink" Target="https://www.hrsa.gov/sites/default/files/hrsa/optn/adult-meld-exception-transplant-oncology-review-guidance.pdf" TargetMode="External"/><Relationship Id="rId107" Type="http://schemas.openxmlformats.org/officeDocument/2006/relationships/hyperlink" Target="https://pubmed.ncbi.nlm.nih.gov/29534862/" TargetMode="External"/><Relationship Id="rId108" Type="http://schemas.openxmlformats.org/officeDocument/2006/relationships/hyperlink" Target="https://doi.org/10.1016/j.hpb.2018.02.377" TargetMode="External"/><Relationship Id="rId109" Type="http://schemas.openxmlformats.org/officeDocument/2006/relationships/hyperlink" Target="https://thslc-houston.primo.exlibrisgroup.com/discovery/search?vid=01TEXASHEALTH_HOUSTON%3ATMC_INST&amp;query=any,contains,10.1016%2Fj.hpb.2018.02.377&amp;lang=en" TargetMode="External"/><Relationship Id="rId110" Type="http://schemas.openxmlformats.org/officeDocument/2006/relationships/hyperlink" Target="https://www.hrsa.gov/optn/professionals/resources/ethical-considerations/ethical-principles-in-the-allocation-of-human-organs" TargetMode="External"/><Relationship Id="rId111" Type="http://schemas.openxmlformats.org/officeDocument/2006/relationships/hyperlink" Target="https://www.hrsa.gov/sites/default/files/hrsa/optn/optn_policies.pdf" TargetMode="External"/><Relationship Id="rId112" Type="http://schemas.openxmlformats.org/officeDocument/2006/relationships/hyperlink" Target="https://pubmed.ncbi.nlm.nih.gov/32388895/" TargetMode="External"/><Relationship Id="rId113" Type="http://schemas.openxmlformats.org/officeDocument/2006/relationships/hyperlink" Target="https://doi.org/10.1111/codi.15113" TargetMode="External"/><Relationship Id="rId114" Type="http://schemas.openxmlformats.org/officeDocument/2006/relationships/hyperlink" Target="https://pmc.ncbi.nlm.nih.gov/articles/PMC7611567/" TargetMode="External"/><Relationship Id="rId115" Type="http://schemas.openxmlformats.org/officeDocument/2006/relationships/hyperlink" Target="https://thslc-houston.primo.exlibrisgroup.com/discovery/search?vid=01TEXASHEALTH_HOUSTON%3ATMC_INST&amp;query=any,contains,10.1111%2Fcodi.15113&amp;lang=en" TargetMode="External"/><Relationship Id="rId116" Type="http://schemas.openxmlformats.org/officeDocument/2006/relationships/hyperlink" Target="https://pubmed.ncbi.nlm.nih.gov/25326396/" TargetMode="External"/><Relationship Id="rId117" Type="http://schemas.openxmlformats.org/officeDocument/2006/relationships/hyperlink" Target="https://doi.org/10.1245/s10434-014-4173-9" TargetMode="External"/><Relationship Id="rId118" Type="http://schemas.openxmlformats.org/officeDocument/2006/relationships/hyperlink" Target="https://thslc-houston.primo.exlibrisgroup.com/discovery/search?vid=01TEXASHEALTH_HOUSTON%3ATMC_INST&amp;query=any,contains,10.1245%2Fs10434-014-4173-9&amp;lang=en" TargetMode="External"/><Relationship Id="rId119" Type="http://schemas.openxmlformats.org/officeDocument/2006/relationships/hyperlink" Target="https://pubmed.ncbi.nlm.nih.gov/32333527/" TargetMode="External"/><Relationship Id="rId120" Type="http://schemas.openxmlformats.org/officeDocument/2006/relationships/hyperlink" Target="https://doi.org/10.1002/bjs5.50278" TargetMode="External"/><Relationship Id="rId121" Type="http://schemas.openxmlformats.org/officeDocument/2006/relationships/hyperlink" Target="https://pmc.ncbi.nlm.nih.gov/articles/PMC7260412/pdf/BJS5-4-467.pdf" TargetMode="External"/><Relationship Id="rId122" Type="http://schemas.openxmlformats.org/officeDocument/2006/relationships/hyperlink" Target="https://pmc.ncbi.nlm.nih.gov/articles/PMC7260412/" TargetMode="External"/><Relationship Id="rId123" Type="http://schemas.openxmlformats.org/officeDocument/2006/relationships/hyperlink" Target="https://thslc-houston.primo.exlibrisgroup.com/discovery/search?vid=01TEXASHEALTH_HOUSTON%3ATMC_INST&amp;query=any,contains,10.1002%2Fbjs5.50278&amp;lang=en" TargetMode="External"/><Relationship Id="rId124" Type="http://schemas.openxmlformats.org/officeDocument/2006/relationships/hyperlink" Target="https://clinicaltrials.gov/study/NCT03494946" TargetMode="External"/><Relationship Id="rId125" Type="http://schemas.openxmlformats.org/officeDocument/2006/relationships/hyperlink" Target="https://pubmed.ncbi.nlm.nih.gov/39544321/" TargetMode="External"/><Relationship Id="rId126" Type="http://schemas.openxmlformats.org/officeDocument/2006/relationships/hyperlink" Target="https://doi.org/10.3389/ti.2024.13641" TargetMode="External"/><Relationship Id="rId127" Type="http://schemas.openxmlformats.org/officeDocument/2006/relationships/hyperlink" Target="https://pmc.ncbi.nlm.nih.gov/articles/PMC11560448/pdf/ti-37-13641.pdf" TargetMode="External"/><Relationship Id="rId128" Type="http://schemas.openxmlformats.org/officeDocument/2006/relationships/hyperlink" Target="https://pmc.ncbi.nlm.nih.gov/articles/PMC11560448/" TargetMode="External"/><Relationship Id="rId129" Type="http://schemas.openxmlformats.org/officeDocument/2006/relationships/hyperlink" Target="https://thslc-houston.primo.exlibrisgroup.com/discovery/search?vid=01TEXASHEALTH_HOUSTON%3ATMC_INST&amp;query=any,contains,10.3389%2Fti.2024.13641&amp;lang=en" TargetMode="External"/><Relationship Id="rId130" Type="http://schemas.openxmlformats.org/officeDocument/2006/relationships/hyperlink" Target="https://pubmed.ncbi.nlm.nih.gov/39306468/" TargetMode="External"/><Relationship Id="rId131" Type="http://schemas.openxmlformats.org/officeDocument/2006/relationships/hyperlink" Target="https://doi.org/10.1016/S0140-6736(24)01595-2" TargetMode="External"/><Relationship Id="rId132" Type="http://schemas.openxmlformats.org/officeDocument/2006/relationships/hyperlink" Target="https://thslc-houston.primo.exlibrisgroup.com/discovery/search?vid=01TEXASHEALTH_HOUSTON%3ATMC_INST&amp;query=any,contains,10.1016%2FS0140-6736%2824%2901595-2&amp;lang=en" TargetMode="External"/><Relationship Id="rId133" Type="http://schemas.openxmlformats.org/officeDocument/2006/relationships/hyperlink" Target="https://pubmed.ncbi.nlm.nih.gov/37820293/" TargetMode="External"/><Relationship Id="rId134" Type="http://schemas.openxmlformats.org/officeDocument/2006/relationships/hyperlink" Target="https://doi.org/10.1200/CCI.23.00111" TargetMode="External"/><Relationship Id="rId135" Type="http://schemas.openxmlformats.org/officeDocument/2006/relationships/hyperlink" Target="https://thslc-houston.primo.exlibrisgroup.com/discovery/search?vid=01TEXASHEALTH_HOUSTON%3ATMC_INST&amp;query=any,contains,10.1200%2FCCI.23.00111&amp;lang=en" TargetMode="External"/><Relationship Id="rId136" Type="http://schemas.openxmlformats.org/officeDocument/2006/relationships/hyperlink" Target="https://pubmed.ncbi.nlm.nih.gov/38833301/" TargetMode="External"/><Relationship Id="rId137" Type="http://schemas.openxmlformats.org/officeDocument/2006/relationships/hyperlink" Target="https://doi.org/10.1097/LVT.0000000000000417" TargetMode="External"/><Relationship Id="rId138" Type="http://schemas.openxmlformats.org/officeDocument/2006/relationships/hyperlink" Target="https://thslc-houston.primo.exlibrisgroup.com/discovery/search?vid=01TEXASHEALTH_HOUSTON%3ATMC_INST&amp;query=any,contains,10.1097%2FLVT.0000000000000417&amp;lang=en" TargetMode="External"/><Relationship Id="rId139" Type="http://schemas.openxmlformats.org/officeDocument/2006/relationships/hyperlink" Target="https://pubmed.ncbi.nlm.nih.gov/39526884/" TargetMode="External"/><Relationship Id="rId140" Type="http://schemas.openxmlformats.org/officeDocument/2006/relationships/hyperlink" Target="https://doi.org/10.1097/LVT.0000000000000535" TargetMode="External"/><Relationship Id="rId141" Type="http://schemas.openxmlformats.org/officeDocument/2006/relationships/hyperlink" Target="https://thslc-houston.primo.exlibrisgroup.com/discovery/search?vid=01TEXASHEALTH_HOUSTON%3ATMC_INST&amp;query=any,contains,10.1097%2FLVT.0000000000000535&amp;lang=en" TargetMode="External"/><Relationship Id="rId142" Type="http://schemas.openxmlformats.org/officeDocument/2006/relationships/hyperlink" Target="https://pubmed.ncbi.nlm.nih.gov/38015449/" TargetMode="External"/><Relationship Id="rId143" Type="http://schemas.openxmlformats.org/officeDocument/2006/relationships/hyperlink" Target="https://doi.org/10.1097/LVT.0000000000000303" TargetMode="External"/><Relationship Id="rId144" Type="http://schemas.openxmlformats.org/officeDocument/2006/relationships/hyperlink" Target="https://thslc-houston.primo.exlibrisgroup.com/discovery/search?vid=01TEXASHEALTH_HOUSTON%3ATMC_INST&amp;query=any,contains,10.1097%2FLVT.0000000000000303&amp;lang=en" TargetMode="External"/><Relationship Id="rId145" Type="http://schemas.openxmlformats.org/officeDocument/2006/relationships/hyperlink" Target="https://pubmed.ncbi.nlm.nih.gov/32615109/" TargetMode="External"/><Relationship Id="rId146" Type="http://schemas.openxmlformats.org/officeDocument/2006/relationships/hyperlink" Target="https://doi.org/10.1016/S1470-2045(20)30224-2" TargetMode="External"/><Relationship Id="rId147" Type="http://schemas.openxmlformats.org/officeDocument/2006/relationships/hyperlink" Target="https://thslc-houston.primo.exlibrisgroup.com/discovery/search?vid=01TEXASHEALTH_HOUSTON%3ATMC_INST&amp;query=any,contains,10.1016%2FS1470-2045%2820%2930224-2&amp;lang=en" TargetMode="External"/><Relationship Id="rId148" Type="http://schemas.openxmlformats.org/officeDocument/2006/relationships/hyperlink" Target="https://pubmed.ncbi.nlm.nih.gov/40099404/" TargetMode="External"/><Relationship Id="rId149" Type="http://schemas.openxmlformats.org/officeDocument/2006/relationships/hyperlink" Target="https://doi.org/10.1093/bjs/znaf054" TargetMode="External"/><Relationship Id="rId150" Type="http://schemas.openxmlformats.org/officeDocument/2006/relationships/hyperlink" Target="https://pmc.ncbi.nlm.nih.gov/articles/PMC11914714/pdf/znaf054.pdf" TargetMode="External"/><Relationship Id="rId151" Type="http://schemas.openxmlformats.org/officeDocument/2006/relationships/hyperlink" Target="https://pmc.ncbi.nlm.nih.gov/articles/PMC11914714/" TargetMode="External"/><Relationship Id="rId152"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