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line="252" w:lineRule="auto" w:after="120"/>
      </w:pPr>
      <w:r>
        <w:rPr>
          <w:b w:val="0"/>
          <w:i w:val="0"/>
          <w:sz w:val="44"/>
        </w:rPr>
        <w:t>Hepatocellular adenoma — Standard transplant pathway: questions for consensus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UTHealth Houston and Memorial Hermann · HPB oncology · 29 October 2026 · V17 standardized documents</w:t>
      </w:r>
    </w:p>
    <w:p>
      <w:pPr>
        <w:spacing w:after="80"/>
      </w:pPr>
      <w:r>
        <w:rPr>
          <w:b w:val="0"/>
          <w:i w:val="0"/>
        </w:rPr>
        <w:t>Every question in the standard transplant pathway that still needs a consensus answer. Each one shows what guidelines, trials and papers say, our proposed selection, and space for the group decision. All proposals are OPEN; nothing in this document is activated or approved.</w:t>
      </w:r>
    </w:p>
    <w:p>
      <w:pPr>
        <w:spacing w:after="80"/>
      </w:pPr>
      <w:r>
        <w:rPr>
          <w:b w:val="0"/>
          <w:i w:val="0"/>
        </w:rPr>
        <w:t>Web page: https://drliuhao.github.io/mh-liver-pathways/transplant/hca/#meeting</w:t>
      </w:r>
    </w:p>
    <w:p>
      <w:pPr>
        <w:spacing w:after="160"/>
      </w:pPr>
      <w:r>
        <w:rPr>
          <w:b/>
          <w:i w:val="0"/>
        </w:rPr>
        <w:t xml:space="preserve">Companion files: </w:t>
      </w:r>
      <w:r>
        <w:rPr>
          <w:b w:val="0"/>
          <w:i w:val="0"/>
          <w:sz w:val="20"/>
        </w:rPr>
        <w:t xml:space="preserve">Full content: </w:t>
      </w:r>
      <w:r>
        <w:rPr>
          <w:b w:val="0"/>
          <w:i/>
        </w:rPr>
        <w:t>HCA_3_Standard_Transplant_Protocol.docx</w:t>
      </w:r>
      <w:r>
        <w:rPr>
          <w:b w:val="0"/>
          <w:i w:val="0"/>
          <w:sz w:val="20"/>
        </w:rPr>
        <w:t xml:space="preserve"> · Decision discussion for all settings: </w:t>
      </w:r>
      <w:r>
        <w:rPr>
          <w:b w:val="0"/>
          <w:i/>
        </w:rPr>
        <w:t>HCA_7_Decision_Discussion.docx</w:t>
      </w:r>
    </w:p>
    <w:p>
      <w:pPr>
        <w:pStyle w:val="Heading1"/>
        <w:keepNext/>
        <w:spacing w:before="280" w:after="80"/>
      </w:pPr>
      <w:r>
        <w:rPr>
          <w:b w:val="0"/>
          <w:i w:val="0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00"/>
        <w:gridCol w:w="3500"/>
        <w:gridCol w:w="3780"/>
        <w:gridCol w:w="1500"/>
      </w:tblGrid>
      <w:tr>
        <w:trPr>
          <w:tblHeader/>
        </w:trPr>
        <w:tc>
          <w:tcPr>
            <w:tcW w:type="dxa" w:w="2520"/>
            <w:tcW w:w="13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520"/>
            <w:tcW w:w="3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520"/>
            <w:tcW w:w="37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Proposed selection (summary)</w:t>
            </w:r>
          </w:p>
        </w:tc>
        <w:tc>
          <w:tcPr>
            <w:tcW w:type="dxa" w:w="2520"/>
            <w:tcW w:w="1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G1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What evidence is sufficient to call an adenoma β-catenin activated?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Record pathology/molecular method and specific result when it drives management; do not infer β-catenin status from MRI.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G2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When have conventional management options been adequately assessed?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Document the patient-specific resection/local-treatment assessment and response to appropriate risk-factor changes; distinguish inability from treatment failure.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G3 / G5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Are these alternative indications, or does every patient need complications?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Show all four alternatives separately. Require all three components only for the fourth alternative; maintain a separate clinical benefit-risk review.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G4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When should suspected transformation move to a malignant-tumor pathway?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Confirm or exclude malignancy with pathology and the tumor board. If cancer is present, use its treatment pathway and assess the relevant MELD-exception criteria.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G5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Will the local program impose an exon-specific molecular restriction?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If the group chooses a narrower molecular rule, record its rationale and label it institutional rather than OPTN/NLRB mandated.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Who is responsible for waiting-list complication management and long-term follow-up?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Assign surveillance and urgent-bleeding contacts, explant review and underlying-disease follow-up owners.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Questions</w:t>
      </w:r>
    </w:p>
    <w:p>
      <w:pPr>
        <w:pStyle w:val="Heading2"/>
        <w:keepNext/>
        <w:spacing w:before="200" w:after="80"/>
      </w:pPr>
      <w:r>
        <w:rPr>
          <w:b w:val="0"/>
          <w:i w:val="0"/>
        </w:rPr>
        <w:t>HCA G1 — What evidence is sufficient to call an adenoma β-catenin activated?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6">
        <w:r>
          <w:rPr>
            <w:color w:val="0563C1"/>
            <w:u w:val="single"/>
          </w:rPr>
          <w:t xml:space="preserve">Characterize risk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EASL · benign tumors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“identification of β-catenin activated HCA”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Imaging limitation, PDF p.9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· molecular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Molecular subtypes carry different bleeding and transformation risks; imaging is not equivalent to a mutation result.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Nault et al. · Gastroenterology · 2017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Record pathology/molecular method and specific result when it drives management; do not infer β-catenin status from MRI.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Risk labels should be anchored to the test that supports them.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Pathology · radiology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HCA G1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HCA G2 — When have conventional management options been adequately assessed?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0">
        <w:r>
          <w:rPr>
            <w:color w:val="0563C1"/>
            <w:u w:val="single"/>
          </w:rPr>
          <w:t xml:space="preserve">Use standard options first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1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EASL · benign tumors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“HCA resection is recommended irrespective of size in men”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Recommendation, PDF p.9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“Unresponsive to non-operative management”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One component of the fourth alternative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Document the patient-specific resection/local-treatment assessment and response to appropriate risk-factor changes; distinguish inability from treatment failure.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Not every guidance alternative requires failure of every available treatment.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Benign liver MDT · HPB surgery · IR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HCA G2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HCA G3 / G5 — Are these alternative indications, or does every patient need complications?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2">
        <w:r>
          <w:rPr>
            <w:color w:val="0563C1"/>
            <w:u w:val="single"/>
          </w:rPr>
          <w:t xml:space="preserve">Check HCA MELD-exception criteria</w:t>
        </w:r>
      </w:hyperlink>
      <w:r>
        <w:rPr>
          <w:b w:val="0"/>
          <w:i w:val="0"/>
        </w:rPr>
        <w:t xml:space="preserve"> · </w:t>
      </w:r>
      <w:hyperlink r:id="rId13">
        <w:r>
          <w:rPr>
            <w:color w:val="0563C1"/>
            <w:u w:val="single"/>
          </w:rPr>
          <w:t xml:space="preserve">Review benefit and submit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4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“one of the following criteria”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Hepatic adenoma guidance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“Unresectable adenoma in a candidate with liver adenomatosis (greater than 10 HA)”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Third alternative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EASL · benign tumors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Clinical guidelines generally favor conventional management; exceptional allocation consideration does not make LT first-line.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2016 · HCA management / multiple lesions · PDF pp.9–10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Show all four alternatives separately. Require all three components only for the fourth alternative; maintain a separate clinical benefit-risk review.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Each of the four alternatives can support HCA MELD-exception consideration; complications are required only where specified.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hepatology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HCA G3 / G5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HCA G4 — When should suspected transformation move to a malignant-tumor pathway?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5">
        <w:r>
          <w:rPr>
            <w:color w:val="0563C1"/>
            <w:u w:val="single"/>
          </w:rPr>
          <w:t xml:space="preserve">Assess possible malignant transformation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6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EASL · benign tumors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“Biopsy may be considered within a benign liver tumour MDT to exclude malignancy.”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PDF p.9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9.5.I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HCC exception qualification has its own diagnostic and staging requirements.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Effective October 1, 2026 · §§9.5.I.i–vii · pp.196–200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Confirm or exclude malignancy with pathology and the tumor board. If cancer is present, use its treatment pathway and assess the relevant MELD-exception criteria.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Suspected malignant transformation requires diagnostic confirmation before applying cancer-specific treatment and MELD-exception criteria.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Pathology · hepatology · transplant surgery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HCA G4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HCA G5 — Will the local program impose an exon-specific molecular restriction?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3">
        <w:r>
          <w:rPr>
            <w:color w:val="0563C1"/>
            <w:u w:val="single"/>
          </w:rPr>
          <w:t xml:space="preserve">Review benefit and submit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7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“Unresectable adenoma with β-catenin mutation”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Second alternative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HCA · molecular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Molecular risk is heterogeneous; exon-specific risk information can inform but does not rewrite NLRB guidance.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Nault et al. · Gastroenterology · 2017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If the group chooses a narrower molecular rule, record its rationale and label it institutional rather than OPTN/NLRB mandated.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 prognostic refinement should not silently become an allocation rule.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Molecular pathology · transplant governance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HCA G5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HCA G6 — Who is responsible for waiting-list complication management and long-term follow-up?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8">
        <w:r>
          <w:rPr>
            <w:color w:val="0563C1"/>
            <w:u w:val="single"/>
          </w:rPr>
          <w:t xml:space="preserve">Reassess and follow up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HCA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Guidance describes exceptional indications and score consideration, not a universal post-LT follow-up schedule.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p.11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EASL · benign tumors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Management depends on bleeding, growth, subtype and clinical context.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2016 · HCA management / multiple lesions · PDF pp.9–10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Assign surveillance and urgent-bleeding contacts, explant review and underlying-disease follow-up owners.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 rare indication still requires an explicit operational handoff.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team · hepatology · metabolic service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HCA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Sources</w:t>
      </w:r>
    </w:p>
    <w:p>
      <w:pPr>
        <w:spacing w:after="60"/>
      </w:pPr>
      <w:r>
        <w:rPr>
          <w:b/>
          <w:i w:val="0"/>
          <w:sz w:val="19"/>
        </w:rPr>
        <w:t>EASL · benign tumors</w:t>
      </w:r>
      <w:r>
        <w:rPr>
          <w:b w:val="0"/>
          <w:i w:val="0"/>
          <w:sz w:val="19"/>
        </w:rPr>
        <w:t xml:space="preserve"> — EASL Clinical Practice Guidelines on benign liver tumours</w:t>
      </w:r>
      <w:r>
        <w:rPr>
          <w:b w:val="0"/>
          <w:i w:val="0"/>
          <w:sz w:val="19"/>
        </w:rPr>
        <w:t xml:space="preserve">  </w:t>
      </w:r>
      <w:hyperlink r:id="rId20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HCA · molecular</w:t>
      </w:r>
      <w:r>
        <w:rPr>
          <w:b w:val="0"/>
          <w:i w:val="0"/>
          <w:sz w:val="19"/>
        </w:rPr>
        <w:t xml:space="preserve"> — Molecular classification of HCA associates with bleeding and malignant transformation</w:t>
      </w:r>
      <w:r>
        <w:rPr>
          <w:b w:val="0"/>
          <w:i w:val="0"/>
          <w:sz w:val="19"/>
        </w:rPr>
        <w:t xml:space="preserve">  </w:t>
      </w:r>
      <w:hyperlink r:id="rId21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NLRB · HCA</w:t>
      </w:r>
      <w:r>
        <w:rPr>
          <w:b w:val="0"/>
          <w:i w:val="0"/>
          <w:sz w:val="19"/>
        </w:rPr>
        <w:t xml:space="preserve"> — Adult MELD exception review guidance — hepatic adenoma</w:t>
      </w:r>
      <w:r>
        <w:rPr>
          <w:b w:val="0"/>
          <w:i w:val="0"/>
          <w:sz w:val="19"/>
        </w:rPr>
        <w:t xml:space="preserve">  </w:t>
      </w:r>
      <w:hyperlink r:id="rId22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OPTN 9.5.I</w:t>
      </w:r>
      <w:r>
        <w:rPr>
          <w:b w:val="0"/>
          <w:i w:val="0"/>
          <w:sz w:val="19"/>
        </w:rPr>
        <w:t xml:space="preserve"> — OPTN Policies — HCC standardized exception</w:t>
      </w:r>
      <w:r>
        <w:rPr>
          <w:b w:val="0"/>
          <w:i w:val="0"/>
          <w:sz w:val="19"/>
        </w:rPr>
        <w:t xml:space="preserve">  </w:t>
      </w:r>
      <w:hyperlink r:id="rId23">
        <w:r>
          <w:rPr>
            <w:color w:val="0563C1"/>
            <w:u w:val="single"/>
            <w:sz w:val="19"/>
          </w:rPr>
          <w:t xml:space="preserve">Source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6" Type="http://schemas.openxmlformats.org/officeDocument/2006/relationships/hyperlink" Target="https://drliuhao.github.io/mh-liver-pathways/transplant/hca/#characterize" TargetMode="External"/><Relationship Id="rId9" Type="http://schemas.openxmlformats.org/officeDocument/2006/relationships/hyperlink" Target="https://drliuhao.github.io/mh-liver-pathways/transplant/hca/#meeting-subtype" TargetMode="External"/><Relationship Id="rId10" Type="http://schemas.openxmlformats.org/officeDocument/2006/relationships/hyperlink" Target="https://drliuhao.github.io/mh-liver-pathways/transplant/hca/#standard-care" TargetMode="External"/><Relationship Id="rId11" Type="http://schemas.openxmlformats.org/officeDocument/2006/relationships/hyperlink" Target="https://drliuhao.github.io/mh-liver-pathways/transplant/hca/#meeting-alternatives" TargetMode="External"/><Relationship Id="rId12" Type="http://schemas.openxmlformats.org/officeDocument/2006/relationships/hyperlink" Target="https://drliuhao.github.io/mh-liver-pathways/transplant/hca/#exception-route" TargetMode="External"/><Relationship Id="rId13" Type="http://schemas.openxmlformats.org/officeDocument/2006/relationships/hyperlink" Target="https://drliuhao.github.io/mh-liver-pathways/transplant/hca/#review" TargetMode="External"/><Relationship Id="rId14" Type="http://schemas.openxmlformats.org/officeDocument/2006/relationships/hyperlink" Target="https://drliuhao.github.io/mh-liver-pathways/transplant/hca/#meeting-criteria" TargetMode="External"/><Relationship Id="rId15" Type="http://schemas.openxmlformats.org/officeDocument/2006/relationships/hyperlink" Target="https://drliuhao.github.io/mh-liver-pathways/transplant/hca/#transformation" TargetMode="External"/><Relationship Id="rId16" Type="http://schemas.openxmlformats.org/officeDocument/2006/relationships/hyperlink" Target="https://drliuhao.github.io/mh-liver-pathways/transplant/hca/#meeting-transformation" TargetMode="External"/><Relationship Id="rId17" Type="http://schemas.openxmlformats.org/officeDocument/2006/relationships/hyperlink" Target="https://drliuhao.github.io/mh-liver-pathways/transplant/hca/#meeting-benefit" TargetMode="External"/><Relationship Id="rId18" Type="http://schemas.openxmlformats.org/officeDocument/2006/relationships/hyperlink" Target="https://drliuhao.github.io/mh-liver-pathways/transplant/hca/#follow-up" TargetMode="External"/><Relationship Id="rId19" Type="http://schemas.openxmlformats.org/officeDocument/2006/relationships/hyperlink" Target="https://drliuhao.github.io/mh-liver-pathways/transplant/hca/#meeting-ownership" TargetMode="External"/><Relationship Id="rId20" Type="http://schemas.openxmlformats.org/officeDocument/2006/relationships/hyperlink" Target="https://doi.org/10.1016/j.jhep.2016.04.001" TargetMode="External"/><Relationship Id="rId21" Type="http://schemas.openxmlformats.org/officeDocument/2006/relationships/hyperlink" Target="https://doi.org/10.1053/j.gastro.2016.11.042" TargetMode="External"/><Relationship Id="rId22" Type="http://schemas.openxmlformats.org/officeDocument/2006/relationships/hyperlink" Target="https://www.hrsa.gov/sites/default/files/hrsa/optn/adult-meld-exception-transplant-oncology-review-guidance.pdf#page=11" TargetMode="External"/><Relationship Id="rId23" Type="http://schemas.openxmlformats.org/officeDocument/2006/relationships/hyperlink" Target="https://www.hrsa.gov/sites/default/files/hrsa/optn/optn_policies.pdf#page=196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2026-10-29T14:21:32Z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