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Hepatocellular Carcinoma</w:t>
      </w:r>
    </w:p>
    <w:p>
      <w:pPr>
        <w:pStyle w:val="Normal"/>
        <w:widowControl/>
      </w:pPr>
      <w:r>
        <w:t xml:space="preserve">Expanded tumor burden, treated vascular invasion and prior immune checkpoint exposure require different assessments. Use this protocol to classify the patient, direct treatment and reassessment, and determine whether the next action is standard-pathway care, further evaluation, a defined study or no transplant.</w:t>
      </w:r>
    </w:p>
    <w:p>
      <w:pPr>
        <w:spacing w:after="120"/>
      </w:pPr>
      <w:r>
        <w:rPr>
          <w:i/>
          <w:sz w:val="18"/>
        </w:rPr>
        <w:t xml:space="preserve">Standardized document set, 29 October 2026: this is the full-content document for the high-risk transplant protocol. Questions for consensus: HCC_6_High_Risk_Transplant_Questions.docx. Decision discussion for all settings: HCC_7_Decision_Discussion.docx. Web page: https://drliuhao.github.io/mh-liver-pathways/transplant/hcc/#high-risk</w:t>
      </w:r>
    </w:p>
    <w:p>
      <w:pPr>
        <w:pStyle w:val="Normal"/>
        <w:widowControl/>
      </w:pPr>
      <w:r>
        <w:t xml:space="preserve">Version 16 | Focused treatment-to-transplant interface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scope</w:t>
      </w:r>
    </w:p>
    <w:p>
      <w:pPr>
        <w:pStyle w:val="Normal"/>
        <w:widowControl/>
      </w:pPr>
      <w:r>
        <w:t xml:space="preserve">Patients who satisfy current standard HCC criteria should remain on the standard pathway. Prior immune checkpoint inhibitor (ICI) exposure does not by itself preclude an HCC exception. Planned investigational ICI downstaging, burden beyond standard downstaging limits and treated portal-vein tumor thrombus (PVTT) must not be merged into a single permissive expanded category.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A transplanting expansion requires a defined entry population and prospective oversight. Screening or tumor response is not permission to transplant. Preserve all pretreatment measurements after response; a favorable score predicts prognosis within its derivation population, not treatment benefit or allocation entitlement.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Heading2"/>
        <w:keepNext/>
        <w:widowControl/>
      </w:pPr>
      <w:r>
        <w:t xml:space="preserve">2 Multidisciplinary team</w:t>
      </w:r>
    </w:p>
    <w:p>
      <w:pPr>
        <w:pStyle w:val="Normal"/>
        <w:widowControl/>
        <w:numPr>
          <w:ilvl w:val="0"/>
          <w:numId w:val="3"/>
        </w:numPr>
      </w:pPr>
      <w:r>
        <w:t xml:space="preserve">Transplant surgery and hepatology coordinate decisions with HPB surgery, medical oncology, interventional and diagnostic radiology, radiation oncology, pathology, transplant pharmacy, nutrition and psychosocial services.</w:t>
      </w:r>
    </w:p>
    <w:p>
      <w:pPr>
        <w:pStyle w:val="Normal"/>
        <w:widowControl/>
        <w:numPr>
          <w:ilvl w:val="0"/>
          <w:numId w:val="3"/>
        </w:numPr>
      </w:pPr>
      <w:r>
        <w:t xml:space="preserve">For a study, add the research coordinator, biostatistician and independent safety board. For prior ICI, document hepatology, oncology and pharmacy review of immune toxicity and graft risk. Donor assessment remains independent.</w:t>
      </w:r>
    </w:p>
    <w:p>
      <w:pPr>
        <w:pStyle w:val="Heading2"/>
        <w:keepNext/>
        <w:widowControl/>
      </w:pPr>
      <w:r>
        <w:t xml:space="preserve">3 Patient selection and baseline workup</w:t>
      </w:r>
    </w:p>
    <w:p>
      <w:pPr>
        <w:pStyle w:val="Heading3"/>
        <w:keepNext/>
        <w:widowControl/>
      </w:pPr>
      <w:r>
        <w:t xml:space="preserve">3.1 Confirm diagnosis and map the original disease</w:t>
      </w:r>
    </w:p>
    <w:p>
      <w:pPr>
        <w:pStyle w:val="Normal"/>
        <w:widowControl/>
        <w:numPr>
          <w:ilvl w:val="0"/>
          <w:numId w:val="3"/>
        </w:numPr>
      </w:pPr>
      <w:r>
        <w:t xml:space="preserve">Order or obtain high-quality multiphasic liver CT or MRI, chest CT, AFP, CBC, bilirubin, albumin, INR, creatinine and sodium. Document Child-Pugh class, calculated MELD, ECOG performance status, portal hypertension, frailty and surgical fitness.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2U3OGIxNWItODYzMy01ZWMwLWEwYjQtY2U4YmRhNDhjMjY2IiB0aW1lc3RhbXA9IjE3OTMyODM2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Radiology must list each lesion with baseline segment, diameter and diagnostic category; distinguish viable tumor from treated nonviable tissue. Resolve atypical or discordant lesions through repeat appropriate imaging or MDT-directed biopsy when the result will change management. Do not count an indeterminate or LR-4 lesion as definite HCC solely to meet a transplant threshold.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Obtain a written resection/ablation assessment and classify vascular findings as bland thrombus, tumor thrombus or unresolved. PET is not a substitute for liver imaging or a mandatory negative test for all HCC candidates.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Advance only when the diagnosis, baseline burden, liver reserve, absence or presence of extrahepatic disease, and curative alternatives have been adjudicated. Hold for uncertain vascular invasion, discordant imaging or unexplained marker rise. Confirmed extrahepatic metastases or uncontrolled progression stops this proposed transplant route.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3.2 Expanded burden and biomarkers</w:t>
      </w:r>
    </w:p>
    <w:p>
      <w:pPr>
        <w:pStyle w:val="Normal"/>
        <w:widowControl/>
        <w:numPr>
          <w:ilvl w:val="0"/>
          <w:numId w:val="3"/>
        </w:numPr>
      </w:pPr>
      <w:r>
        <w:t xml:space="preserve">Record whether baseline disease met Policy 9.5.I downstaging entry criteria. Beyond-UNOS downstaging requires an individually justified nonstandard request if exception priority is sought; reaching T2 does not retrospectively confer standardized entry eligibility.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Track AFP as a dated series. For standardized eligibility, a history of AFP above 1000 ng/mL requires treatment response below 500 ng/mL and maintenance below that level. Do not substitute a percentage fall for the applicable threshold. A guidance-ineligible AFP course requires separate review, not automatic enrollment.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XXL enrolled 74 patients and randomized 45 after downstaging selection; five-year OS from randomization was 77.5% with LT versus 31.2% with control treatment. The main report excludes macrovascular invasion, but the protocol appendix allowed uncertain bland-versus-neoplastic segmental/type-I portal thrombosis under additional response conditions. No separately reported proven-PVTT subgroup establishes efficacy for that phenotype. In the prospective MERITS-LT cohort, 76/190 beyond-UNOS candidates and 155/326 UNOS-DS candidates reached LT. Five-year entry-pathway OS was 45.0% versus 58.8%, despite recipient OS of approximately 72% versus 74%; recipient recurrence was approximately 30% versus 14%. These are different denominators, and five-year estimates require their small late risk sets and 27-month median follow-up to be considered.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Heading3"/>
        <w:keepNext/>
        <w:widowControl/>
      </w:pPr>
      <w:bookmarkStart w:id="1" w:name="HCC_B1"/>
      <w:r>
        <w:t xml:space="preserve">HCC-B1 — How far beyond UNOS-DS should the program attempt downstaging?</w:t>
      </w:r>
      <w:bookmarkEnd w:id="1"/>
    </w:p>
    <w:p>
      <w:pPr>
        <w:pStyle w:val="Heading3"/>
        <w:keepNext/>
        <w:widowControl/>
      </w:pPr>
      <w:r>
        <w:t xml:space="preserve">Question and comparison</w:t>
      </w:r>
    </w:p>
    <w:p>
      <w:pPr>
        <w:pStyle w:val="Normal"/>
        <w:widowControl/>
        <w:spacing w:before="60" w:after="20"/>
      </w:pPr>
      <w:r>
        <w:t xml:space="preserve">Adults with initially unresectable HCC outside UNOS downstaging entry limits, without extrahepatic disease or viable macrovascular invasion; compare a bounded downstaging-to-transplant strategy with standard UNOS-DS and nontransplant management. Evaluate treatment-entry survival, dropout, probability of transplant, recipient survival and recurrence separately.</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Yao 2015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zwvUmVjTnVtPjxEaXNwbGF5VGV4dD5bVjE2LTddPC9EaXNwbGF5VGV4dD48cmVjb3JkPjxyZWMtbnVtYmVyPjc8L3JlYy1udW1iZXI+PGZvcmVpZ24ta2V5cz48a2V5IGFwcD0iRU4iIGRiLWlkPSI3ZTc4YjE1Yi04NjMzLTVlYzAtYTBiNC1jZThiZGE0OGMyNjYiIHRpbWVzdGFtcD0iMTc5MzI4MzY4MyI+N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UCSF downstaging cohort: 122 entered; three LDLT cases and one with &lt;3-month follow-up excluded, leaving 118, compared with 488 patients listed within T2. Entry burden was bounded; major vascular invasion and extrahepatic spread excluded.</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PDF pp 2–3/j 1969–1970: imaging, DS criteria, observation. | PDF p 4/j 1971: 122 → 118 flow, time origins, 77 success/64 LT. | PDF pp 5–6/j 1972–1973: survival/recurrence. | PDF pp 7–9/j 1974–1976: dropout models, harms, limitations.</w:t>
            </w:r>
          </w:p>
          <w:p>
            <w:pPr>
              <w:pStyle w:val="Normal"/>
              <w:widowControl/>
              <w:spacing w:before="60" w:after="20"/>
            </w:pPr>
            <w:r>
              <w:t xml:space="preserve">Review depth: Complete 10-page publisher paper identity verified; all main methods/results/tables/discussion read; supporting figures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ITT survival 56.1% for downstaging versus 63.3% for T2; two-year dropout 34.2% versus 25.6%. Five-year recipient OS 77.8% versus 81.0%; recurrence-free probability 90.8% versus 88.0%. Five recurrences among 64 downstaged recipients (7.8% calculated; article prints 7.5%). Safety: Three deaths from liver decompensation were reported during downstaging. Good recipient outcomes coexist with appreciable entry-cohort attrition.</w:t>
            </w:r>
          </w:p>
          <w:p>
            <w:pPr>
              <w:pStyle w:val="Normal"/>
              <w:widowControl/>
              <w:spacing w:before="60" w:after="20"/>
            </w:pPr>
            <w:r>
              <w:rPr>
                <w:b/>
              </w:rPr>
              <w:t xml:space="preserve">Do not infer: </w:t>
            </w:r>
            <w:r>
              <w:t xml:space="preserve">Nonrandom single-center comparison with different ITT origins and early exclusions; overlap with later UCSF series. Recurrence-free probability should not be treated as death-inclusive RFS. Three months was a protocol selection rule, not a randomized optimal duration.</w:t>
            </w:r>
          </w:p>
        </w:tc>
      </w:tr>
      <w:tr>
        <w:trPr/>
        <w:tc>
          <w:tcPr>
            <w:tcW w:w="3400" w:type="dxa"/>
            <w:tcMar>
              <w:top w:w="90" w:type="dxa"/>
              <w:left w:w="90" w:type="dxa"/>
              <w:bottom w:w="90" w:type="dxa"/>
              <w:right w:w="90" w:type="dxa"/>
            </w:tcMar>
          </w:tcPr>
          <w:p>
            <w:pPr>
              <w:pStyle w:val="Normal"/>
              <w:widowControl/>
              <w:spacing w:before="60" w:after="20"/>
            </w:pPr>
            <w:r>
              <w:rPr>
                <w:b/>
              </w:rPr>
              <w:t xml:space="preserve">Mehta 2021</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44PC9SZWNOdW0+PERpc3BsYXlUZXh0PltWMTYtOF08L0Rpc3BsYXlUZXh0PjxyZWNvcmQ+PHJlYy1udW1iZXI+ODwvcmVjLW51bWJlcj48Zm9yZWlnbi1rZXlzPjxrZXkgYXBwPSJFTiIgZGItaWQ9IjdlNzhiMTViLTg2MzMtNWVjMC1hMGI0LWNlOGJkYTQ4YzI2NiIgdGltZXN0YW1wPSIxNzkzMjgzNjgzIj44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Prospective seven-center MERITS-LT UNOS-DS cohort: 324 screened, 115 excluded and 209 enrolled. Initial treatment was TACE in 132 and Y90 in 62; modalities were not randomized.</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 3/j 1504: protocol, viable measurement, observation. | PDF p 4/j 1505: 324 screened, 115 excluded, time zero. | PDF pp 5–7/j 1506–1508: Tables 3, flow, DS/dropout/transplant/explant/outcomes. | PDF pp 8–9/j 1509–1510: selection, biomarker limits, modality/extra LRT interpretation.</w:t>
            </w:r>
          </w:p>
          <w:p>
            <w:pPr>
              <w:pStyle w:val="Normal"/>
              <w:widowControl/>
              <w:spacing w:before="60" w:after="20"/>
            </w:pPr>
            <w:r>
              <w:t xml:space="preserve">Review depth: Complete 11-page publisher paper identity verified; all main methods/results/tables/discussion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Successful downstaging 174/209 (83.3%); estimated two-year success 87.7%. Dropouts: 51 progression, nine liver-related deaths and 15 other reasons; primary two-year dropout estimate 37.3%. Estimated three-year LT probability 46.6% and ITT survival 73%. Recipient two-year OS 95%, three-year OS 83.1%, with five recurrences. Explants were beyond Milan in 42.8%, with microvascular invasion in 17.5%. Safety: Nine liver-related deaths among dropouts; substantial explant understaging despite imaging downstaging.</w:t>
            </w:r>
          </w:p>
          <w:p>
            <w:pPr>
              <w:pStyle w:val="Normal"/>
              <w:widowControl/>
              <w:spacing w:before="60" w:after="20"/>
            </w:pPr>
            <w:r>
              <w:rPr>
                <w:b/>
              </w:rPr>
              <w:t xml:space="preserve">Do not infer: </w:t>
            </w:r>
            <w:r>
              <w:t xml:space="preserve">Nonrandom modality choice; nonsignificant TACE/Y90 differences do not establish equivalence. Recipient follow-up is immature. AFP-L3 was available in only 83 patients; it is not a validated mandatory gate. This cohort overlaps later MERITS publications.</w:t>
            </w:r>
          </w:p>
        </w:tc>
      </w:tr>
      <w:tr>
        <w:trPr/>
        <w:tc>
          <w:tcPr>
            <w:tcW w:w="3400" w:type="dxa"/>
            <w:tcMar>
              <w:top w:w="90" w:type="dxa"/>
              <w:left w:w="90" w:type="dxa"/>
              <w:bottom w:w="90" w:type="dxa"/>
              <w:right w:w="90" w:type="dxa"/>
            </w:tcMar>
          </w:tcPr>
          <w:p>
            <w:pPr>
              <w:pStyle w:val="Normal"/>
              <w:widowControl/>
              <w:spacing w:before="60" w:after="20"/>
            </w:pPr>
            <w:r>
              <w:rPr>
                <w:b/>
              </w:rPr>
              <w:t xml:space="preserve">Sinha 2019</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45PC9SZWNOdW0+PERpc3BsYXlUZXh0PltWMTYtOV08L0Rpc3BsYXlUZXh0PjxyZWNvcmQ+PHJlYy1udW1iZXI+OTwvcmVjLW51bWJlcj48Zm9yZWlnbi1rZXlzPjxrZXkgYXBwPSJFTiIgZGItaWQ9IjdlNzhiMTViLTg2MzMtNWVjMC1hMGI0LWNlOGJkYTQ4YzI2NiIgdGltZXN0YW1wPSIxNzkzMjgzNjgzIj45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UCSF all-comers cohort of 74 patients beyond bounded UCSF downstaging entry criteria, compared with 133 bounded-entry patients. All-comers required six months and three scans without a new lesion after response; the bounded protocol used three months and allowed certain new lesions.</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PDF pp 2–4/j 1186–1188: entry and different protocols, time origins. | PDF pp 5–7/j 1189–1191: flow, ITT, burden model, complications. | PDF p 8/j 1192: all 10 recipient outcomes. | PDF pp 9–11/j 1193–1195: limits and &lt;12 conclusion.</w:t>
            </w:r>
          </w:p>
          <w:p>
            <w:pPr>
              <w:pStyle w:val="Normal"/>
              <w:widowControl/>
              <w:spacing w:before="60" w:after="20"/>
            </w:pPr>
            <w:r>
              <w:t xml:space="preserve">Review depth: Complete 12-page paper identity verified; all main methods/results/tables/discussion read; Supplement S1/S2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Three-year dropout 80% in all-comers versus 36.1% in bounded-entry patients; five-year ITT OS 21.1% versus 56.0%. Among ten all-comer recipients, five-year OS 50% and recurrence-free probability 40%; three recurrences and eight explants beyond Milan. Largest diameter plus lesion count of 12 corresponded to an estimated 47% one-year downstaging probability; the authors' concluding proposed boundary was &lt;12. Safety: Eight of 74 had treatment-associated decompensation: one of 40 Child-Pugh A, five of 27 B and two of six C patients. Favorable response did not prevent later dropout.</w:t>
            </w:r>
          </w:p>
          <w:p>
            <w:pPr>
              <w:pStyle w:val="Normal"/>
              <w:widowControl/>
              <w:spacing w:before="60" w:after="20"/>
            </w:pPr>
            <w:r>
              <w:rPr>
                <w:b/>
              </w:rPr>
              <w:t xml:space="preserve">Do not infer: </w:t>
            </w:r>
            <w:r>
              <w:t xml:space="preserve">Small single-center series with era/selection differences and overlap with Yao/UCSF cohorts. The burden threshold was exploratory; a local ≤12 boundary is not the same as the paper's &lt;12 proposal. Recurrence-free probability is not death-inclusive RFS. Dropout-reason narrative sums do not perfectly reconcile with 62.</w:t>
            </w:r>
          </w:p>
        </w:tc>
      </w:tr>
      <w:tr>
        <w:trPr/>
        <w:tc>
          <w:tcPr>
            <w:tcW w:w="3400" w:type="dxa"/>
            <w:tcMar>
              <w:top w:w="90" w:type="dxa"/>
              <w:left w:w="90" w:type="dxa"/>
              <w:bottom w:w="90" w:type="dxa"/>
              <w:right w:w="90" w:type="dxa"/>
            </w:tcMar>
          </w:tcPr>
          <w:p>
            <w:pPr>
              <w:pStyle w:val="Normal"/>
              <w:widowControl/>
              <w:spacing w:before="60" w:after="20"/>
            </w:pPr>
            <w:r>
              <w:rPr>
                <w:b/>
              </w:rPr>
              <w:t xml:space="preserve">Natarajan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MTA8L1JlY051bT48RGlzcGxheVRleHQ+W1YxNi0xMF08L0Rpc3BsYXlUZXh0PjxyZWNvcmQ+PHJlYy1udW1iZXI+MTA8L3JlYy1udW1iZXI+PGZvcmVpZ24ta2V5cz48a2V5IGFwcD0iRU4iIGRiLWlkPSI3ZTc4YjE1Yi04NjMzLTVlYzAtYTBiNC1jZThiZGE0OGMyNjYiIHRpbWVzdGFtcD0iMTc5MzI4MzY4MyI+MT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Prospective MERITS-LT expansion: 82 all-comers beyond UNOS-DS versus 229 UNOS-DS patients, 2015–2020. Overlaps the earlier MERITS cohort.</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 2–3/j 1772–1773: population, protocol and time origins. | PDF pp 4–6/j 1774–1776: Tables 2–4, flow, outcomes and follow-up. | PDF pp 7–9/j 1777–1779: survival figure, Table 5, limitations.</w:t>
            </w:r>
          </w:p>
          <w:p>
            <w:pPr>
              <w:pStyle w:val="Normal"/>
              <w:widowControl/>
              <w:spacing w:before="60" w:after="20"/>
            </w:pPr>
            <w:r>
              <w:t xml:space="preserve">Review depth: Complete ten-page main paper read, including methods, results, all tables, discussion and reference list.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One-year downstaging probability 67.3% in all-comers versus 82.6% in UNOS-DS. Three-year ITT OS 58.1% versus 69.4%. All-comers with Child-Pugh B/C or AFP ≥500 had three-year ITT OS 29.9% versus 67.7% without those features; Child-Pugh B/C alone had 23.2%. Recipient three-year OS 90.9% versus 80.6%; recurrence 1/20 versus 7/85. Eight of 20 all-comer explants remained beyond Milan and four had microvascular invasion. Safety: Poor liver reserve/high AFP identified a high-attrition group; favorable recipient survival is heavily conditioned on reaching transplantation.</w:t>
            </w:r>
          </w:p>
          <w:p>
            <w:pPr>
              <w:pStyle w:val="Normal"/>
              <w:widowControl/>
              <w:spacing w:before="60" w:after="20"/>
            </w:pPr>
            <w:r>
              <w:rPr>
                <w:b/>
              </w:rPr>
              <w:t xml:space="preserve">Do not infer: </w:t>
            </w:r>
            <w:r>
              <w:t xml:space="preserve">Nonrandom selected enrollment; few all-comer recipients, immature long-term follow-up and overlap with prior MERITS reports. Does not validate a combined ≤12/AFP &lt;100/Child-Pugh A rule. Kaplan–Meier dropout or LT probabilities should not be described as competing-risk cumulative incidence.</w:t>
            </w:r>
          </w:p>
        </w:tc>
      </w:tr>
      <w:tr>
        <w:trPr/>
        <w:tc>
          <w:tcPr>
            <w:tcW w:w="34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National prospective cohort, nine centers, 2015–2023: 190 all-comers and 326 UNOS-DS patients; intention-to-treat clock starts at first locoregional treatment.</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Complete local PDF, Results pp6–9, Tables 3–4; proposed refinements in Discussion pp9–11.</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downstaging: 66% versus 82%. Among all-comers, number plus largest diameter &lt;10, 10–12 and &gt;12 had success of 72%, 51% and 39%. Five-year treatment-entry survival: 45.0% versus 58.8%. LT occurred in 76/190 versus 155/326; median downstaging-to-LT 10.6 months. Five-year recipient survival: 71.5% versus 73.6%; recurrence: 29.8% versus 13.7%, with median post-LT follow-up 27.4 months. AFP ≥100 and Child-Pugh B predicted worse entry survival.</w:t>
            </w:r>
          </w:p>
          <w:p>
            <w:pPr>
              <w:pStyle w:val="Normal"/>
              <w:widowControl/>
              <w:spacing w:before="60" w:after="20"/>
            </w:pPr>
            <w:r>
              <w:rPr>
                <w:b/>
              </w:rPr>
              <w:t xml:space="preserve">Do not infer: </w:t>
            </w:r>
            <w:r>
              <w:t xml:space="preserve">Selected-recipient success cannot replace entry survival; five-year tails are immature. Y90/TACE comparisons were observational. The proposed number-plus-diameter ≤12, AFP &lt;100 and Child-Pugh A combination remains unvalidated.</w:t>
            </w:r>
          </w:p>
        </w:tc>
      </w:tr>
      <w:tr>
        <w:trPr/>
        <w:tc>
          <w:tcPr>
            <w:tcW w:w="3400" w:type="dxa"/>
            <w:tcMar>
              <w:top w:w="90" w:type="dxa"/>
              <w:left w:w="90" w:type="dxa"/>
              <w:bottom w:w="90" w:type="dxa"/>
              <w:right w:w="90" w:type="dxa"/>
            </w:tcMar>
          </w:tcPr>
          <w:p>
            <w:pPr>
              <w:pStyle w:val="Normal"/>
              <w:widowControl/>
              <w:spacing w:before="60" w:after="20"/>
            </w:pPr>
            <w:r>
              <w:rPr>
                <w:b/>
              </w:rPr>
              <w:t xml:space="preserve">XXL 2020</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Multicenter randomized phase 2b/3 trial: 74 entered downstaging; 29 dropped out before randomization; 45 responders were randomized, 23 to LT and 22 to nontransplant treatment.</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Complete accepted manuscript and protocol appendix; final published abstract for survival estimates. Avoid mixing accepted-manuscript and final-publication hazard ratios.</w:t>
            </w:r>
          </w:p>
          <w:p>
            <w:pPr>
              <w:pStyle w:val="Normal"/>
              <w:widowControl/>
              <w:spacing w:before="60" w:after="20"/>
            </w:pPr>
            <w:r>
              <w:t xml:space="preserve">Review depth: Complete accepted manuscript including protocol appendix plus final published abstract; version-dependent hazard ratios not merged.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five-year overall survival was 77.5% with LT versus 31.2% without LT; tumor-event-free survival 76.8% versus 18.3%; median follow-up 71 months.</w:t>
            </w:r>
          </w:p>
          <w:p>
            <w:pPr>
              <w:pStyle w:val="Normal"/>
              <w:widowControl/>
              <w:spacing w:before="60" w:after="20"/>
            </w:pPr>
            <w:r>
              <w:rPr>
                <w:b/>
              </w:rPr>
              <w:t xml:space="preserve">Do not infer: </w:t>
            </w:r>
            <w:r>
              <w:t xml:space="preserve">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tc>
      </w:tr>
      <w:tr>
        <w:trPr/>
        <w:tc>
          <w:tcPr>
            <w:tcW w:w="3400" w:type="dxa"/>
            <w:tcMar>
              <w:top w:w="90" w:type="dxa"/>
              <w:left w:w="90" w:type="dxa"/>
              <w:bottom w:w="90" w:type="dxa"/>
              <w:right w:w="90" w:type="dxa"/>
            </w:tcMar>
          </w:tcPr>
          <w:p>
            <w:pPr>
              <w:pStyle w:val="Normal"/>
              <w:widowControl/>
              <w:spacing w:before="60" w:after="20"/>
            </w:pPr>
            <w:r>
              <w:rPr>
                <w:b/>
              </w:rPr>
              <w:t xml:space="preserve">Huang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xMTwvUmVjTnVtPjxEaXNwbGF5VGV4dD5bVjE2LTExXTwvRGlzcGxheVRleHQ+PHJlY29yZD48cmVjLW51bWJlcj4xMTwvcmVjLW51bWJlcj48Zm9yZWlnbi1rZXlzPjxrZXkgYXBwPSJFTiIgZGItaWQ9IjdlNzhiMTViLTg2MzMtNWVjMC1hMGI0LWNlOGJkYTQ4YzI2NiIgdGltZXN0YW1wPSIxNzkzMjgzNjgzIj4xMT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UNOS registry study of 23,398 HCC exception applicants: 20,579 always within Milan, 2,151 UNOS-DS and 668 all-comers. Initial AFP refers to the time of entry into the highest tumor-burden category, not necessarily current post-treatment AFP.</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pp 2–3/j 1582–1583: cohort definition, time zero, AFP measurement. | PDF p 4/j 1584: Table 1 including initial-application beyond Milan. | PDF pp 5–6/j 1585–1586: comparators, dropout, ITT and recipient OS. | PDF pp 7–8/j 1587–1588: clinical interpretation and limits.</w:t>
            </w:r>
          </w:p>
          <w:p>
            <w:pPr>
              <w:pStyle w:val="Normal"/>
              <w:widowControl/>
              <w:spacing w:before="60" w:after="20"/>
            </w:pPr>
            <w:r>
              <w:t xml:space="preserve">Review depth: Complete nine-page main paper read, all methods/results/tables/discussion.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dropout: Milan 19.3%, UNOS-DS 25.3%, all-comers 29.7%; all-comers versus UNOS-DS P = .07. Five-year ITT OS: 64.9%, 56.6%, 51.8%; recipient OS: 78.7%, 73.2%, 68.6%. All-comers with initial AFP &gt;100 (n = 82 derived from Table 1) had two-year dropout 52.3% versus 25.6% among all other beyond-Milan patients. Safety: Highest entry burden/high AFP are associated with substantial attrition even after selection for exception application.</w:t>
            </w:r>
          </w:p>
          <w:p>
            <w:pPr>
              <w:pStyle w:val="Normal"/>
              <w:widowControl/>
              <w:spacing w:before="60" w:after="20"/>
            </w:pPr>
            <w:r>
              <w:rPr>
                <w:b/>
              </w:rPr>
              <w:t xml:space="preserve">Do not infer: </w:t>
            </w:r>
            <w:r>
              <w:t xml:space="preserve">Registry selection excludes preapplication treatment failures and cannot represent all-comer treatment-entry survival. AFP &gt;100 comparison is against all other beyond-Milan applicants, not simply all-comers with AFP ≤100. Observational associations do not validate an AFP &lt;100 eligibility cutoff or a composite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Tabrizian 2022</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MTI8L1JlY051bT48RGlzcGxheVRleHQ+W1YxNi0xMl08L0Rpc3BsYXlUZXh0PjxyZWNvcmQ+PHJlYy1udW1iZXI+MTI8L3JlYy1udW1iZXI+PGZvcmVpZ24ta2V5cz48a2V5IGFwcD0iRU4iIGRiLWlkPSI3ZTc4YjE1Yi04NjMzLTVlYzAtYTBiNC1jZThiZGE0OGMyNjYiIHRpbWVzdGFtcD0iMTc5MzI4MzY4MyI+MTI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Retrospective five-US-center cohort of 2,645 HCC recipients transplanted during 2001–2015: 2,122 always within Milan, 341 downstaged to Milan, and 182 beyond Milan at LT. Only 168 of 341 downstaged recipients met UNOS-DS entry criteria.</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PDF pp 1–2: cohort, methods and time origins; pp 3–6: Tables 1–2 and Figures 1–2; pp 7–9: recurrence treatment, limitations and conclusions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Five-/ten-year post-LT OS: always Milan 73.6%/61.5%; downstaged 67.9%/52.1%; beyond Milan 52.9%/43.3%. Observed recurrences: 212/2,122, 54/341, and 64/182. Five-/ten-year Kaplan–Meier recurrence estimates: 11.3%/13.3%, 19.1%/20.6%, and 38.9%/approximately 41%. The beyond-Milan 10-year estimate is 41.1% in the abstract versus 41.4% in the main results/figure. Downstaged versus beyond-Milan OS difference was not statistically significant (P = .34). Safety: There were 853 deaths overall, including 116 within 90 days (4.4% of all recipients). Recurrence after LT remained substantial outside Milan.</w:t>
            </w:r>
          </w:p>
          <w:p>
            <w:pPr>
              <w:pStyle w:val="Normal"/>
              <w:widowControl/>
              <w:spacing w:before="60" w:after="20"/>
            </w:pPr>
            <w:r>
              <w:rPr>
                <w:b/>
              </w:rPr>
              <w:t xml:space="preserve">Do not infer: </w:t>
            </w:r>
            <w:r>
              <w:t xml:space="preserve">Recipient-only selection excludes pretreatment failures and waiting-list deaths. Does not estimate intent-to-treat benefit, all-comer downstaging success, or comparative causal treatment effects. Ten-year tails have small risk sets. Recurrence is not interchangeable with death-inclusive RFS or competing-risk cumulative incidence. The paper contains an internal 41.1% versus 41.4% discrepancy and a transposed recurrence sentence. Surgical treatment of recurrence was selected for favorable disease; its survival association is not proof of benefit.</w:t>
            </w:r>
          </w:p>
        </w:tc>
      </w:tr>
    </w:tbl>
    <w:p>
      <w:pPr>
        <w:pStyle w:val="Heading3"/>
        <w:keepNext/>
        <w:widowControl/>
      </w:pPr>
      <w:r>
        <w:t xml:space="preserve">Synthesis and evidence that challenges the proposal</w:t>
      </w:r>
    </w:p>
    <w:p>
      <w:pPr>
        <w:pStyle w:val="Normal"/>
        <w:widowControl/>
        <w:spacing w:before="60" w:after="20"/>
      </w:pPr>
      <w:r>
        <w:t xml:space="preserve">Bounded downstaging has reproducible favorable recipient outcomes but substantial pretreatment attrition. Unrestricted all-comer outcomes vary sharply across cohorts: Sinha reported only 10/74 recipients and five-year ITT OS 21.1%; later MERITS all-comers had 20/82 LT and three-year ITT OS 58.1%, with poor outcomes in Child-Pugh B/C or AFP ≥500. Huang begins at exception application and omits earlier downstaging failures. Tabrizian is recipient-only. ImmunoXXL selected 16 from 61 treated, not an unselected 16-person conversion trial.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zwvUmVjTnVtPjxEaXNwbGF5VGV4dD5bVjE2LTddPC9EaXNwbGF5VGV4dD48cmVjb3JkPjxyZWMtbnVtYmVyPjc8L3JlYy1udW1iZXI+PGZvcmVpZ24ta2V5cz48a2V5IGFwcD0iRU4iIGRiLWlkPSI3ZTc4YjE1Yi04NjMzLTVlYzAtYTBiNC1jZThiZGE0OGMyNjYiIHRpbWVzdGFtcD0iMTc5MzI4MzY4MyI+N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44PC9SZWNOdW0+PERpc3BsYXlUZXh0PltWMTYtOF08L0Rpc3BsYXlUZXh0PjxyZWNvcmQ+PHJlYy1udW1iZXI+ODwvcmVjLW51bWJlcj48Zm9yZWlnbi1rZXlzPjxrZXkgYXBwPSJFTiIgZGItaWQ9IjdlNzhiMTViLTg2MzMtNWVjMC1hMGI0LWNlOGJkYTQ4YzI2NiIgdGltZXN0YW1wPSIxNzkzMjgzNjgzIj44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45PC9SZWNOdW0+PERpc3BsYXlUZXh0PltWMTYtOV08L0Rpc3BsYXlUZXh0PjxyZWNvcmQ+PHJlYy1udW1iZXI+OTwvcmVjLW51bWJlcj48Zm9yZWlnbi1rZXlzPjxrZXkgYXBwPSJFTiIgZGItaWQ9IjdlNzhiMTViLTg2MzMtNWVjMC1hMGI0LWNlOGJkYTQ4YzI2NiIgdGltZXN0YW1wPSIxNzkzMjgzNjgzIj45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MTA8L1JlY051bT48RGlzcGxheVRleHQ+W1YxNi0xMF08L0Rpc3BsYXlUZXh0PjxyZWNvcmQ+PHJlYy1udW1iZXI+MTA8L3JlYy1udW1iZXI+PGZvcmVpZ24ta2V5cz48a2V5IGFwcD0iRU4iIGRiLWlkPSI3ZTc4YjE1Yi04NjMzLTVlYzAtYTBiNC1jZThiZGE0OGMyNjYiIHRpbWVzdGFtcD0iMTc5MzI4MzY4MyI+MT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xMTwvUmVjTnVtPjxEaXNwbGF5VGV4dD5bVjE2LTExXTwvRGlzcGxheVRleHQ+PHJlY29yZD48cmVjLW51bWJlcj4xMTwvcmVjLW51bWJlcj48Zm9yZWlnbi1rZXlzPjxrZXkgYXBwPSJFTiIgZGItaWQ9IjdlNzhiMTViLTg2MzMtNWVjMC1hMGI0LWNlOGJkYTQ4YzI2NiIgdGltZXN0YW1wPSIxNzkzMjgzNjgzIj4xMT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MTI8L1JlY051bT48RGlzcGxheVRleHQ+W1YxNi0xMl08L0Rpc3BsYXlUZXh0PjxyZWNvcmQ+PHJlYy1udW1iZXI+MTI8L3JlYy1udW1iZXI+PGZvcmVpZ24ta2V5cz48a2V5IGFwcD0iRU4iIGRiLWlkPSI3ZTc4YjE1Yi04NjMzLTVlYzAtYTBiNC1jZThiZGE0OGMyNjYiIHRpbWVzdGFtcD0iMTc5MzI4MzY4MyI+MTI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p>
    <w:p>
      <w:pPr>
        <w:pStyle w:val="Normal"/>
        <w:widowControl/>
        <w:numPr>
          <w:ilvl w:val="0"/>
          <w:numId w:val="3"/>
        </w:numPr>
        <w:spacing w:before="60" w:after="20"/>
      </w:pPr>
      <w:r>
        <w:t xml:space="preserve">Favorable MERITS recipient survival and the randomized responder benefit argue against declaring all beyond-UNOS disease futile. Conversely, high dropout in historical all-comers, worse entry survival, increased long-term recurrence and explant understaging argue against accepting a radiographic Milan endpoint alone. Child-Pugh B/C patients may need transplantation most, yet poorer downstaging tolerance makes an initial Child-Pugh-A-only pilot a local safety restriction rather than a universal oncologic exclusion.</w:t>
      </w:r>
    </w:p>
    <w:p>
      <w:pPr>
        <w:pStyle w:val="Normal"/>
        <w:widowControl/>
        <w:spacing w:before="60" w:after="20"/>
      </w:pPr>
      <w:r>
        <w:rPr>
          <w:b/>
        </w:rPr>
        <w:t xml:space="preserve">Certainty / applicability: </w:t>
      </w:r>
      <w:r>
        <w:t xml:space="preserve">Moderate for a benefit of LT in carefully selected sustained responders, limited by one small responder-randomized trial; low for the exact expanded-entry limits; very low for a jointly validated ≤12/AFP &lt;100/Child-Pugh A/six-month rule. This is an informal certainty assessment, not a formal GRADE exercise.</w:t>
      </w:r>
    </w:p>
    <w:p>
      <w:pPr>
        <w:pStyle w:val="Heading3"/>
        <w:keepNext/>
        <w:widowControl/>
      </w:pPr>
      <w:r>
        <w:t xml:space="preserve">Where each proposed threshold comes from</w:t>
      </w:r>
    </w:p>
    <w:p>
      <w:pPr>
        <w:pStyle w:val="Normal"/>
        <w:widowControl/>
        <w:numPr>
          <w:ilvl w:val="0"/>
          <w:numId w:val="3"/>
        </w:numPr>
        <w:spacing w:before="60" w:after="20"/>
      </w:pPr>
      <w:r>
        <w:t xml:space="preserve">Number-plus-largest-diameter ≤12 and AFP &lt;100/Child-Pugh A: cohort-derived risk refinement, not validated cutoff. Six months: proposed conservative operational observation period; studies used differing clocks and intervals. Imaging/AFP every three months: proposed monitoring cadence. A five-year ≥60% intention-to-treat target is a research-design benchmark, not an achieved or validated eligibility estimate for this pilot. The clinical stability clock must remain separate from OPTN/NLRB exception timing.</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“sum of tumor number and largest tumor diameter ≤12”</w:t>
            </w:r>
          </w:p>
          <w:p>
            <w:pPr>
              <w:pStyle w:val="Normal"/>
              <w:widowControl/>
              <w:spacing w:before="60" w:after="20"/>
            </w:pPr>
            <w:r>
              <w:t xml:space="preserve">Author-manuscript PDF p11, conclusion</w:t>
            </w:r>
          </w:p>
          <w:p>
            <w:pPr>
              <w:pStyle w:val="Normal"/>
              <w:widowControl/>
              <w:spacing w:before="60" w:after="20"/>
            </w:pPr>
            <w:hyperlink r:id="rId46">
              <w:r>
                <w:rPr>
                  <w:color w:val="77230C"/>
                  <w:sz w:val="20"/>
                  <w:u w:val="single"/>
                </w:rPr>
                <w:t>Source</w:t>
              </w:r>
            </w:hyperlink>
            <w:r>
              <w:t xml:space="preserve"> | </w:t>
            </w:r>
            <w:hyperlink r:id="rId4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Observationally proposed upper burden boundary, not an externally validated treatment-benefit rule.</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“exclusion criteria of AFP ≥100 and Child Pugh B/C”</w:t>
            </w:r>
          </w:p>
          <w:p>
            <w:pPr>
              <w:pStyle w:val="Normal"/>
              <w:widowControl/>
              <w:spacing w:before="60" w:after="20"/>
            </w:pPr>
            <w:r>
              <w:t xml:space="preserve">Author-manuscript PDF p11, conclusion</w:t>
            </w:r>
          </w:p>
          <w:p>
            <w:pPr>
              <w:pStyle w:val="Normal"/>
              <w:widowControl/>
              <w:spacing w:before="60" w:after="20"/>
            </w:pPr>
            <w:hyperlink r:id="rId48">
              <w:r>
                <w:rPr>
                  <w:color w:val="77230C"/>
                  <w:sz w:val="20"/>
                  <w:u w:val="single"/>
                </w:rPr>
                <w:t>Source</w:t>
              </w:r>
            </w:hyperlink>
            <w:r>
              <w:t xml:space="preserve"> | </w:t>
            </w:r>
            <w:hyperlink r:id="rId4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Supports a narrower initial cohort; does not establish that all excluded patients cannot benefit.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AASLD HCC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“3-to-6-month period of observation”</w:t>
            </w:r>
          </w:p>
          <w:p>
            <w:pPr>
              <w:pStyle w:val="Normal"/>
              <w:widowControl/>
              <w:spacing w:before="60" w:after="20"/>
            </w:pPr>
            <w:r>
              <w:t xml:space="preserve">Author-manuscript PDF p56, guidance statement 36</w:t>
            </w:r>
          </w:p>
          <w:p>
            <w:pPr>
              <w:pStyle w:val="Normal"/>
              <w:widowControl/>
              <w:spacing w:before="60" w:after="20"/>
            </w:pPr>
            <w:hyperlink r:id="rId50">
              <w:r>
                <w:rPr>
                  <w:color w:val="77230C"/>
                  <w:sz w:val="20"/>
                  <w:u w:val="single"/>
                </w:rPr>
                <w:t>Source</w:t>
              </w:r>
            </w:hyperlink>
            <w:r>
              <w:t xml:space="preserve"> | </w:t>
            </w:r>
            <w:hyperlink r:id="rId5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Six months selects the conservative end of this guidance range; it is not a guarantee of favorable biology.</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Open a bounded prospective beyond-UNOS downstaging cohort, not an unrestricted all-comers pathway.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Ni0xM108L0Rpc3BsYXlUZXh0PjxyZWNvcmQ+PHJlYy1udW1iZXI+MTM8L3JlYy1udW1iZXI+PGZvcmVpZ24ta2V5cz48a2V5IGFwcD0iRU4iIGRiLWlkPSI3ZTc4YjE1Yi04NjMzLTVlYzAtYTBiNC1jZThiZGE0OGMyNjYiIHRpbWVzdGFtcD0iMTc5MzI4MzY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zwvUmVjTnVtPjxEaXNwbGF5VGV4dD5bVjE2LTddPC9EaXNwbGF5VGV4dD48cmVjb3JkPjxyZWMtbnVtYmVyPjc8L3JlYy1udW1iZXI+PGZvcmVpZ24ta2V5cz48a2V5IGFwcD0iRU4iIGRiLWlkPSI3ZTc4YjE1Yi04NjMzLTVlYzAtYTBiNC1jZThiZGE0OGMyNjYiIHRpbWVzdGFtcD0iMTc5MzI4MzY4MyI+N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44PC9SZWNOdW0+PERpc3BsYXlUZXh0PltWMTYtOF08L0Rpc3BsYXlUZXh0PjxyZWNvcmQ+PHJlYy1udW1iZXI+ODwvcmVjLW51bWJlcj48Zm9yZWlnbi1rZXlzPjxrZXkgYXBwPSJFTiIgZGItaWQ9IjdlNzhiMTViLTg2MzMtNWVjMC1hMGI0LWNlOGJkYTQ4YzI2NiIgdGltZXN0YW1wPSIxNzkzMjgzNjgzIj44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45PC9SZWNOdW0+PERpc3BsYXlUZXh0PltWMTYtOV08L0Rpc3BsYXlUZXh0PjxyZWNvcmQ+PHJlYy1udW1iZXI+OTwvcmVjLW51bWJlcj48Zm9yZWlnbi1rZXlzPjxrZXkgYXBwPSJFTiIgZGItaWQ9IjdlNzhiMTViLTg2MzMtNWVjMC1hMGI0LWNlOGJkYTQ4YzI2NiIgdGltZXN0YW1wPSIxNzkzMjgzNjgzIj45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MTA8L1JlY051bT48RGlzcGxheVRleHQ+W1YxNi0xMF08L0Rpc3BsYXlUZXh0PjxyZWNvcmQ+PHJlYy1udW1iZXI+MTA8L3JlYy1udW1iZXI+PGZvcmVpZ24ta2V5cz48a2V5IGFwcD0iRU4iIGRiLWlkPSI3ZTc4YjE1Yi04NjMzLTVlYzAtYTBiNC1jZThiZGE0OGMyNjYiIHRpbWVzdGFtcD0iMTc5MzI4MzY4MyI+MT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xMTwvUmVjTnVtPjxEaXNwbGF5VGV4dD5bVjE2LTExXTwvRGlzcGxheVRleHQ+PHJlY29yZD48cmVjLW51bWJlcj4xMTwvcmVjLW51bWJlcj48Zm9yZWlnbi1rZXlzPjxrZXkgYXBwPSJFTiIgZGItaWQ9IjdlNzhiMTViLTg2MzMtNWVjMC1hMGI0LWNlOGJkYTQ4YzI2NiIgdGltZXN0YW1wPSIxNzkzMjgzNjgzIj4xMT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MTI8L1JlY051bT48RGlzcGxheVRleHQ+W1YxNi0xMl08L0Rpc3BsYXlUZXh0PjxyZWNvcmQ+PHJlYy1udW1iZXI+MTI8L3JlYy1udW1iZXI+PGZvcmVpZ24ta2V5cz48a2V5IGFwcD0iRU4iIGRiLWlkPSI3ZTc4YjE1Yi04NjMzLTVlYzAtYTBiNC1jZThiZGE0OGMyNjYiIHRpbWVzdGFtcD0iMTc5MzI4MzY4MyI+MTI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p>
    <w:p>
      <w:pPr>
        <w:pStyle w:val="Normal"/>
        <w:widowControl/>
        <w:numPr>
          <w:ilvl w:val="0"/>
          <w:numId w:val="3"/>
        </w:numPr>
      </w:pPr>
      <w:r>
        <w:t xml:space="preserve">Proposed entry ceiling: original pretreatment tumor count plus largest tumor diameter in cm ≤12; AFP &lt;100 ng/mL; Child-Pugh A; no macrovascular invasion, extrahepatic disease or unmeasurable infiltrative tumor.</w:t>
      </w:r>
    </w:p>
    <w:p>
      <w:pPr>
        <w:pStyle w:val="Normal"/>
        <w:widowControl/>
        <w:numPr>
          <w:ilvl w:val="1"/>
          <w:numId w:val="3"/>
        </w:numPr>
        <w:spacing w:before="60" w:after="20"/>
      </w:pPr>
      <w:r>
        <w:t xml:space="preserve">These restrictions apply to the expanded arm, not to otherwise standard-eligible HCC.</w:t>
      </w:r>
    </w:p>
    <w:p>
      <w:pPr>
        <w:pStyle w:val="Normal"/>
        <w:widowControl/>
        <w:numPr>
          <w:ilvl w:val="0"/>
          <w:numId w:val="3"/>
        </w:numPr>
      </w:pPr>
      <w:r>
        <w:t xml:space="preserve">Before LT: viable tumor burden within Milan, or complete nonviability, with at least six months of documented stability from the first assessment meeting that target.</w:t>
      </w:r>
    </w:p>
    <w:p>
      <w:pPr>
        <w:pStyle w:val="Normal"/>
        <w:widowControl/>
        <w:numPr>
          <w:ilvl w:val="1"/>
          <w:numId w:val="3"/>
        </w:numPr>
        <w:spacing w:before="60" w:after="20"/>
      </w:pPr>
      <w:r>
        <w:t xml:space="preserve">Repeat liver CT/MRI and AFP at least every three months; confirmed progression holds the route and resets the study control clock after new successful downstaging.</w:t>
      </w:r>
    </w:p>
    <w:p>
      <w:pPr>
        <w:pStyle w:val="Normal"/>
        <w:widowControl/>
        <w:numPr>
          <w:ilvl w:val="0"/>
          <w:numId w:val="3"/>
        </w:numPr>
      </w:pPr>
      <w:r>
        <w:t xml:space="preserve">Preserve baseline measurements and AFP.</w:t>
      </w:r>
    </w:p>
    <w:p>
      <w:pPr>
        <w:pStyle w:val="Normal"/>
        <w:widowControl/>
        <w:numPr>
          <w:ilvl w:val="1"/>
          <w:numId w:val="3"/>
        </w:numPr>
        <w:spacing w:before="60" w:after="20"/>
      </w:pPr>
      <w:r>
        <w:t xml:space="preserve">A prior AFP ≥100 or Child-Pugh B/C at expanded-arm entry belongs to a separately approved stratum; do not erase that history after response.</w:t>
      </w:r>
    </w:p>
    <w:p>
      <w:pPr>
        <w:pStyle w:val="Normal"/>
        <w:widowControl/>
        <w:numPr>
          <w:ilvl w:val="1"/>
          <w:numId w:val="3"/>
        </w:numPr>
        <w:spacing w:before="60" w:after="20"/>
      </w:pPr>
      <w:r>
        <w:t xml:space="preserve">No initial stacking with the PVTT arm.</w:t>
      </w:r>
    </w:p>
    <w:p>
      <w:pPr>
        <w:pStyle w:val="Normal"/>
        <w:widowControl/>
        <w:spacing w:before="60" w:after="20"/>
      </w:pPr>
      <w:r>
        <w:rPr>
          <w:b/>
        </w:rPr>
        <w:t xml:space="preserve">Why retain or change it: </w:t>
      </w:r>
      <w:r>
        <w:t xml:space="preserve">Retain a restricted, prospectively governed pilot with largest diameter plus count ≤12, current AFP &lt;100, Child-Pugh A, no active macrovascular/extrahepatic/infiltrative disease, and Milan/nonviable status sustained for six months with interval imaging. Explicitly label the complete package and inclusive ≤12 boundary as local judgment, not a validated composite criterion. Do not stack a prior-PVTT indication into this simple expansion cohort. Audit every referred/treated patient, not only those listed or transplanted.</w:t>
      </w:r>
    </w:p>
    <w:p>
      <w:pPr>
        <w:pStyle w:val="Heading3"/>
        <w:keepNext/>
        <w:widowControl/>
      </w:pPr>
      <w:r>
        <w:t xml:space="preserve">Information required before the decision</w:t>
      </w:r>
    </w:p>
    <w:p>
      <w:pPr>
        <w:pStyle w:val="Normal"/>
        <w:widowControl/>
        <w:spacing w:before="60" w:after="20"/>
      </w:pPr>
      <w:r>
        <w:t xml:space="preserve">Central review of pretreatment and current multiphasic CT/MRI; chest CT; dated AFP series; Child-Pugh components; resection/ablation assessment; dated response and progression record. Record first treatment, first successful downstaging, latest progression, listing, first exception request and LT dates separately; report all-entry, waitlist and recipient outcomes with their own time origins.</w:t>
      </w:r>
    </w:p>
    <w:p>
      <w:pPr>
        <w:pStyle w:val="Normal"/>
        <w:widowControl/>
        <w:spacing w:before="60" w:after="20"/>
      </w:pPr>
      <w:r>
        <w:rPr>
          <w:b/>
        </w:rPr>
        <w:t xml:space="preserve">Clinical versus allocation: </w:t>
      </w:r>
      <w:r>
        <w:t xml:space="preserve">Reaching Milan/T2 does not retrospectively create standardized downstaging entry eligibility. A nonstandard exception request, calculated-MELD route or LDLT review remains separate; apply the actual allocation clock.</w:t>
      </w:r>
    </w:p>
    <w:p>
      <w:pPr>
        <w:pStyle w:val="Normal"/>
        <w:widowControl/>
        <w:spacing w:before="60" w:after="20"/>
      </w:pPr>
      <w:r>
        <w:rPr>
          <w:b/>
        </w:rPr>
        <w:t xml:space="preserve">Roadmap / protocol reconciliation: </w:t>
      </w:r>
      <w:r>
        <w:t xml:space="preserve">Retain the HCC roadmap’s resection/ablation assessment and treatment selection. This proposal changes transplant entry boundaries, not the standard cancer-treatment algorithm.</w:t>
      </w:r>
    </w:p>
    <w:p>
      <w:pPr>
        <w:pStyle w:val="Normal"/>
        <w:widowControl/>
        <w:spacing w:before="60" w:after="20"/>
      </w:pPr>
      <w:hyperlink r:id="rId52">
        <w:r>
          <w:rPr>
            <w:color w:val="77230C"/>
            <w:sz w:val="20"/>
            <w:u w:val="single"/>
          </w:rPr>
          <w:t>Meeting record: HCC-B1</w:t>
        </w:r>
      </w:hyperlink>
      <w:r>
        <w:t xml:space="preserve">  |  </w:t>
      </w:r>
      <w:hyperlink r:id="rId5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widowControl/>
        <w:keepNext/>
      </w:pPr>
      <w:bookmarkStart w:id="12001" w:name="HCC_B1_1"/>
      <w:r>
        <w:t xml:space="preserve">HCC B1.1 — AFP-only failure / imaging discordance — OPEN</w:t>
      </w:r>
      <w:bookmarkEnd w:id="12001"/>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HCC B1.1 addresses AFP-only failure or discordance between AFP and imaging. It should be a distinct biological-risk question, not an automatic extension of B1 beyond-UNOS-DS enrollment. A patient within Milan may have an AFP problem without having expanded tumor burden. The proposed B1 AFP below 100 ng/mL entry rule must not silently become a universal rule for standard HCC.</w:t>
      </w:r>
    </w:p>
    <w:p>
      <w:pPr>
        <w:pStyle w:val="Normal"/>
        <w:widowControl/>
        <w:spacing w:after="120"/>
      </w:pPr>
      <w:r>
        <w:t xml:space="preserve">Status: OPEN local decision, not activated policy. This entry applies to both standard anatomical candidates and high-risk review. B1 expanded-burden AFP &lt;100 is a separate proposal; it must not become a universal within-Milan requirement.</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3582"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3743"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Allocation threshold failure</w:t>
            </w:r>
          </w:p>
        </w:tc>
        <w:tc>
          <w:tcPr>
            <w:tcW w:w="3582" w:type="dxa"/>
            <w:vAlign w:val="top"/>
            <w:shd w:fill="F1F5F8"/>
          </w:tcPr>
          <w:p>
            <w:pPr>
              <w:pStyle w:val="Normal"/>
              <w:widowControl/>
              <w:spacing w:after="55" w:line="240" w:lineRule="auto"/>
              <w:keepNext w:val="0"/>
              <w:keepLines/>
            </w:pPr>
            <w:r>
              <w:rPr>
                <w:sz w:val="21"/>
                <w:szCs w:val="21"/>
              </w:rPr>
              <w:t xml:space="preserve">Prior AFP greater than 1000 ng/mL, followed by failure to fall below 500 or a return to 500 or above. This changes the standardized exception route even when imaging is controlled.</w:t>
            </w:r>
          </w:p>
        </w:tc>
        <w:tc>
          <w:tcPr>
            <w:tcW w:w="3743" w:type="dxa"/>
            <w:vAlign w:val="top"/>
            <w:shd w:fill="F1F5F8"/>
          </w:tcPr>
          <w:p>
            <w:pPr>
              <w:pStyle w:val="Normal"/>
              <w:widowControl/>
              <w:spacing w:after="55" w:line="240" w:lineRule="auto"/>
              <w:keepNext w:val="0"/>
              <w:keepLines/>
            </w:pPr>
            <w:r>
              <w:rPr>
                <w:sz w:val="21"/>
                <w:szCs w:val="21"/>
              </w:rPr>
              <w:t xml:space="preserve">Current OPTN allocation policy. Nonstandard review and clinical candidacy remain separate; the policy is not a universal prohibition on every LT or LDLT.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514">
              <w:r>
                <w:rPr>
                  <w:color w:val="0563C1"/>
                  <w:u w:val="single"/>
                </w:rPr>
                <w:t>Source</w:t>
              </w:r>
            </w:hyperlink>
            <w:r>
              <w:t xml:space="preserve"> · </w:t>
            </w:r>
            <w:hyperlink r:id="rId515">
              <w:r>
                <w:rPr>
                  <w:color w:val="0563C1"/>
                  <w:u w:val="single"/>
                </w:rPr>
                <w:t>PDF</w:t>
              </w:r>
            </w:hyperlink>
            <w:r>
              <w:br/>
            </w:r>
            <w:hyperlink r:id="rId516">
              <w:r>
                <w:rPr>
                  <w:color w:val="0563C1"/>
                  <w:u w:val="single"/>
                </w:rPr>
                <w:t>Source</w:t>
              </w:r>
            </w:hyperlink>
            <w:r>
              <w:t xml:space="preserve"> · </w:t>
            </w:r>
            <w:hyperlink r:id="rId517">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Biochemical nonresponse</w:t>
            </w:r>
          </w:p>
        </w:tc>
        <w:tc>
          <w:tcPr>
            <w:tcW w:w="3582" w:type="dxa"/>
            <w:vAlign w:val="top"/>
            <w:shd w:fill="FFFFFF"/>
          </w:tcPr>
          <w:p>
            <w:pPr>
              <w:pStyle w:val="Normal"/>
              <w:widowControl/>
              <w:spacing w:after="55" w:line="240" w:lineRule="auto"/>
              <w:keepNext w:val="0"/>
              <w:keepLines/>
            </w:pPr>
            <w:r>
              <w:rPr>
                <w:sz w:val="21"/>
                <w:szCs w:val="21"/>
              </w:rPr>
              <w:t xml:space="preserve">Persistently high or rising AFP after treatment, interpreted with the pretreatment level, treatment timing, liver inflammation and serial imaging.</w:t>
            </w:r>
          </w:p>
        </w:tc>
        <w:tc>
          <w:tcPr>
            <w:tcW w:w="3743" w:type="dxa"/>
            <w:vAlign w:val="top"/>
            <w:shd w:fill="FFFFFF"/>
          </w:tcPr>
          <w:p>
            <w:pPr>
              <w:pStyle w:val="Normal"/>
              <w:widowControl/>
              <w:spacing w:after="55" w:line="240" w:lineRule="auto"/>
              <w:keepNext w:val="0"/>
              <w:keepLines/>
            </w:pPr>
            <w:r>
              <w:rPr>
                <w:sz w:val="21"/>
                <w:szCs w:val="21"/>
              </w:rPr>
              <w:t xml:space="preserve">An adverse biological signal, not a universally standardized binary definition of treatment failure. A percentage decline alone cannot replace absolute AFP or imaging.</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NZWh0YSBOPC9BdXRob3I+PFllYXI+MjAxOTwvWWVhcj48UmVjTnVtPjE0PC9SZWNOdW0+PERpc3BsYXlUZXh0PltWMTYtMTRdPC9EaXNwbGF5VGV4dD48cmVjb3JkPjxyZWMtbnVtYmVyPjE0PC9yZWMtbnVtYmVyPjxmb3JlaWduLWtleXM+PGtleSBhcHA9IkVOIiBkYi1pZD0iN2U3OGIxNWItODYzMy01ZWMwLWEwYjQtY2U4YmRhNDhjMjY2IiB0aW1lc3RhbXA9IjE3OTMyODM2ODMiPjE0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IYWxhenVuIEtKPC9BdXRob3I+PFllYXI+MjAyMTwvWWVhcj48UmVjTnVtPjE1PC9SZWNOdW0+PERpc3BsYXlUZXh0PltWMTYtMTVdPC9EaXNwbGF5VGV4dD48cmVjb3JkPjxyZWMtbnVtYmVyPjE1PC9yZWMtbnVtYmVyPjxmb3JlaWduLWtleXM+PGtleSBhcHA9IkVOIiBkYi1pZD0iN2U3OGIxNWItODYzMy01ZWMwLWEwYjQtY2U4YmRhNDhjMjY2IiB0aW1lc3RhbXA9IjE3OTMyODM2ODMiPjE1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br/>
            </w:r>
            <w:hyperlink r:id="rId518">
              <w:r>
                <w:rPr>
                  <w:color w:val="0563C1"/>
                  <w:u w:val="single"/>
                </w:rPr>
                <w:t>Source</w:t>
              </w:r>
            </w:hyperlink>
            <w:r>
              <w:t xml:space="preserve"> · </w:t>
            </w:r>
            <w:hyperlink r:id="rId519">
              <w:r>
                <w:rPr>
                  <w:color w:val="0563C1"/>
                  <w:u w:val="single"/>
                </w:rPr>
                <w:t>PDF</w:t>
              </w:r>
            </w:hyperlink>
            <w:r>
              <w:br/>
            </w:r>
            <w:hyperlink r:id="rId520">
              <w:r>
                <w:rPr>
                  <w:color w:val="0563C1"/>
                  <w:u w:val="single"/>
                </w:rPr>
                <w:t>Source</w:t>
              </w:r>
            </w:hyperlink>
            <w:r>
              <w:t xml:space="preserve"> · </w:t>
            </w:r>
            <w:hyperlink r:id="rId521">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Isolated AFP rise</w:t>
            </w:r>
          </w:p>
        </w:tc>
        <w:tc>
          <w:tcPr>
            <w:tcW w:w="3582" w:type="dxa"/>
            <w:vAlign w:val="top"/>
            <w:shd w:fill="F1F5F8"/>
          </w:tcPr>
          <w:p>
            <w:pPr>
              <w:pStyle w:val="Normal"/>
              <w:widowControl/>
              <w:spacing w:after="55" w:line="240" w:lineRule="auto"/>
              <w:keepNext w:val="0"/>
              <w:keepLines/>
            </w:pPr>
            <w:r>
              <w:rPr>
                <w:sz w:val="21"/>
                <w:szCs w:val="21"/>
              </w:rPr>
              <w:t xml:space="preserve">Rising AFP without definite viable or progressive tumor on technically adequate imaging.</w:t>
            </w:r>
          </w:p>
        </w:tc>
        <w:tc>
          <w:tcPr>
            <w:tcW w:w="3743" w:type="dxa"/>
            <w:vAlign w:val="top"/>
            <w:shd w:fill="F1F5F8"/>
          </w:tcPr>
          <w:p>
            <w:pPr>
              <w:pStyle w:val="Normal"/>
              <w:widowControl/>
              <w:spacing w:after="55" w:line="240" w:lineRule="auto"/>
              <w:keepNext w:val="0"/>
              <w:keepLines/>
            </w:pPr>
            <w:r>
              <w:rPr>
                <w:sz w:val="21"/>
                <w:szCs w:val="21"/>
              </w:rPr>
              <w:t xml:space="preserve">Requires verification and a search for occult disease or a nonmalignant source. AFP alone does not diagnose HCC progression or create a target for treatment.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Nb3JpeWFtYSBNPC9BdXRob3I+PFllYXI+MjAyNjwvWWVhcj48UmVjTnVtPjE2PC9SZWNOdW0+PERpc3BsYXlUZXh0PltWMTYtMTZdPC9EaXNwbGF5VGV4dD48cmVjb3JkPjxyZWMtbnVtYmVyPjE2PC9yZWMtbnVtYmVyPjxmb3JlaWduLWtleXM+PGtleSBhcHA9IkVOIiBkYi1pZD0iN2U3OGIxNWItODYzMy01ZWMwLWEwYjQtY2U4YmRhNDhjMjY2IiB0aW1lc3RhbXA9IjE3OTMyODM2ODMiPjE2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br/>
            </w:r>
            <w:hyperlink r:id="rId522">
              <w:r>
                <w:rPr>
                  <w:color w:val="0563C1"/>
                  <w:u w:val="single"/>
                </w:rPr>
                <w:t>Source</w:t>
              </w:r>
            </w:hyperlink>
            <w:r>
              <w:t xml:space="preserve"> · </w:t>
            </w:r>
            <w:hyperlink r:id="rId523">
              <w:r>
                <w:rPr>
                  <w:color w:val="0563C1"/>
                  <w:u w:val="single"/>
                </w:rPr>
                <w:t>PDF</w:t>
              </w:r>
            </w:hyperlink>
            <w:r>
              <w:br/>
            </w:r>
            <w:hyperlink r:id="rId524">
              <w:r>
                <w:rPr>
                  <w:color w:val="0563C1"/>
                  <w:u w:val="single"/>
                </w:rPr>
                <w:t>Source</w:t>
              </w:r>
            </w:hyperlink>
            <w:r>
              <w:t xml:space="preserve"> · </w:t>
            </w:r>
            <w:hyperlink r:id="rId525">
              <w:r>
                <w:rPr>
                  <w:color w:val="0563C1"/>
                  <w:u w:val="single"/>
                </w:rPr>
                <w:t>PDF</w:t>
              </w:r>
            </w:hyperlink>
          </w:p>
        </w:tc>
      </w:tr>
    </w:tbl>
    <w:p>
      <w:pPr>
        <w:pStyle w:val="Normal"/>
        <w:widowControl/>
        <w:spacing w:after="120"/>
      </w:pPr>
      <w:r>
        <w:t xml:space="preserve">Current allocation rule: after any prior AFP &gt;1000 ng/mL, AFP must fall below 500 and remain below 500 for the standardized exception route. Exactly 500 does not satisfy &lt;500. Failure requires individualized NLRB review, not an automatic prohibition of all clinical LT/LDLT. NLRB guidance is nonbinding and is not an approval guarantee.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526">
        <w:r>
          <w:rPr>
            <w:color w:val="0563C1"/>
            <w:u w:val="single"/>
          </w:rPr>
          <w:t>Source</w:t>
        </w:r>
      </w:hyperlink>
      <w:r>
        <w:t xml:space="preserve"> · </w:t>
      </w:r>
      <w:hyperlink r:id="rId527">
        <w:r>
          <w:rPr>
            <w:color w:val="0563C1"/>
            <w:u w:val="single"/>
          </w:rPr>
          <w:t>PDF</w:t>
        </w:r>
      </w:hyperlink>
      <w:r>
        <w:br/>
      </w:r>
      <w:hyperlink r:id="rId528">
        <w:r>
          <w:rPr>
            <w:color w:val="0563C1"/>
            <w:u w:val="single"/>
          </w:rPr>
          <w:t>Source</w:t>
        </w:r>
      </w:hyperlink>
      <w:r>
        <w:t xml:space="preserve"> · </w:t>
      </w:r>
      <w:hyperlink r:id="rId529">
        <w:r>
          <w:rPr>
            <w:color w:val="0563C1"/>
            <w:u w:val="single"/>
          </w:rPr>
          <w:t>PDF</w:t>
        </w:r>
      </w:hyperlink>
    </w:p>
    <w:p>
      <w:pPr>
        <w:pStyle w:val="Heading4"/>
        <w:widowControl/>
        <w:keepNext/>
      </w:pPr>
      <w:r>
        <w:t xml:space="preserve">AFP evidence and its limits</w:t>
      </w:r>
    </w:p>
    <w:p>
      <w:pPr>
        <w:pStyle w:val="Heading4"/>
        <w:widowControl/>
        <w:keepNext/>
      </w:pPr>
      <w:r>
        <w:t xml:space="preserve">Mehta 2019: AFP response</w:t>
      </w:r>
    </w:p>
    <w:p>
      <w:pPr>
        <w:pStyle w:val="Normal"/>
        <w:widowControl/>
        <w:spacing w:after="120"/>
      </w:pPr>
      <w:r>
        <w:t xml:space="preserve">Supports response-based biological review and the existing &gt;1000-to-&lt;500 allocation framework. Does not require AFP &lt;100 for every within-Milan candidate or prove a safe AFP-only exception.</w:t>
      </w:r>
      <w:r>
        <w:t xml:space="preserve"> </w:t>
      </w:r>
      <w:r>
        <w:t xml:space="preserve"> </w:t>
      </w:r>
      <w:r>
        <w:fldChar w:fldCharType="begin"/>
      </w:r>
      <w:r>
        <w:instrText xml:space="preserve"> ADDIN EN.CITE </w:instrText>
      </w:r>
      <w:r>
        <w:fldChar w:fldCharType="begin">
          <w:fldData>PEVuZE5vdGU+PENpdGU+PEF1dGhvcj5NZWh0YSBOPC9BdXRob3I+PFllYXI+MjAxOTwvWWVhcj48UmVjTnVtPjE0PC9SZWNOdW0+PERpc3BsYXlUZXh0PltWMTYtMTRdPC9EaXNwbGF5VGV4dD48cmVjb3JkPjxyZWMtbnVtYmVyPjE0PC9yZWMtbnVtYmVyPjxmb3JlaWduLWtleXM+PGtleSBhcHA9IkVOIiBkYi1pZD0iN2U3OGIxNWItODYzMy01ZWMwLWEwYjQtY2U4YmRhNDhjMjY2IiB0aW1lc3RhbXA9IjE3OTMyODM2ODMiPjE0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br/>
      </w:r>
      <w:hyperlink r:id="rId530">
        <w:r>
          <w:rPr>
            <w:color w:val="0563C1"/>
            <w:u w:val="single"/>
          </w:rPr>
          <w:t>Source</w:t>
        </w:r>
      </w:hyperlink>
      <w:r>
        <w:t xml:space="preserve"> · </w:t>
      </w:r>
      <w:hyperlink r:id="rId531">
        <w:r>
          <w:rPr>
            <w:color w:val="0563C1"/>
            <w:u w:val="single"/>
          </w:rPr>
          <w:t>PDF</w:t>
        </w:r>
      </w:hyperlink>
    </w:p>
    <w:p>
      <w:pPr>
        <w:pStyle w:val="Normal"/>
        <w:widowControl/>
        <w:spacing w:after="120"/>
      </w:pPr>
      <w:r>
        <w:t xml:space="preserve">Population and design: Retrospective UNOS recipient cohort, 2005–2015; 407 patients with AFP &gt;1000 at least once and final AFP within 90 days of LT. Living-donor and multiorgan recipients excluded; 93.6% initially within Milan.</w:t>
      </w:r>
    </w:p>
    <w:p>
      <w:pPr>
        <w:pStyle w:val="Normal"/>
        <w:widowControl/>
        <w:spacing w:after="120"/>
      </w:pPr>
      <w:r>
        <w:t xml:space="preserve">Results: Five-year post-LT OS: 48.8% with final AFP &gt;1000, 67.0% at 101–499, and 88.4% at ≤100. Corresponding Kaplan–Meier recurrence estimates: 35.0%, 13.3%, and 7.2%. The 500–1000 group had only 17 patients. Differences between ≤100 and 101–499 were not statistically significant.</w:t>
      </w:r>
    </w:p>
    <w:p>
      <w:pPr>
        <w:pStyle w:val="Normal"/>
        <w:widowControl/>
        <w:spacing w:after="120"/>
      </w:pPr>
      <w:r>
        <w:t xml:space="preserve">Limits: Recipient-only, selected historical cohort; treatment and waiting time differed substantially between groups. Non-HCC death was censored for recurrence. No proof that forcing AFP lower causes benefit, no AFP-only/imaging-complete-response subgroup, and no LDLT validation.</w:t>
      </w:r>
    </w:p>
    <w:p>
      <w:pPr>
        <w:pStyle w:val="Heading4"/>
        <w:widowControl/>
        <w:keepNext/>
      </w:pPr>
      <w:r>
        <w:t xml:space="preserve">Goldman 2022: final AFP ≥500</w:t>
      </w:r>
    </w:p>
    <w:p>
      <w:pPr>
        <w:pStyle w:val="Normal"/>
        <w:widowControl/>
        <w:spacing w:after="120"/>
      </w:pPr>
      <w:r>
        <w:t xml:space="preserve">Supports discussing a conservative clinical hold at confirmed AFP ≥500, even without a prior &gt;1000 result. This is an OPEN local proposal, not a universal OPTN contraindication or a proven transplant-benefit cutoff.</w:t>
      </w:r>
      <w:r>
        <w:t xml:space="preserve"> </w:t>
      </w:r>
      <w:r>
        <w:t xml:space="preserve"> </w:t>
      </w:r>
      <w:r>
        <w:fldChar w:fldCharType="begin"/>
      </w:r>
      <w:r>
        <w:instrText xml:space="preserve"> ADDIN EN.CITE </w:instrText>
      </w:r>
      <w:r>
        <w:fldChar w:fldCharType="begin">
          <w:fldData>PEVuZE5vdGU+PENpdGU+PEF1dGhvcj5Hb2xkbWFuIE1MPC9BdXRob3I+PFllYXI+MjAyMjwvWWVhcj48UmVjTnVtPjE3PC9SZWNOdW0+PERpc3BsYXlUZXh0PltWMTYtMTddPC9EaXNwbGF5VGV4dD48cmVjb3JkPjxyZWMtbnVtYmVyPjE3PC9yZWMtbnVtYmVyPjxmb3JlaWduLWtleXM+PGtleSBhcHA9IkVOIiBkYi1pZD0iN2U3OGIxNWItODYzMy01ZWMwLWEwYjQtY2U4YmRhNDhjMjY2IiB0aW1lc3RhbXA9IjE3OTMyODM2ODMiPjE3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532">
        <w:r>
          <w:rPr>
            <w:color w:val="0563C1"/>
            <w:u w:val="single"/>
          </w:rPr>
          <w:t>Source</w:t>
        </w:r>
      </w:hyperlink>
      <w:r>
        <w:t xml:space="preserve"> · </w:t>
      </w:r>
      <w:hyperlink r:id="rId533">
        <w:r>
          <w:rPr>
            <w:color w:val="0563C1"/>
            <w:u w:val="single"/>
          </w:rPr>
          <w:t>PDF</w:t>
        </w:r>
      </w:hyperlink>
    </w:p>
    <w:p>
      <w:pPr>
        <w:pStyle w:val="Normal"/>
        <w:widowControl/>
        <w:spacing w:after="120"/>
      </w:pPr>
      <w:r>
        <w:t xml:space="preserve">Population and design: UNOS 2005–2015; 1766 LT recipients with initial AFP 100–999. Only 879 had serial values; final AFP ≥500 subgroup n=109. LDLT excluded.</w:t>
      </w:r>
    </w:p>
    <w:p>
      <w:pPr>
        <w:pStyle w:val="Normal"/>
        <w:widowControl/>
        <w:spacing w:after="120"/>
      </w:pPr>
      <w:r>
        <w:t xml:space="preserve">Results: Five-year OS at final AFP &lt;100 / 100–499 / ≥500: 72.7% / 70.4% / 56.1%; recurrence: 13.1% / 18.7% / 24.2%. Final AFP ≥500: adjusted mortality HR 1.50 (95% CI 1.07–2.10), recurrence HR 1.88 (1.13–3.14).</w:t>
      </w:r>
    </w:p>
    <w:p>
      <w:pPr>
        <w:pStyle w:val="Normal"/>
        <w:widowControl/>
        <w:spacing w:after="120"/>
      </w:pPr>
      <w:r>
        <w:t xml:space="preserve">Limits: Historical recipient-only study, not a comparison of transplant versus no transplant. Many had only one AFP. In the ≥500 subgroup, 40.4% were ≥1000; small subgroups cannot establish equivalence. Recurrence estimates censor competing death.</w:t>
      </w:r>
    </w:p>
    <w:p>
      <w:pPr>
        <w:pStyle w:val="Heading4"/>
        <w:widowControl/>
        <w:keepNext/>
      </w:pPr>
      <w:r>
        <w:t xml:space="preserve">Giard 2018: AFP slope</w:t>
      </w:r>
    </w:p>
    <w:p>
      <w:pPr>
        <w:pStyle w:val="Normal"/>
        <w:widowControl/>
        <w:spacing w:after="120"/>
      </w:pPr>
      <w:r>
        <w:t xml:space="preserve">Use slope as an alert to reassess biology, imaging and inflammation, not a stand-alone absolute stop or permanent delisting rule.</w:t>
      </w:r>
      <w:r>
        <w:t xml:space="preserve"> </w:t>
      </w:r>
      <w:r>
        <w:t xml:space="preserve"> </w:t>
      </w:r>
      <w:r>
        <w:fldChar w:fldCharType="begin"/>
      </w:r>
      <w:r>
        <w:instrText xml:space="preserve"> ADDIN EN.CITE </w:instrText>
      </w:r>
      <w:r>
        <w:fldChar w:fldCharType="begin">
          <w:fldData>PEVuZE5vdGU+PENpdGU+PEF1dGhvcj5HaWFyZCBKTTwvQXV0aG9yPjxZZWFyPjIwMTg8L1llYXI+PFJlY051bT4xODwvUmVjTnVtPjxEaXNwbGF5VGV4dD5bVjE2LTE4XTwvRGlzcGxheVRleHQ+PHJlY29yZD48cmVjLW51bWJlcj4xODwvcmVjLW51bWJlcj48Zm9yZWlnbi1rZXlzPjxrZXkgYXBwPSJFTiIgZGItaWQ9IjdlNzhiMTViLTg2MzMtNWVjMC1hMGI0LWNlOGJkYTQ4YzI2NiIgdGltZXN0YW1wPSIxNzkzMjgzNjgzIj4xO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br/>
      </w:r>
      <w:hyperlink r:id="rId534">
        <w:r>
          <w:rPr>
            <w:color w:val="0563C1"/>
            <w:u w:val="single"/>
          </w:rPr>
          <w:t>Source</w:t>
        </w:r>
      </w:hyperlink>
      <w:r>
        <w:t xml:space="preserve"> · </w:t>
      </w:r>
      <w:hyperlink r:id="rId535">
        <w:r>
          <w:rPr>
            <w:color w:val="0563C1"/>
            <w:u w:val="single"/>
          </w:rPr>
          <w:t>PDF</w:t>
        </w:r>
      </w:hyperlink>
    </w:p>
    <w:p>
      <w:pPr>
        <w:pStyle w:val="Normal"/>
        <w:widowControl/>
        <w:spacing w:after="120"/>
      </w:pPr>
      <w:r>
        <w:t xml:space="preserve">Population and design: Single-center 336 transplanted T2/Milan patients, 2003–2013; 98.2% received LRT. Median five AFP measurements over 9.8 months. Slope fitted to all values; &gt;7.5 subgroup n=23.</w:t>
      </w:r>
    </w:p>
    <w:p>
      <w:pPr>
        <w:pStyle w:val="Normal"/>
        <w:widowControl/>
        <w:spacing w:after="120"/>
      </w:pPr>
      <w:r>
        <w:t xml:space="preserve">Results: AFP slope &gt;7.5 ng/mL/month: adjusted recurrence HR 3.0 (1.1–8.1), microvascular invasion OR 6.8 (1.6–28.7). Five-year recurrence-free probability 69.8% versus 87.4%; survival without recurrence 59.5% versus 75.3%. These are different endpoints, neither pair should be labeled overall survival.</w:t>
      </w:r>
    </w:p>
    <w:p>
      <w:pPr>
        <w:pStyle w:val="Normal"/>
        <w:widowControl/>
        <w:spacing w:after="120"/>
      </w:pPr>
      <w:r>
        <w:t xml:space="preserve">Limits: Small, data-selected cutoff group; no prospective hold/release validation. The long-term fitted slope cannot be inferred reliably from two closely spaced noisy results. Death was censored for recurrence-free probability.</w:t>
      </w:r>
    </w:p>
    <w:p>
      <w:pPr>
        <w:pStyle w:val="Heading4"/>
        <w:widowControl/>
        <w:keepNext/>
      </w:pPr>
      <w:r>
        <w:t xml:space="preserve">Halazun 2021: dynamic AFP/NYCA</w:t>
      </w:r>
    </w:p>
    <w:p>
      <w:pPr>
        <w:pStyle w:val="Normal"/>
        <w:widowControl/>
        <w:spacing w:after="120"/>
      </w:pPr>
      <w:r>
        <w:t xml:space="preserve">Use dynamic AFP as complementary risk information. The NYCA definition of response does not supersede the stricter OPTN requirement to fall below 500 after AFP &gt;1000.</w:t>
      </w:r>
      <w:r>
        <w:t xml:space="preserve"> </w:t>
      </w:r>
      <w:r>
        <w:t xml:space="preserve"> </w:t>
      </w:r>
      <w:r>
        <w:fldChar w:fldCharType="begin"/>
      </w:r>
      <w:r>
        <w:instrText xml:space="preserve"> ADDIN EN.CITE </w:instrText>
      </w:r>
      <w:r>
        <w:fldChar w:fldCharType="begin">
          <w:fldData>PEVuZE5vdGU+PENpdGU+PEF1dGhvcj5IYWxhenVuIEtKPC9BdXRob3I+PFllYXI+MjAyMTwvWWVhcj48UmVjTnVtPjE1PC9SZWNOdW0+PERpc3BsYXlUZXh0PltWMTYtMTVdPC9EaXNwbGF5VGV4dD48cmVjb3JkPjxyZWMtbnVtYmVyPjE1PC9yZWMtbnVtYmVyPjxmb3JlaWduLWtleXM+PGtleSBhcHA9IkVOIiBkYi1pZD0iN2U3OGIxNWItODYzMy01ZWMwLWEwYjQtY2U4YmRhNDhjMjY2IiB0aW1lc3RhbXA9IjE3OTMyODM2ODMiPjE1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br/>
      </w:r>
      <w:hyperlink r:id="rId536">
        <w:r>
          <w:rPr>
            <w:color w:val="0563C1"/>
            <w:u w:val="single"/>
          </w:rPr>
          <w:t>Source</w:t>
        </w:r>
      </w:hyperlink>
      <w:r>
        <w:t xml:space="preserve"> · </w:t>
      </w:r>
      <w:hyperlink r:id="rId537">
        <w:r>
          <w:rPr>
            <w:color w:val="0563C1"/>
            <w:u w:val="single"/>
          </w:rPr>
          <w:t>PDF</w:t>
        </w:r>
      </w:hyperlink>
    </w:p>
    <w:p>
      <w:pPr>
        <w:pStyle w:val="Normal"/>
        <w:widowControl/>
        <w:spacing w:after="120"/>
      </w:pPr>
      <w:r>
        <w:t xml:space="preserve">Population and design: External retrospective validation in 2236 LT recipients at eight centers, 2001–2013; 545 beyond Milan. Composite score combines tumor size, count and AFP response. Deaths within 90 postoperative days excluded.</w:t>
      </w:r>
    </w:p>
    <w:p>
      <w:pPr>
        <w:pStyle w:val="Normal"/>
        <w:widowControl/>
        <w:spacing w:after="120"/>
      </w:pPr>
      <w:r>
        <w:t xml:space="preserve">Results: Five-year competing-risk cumulative recurrence: 9.5%, 20.5%, 40.5% for low/intermediate/high NYCA categories. Discrimination C statistic 0.66. These are composite-score categories, not isolated AFP ranges.</w:t>
      </w:r>
    </w:p>
    <w:p>
      <w:pPr>
        <w:pStyle w:val="Normal"/>
        <w:widowControl/>
        <w:spacing w:after="120"/>
      </w:pPr>
      <w:r>
        <w:t xml:space="preserve">Limits: Recipient selection, exclusion of early deaths, no waitlist dropout or transplant-benefit comparison. Maximum-to-final AFP can miss a rebound below the original peak. Extreme-AFP response subgroup was tiny.</w:t>
      </w:r>
    </w:p>
    <w:p>
      <w:pPr>
        <w:pStyle w:val="Heading4"/>
        <w:widowControl/>
        <w:keepNext/>
      </w:pPr>
      <w:r>
        <w:t xml:space="preserve">Moriyama 2026: markers before imaging recurrence</w:t>
      </w:r>
    </w:p>
    <w:p>
      <w:pPr>
        <w:pStyle w:val="Normal"/>
        <w:widowControl/>
        <w:spacing w:after="120"/>
      </w:pPr>
      <w:r>
        <w:t xml:space="preserve">Supports prompt repeat markers and high-quality/alternate imaging for an unexplained rise. Does not prove occult recurrence in every individual, justify empiric systemic/LRT treatment without a target, or validate an AFP-only transplant cutoff.</w:t>
      </w:r>
      <w:r>
        <w:t xml:space="preserve"> </w:t>
      </w:r>
      <w:r>
        <w:t xml:space="preserve"> </w:t>
      </w:r>
      <w:r>
        <w:fldChar w:fldCharType="begin"/>
      </w:r>
      <w:r>
        <w:instrText xml:space="preserve"> ADDIN EN.CITE </w:instrText>
      </w:r>
      <w:r>
        <w:fldChar w:fldCharType="begin">
          <w:fldData>PEVuZE5vdGU+PENpdGU+PEF1dGhvcj5Nb3JpeWFtYSBNPC9BdXRob3I+PFllYXI+MjAyNjwvWWVhcj48UmVjTnVtPjE2PC9SZWNOdW0+PERpc3BsYXlUZXh0PltWMTYtMTZdPC9EaXNwbGF5VGV4dD48cmVjb3JkPjxyZWMtbnVtYmVyPjE2PC9yZWMtbnVtYmVyPjxmb3JlaWduLWtleXM+PGtleSBhcHA9IkVOIiBkYi1pZD0iN2U3OGIxNWItODYzMy01ZWMwLWEwYjQtY2U4YmRhNDhjMjY2IiB0aW1lc3RhbXA9IjE3OTMyODM2ODMiPjE2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br/>
      </w:r>
      <w:hyperlink r:id="rId538">
        <w:r>
          <w:rPr>
            <w:color w:val="0563C1"/>
            <w:u w:val="single"/>
          </w:rPr>
          <w:t>Source</w:t>
        </w:r>
      </w:hyperlink>
      <w:r>
        <w:t xml:space="preserve"> · </w:t>
      </w:r>
      <w:hyperlink r:id="rId539">
        <w:r>
          <w:rPr>
            <w:color w:val="0563C1"/>
            <w:u w:val="single"/>
          </w:rPr>
          <w:t>PDF</w:t>
        </w:r>
      </w:hyperlink>
    </w:p>
    <w:p>
      <w:pPr>
        <w:pStyle w:val="Normal"/>
        <w:widowControl/>
        <w:spacing w:after="120"/>
      </w:pPr>
      <w:r>
        <w:t xml:space="preserve">Population and design: Retrospective post-RFA, nontransplant cohort. Among 1620 initially treated patients, 907 episodes in 509 patients had elevated AFP, AFP-L3 and/or DCP without imaging evidence. Episodes are not independent patients and this is not AFP alone.</w:t>
      </w:r>
    </w:p>
    <w:p>
      <w:pPr>
        <w:pStyle w:val="Normal"/>
        <w:widowControl/>
        <w:spacing w:after="120"/>
      </w:pPr>
      <w:r>
        <w:t xml:space="preserve">Results: Recurrence was subsequently identified in 886 episodes; median detection interval 89 days. Local curative treatment 83.5% versus 78.8% and post-recurrence OS 3.55 versus 3.31 years for detection ≤180 versus &gt;180 days; differences were not statistically significant.</w:t>
      </w:r>
    </w:p>
    <w:p>
      <w:pPr>
        <w:pStyle w:val="Normal"/>
        <w:widowControl/>
        <w:spacing w:after="120"/>
      </w:pPr>
      <w:r>
        <w:t xml:space="preserve">Limits: RFA-specific, repeated episodes and competing losses; no LT cohort or tested optimal recall interval. Routine imaging is described as every four months in methods versus quarterly in abstract. Case-level AFP discrepancy between Figure 3 and Table 4 is not used.</w:t>
      </w:r>
    </w:p>
    <w:p>
      <w:pPr>
        <w:pStyle w:val="Heading4"/>
        <w:widowControl/>
        <w:keepNext/>
      </w:pPr>
      <w:r>
        <w:t xml:space="preserve">Source wording in context</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3582"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3743"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OPTN policy 9 5 I iv</w:t>
            </w:r>
          </w:p>
        </w:tc>
        <w:tc>
          <w:tcPr>
            <w:tcW w:w="3582" w:type="dxa"/>
            <w:vAlign w:val="top"/>
            <w:shd w:fill="F1F5F8"/>
          </w:tcPr>
          <w:p>
            <w:pPr>
              <w:pStyle w:val="Normal"/>
              <w:widowControl/>
              <w:spacing w:after="55" w:line="240" w:lineRule="auto"/>
              <w:keepNext w:val="0"/>
              <w:keepLines/>
            </w:pPr>
            <w:r>
              <w:rPr>
                <w:sz w:val="21"/>
                <w:szCs w:val="21"/>
              </w:rPr>
              <w:t xml:space="preserve">“as long as the candidate’s AFP level remains below 500 ng/mL”</w:t>
            </w:r>
          </w:p>
        </w:tc>
        <w:tc>
          <w:tcPr>
            <w:tcW w:w="3743" w:type="dxa"/>
            <w:vAlign w:val="top"/>
            <w:shd w:fill="F1F5F8"/>
          </w:tcPr>
          <w:p>
            <w:pPr>
              <w:pStyle w:val="Normal"/>
              <w:widowControl/>
              <w:spacing w:after="55" w:line="240" w:lineRule="auto"/>
              <w:keepNext w:val="0"/>
              <w:keepLines/>
            </w:pPr>
            <w:r>
              <w:rPr>
                <w:sz w:val="21"/>
                <w:szCs w:val="21"/>
              </w:rPr>
              <w:t xml:space="preserve">Allocation rule after prior AFP above 1000. Full paragraph must be read in context; this excerpt is not a universal AFP rule for all HCC.</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br/>
            </w:r>
            <w:hyperlink r:id="rId540">
              <w:r>
                <w:rPr>
                  <w:color w:val="0563C1"/>
                  <w:u w:val="single"/>
                </w:rPr>
                <w:t>Source</w:t>
              </w:r>
            </w:hyperlink>
            <w:r>
              <w:t xml:space="preserve"> · </w:t>
            </w:r>
            <w:hyperlink r:id="rId541">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NLRB oncology guidance</w:t>
            </w:r>
          </w:p>
        </w:tc>
        <w:tc>
          <w:tcPr>
            <w:tcW w:w="3582" w:type="dxa"/>
            <w:vAlign w:val="top"/>
            <w:shd w:fill="FFFFFF"/>
          </w:tcPr>
          <w:p>
            <w:pPr>
              <w:pStyle w:val="Normal"/>
              <w:widowControl/>
              <w:spacing w:after="55" w:line="240" w:lineRule="auto"/>
              <w:keepNext w:val="0"/>
              <w:keepLines/>
            </w:pPr>
            <w:r>
              <w:rPr>
                <w:sz w:val="21"/>
                <w:szCs w:val="21"/>
              </w:rPr>
              <w:t xml:space="preserve">“In general, these candidates are not suitable for HCC MELD exception but may be appropriate in some cases.”</w:t>
            </w:r>
          </w:p>
        </w:tc>
        <w:tc>
          <w:tcPr>
            <w:tcW w:w="3743" w:type="dxa"/>
            <w:vAlign w:val="top"/>
            <w:shd w:fill="FFFFFF"/>
          </w:tcPr>
          <w:p>
            <w:pPr>
              <w:pStyle w:val="Normal"/>
              <w:widowControl/>
              <w:spacing w:after="55" w:line="240" w:lineRule="auto"/>
              <w:keepNext w:val="0"/>
              <w:keepLines/>
            </w:pPr>
            <w:r>
              <w:rPr>
                <w:sz w:val="21"/>
                <w:szCs w:val="21"/>
              </w:rPr>
              <w:t xml:space="preserve">Refers to AFP above 1000 that does not respond below 500. Nonbinding review guidance, not an approved AFP-only transplant study.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542">
              <w:r>
                <w:rPr>
                  <w:color w:val="0563C1"/>
                  <w:u w:val="single"/>
                </w:rPr>
                <w:t>Source</w:t>
              </w:r>
            </w:hyperlink>
            <w:r>
              <w:t xml:space="preserve"> · </w:t>
            </w:r>
            <w:hyperlink r:id="rId543">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Giard 2018 conclusion</w:t>
            </w:r>
          </w:p>
        </w:tc>
        <w:tc>
          <w:tcPr>
            <w:tcW w:w="3582" w:type="dxa"/>
            <w:vAlign w:val="top"/>
            <w:shd w:fill="F1F5F8"/>
          </w:tcPr>
          <w:p>
            <w:pPr>
              <w:pStyle w:val="Normal"/>
              <w:widowControl/>
              <w:spacing w:after="55" w:line="240" w:lineRule="auto"/>
              <w:keepNext w:val="0"/>
              <w:keepLines/>
            </w:pPr>
            <w:r>
              <w:rPr>
                <w:sz w:val="21"/>
                <w:szCs w:val="21"/>
              </w:rPr>
              <w:t xml:space="preserve">“AFP slope increasing greater than 7.5 ng/mL per month despite locoregional therapy is associated with post-LT HCC recurrence”</w:t>
            </w:r>
          </w:p>
        </w:tc>
        <w:tc>
          <w:tcPr>
            <w:tcW w:w="3743" w:type="dxa"/>
            <w:vAlign w:val="top"/>
            <w:shd w:fill="F1F5F8"/>
          </w:tcPr>
          <w:p>
            <w:pPr>
              <w:pStyle w:val="Normal"/>
              <w:widowControl/>
              <w:spacing w:after="55" w:line="240" w:lineRule="auto"/>
              <w:keepNext w:val="0"/>
              <w:keepLines/>
            </w:pPr>
            <w:r>
              <w:rPr>
                <w:sz w:val="21"/>
                <w:szCs w:val="21"/>
              </w:rPr>
              <w:t xml:space="preserve">Association supports reassessment. The quoted sentence does not establish a validated mandatory delisting rule.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HaWFyZCBKTTwvQXV0aG9yPjxZZWFyPjIwMTg8L1llYXI+PFJlY051bT4xODwvUmVjTnVtPjxEaXNwbGF5VGV4dD5bVjE2LTE4XTwvRGlzcGxheVRleHQ+PHJlY29yZD48cmVjLW51bWJlcj4xODwvcmVjLW51bWJlcj48Zm9yZWlnbi1rZXlzPjxrZXkgYXBwPSJFTiIgZGItaWQ9IjdlNzhiMTViLTg2MzMtNWVjMC1hMGI0LWNlOGJkYTQ4YzI2NiIgdGltZXN0YW1wPSIxNzkzMjgzNjgzIj4xO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br/>
            </w:r>
            <w:hyperlink r:id="rId544">
              <w:r>
                <w:rPr>
                  <w:color w:val="0563C1"/>
                  <w:u w:val="single"/>
                </w:rPr>
                <w:t>Source</w:t>
              </w:r>
            </w:hyperlink>
            <w:r>
              <w:t xml:space="preserve"> · </w:t>
            </w:r>
            <w:hyperlink r:id="rId545">
              <w:r>
                <w:rPr>
                  <w:color w:val="0563C1"/>
                  <w:u w:val="single"/>
                </w:rPr>
                <w:t>PDF</w:t>
              </w:r>
            </w:hyperlink>
          </w:p>
        </w:tc>
      </w:tr>
    </w:tbl>
    <w:p>
      <w:pPr>
        <w:pStyle w:val="Heading4"/>
        <w:widowControl/>
        <w:keepNext/>
      </w:pPr>
      <w:r>
        <w:t xml:space="preserve">Order now</w:t>
      </w:r>
    </w:p>
    <w:p>
      <w:pPr>
        <w:pStyle w:val="Normal"/>
        <w:widowControl/>
        <w:spacing w:after="120"/>
        <w:numPr>
          <w:ilvl w:val="0"/>
          <w:numId w:val="6"/>
        </w:numPr>
      </w:pPr>
      <w:r>
        <w:t xml:space="preserve">Confirm the AFP result and trend</w:t>
      </w:r>
    </w:p>
    <w:p>
      <w:pPr>
        <w:pStyle w:val="Normal"/>
        <w:widowControl/>
        <w:spacing w:after="120"/>
        <w:numPr>
          <w:ilvl w:val="1"/>
          <w:numId w:val="6"/>
        </w:numPr>
      </w:pPr>
      <w:r>
        <w:t xml:space="preserve">Repeat AFP using the same laboratory/assay in 2–4 weeks, sooner for a major jump or clinical concern. Review all dated prior values, baseline and peak AFP, treatment dates and the current response scan. The 2–4 week interval is an OPEN local operational proposal.</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546">
        <w:r>
          <w:rPr>
            <w:color w:val="0563C1"/>
            <w:u w:val="single"/>
          </w:rPr>
          <w:t>Source</w:t>
        </w:r>
      </w:hyperlink>
      <w:r>
        <w:t xml:space="preserve"> · </w:t>
      </w:r>
      <w:hyperlink r:id="rId547">
        <w:r>
          <w:rPr>
            <w:color w:val="0563C1"/>
            <w:u w:val="single"/>
          </w:rPr>
          <w:t>PDF</w:t>
        </w:r>
      </w:hyperlink>
    </w:p>
    <w:p>
      <w:pPr>
        <w:pStyle w:val="Normal"/>
        <w:widowControl/>
        <w:spacing w:after="120"/>
        <w:numPr>
          <w:ilvl w:val="1"/>
          <w:numId w:val="6"/>
        </w:numPr>
      </w:pPr>
      <w:r>
        <w:t xml:space="preserve">Check ALT/AST, bilirubin and active viral hepatitis or other plausible hepatic inflammation. Consider assay interference or an extrahepatic AFP source when clinically indicated; do not order indiscriminate tests without a differential diagnosis.</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548">
        <w:r>
          <w:rPr>
            <w:color w:val="0563C1"/>
            <w:u w:val="single"/>
          </w:rPr>
          <w:t>Source</w:t>
        </w:r>
      </w:hyperlink>
      <w:r>
        <w:t xml:space="preserve"> · </w:t>
      </w:r>
      <w:hyperlink r:id="rId549">
        <w:r>
          <w:rPr>
            <w:color w:val="0563C1"/>
            <w:u w:val="single"/>
          </w:rPr>
          <w:t>PDF</w:t>
        </w:r>
      </w:hyperlink>
    </w:p>
    <w:p>
      <w:pPr>
        <w:pStyle w:val="Normal"/>
        <w:widowControl/>
        <w:spacing w:after="120"/>
        <w:numPr>
          <w:ilvl w:val="1"/>
          <w:numId w:val="6"/>
        </w:numPr>
      </w:pPr>
      <w:r>
        <w:t xml:space="preserve">Have transplant radiology re-review adequate multiphasic CT/MRI and the treatment-specific response category. With a persistent unexplained rise, consider the alternate contrast modality and chest/pelvic evaluation. PET is selective after unrevealing evaluation, not routine proof of no HCC.</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550">
        <w:r>
          <w:rPr>
            <w:color w:val="0563C1"/>
            <w:u w:val="single"/>
          </w:rPr>
          <w:t>Source</w:t>
        </w:r>
      </w:hyperlink>
      <w:r>
        <w:t xml:space="preserve"> · </w:t>
      </w:r>
      <w:hyperlink r:id="rId551">
        <w:r>
          <w:rPr>
            <w:color w:val="0563C1"/>
            <w:u w:val="single"/>
          </w:rPr>
          <w:t>PDF</w:t>
        </w:r>
      </w:hyperlink>
    </w:p>
    <w:p>
      <w:pPr>
        <w:pStyle w:val="Heading4"/>
        <w:widowControl/>
        <w:keepNext/>
      </w:pPr>
      <w:r>
        <w:t xml:space="preserve">Advance only when</w:t>
      </w:r>
    </w:p>
    <w:p>
      <w:pPr>
        <w:pStyle w:val="Normal"/>
        <w:widowControl/>
        <w:spacing w:after="120"/>
        <w:numPr>
          <w:ilvl w:val="0"/>
          <w:numId w:val="6"/>
        </w:numPr>
      </w:pPr>
      <w:r>
        <w:t xml:space="preserve">For an AFP-only candidate otherwise inside the accepted anatomical route</w:t>
      </w:r>
    </w:p>
    <w:p>
      <w:pPr>
        <w:pStyle w:val="Normal"/>
        <w:widowControl/>
        <w:spacing w:after="120"/>
        <w:numPr>
          <w:ilvl w:val="1"/>
          <w:numId w:val="6"/>
        </w:numPr>
      </w:pPr>
      <w:r>
        <w:t xml:space="preserve">The governing allocation rule is met, or an individual review outcome is documented; technically adequate imaging shows no exclusionary progression, vascular invasion or extrahepatic disease; no unresolved alternative cause or unexplained accelerating AFP remains.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552">
        <w:r>
          <w:rPr>
            <w:color w:val="0563C1"/>
            <w:u w:val="single"/>
          </w:rPr>
          <w:t>Source</w:t>
        </w:r>
      </w:hyperlink>
      <w:r>
        <w:t xml:space="preserve"> · </w:t>
      </w:r>
      <w:hyperlink r:id="rId553">
        <w:r>
          <w:rPr>
            <w:color w:val="0563C1"/>
            <w:u w:val="single"/>
          </w:rPr>
          <w:t>PDF</w:t>
        </w:r>
      </w:hyperlink>
      <w:r>
        <w:br/>
      </w:r>
      <w:hyperlink r:id="rId554">
        <w:r>
          <w:rPr>
            <w:color w:val="0563C1"/>
            <w:u w:val="single"/>
          </w:rPr>
          <w:t>Source</w:t>
        </w:r>
      </w:hyperlink>
      <w:r>
        <w:t xml:space="preserve"> · </w:t>
      </w:r>
      <w:hyperlink r:id="rId555">
        <w:r>
          <w:rPr>
            <w:color w:val="0563C1"/>
            <w:u w:val="single"/>
          </w:rPr>
          <w:t>PDF</w:t>
        </w:r>
      </w:hyperlink>
    </w:p>
    <w:p>
      <w:pPr>
        <w:pStyle w:val="Normal"/>
        <w:widowControl/>
        <w:spacing w:after="120"/>
        <w:numPr>
          <w:ilvl w:val="1"/>
          <w:numId w:val="6"/>
        </w:numPr>
      </w:pPr>
      <w:r>
        <w:t xml:space="preserve">OPEN proposal after a biochemical hold: at least two AFP values at least 4 weeks apart showing a stable or falling trajectory below the applicable threshold, with contemporaneous reviewed imaging. Do not require AFP normalization or below 100 for every within-Milan patient. This confirmation interval is not prospectively validated.</w:t>
      </w:r>
    </w:p>
    <w:p>
      <w:pPr>
        <w:pStyle w:val="Normal"/>
        <w:widowControl/>
        <w:spacing w:after="120"/>
        <w:numPr>
          <w:ilvl w:val="1"/>
          <w:numId w:val="6"/>
        </w:numPr>
      </w:pPr>
      <w:r>
        <w:t xml:space="preserve">All other observation requirements remain in force. B1 expanded-burden patients retain the separately proposed AFP below 100 and longer biology observation; satisfying B1.1 does not shorten B1, ICI washout, or OPTN waiting requirements.</w:t>
      </w:r>
    </w:p>
    <w:p>
      <w:pPr>
        <w:pStyle w:val="Heading4"/>
        <w:widowControl/>
        <w:keepNext/>
      </w:pPr>
      <w:r>
        <w:t xml:space="preserve">Hold and reassess</w:t>
      </w:r>
    </w:p>
    <w:p>
      <w:pPr>
        <w:pStyle w:val="Normal"/>
        <w:widowControl/>
        <w:spacing w:after="120"/>
        <w:numPr>
          <w:ilvl w:val="0"/>
          <w:numId w:val="6"/>
        </w:numPr>
      </w:pPr>
      <w:r>
        <w:t xml:space="preserve">Separate the mandatory allocation issue from the proposed clinical hold</w:t>
      </w:r>
    </w:p>
    <w:p>
      <w:pPr>
        <w:pStyle w:val="Normal"/>
        <w:widowControl/>
        <w:spacing w:after="120"/>
        <w:numPr>
          <w:ilvl w:val="1"/>
          <w:numId w:val="6"/>
        </w:numPr>
      </w:pPr>
      <w:r>
        <w:t xml:space="preserve">POLICY: after any prior AFP above 1000, AFP at least 500 after treatment prevents automatic advancement through the standardized exception route and requires NLRB consideration. The team should not promise exception approval.</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556">
        <w:r>
          <w:rPr>
            <w:color w:val="0563C1"/>
            <w:u w:val="single"/>
          </w:rPr>
          <w:t>Source</w:t>
        </w:r>
      </w:hyperlink>
      <w:r>
        <w:t xml:space="preserve"> · </w:t>
      </w:r>
      <w:hyperlink r:id="rId557">
        <w:r>
          <w:rPr>
            <w:color w:val="0563C1"/>
            <w:u w:val="single"/>
          </w:rPr>
          <w:t>PDF</w:t>
        </w:r>
      </w:hyperlink>
      <w:r>
        <w:br/>
      </w:r>
      <w:hyperlink r:id="rId558">
        <w:r>
          <w:rPr>
            <w:color w:val="0563C1"/>
            <w:u w:val="single"/>
          </w:rPr>
          <w:t>Source</w:t>
        </w:r>
      </w:hyperlink>
      <w:r>
        <w:t xml:space="preserve"> · </w:t>
      </w:r>
      <w:hyperlink r:id="rId559">
        <w:r>
          <w:rPr>
            <w:color w:val="0563C1"/>
            <w:u w:val="single"/>
          </w:rPr>
          <w:t>PDF</w:t>
        </w:r>
      </w:hyperlink>
    </w:p>
    <w:p>
      <w:pPr>
        <w:pStyle w:val="Normal"/>
        <w:widowControl/>
        <w:spacing w:after="120"/>
        <w:numPr>
          <w:ilvl w:val="1"/>
          <w:numId w:val="6"/>
        </w:numPr>
      </w:pPr>
      <w:r>
        <w:t xml:space="preserve">OPEN clinical proposal: confirmed AFP at least 500 is a high-risk LT hold pending biological and allocation review even if AFP never exceeded 1000. This deliberately conservative local rule is supported by retrospective outcomes, not mandated by OPTN for every candidate.</w:t>
      </w:r>
      <w:r>
        <w:t xml:space="preserve"> </w:t>
      </w:r>
      <w:r>
        <w:t xml:space="preserve"> </w:t>
      </w:r>
      <w:r>
        <w:fldChar w:fldCharType="begin"/>
      </w:r>
      <w:r>
        <w:instrText xml:space="preserve"> ADDIN EN.CITE </w:instrText>
      </w:r>
      <w:r>
        <w:fldChar w:fldCharType="begin">
          <w:fldData>PEVuZE5vdGU+PENpdGU+PEF1dGhvcj5Hb2xkbWFuIE1MPC9BdXRob3I+PFllYXI+MjAyMjwvWWVhcj48UmVjTnVtPjE3PC9SZWNOdW0+PERpc3BsYXlUZXh0PltWMTYtMTddPC9EaXNwbGF5VGV4dD48cmVjb3JkPjxyZWMtbnVtYmVyPjE3PC9yZWMtbnVtYmVyPjxmb3JlaWduLWtleXM+PGtleSBhcHA9IkVOIiBkYi1pZD0iN2U3OGIxNWItODYzMy01ZWMwLWEwYjQtY2U4YmRhNDhjMjY2IiB0aW1lc3RhbXA9IjE3OTMyODM2ODMiPjE3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560">
        <w:r>
          <w:rPr>
            <w:color w:val="0563C1"/>
            <w:u w:val="single"/>
          </w:rPr>
          <w:t>Source</w:t>
        </w:r>
      </w:hyperlink>
      <w:r>
        <w:t xml:space="preserve"> · </w:t>
      </w:r>
      <w:hyperlink r:id="rId561">
        <w:r>
          <w:rPr>
            <w:color w:val="0563C1"/>
            <w:u w:val="single"/>
          </w:rPr>
          <w:t>PDF</w:t>
        </w:r>
      </w:hyperlink>
    </w:p>
    <w:p>
      <w:pPr>
        <w:pStyle w:val="Normal"/>
        <w:widowControl/>
        <w:spacing w:after="120"/>
        <w:numPr>
          <w:ilvl w:val="1"/>
          <w:numId w:val="6"/>
        </w:numPr>
      </w:pPr>
      <w:r>
        <w:t xml:space="preserve">OPEN clinical proposal below 500: AFP at least 200 with two consecutive increases or a confirmed doubling prompts temporary hold and expedited restaging if the rise is unexplained. Lesser rises prompt repeat testing and MDT review, not automatic delisting. These combined thresholds are operational proposals, not a validated prediction rule.</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HaWFyZCBKTTwvQXV0aG9yPjxZZWFyPjIwMTg8L1llYXI+PFJlY051bT4xODwvUmVjTnVtPjxEaXNwbGF5VGV4dD5bVjE2LTE4XTwvRGlzcGxheVRleHQ+PHJlY29yZD48cmVjLW51bWJlcj4xODwvcmVjLW51bWJlcj48Zm9yZWlnbi1rZXlzPjxrZXkgYXBwPSJFTiIgZGItaWQ9IjdlNzhiMTViLTg2MzMtNWVjMC1hMGI0LWNlOGJkYTQ4YzI2NiIgdGltZXN0YW1wPSIxNzkzMjgzNjgzIj4xO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br/>
      </w:r>
      <w:hyperlink r:id="rId562">
        <w:r>
          <w:rPr>
            <w:color w:val="0563C1"/>
            <w:u w:val="single"/>
          </w:rPr>
          <w:t>Source</w:t>
        </w:r>
      </w:hyperlink>
      <w:r>
        <w:t xml:space="preserve"> · </w:t>
      </w:r>
      <w:hyperlink r:id="rId563">
        <w:r>
          <w:rPr>
            <w:color w:val="0563C1"/>
            <w:u w:val="single"/>
          </w:rPr>
          <w:t>PDF</w:t>
        </w:r>
      </w:hyperlink>
      <w:r>
        <w:br/>
      </w:r>
      <w:hyperlink r:id="rId564">
        <w:r>
          <w:rPr>
            <w:color w:val="0563C1"/>
            <w:u w:val="single"/>
          </w:rPr>
          <w:t>Source</w:t>
        </w:r>
      </w:hyperlink>
      <w:r>
        <w:t xml:space="preserve"> · </w:t>
      </w:r>
      <w:hyperlink r:id="rId565">
        <w:r>
          <w:rPr>
            <w:color w:val="0563C1"/>
            <w:u w:val="single"/>
          </w:rPr>
          <w:t>PDF</w:t>
        </w:r>
      </w:hyperlink>
    </w:p>
    <w:p>
      <w:pPr>
        <w:pStyle w:val="Normal"/>
        <w:widowControl/>
        <w:spacing w:after="120"/>
        <w:numPr>
          <w:ilvl w:val="1"/>
          <w:numId w:val="6"/>
        </w:numPr>
      </w:pPr>
      <w:r>
        <w:t xml:space="preserve">A fitted slope above 7.5 ng/mL per month is an additional warning, not a stand-alone stop. Review multiple dated values, timing of LRT and inflammation; do not extrapolate a long-term slope model from two closely spaced noisy measurements.</w:t>
      </w:r>
      <w:r>
        <w:t xml:space="preserve"> </w:t>
      </w:r>
      <w:r>
        <w:t xml:space="preserve"> </w:t>
      </w:r>
      <w:r>
        <w:fldChar w:fldCharType="begin"/>
      </w:r>
      <w:r>
        <w:instrText xml:space="preserve"> ADDIN EN.CITE </w:instrText>
      </w:r>
      <w:r>
        <w:fldChar w:fldCharType="begin">
          <w:fldData>PEVuZE5vdGU+PENpdGU+PEF1dGhvcj5HaWFyZCBKTTwvQXV0aG9yPjxZZWFyPjIwMTg8L1llYXI+PFJlY051bT4xODwvUmVjTnVtPjxEaXNwbGF5VGV4dD5bVjE2LTE4XTwvRGlzcGxheVRleHQ+PHJlY29yZD48cmVjLW51bWJlcj4xODwvcmVjLW51bWJlcj48Zm9yZWlnbi1rZXlzPjxrZXkgYXBwPSJFTiIgZGItaWQ9IjdlNzhiMTViLTg2MzMtNWVjMC1hMGI0LWNlOGJkYTQ4YzI2NiIgdGltZXN0YW1wPSIxNzkzMjgzNjgzIj4xO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br/>
      </w:r>
      <w:hyperlink r:id="rId566">
        <w:r>
          <w:rPr>
            <w:color w:val="0563C1"/>
            <w:u w:val="single"/>
          </w:rPr>
          <w:t>Source</w:t>
        </w:r>
      </w:hyperlink>
      <w:r>
        <w:t xml:space="preserve"> · </w:t>
      </w:r>
      <w:hyperlink r:id="rId567">
        <w:r>
          <w:rPr>
            <w:color w:val="0563C1"/>
            <w:u w:val="single"/>
          </w:rPr>
          <w:t>PDF</w:t>
        </w:r>
      </w:hyperlink>
    </w:p>
    <w:p>
      <w:pPr>
        <w:pStyle w:val="Heading4"/>
        <w:widowControl/>
        <w:keepNext/>
      </w:pPr>
      <w:r>
        <w:t xml:space="preserve">Do not do</w:t>
      </w:r>
    </w:p>
    <w:p>
      <w:pPr>
        <w:pStyle w:val="Normal"/>
        <w:widowControl/>
        <w:spacing w:after="120"/>
        <w:numPr>
          <w:ilvl w:val="0"/>
          <w:numId w:val="6"/>
        </w:numPr>
      </w:pPr>
      <w:r>
        <w:t xml:space="preserve">Avoid irreversible or unproven responses to a biomarker alone</w:t>
      </w:r>
    </w:p>
    <w:p>
      <w:pPr>
        <w:pStyle w:val="Normal"/>
        <w:widowControl/>
        <w:spacing w:after="120"/>
        <w:numPr>
          <w:ilvl w:val="1"/>
          <w:numId w:val="6"/>
        </w:numPr>
      </w:pPr>
      <w:r>
        <w:t xml:space="preserve">Do not permanently exclude for one AFP result. Persistent biochemical nonresponse after adequate evaluation may lead the group to decline the current transplant plan, but the rationale and possibility of reassessment must be documented.</w:t>
      </w:r>
      <w:r>
        <w:t xml:space="preserve"> </w:t>
      </w:r>
      <w:r>
        <w:t xml:space="preserve"> </w:t>
      </w:r>
      <w:r>
        <w:fldChar w:fldCharType="begin"/>
      </w:r>
      <w:r>
        <w:instrText xml:space="preserve"> ADDIN EN.CITE </w:instrText>
      </w:r>
      <w:r>
        <w:fldChar w:fldCharType="begin">
          <w:fldData>PEVuZE5vdGU+PENpdGU+PEF1dGhvcj5NZWh0YSBOPC9BdXRob3I+PFllYXI+MjAxOTwvWWVhcj48UmVjTnVtPjE0PC9SZWNOdW0+PERpc3BsYXlUZXh0PltWMTYtMTRdPC9EaXNwbGF5VGV4dD48cmVjb3JkPjxyZWMtbnVtYmVyPjE0PC9yZWMtbnVtYmVyPjxmb3JlaWduLWtleXM+PGtleSBhcHA9IkVOIiBkYi1pZD0iN2U3OGIxNWItODYzMy01ZWMwLWEwYjQtY2U4YmRhNDhjMjY2IiB0aW1lc3RhbXA9IjE3OTMyODM2ODMiPjE0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Hb2xkbWFuIE1MPC9BdXRob3I+PFllYXI+MjAyMjwvWWVhcj48UmVjTnVtPjE3PC9SZWNOdW0+PERpc3BsYXlUZXh0PltWMTYtMTddPC9EaXNwbGF5VGV4dD48cmVjb3JkPjxyZWMtbnVtYmVyPjE3PC9yZWMtbnVtYmVyPjxmb3JlaWduLWtleXM+PGtleSBhcHA9IkVOIiBkYi1pZD0iN2U3OGIxNWItODYzMy01ZWMwLWEwYjQtY2U4YmRhNDhjMjY2IiB0aW1lc3RhbXA9IjE3OTMyODM2ODMiPjE3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568">
        <w:r>
          <w:rPr>
            <w:color w:val="0563C1"/>
            <w:u w:val="single"/>
          </w:rPr>
          <w:t>Source</w:t>
        </w:r>
      </w:hyperlink>
      <w:r>
        <w:t xml:space="preserve"> · </w:t>
      </w:r>
      <w:hyperlink r:id="rId569">
        <w:r>
          <w:rPr>
            <w:color w:val="0563C1"/>
            <w:u w:val="single"/>
          </w:rPr>
          <w:t>PDF</w:t>
        </w:r>
      </w:hyperlink>
      <w:r>
        <w:br/>
      </w:r>
      <w:hyperlink r:id="rId570">
        <w:r>
          <w:rPr>
            <w:color w:val="0563C1"/>
            <w:u w:val="single"/>
          </w:rPr>
          <w:t>Source</w:t>
        </w:r>
      </w:hyperlink>
      <w:r>
        <w:t xml:space="preserve"> · </w:t>
      </w:r>
      <w:hyperlink r:id="rId571">
        <w:r>
          <w:rPr>
            <w:color w:val="0563C1"/>
            <w:u w:val="single"/>
          </w:rPr>
          <w:t>PDF</w:t>
        </w:r>
      </w:hyperlink>
    </w:p>
    <w:p>
      <w:pPr>
        <w:pStyle w:val="Normal"/>
        <w:widowControl/>
        <w:spacing w:after="120"/>
        <w:numPr>
          <w:ilvl w:val="1"/>
          <w:numId w:val="6"/>
        </w:numPr>
      </w:pPr>
      <w:r>
        <w:t xml:space="preserve">Do not call AFP-only rise RECIST or LI-RADS treatment progression. Do not give empiric LRT without an identified target, or add systemic therapy solely to make the AFP cross an allocation threshold without a justified oncologic indication.</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572">
        <w:r>
          <w:rPr>
            <w:color w:val="0563C1"/>
            <w:u w:val="single"/>
          </w:rPr>
          <w:t>Source</w:t>
        </w:r>
      </w:hyperlink>
      <w:r>
        <w:t xml:space="preserve"> · </w:t>
      </w:r>
      <w:hyperlink r:id="rId573">
        <w:r>
          <w:rPr>
            <w:color w:val="0563C1"/>
            <w:u w:val="single"/>
          </w:rPr>
          <w:t>PDF</w:t>
        </w:r>
      </w:hyperlink>
    </w:p>
    <w:p>
      <w:pPr>
        <w:pStyle w:val="Normal"/>
        <w:widowControl/>
        <w:spacing w:after="120"/>
        <w:numPr>
          <w:ilvl w:val="1"/>
          <w:numId w:val="6"/>
        </w:numPr>
      </w:pPr>
      <w:r>
        <w:t xml:space="preserve">Do not treat LDLT as an automatic escape from unfavorable tumor biology. Donor risk, recipient benefit and recurrence must be reviewed independently. New ICI use requires the separate B3 transplant safety decision.</w:t>
      </w:r>
    </w:p>
    <w:p>
      <w:pPr>
        <w:pStyle w:val="Normal"/>
        <w:widowControl/>
        <w:spacing w:after="120"/>
      </w:pPr>
      <w:r>
        <w:t xml:space="preserve">Full evidence and meeting fields: </w:t>
      </w:r>
      <w:hyperlink r:id="rId512">
        <w:r>
          <w:rPr>
            <w:color w:val="0563C1"/>
            <w:u w:val="single"/>
          </w:rPr>
          <w:t>HCC B1.1 record</w:t>
        </w:r>
      </w:hyperlink>
    </w:p>
    <w:p>
      <w:pPr>
        <w:pStyle w:val="Normal"/>
        <w:widowControl/>
        <w:spacing w:after="120"/>
      </w:pPr>
      <w:r>
        <w:t xml:space="preserve">Treatment comparisons and detailed regimen evidence: </w:t>
      </w:r>
      <w:hyperlink r:id="rId513">
        <w:r>
          <w:rPr>
            <w:color w:val="0563C1"/>
            <w:u w:val="single"/>
          </w:rPr>
          <w:t>Cross-tumor systemic matrix</w:t>
        </w:r>
      </w:hyperlink>
    </w:p>
    <w:p>
      <w:pPr>
        <w:pStyle w:val="Heading3"/>
        <w:keepNext/>
        <w:widowControl/>
      </w:pPr>
      <w:r>
        <w:t xml:space="preserve">3.3 Prior portal vein tumor thrombus</w:t>
      </w:r>
    </w:p>
    <w:p>
      <w:pPr>
        <w:pStyle w:val="Normal"/>
        <w:widowControl/>
        <w:numPr>
          <w:ilvl w:val="0"/>
          <w:numId w:val="3"/>
        </w:numPr>
      </w:pPr>
      <w:r>
        <w:t xml:space="preserve">Record the actual involved vessel and original Vp grade: Vp1 distal to second-order branches; Vp2 second-order; Vp3 first-order right or left portal branch; Vp4 main trunk or contralateral branch. Record hepatic-vein involvement separately. Do not equate Vp3 with main-portal invasion or bland thrombosis with cancer invasion.</w:t>
      </w:r>
    </w:p>
    <w:p>
      <w:pPr>
        <w:pStyle w:val="Normal"/>
        <w:widowControl/>
        <w:numPr>
          <w:ilvl w:val="0"/>
          <w:numId w:val="3"/>
        </w:numPr>
      </w:pPr>
      <w:r>
        <w:t xml:space="preserve">Assess parenchymal and vascular response separately on serial contrast imaging, with expert radiology adjudication. Current NLRB guidance identifies main portal or hepatic-vein invasion as an HCC-exception contraindication; some treated primary-branch invasion or rupture cases may be considered only after at least 12 months of stability. A six-month study interval cannot replace this allocation interval.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Yoon et al. reported 137 selected PVTT LDLT recipients, not all assessed PVTT patients. Five-year OS was 66.6% in 83 radiographic responders versus 35.1% in 54 nonresponders. Sixty-five of 83 responders still had viable PVTT on explant. Only 14 recipients had Vp4 disease. This recipient-only, nonrandomized experience cannot establish a routine Vp4 pathway, a causal LT benefit, or equivalence between vascular grades.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Heading3"/>
        <w:keepNext/>
        <w:widowControl/>
      </w:pPr>
      <w:bookmarkStart w:id="2" w:name="HCC_B2"/>
      <w:r>
        <w:t xml:space="preserve">HCC-B2 — Which PVTT anatomy could enter a transplanting study?</w:t>
      </w:r>
      <w:bookmarkEnd w:id="2"/>
    </w:p>
    <w:p>
      <w:pPr>
        <w:pStyle w:val="Heading3"/>
        <w:keepNext/>
        <w:widowControl/>
      </w:pPr>
      <w:r>
        <w:t xml:space="preserve">Question and comparison</w:t>
      </w:r>
    </w:p>
    <w:p>
      <w:pPr>
        <w:pStyle w:val="Normal"/>
        <w:widowControl/>
        <w:spacing w:before="60" w:after="20"/>
      </w:pPr>
      <w:r>
        <w:t xml:space="preserve">HCC with previously documented portal-vein tumor thrombus, after antitumor treatment; compare original segmental/second-order versus first-order/main-trunk extent and response strata. Outcomes are treatment-entry access and survival, recipient survival, recurrence and graft-related harm—not anatomy alone.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Retrospective Asan LDLT cohort, 1997–2022, 137 selected PVTT recipients; median follow-up 38.3 months.</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Complete PDF: Table 1; Results p7261; Table 2 p7264; Figure 1 p7265; Discussion p7268. Preserve source/pvtt_outcomes.py values.</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Vp1 five-year OS 69.5%, DFS 56.2%; Vp4 OS 50.0%, DFS 34.3%. Exact Vp2/Vp3 five-year values were not tabulated. Vp4 recurrence was 9/14 (64.3%) by Table 2 count, not a five-year risk. Responders: 83 patients, five-year OS 66.6%, DFS 64.7%, recurrence 28/83; nonresponders: 54, OS 35.1%, DFS 19.7%, recurrence 42/54. Viable PVTT remained in 65/83 responder explants.</w:t>
            </w:r>
          </w:p>
          <w:p>
            <w:pPr>
              <w:pStyle w:val="Normal"/>
              <w:widowControl/>
              <w:spacing w:before="60" w:after="20"/>
            </w:pPr>
            <w:r>
              <w:rPr>
                <w:b/>
              </w:rPr>
              <w:t xml:space="preserve">Do not infer: </w:t>
            </w:r>
            <w:r>
              <w:t xml:space="preserve">Recipient-only, heterogeneous treatment eras and small grade subgroups. Nonsignificant grade comparisons do not prove equivalence. Discussion/conclusion transpose responder OS and DFS; retain Results/Figure 1 values.</w:t>
            </w:r>
          </w:p>
        </w:tc>
      </w:tr>
      <w:tr>
        <w:trPr/>
        <w:tc>
          <w:tcPr>
            <w:tcW w:w="3400" w:type="dxa"/>
            <w:tcMar>
              <w:top w:w="90" w:type="dxa"/>
              <w:left w:w="90" w:type="dxa"/>
              <w:bottom w:w="90" w:type="dxa"/>
              <w:right w:w="90" w:type="dxa"/>
            </w:tcMar>
          </w:tcPr>
          <w:p>
            <w:pPr>
              <w:pStyle w:val="Normal"/>
              <w:widowControl/>
              <w:spacing w:before="60" w:after="20"/>
            </w:pPr>
            <w:r>
              <w:rPr>
                <w:b/>
              </w:rPr>
              <w:t xml:space="preserve">Choi 2017</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IwPC9SZWNOdW0+PERpc3BsYXlUZXh0PltWMTYtMjBdPC9EaXNwbGF5VGV4dD48cmVjb3JkPjxyZWMtbnVtYmVyPjIwPC9yZWMtbnVtYmVyPjxmb3JlaWduLWtleXM+PGtleSBhcHA9IkVOIiBkYi1pZD0iN2U3OGIxNWItODYzMy01ZWMwLWEwYjQtY2U4YmRhNDhjMjY2IiB0aW1lc3RhbXA9IjE3OTMyODM2ODMiPjIw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Single-center Korean LDLT cohort, 2005–2015. Of 253 adult HCC LDLTs, four deaths within one month, five lost to follow-up and two mixed HCC/CCA cases were excluded, leaving 242. PVTT: 27 segmental (at/below second-order branches) and seven first-order/lobar; main-portal disease, nodes and distant spread excluded. Eleven of 27 segmental thrombi were unsuspected before LT and discovered on explant. Prior treatment in 22/34 was not a standardized downstaging protocol.</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PDF p 2/j 1024: exclusions, pretreatment, anatomy definition. | PDF p 3/j 1025: 16/27 preoperative segmental diagnoses. | PDF pp 5–6/j 1027–1028: Tables 2–3 and explicit lobar DFS 14.3%. | PDF p 7/j 1029 Table 4: AFP subgroup counts. | PDF p 8/j 1030: subgroup survival and limitations.</w:t>
            </w:r>
          </w:p>
          <w:p>
            <w:pPr>
              <w:pStyle w:val="Normal"/>
              <w:widowControl/>
              <w:spacing w:before="60" w:after="20"/>
            </w:pPr>
            <w:r>
              <w:t xml:space="preserve">Review depth: Complete main text/tables/figures/discussion of nine-page article read; last-page bibliography only not material to extraction.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n = 27: recurrence 9/27 (33.3%), five-year OS 50.3%, author-labelled DFS 63.9%. Lobar n = 7: recurrence 6/7 (85.7%), three-/five-year OS 14.3%/14.3%, DFS 14.3%/14.3%. Segmental AFP &lt;100 subgroup: five-year OS 71.3%, DFS 90.9%. Overall PVTT recurrence 15/34 (44.1%); mean time to recurrence 6.8±4.33 months. Safety: Four early postoperative deaths were excluded across the parent HCC cohort; their PVTT status is not reported. Lobar recurrence was 6/7. Donor harms are not quantified.</w:t>
            </w:r>
          </w:p>
          <w:p>
            <w:pPr>
              <w:pStyle w:val="Normal"/>
              <w:widowControl/>
              <w:spacing w:before="60" w:after="20"/>
            </w:pPr>
            <w:r>
              <w:rPr>
                <w:b/>
              </w:rPr>
              <w:t xml:space="preserve">Do not infer: </w:t>
            </w:r>
            <w:r>
              <w:t xml:space="preserve">Tiny retrospective recipient subgroups; early-death exclusion and occult segmental thrombi favor outcomes. No entry-cohort ITT estimate, standardized response duration or validated AFP cutoff. Do not call author-labelled DFS death-inclusive RFS.</w:t>
            </w:r>
          </w:p>
        </w:tc>
      </w:tr>
      <w:tr>
        <w:trPr/>
        <w:tc>
          <w:tcPr>
            <w:tcW w:w="3400" w:type="dxa"/>
            <w:tcMar>
              <w:top w:w="90" w:type="dxa"/>
              <w:left w:w="90" w:type="dxa"/>
              <w:bottom w:w="90" w:type="dxa"/>
              <w:right w:w="90" w:type="dxa"/>
            </w:tcMar>
          </w:tcPr>
          <w:p>
            <w:pPr>
              <w:pStyle w:val="Normal"/>
              <w:widowControl/>
              <w:spacing w:before="60" w:after="20"/>
            </w:pPr>
            <w:r>
              <w:rPr>
                <w:b/>
              </w:rPr>
              <w:t xml:space="preserve">Yang 2020</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IxPC9SZWNOdW0+PERpc3BsYXlUZXh0PltWMTYtMjFdPC9EaXNwbGF5VGV4dD48cmVjb3JkPjxyZWMtbnVtYmVyPjIxPC9yZWMtbnVtYmVyPjxmb3JlaWduLWtleXM+PGtleSBhcHA9IkVOIiBkYi1pZD0iN2U3OGIxNWItODYzMy01ZWMwLWEwYjQtY2U4YmRhNDhjMjY2IiB0aW1lc3RhbXA9IjE3OTMyODM2ODMiPjIx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Retrospective Chinese recipient cohort of 75 HCC/PVTT transplants: 47 with Vp2–3 combined and 28 with Vp4. The Vp2–3 group was entirely HBV-associated; Child-Pugh A/B/C counts were 1/22/24 and median MELD 30. Not a standardized downstaging-response cohort.</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PDF p 2/j 230: Methods, endpoint definitions, 47/28 groups, Table 1. | PDF p 3/j 231: grade outcomes and 22/17/8 risk groups. | PDF p 4/j 232: Tables 2–3. | PDF p 5/j 233: limitations.</w:t>
            </w:r>
          </w:p>
          <w:p>
            <w:pPr>
              <w:pStyle w:val="Normal"/>
              <w:widowControl/>
              <w:spacing w:before="60" w:after="20"/>
            </w:pPr>
            <w:r>
              <w:t xml:space="preserve">Review depth: Complete six-page article read, all main methods/results/tables/figures/discussion/references.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Vp2–3 n = 47: three-year OS 65.4%, recurrence-only RFS 40.0%. Vp4 n = 28: three-year OS 30.6%, recurrence-only RFS 21.4%. A derived low-risk subgroup of 22/47 had three-year OS 95.2% and recurrence-only RFS 67.6%; its rule was total tumor diameter ≤8 cm, OR if &gt;8 cm, AFP &lt;1,000 ng/mL AND SUVmax &lt;5. Safety: Three-year recurrence-only RFS was low in both anatomical groups. Short median follow-up limits three-year precision; no donor-harm estimate.</w:t>
            </w:r>
          </w:p>
          <w:p>
            <w:pPr>
              <w:pStyle w:val="Normal"/>
              <w:widowControl/>
              <w:spacing w:before="60" w:after="20"/>
            </w:pPr>
            <w:r>
              <w:rPr>
                <w:b/>
              </w:rPr>
              <w:t xml:space="preserve">Do not infer: </w:t>
            </w:r>
            <w:r>
              <w:t xml:space="preserve">The low-risk rule was derived in the same 47 recipients and lacks external validation. It is not a Vp3-specific outcome or proof of safe active PVTT transplantation. No entry-denominator survival or validated observation interval.</w:t>
            </w:r>
          </w:p>
        </w:tc>
      </w:tr>
      <w:tr>
        <w:trPr/>
        <w:tc>
          <w:tcPr>
            <w:tcW w:w="3400" w:type="dxa"/>
            <w:tcMar>
              <w:top w:w="90" w:type="dxa"/>
              <w:left w:w="90" w:type="dxa"/>
              <w:bottom w:w="90" w:type="dxa"/>
              <w:right w:w="90" w:type="dxa"/>
            </w:tcMar>
          </w:tcPr>
          <w:p>
            <w:pPr>
              <w:pStyle w:val="Normal"/>
              <w:widowControl/>
              <w:spacing w:before="60" w:after="20"/>
            </w:pPr>
            <w:r>
              <w:rPr>
                <w:b/>
              </w:rPr>
              <w:t xml:space="preserve">Ye 2024</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Retrospective DDLT cohort of 141 vascular-invasion recipients: 13 segmental PVTT, 68 lobar PVTT, 60 microvascular invasion.</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Complete 12-page PDF: Methods p3, Tables 1–2 p6, Figure 4 p7.</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three-year OS 75.0%, RFS 58.3%, crude recurrence 4/13. Lobar three-year OS 45.9%, RFS 9.1%, crude recurrence 60/68.</w:t>
            </w:r>
          </w:p>
          <w:p>
            <w:pPr>
              <w:pStyle w:val="Normal"/>
              <w:widowControl/>
              <w:spacing w:before="60" w:after="20"/>
            </w:pPr>
            <w:r>
              <w:rPr>
                <w:b/>
              </w:rPr>
              <w:t xml:space="preserve">Do not infer: </w:t>
            </w:r>
            <w:r>
              <w:t xml:space="preserve">Exclusion of early deaths biases recipient survival upward. Lobar is not an isolated Vp3 group. Crude recurrence and RFS are distinct measures; the cohort is not directly transportable to Western mixed-etiology candidates.</w:t>
            </w:r>
          </w:p>
        </w:tc>
      </w:tr>
      <w:tr>
        <w:trPr/>
        <w:tc>
          <w:tcPr>
            <w:tcW w:w="3400" w:type="dxa"/>
            <w:tcMar>
              <w:top w:w="90" w:type="dxa"/>
              <w:left w:w="90" w:type="dxa"/>
              <w:bottom w:w="90" w:type="dxa"/>
              <w:right w:w="90" w:type="dxa"/>
            </w:tcMar>
          </w:tcPr>
          <w:p>
            <w:pPr>
              <w:pStyle w:val="Normal"/>
              <w:widowControl/>
              <w:spacing w:before="60" w:after="20"/>
            </w:pPr>
            <w:r>
              <w:rPr>
                <w:b/>
              </w:rPr>
              <w:t xml:space="preserve">Soin 2020</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IzPC9SZWNOdW0+PERpc3BsYXlUZXh0PltWMTYtMjNdPC9EaXNwbGF5VGV4dD48cmVjb3JkPjxyZWMtbnVtYmVyPjIzPC9yZWMtbnVtYmVyPjxmb3JlaWduLWtleXM+PGtleSBhcHA9IkVOIiBkYi1pZD0iN2U3OGIxNWItODYzMy01ZWMwLWEwYjQtY2U4YmRhNDhjMjY2IiB0aW1lc3RhbXA9IjE3OTMyODM2ODMiPjIz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Single-center prospective downstaging pathway: 43 patients with macrovascular invasion, comprising 38 PVTT and five hepatic-vein/IVC cases; 27 responded and 25 underwent LDLT. Recipient original Vp1/Vp2/Vp3/Vp4 counts: 1/12/11/1.</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Full-text PDF</w:t>
              </w:r>
            </w:hyperlink>
          </w:p>
          <w:p>
            <w:pPr>
              <w:pStyle w:val="Normal"/>
              <w:widowControl/>
              <w:spacing w:before="60" w:after="20"/>
            </w:pPr>
            <w:r>
              <w:t xml:space="preserve">Locator: PDF pp 2–4/j 2335–2337: protocol, 43 entry flow, endpoint definitions, 18 vs 7 response. | PDF p 5/j 2338: all 25 survival 53/52 and timing Table 1. | PDF p 6/j 2339: Table 2, 17/25 viable PVTT, early death-excluded 57/51. | PDF p 7/j 2340: Fig 3. | PDF pp 9–11/j 2342–2344: models, variable wait protocol, limitations.</w:t>
            </w:r>
          </w:p>
          <w:p>
            <w:pPr>
              <w:pStyle w:val="Normal"/>
              <w:widowControl/>
              <w:spacing w:before="60" w:after="20"/>
            </w:pPr>
            <w:r>
              <w:t xml:space="preserve">Review depth: Complete 12-page main paper read; supplemental Tables S1–S2/Figures S1–S5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25 recipients: five-year OS 53% and author-labelled RFS 52%. After excluding two early postoperative deaths (n = 23): five-year OS 57%, RFS 51%. Recurrence 6/25 (24%), median five months. Eighteen had complete vascular enhancement loss; seven retained minimal/absent enhancement in Vp1–2 disease. Explants still showed viable PVTT in 17/25 and microvascular invasion in 21/25. Safety: Nine recipient deaths: two early sepsis deaths, four later non-cancer deaths and three cancer deaths. Six recurrences occurred despite downstaging selection. Radiographic response did not reliably imply pathological vascular sterilization.</w:t>
            </w:r>
          </w:p>
          <w:p>
            <w:pPr>
              <w:pStyle w:val="Normal"/>
              <w:widowControl/>
              <w:spacing w:before="60" w:after="20"/>
            </w:pPr>
            <w:r>
              <w:rPr>
                <w:b/>
              </w:rPr>
              <w:t xml:space="preserve">Do not infer: </w:t>
            </w:r>
            <w:r>
              <w:t xml:space="preserve">No randomized comparator, limited recipient number and no grade-specific survival estimates. The 43-entry denominator includes nonportal macrovascular invasion. Five-year 57% OS excludes early deaths; it is neither all-recipient nor ITT survival. Small poor-grade/AFP-change subgroups do not validate new cutoffs or a 12-month control rule.</w:t>
            </w:r>
          </w:p>
        </w:tc>
      </w:tr>
      <w:tr>
        <w:trPr/>
        <w:tc>
          <w:tcPr>
            <w:tcW w:w="3400" w:type="dxa"/>
            <w:tcMar>
              <w:top w:w="90" w:type="dxa"/>
              <w:left w:w="90" w:type="dxa"/>
              <w:bottom w:w="90" w:type="dxa"/>
              <w:right w:w="90" w:type="dxa"/>
            </w:tcMar>
          </w:tcPr>
          <w:p>
            <w:pPr>
              <w:pStyle w:val="Normal"/>
              <w:widowControl/>
              <w:spacing w:before="60" w:after="20"/>
            </w:pPr>
            <w:r>
              <w:rPr>
                <w:b/>
              </w:rPr>
              <w:t xml:space="preserve">Assalino 2020 · vascular invasion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yNDwvUmVjTnVtPjxEaXNwbGF5VGV4dD5bVjE2LTI0XTwvRGlzcGxheVRleHQ+PHJlY29yZD48cmVjLW51bWJlcj4yNDwvcmVjLW51bWJlcj48Zm9yZWlnbi1rZXlzPjxrZXkgYXBwPSJFTiIgZGItaWQ9IjdlNzhiMTViLTg2MzMtNWVjMC1hMGI0LWNlOGJkYTQ4YzI2NiIgdGltZXN0YW1wPSIxNzkzMjgzNjgzIj4yN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p>
          <w:p>
            <w:pPr>
              <w:pStyle w:val="Normal"/>
              <w:widowControl/>
              <w:spacing w:before="60" w:after="20"/>
            </w:pPr>
            <w:r>
              <w:t xml:space="preserve">Multicenter recipient-only series: 45 records identified, 29 with centrally confirmed pretreatment vascular invasion plus one pathologically confirmed case accepted (n = 30). Excluded records are not downstaging failures. There were 24 portal cases (seven Vp1, 12 Vp2, five study-defined Vp3) and six hepatic/caval cases; the paper's Vp3 category includes main-trunk disease.</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PDF pp 2–3/j 568–569: cohort, definitions, endpoint death handling. | PDF p 4/j 570: flow, outcomes, AFP ROC. | PDF p 5/j 571: Table 1 and subgroup outcomes. | PDF pp 6–8/j 572–574: explant, limitations, Table 2.</w:t>
            </w:r>
          </w:p>
          <w:p>
            <w:pPr>
              <w:pStyle w:val="Normal"/>
              <w:widowControl/>
              <w:spacing w:before="60" w:after="20"/>
            </w:pPr>
            <w:r>
              <w:t xml:space="preserve">Review depth: Complete nine-page primary paper (same study reviewed in V7) verified against newly downloaded copy; all main methods/results/tables/discussion read; supplementary Table S1 not available.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59.6% and death-inclusive DFS 56.3%; recurrence 8/30, median 6.5 months. Three explants retained major vascular invasion and 11 had complete necrosis. Exploratory AFP &lt;10 ng/mL subgroup: recurrence 11.1% versus 50%, five-year OS 83.3% versus 27.8%, DFS 71.8% versus 33.3%; cutoff AUC 0.78. Safety: Eight recurrences among 30 highly selected recipients; residual vascular invasion despite radiographic control.</w:t>
            </w:r>
          </w:p>
          <w:p>
            <w:pPr>
              <w:pStyle w:val="Normal"/>
              <w:widowControl/>
              <w:spacing w:before="60" w:after="20"/>
            </w:pPr>
            <w:r>
              <w:rPr>
                <w:b/>
              </w:rPr>
              <w:t xml:space="preserve">Do not infer: </w:t>
            </w:r>
            <w:r>
              <w:t xml:space="preserve">Small selected mixed-anatomy cohort; AFP cutoff derived post hoc, with subgroup denominators not clearly stated in the main text. Local Vp labels do not map cleanly onto usual Vp1–4. A median 11.4-month interval is not a validated minimum observation period.</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Retrospective analysis of prospectively collected databases at five Italian centers, 2010–2023: 240 consecutive Y90-TARE-treated HCC/PVTT patients; 61 achieved sustained downstaging and 37 underwent deceased-donor LT.</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Full-text PDF</w:t>
              </w:r>
            </w:hyperlink>
          </w:p>
          <w:p>
            <w:pPr>
              <w:pStyle w:val="Normal"/>
              <w:widowControl/>
              <w:spacing w:before="60" w:after="20"/>
            </w:pPr>
            <w:r>
              <w:t xml:space="preserve">Locator: Complete 12-page PDF including visual abstract. Methods/selection p4; endpoint definitions and all-240 outcomes p5; flow, central review and recipient results p6/Figure 1; baseline anatomy p7/Table 1; harms/explant p8/Table 2; survival and at-risk counts p9/Figure 3; exploratory subgroups p10/Table 3; response uncertainty and limitations p11.</w:t>
            </w:r>
          </w:p>
          <w:p>
            <w:pPr>
              <w:pStyle w:val="Normal"/>
              <w:widowControl/>
              <w:spacing w:before="60" w:after="20"/>
            </w:pPr>
            <w:r>
              <w:t xml:space="preserve">Review depth: Complete 12-page main PDF read and figures/tables visually checked; title and DOI matched. External supplementary tables S1/S2 and STROBE checklist not available/reviewed.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Pathway: 118/240 had CR/PR within six months; 61/240 (25.4%) had sustained downstaging, 37/240 (15.4%) reached LT. Of 61 downstaged, 24 were not listed: nine age/comorbidity, six conversion to resection, nine refusal/noncompliance. No dropout among the 37 actually listed does not mean no pathway attrition. All-240 survival from TARE: median OS 14.1 months (reported interval 11.1–17.1); one/three/five-year OS 53.7%/27.2%/18.9%, with 184 deaths and median follow-up 65.2 months. Among all 37 recipients, including four perioperative deaths: three/five-year OS 67.2%/61.6%; six recurrences (16.2% crude count); author RFS 79.3% at three and five years, censoring death without recurrence. Median recipient follow-up 56.7 months; only eight patients at risk at five years in Figure 3A. Complete pathological necrosis 21/37 (56.7%); persistent pathological macrovascular invasion 11/37, including viable vascular thrombus in 8/37 (21.6%). Among the 61 downstaged, cancer-related death at 60 months from successful downstaging was 15.8% with LT versus 45.2% without LT (sHR 0.221, 95% CI 0.071–0.683; p=0.0087); this is an observational association. No grade-specific recipient survival/recurrence estimates are reported in the main paper. Harms: Post-TARE liver decompensation occurred in 56/240 (23.3%); symptomatic radiation-induced lung toxicity in 3/240 (1.2%), not classified as treatment-related mortality. LT major Dindo–Clavien grade ≥3 complications occurred in 13/37 (35.1%); four perioperative deaths among 37 recipients (10.8%, calculated). The paper does not specify a 30- or 90-day definition for those four deaths.</w:t>
            </w:r>
          </w:p>
          <w:p>
            <w:pPr>
              <w:pStyle w:val="Normal"/>
              <w:widowControl/>
              <w:spacing w:before="60" w:after="20"/>
            </w:pPr>
            <w:r>
              <w:rPr>
                <w:b/>
              </w:rPr>
              <w:t xml:space="preserve">Do not infer: </w:t>
            </w:r>
            <w:r>
              <w:t xml:space="preserve">Selected-recipient outcomes cannot be applied to all 240 entrants. No randomized comparator against contemporary systemic therapy; heterogeneous treatment/selection, calendar-era effects, comorbidity and response differences, and timing/selection bias remain. Non-LT downstaged patients had fewer complete responses (29.2% vs 62.2%); a time-dependent LT/immortal-time correction is not explicitly described. Radiological extent changed on central review in 16/31 available cases (four upgrades, twelve downgrades). Post-radiation enhancement may complicate vascular-response interpretation, and response did not exclude viable PVTT. Table 3 univariable age &gt;65 (n=4), AFP &gt;100 (n=3), size &gt;50 mm (n=6), and partial best response (n=14) associations do not validate hard eligibility cutoffs; no variable significantly predicted RFS. Figure 1's ineffective-downstaging subcounts 18+27+14 sum to 59, not the stated 57; the 14-death label is printed as 6.3%. Use the coherent main cohort totals without inventing a correction. Possible overlap with earlier Italian reports must not be pooled as independent evidence. External tables S1/S2 and STROBE supplement were not available for this review. Endpoint/time origin: Three distinct origins: TARE for all-240 OS; date of successful downstaging for the 61-patient cancer-death comparison; LT for recipient OS/RFS. RFS treats recurrence as the event and censors death without recurrence: 79.3% is neither alive-and-recurrence-free survival nor a competing-risk estimate. Six recurrences/37 is a crude follow-up count, not five-year recurrence risk. Do not calculate recurrence incidence as 1 minus RFS. The recipient-only competing-risk cancer-death estimate at five years is 17%, not the 15.8% comparison starting at downstaging.</w:t>
            </w:r>
          </w:p>
        </w:tc>
      </w:tr>
    </w:tbl>
    <w:p>
      <w:pPr>
        <w:pStyle w:val="Heading3"/>
        <w:keepNext/>
        <w:widowControl/>
      </w:pPr>
      <w:r>
        <w:t xml:space="preserve">PVTT outcomes underlying the open anatomy boundary</w:t>
      </w:r>
    </w:p>
    <w:p>
      <w:pPr>
        <w:pStyle w:val="Normal"/>
        <w:widowControl/>
      </w:pPr>
      <w:r>
        <w:t xml:space="preserve">The evidence supports studying carefully selected patients, but does not validate a universal Vp2/Vp3 cutoff. The following are outcomes after transplantation in selected recipients, not the chance of benefit from the start of downstaging. OS means overall survival; DFS/RFS retain each paper’s terminology. Observed recurrence is a crude count over available follow-up, not a fixed-time cumulative incidence.</w:t>
      </w:r>
    </w:p>
    <w:p>
      <w:pPr>
        <w:pStyle w:val="Heading3"/>
        <w:keepNext/>
        <w:widowControl/>
      </w:pPr>
      <w:r>
        <w:t xml:space="preserve">Individual Vp grades in the largest LDLT cohort reviewed</w:t>
      </w:r>
    </w:p>
    <w:p>
      <w:pPr>
        <w:pStyle w:val="Normal"/>
        <w:keepNext/>
        <w:widowControl/>
      </w:pPr>
      <w:r>
        <w:t xml:space="preserve">Yoon 2026: 137 recipients, Asan, 1997–2022; median follow-up 38.3 months. Record original highest Vp extent and current viable extent separately; do not re-label historical Vp4 as Vp1 after response.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500"/>
        <w:gridCol w:w="1150"/>
        <w:gridCol w:w="1150"/>
        <w:gridCol w:w="3550"/>
      </w:tblGrid>
      <w:tr>
        <w:trPr>
          <w:cantSplit/>
          <w:tblHeader/>
        </w:trPr>
        <w:tc>
          <w:tcPr>
            <w:tcW w:w="2650" w:type="dxa"/>
            <w:vAlign w:val="center"/>
            <w:tcMar>
              <w:top w:w="90" w:type="dxa"/>
              <w:left w:w="90" w:type="dxa"/>
              <w:bottom w:w="90" w:type="dxa"/>
              <w:right w:w="90" w:type="dxa"/>
            </w:tcMar>
            <w:shd w:fill="DCE6F1"/>
          </w:tcPr>
          <w:p>
            <w:pPr>
              <w:pStyle w:val="Normal"/>
              <w:widowControl/>
              <w:spacing w:before="60" w:after="20"/>
            </w:pPr>
            <w:r>
              <w:rPr>
                <w:b/>
              </w:rPr>
              <w:t xml:space="preserve">Vp grade and vessel</w:t>
            </w:r>
          </w:p>
        </w:tc>
        <w:tc>
          <w:tcPr>
            <w:tcW w:w="500" w:type="dxa"/>
            <w:vAlign w:val="center"/>
            <w:tcMar>
              <w:top w:w="90" w:type="dxa"/>
              <w:left w:w="90" w:type="dxa"/>
              <w:bottom w:w="90" w:type="dxa"/>
              <w:right w:w="90" w:type="dxa"/>
            </w:tcMar>
            <w:shd w:fill="DCE6F1"/>
          </w:tcPr>
          <w:p>
            <w:pPr>
              <w:pStyle w:val="Normal"/>
              <w:widowControl/>
              <w:spacing w:before="60" w:after="20"/>
              <w:jc w:val="center"/>
            </w:pPr>
            <w:r>
              <w:rPr>
                <w:b/>
              </w:rPr>
              <w:t xml:space="preserve">n</w:t>
            </w:r>
          </w:p>
        </w:tc>
        <w:tc>
          <w:tcPr>
            <w:tcW w:w="1150" w:type="dxa"/>
            <w:vAlign w:val="center"/>
            <w:tcMar>
              <w:top w:w="90" w:type="dxa"/>
              <w:left w:w="90" w:type="dxa"/>
              <w:bottom w:w="90" w:type="dxa"/>
              <w:right w:w="90" w:type="dxa"/>
            </w:tcMar>
            <w:shd w:fill="DCE6F1"/>
          </w:tcPr>
          <w:p>
            <w:pPr>
              <w:pStyle w:val="Normal"/>
              <w:widowControl/>
              <w:spacing w:before="60" w:after="20"/>
              <w:jc w:val="center"/>
            </w:pPr>
            <w:r>
              <w:rPr>
                <w:b/>
              </w:rPr>
              <w:t xml:space="preserve">5-year OS</w:t>
            </w:r>
          </w:p>
        </w:tc>
        <w:tc>
          <w:tcPr>
            <w:tcW w:w="1150" w:type="dxa"/>
            <w:vAlign w:val="center"/>
            <w:tcMar>
              <w:top w:w="90" w:type="dxa"/>
              <w:left w:w="90" w:type="dxa"/>
              <w:bottom w:w="90" w:type="dxa"/>
              <w:right w:w="90" w:type="dxa"/>
            </w:tcMar>
            <w:shd w:fill="DCE6F1"/>
          </w:tcPr>
          <w:p>
            <w:pPr>
              <w:pStyle w:val="Normal"/>
              <w:widowControl/>
              <w:spacing w:before="60" w:after="20"/>
              <w:jc w:val="center"/>
            </w:pPr>
            <w:r>
              <w:rPr>
                <w:b/>
              </w:rPr>
              <w:t xml:space="preserve">5-year DFS</w:t>
            </w:r>
          </w:p>
        </w:tc>
        <w:tc>
          <w:tcPr>
            <w:tcW w:w="35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2650" w:type="dxa"/>
            <w:vAlign w:val="center"/>
            <w:tcMar>
              <w:top w:w="90" w:type="dxa"/>
              <w:left w:w="90" w:type="dxa"/>
              <w:bottom w:w="90" w:type="dxa"/>
              <w:right w:w="90" w:type="dxa"/>
            </w:tcMar>
            <w:shd w:fill="FFFFFF"/>
          </w:tcPr>
          <w:p>
            <w:pPr>
              <w:pStyle w:val="Normal"/>
              <w:widowControl/>
              <w:spacing w:before="60" w:after="20"/>
            </w:pPr>
            <w:r>
              <w:t xml:space="preserve">Vp1</w:t>
            </w:r>
            <w:r>
              <w:br/>
            </w:r>
            <w:r>
              <w:t xml:space="preserve">Peripheral to second-order branches</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51</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69.5%</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56.2%</w:t>
            </w:r>
          </w:p>
        </w:tc>
        <w:tc>
          <w:tcPr>
            <w:tcW w:w="3550" w:type="dxa"/>
            <w:vAlign w:val="center"/>
            <w:tcMar>
              <w:top w:w="90" w:type="dxa"/>
              <w:left w:w="90" w:type="dxa"/>
              <w:bottom w:w="90" w:type="dxa"/>
              <w:right w:w="90" w:type="dxa"/>
            </w:tcMar>
            <w:shd w:fill="FFFFFF"/>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5F7F9"/>
          </w:tcPr>
          <w:p>
            <w:pPr>
              <w:pStyle w:val="Normal"/>
              <w:widowControl/>
              <w:spacing w:before="60" w:after="20"/>
            </w:pPr>
            <w:r>
              <w:t xml:space="preserve">Vp2</w:t>
            </w:r>
            <w:r>
              <w:br/>
            </w:r>
            <w:r>
              <w:t xml:space="preserve">Second-order branches</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36</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Not tabulated</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Not tabulated</w:t>
            </w:r>
          </w:p>
        </w:tc>
        <w:tc>
          <w:tcPr>
            <w:tcW w:w="3550" w:type="dxa"/>
            <w:vAlign w:val="center"/>
            <w:tcMar>
              <w:top w:w="90" w:type="dxa"/>
              <w:left w:w="90" w:type="dxa"/>
              <w:bottom w:w="90" w:type="dxa"/>
              <w:right w:w="90" w:type="dxa"/>
            </w:tcMar>
            <w:shd w:fill="F5F7F9"/>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FFFFF"/>
          </w:tcPr>
          <w:p>
            <w:pPr>
              <w:pStyle w:val="Normal"/>
              <w:widowControl/>
              <w:spacing w:before="60" w:after="20"/>
            </w:pPr>
            <w:r>
              <w:t xml:space="preserve">Vp3</w:t>
            </w:r>
            <w:r>
              <w:br/>
            </w:r>
            <w:r>
              <w:t xml:space="preserve">First-order right or left branch</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36</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Not tabulated</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Not tabulated</w:t>
            </w:r>
          </w:p>
        </w:tc>
        <w:tc>
          <w:tcPr>
            <w:tcW w:w="3550" w:type="dxa"/>
            <w:vAlign w:val="center"/>
            <w:tcMar>
              <w:top w:w="90" w:type="dxa"/>
              <w:left w:w="90" w:type="dxa"/>
              <w:bottom w:w="90" w:type="dxa"/>
              <w:right w:w="90" w:type="dxa"/>
            </w:tcMar>
            <w:shd w:fill="FFFFFF"/>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5F7F9"/>
          </w:tcPr>
          <w:p>
            <w:pPr>
              <w:pStyle w:val="Normal"/>
              <w:widowControl/>
              <w:spacing w:before="60" w:after="20"/>
            </w:pPr>
            <w:r>
              <w:t xml:space="preserve">Vp4</w:t>
            </w:r>
            <w:r>
              <w:br/>
            </w:r>
            <w:r>
              <w:t xml:space="preserve">Main trunk and/or contralateral branch</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14</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50.0%</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34.3%</w:t>
            </w:r>
          </w:p>
        </w:tc>
        <w:tc>
          <w:tcPr>
            <w:tcW w:w="3550" w:type="dxa"/>
            <w:vAlign w:val="center"/>
            <w:tcMar>
              <w:top w:w="90" w:type="dxa"/>
              <w:left w:w="90" w:type="dxa"/>
              <w:bottom w:w="90" w:type="dxa"/>
              <w:right w:w="90" w:type="dxa"/>
            </w:tcMar>
            <w:shd w:fill="F5F7F9"/>
          </w:tcPr>
          <w:p>
            <w:pPr>
              <w:pStyle w:val="Normal"/>
              <w:widowControl/>
              <w:spacing w:before="60" w:after="20"/>
              <w:jc w:val="center"/>
            </w:pPr>
            <w:r>
              <w:t xml:space="preserve">9/14 (64.3%), counted from Table 2; not a five-year risk</w:t>
            </w:r>
          </w:p>
        </w:tc>
      </w:tr>
    </w:tbl>
    <w:p>
      <w:pPr>
        <w:pStyle w:val="Normal"/>
        <w:widowControl/>
        <w:spacing w:before="60" w:after="20"/>
      </w:pPr>
      <w:r>
        <w:t xml:space="preserve">Source locators: Table 1, Results p7261, Table 2 p7264 and Figure 1 p7265. The Vp2/Vp3 survival curves are shown, but exact five-year estimates are not supplied numerically; no values have been guessed from the graph.</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hyperlink r:id="rId68">
        <w:r>
          <w:rPr>
            <w:color w:val="77230C"/>
            <w:sz w:val="20"/>
            <w:u w:val="single"/>
          </w:rPr>
          <w:t>Yoon 2026</w:t>
        </w:r>
      </w:hyperlink>
      <w:r>
        <w:t xml:space="preserve"> — </w:t>
      </w:r>
      <w:hyperlink r:id="rId69">
        <w:r>
          <w:rPr>
            <w:color w:val="77230C"/>
            <w:sz w:val="20"/>
            <w:u w:val="single"/>
          </w:rPr>
          <w:t>Full-text PDF</w:t>
        </w:r>
      </w:hyperlink>
    </w:p>
    <w:p>
      <w:pPr>
        <w:pStyle w:val="Normal"/>
        <w:widowControl/>
        <w:spacing w:before="60" w:after="20"/>
      </w:pPr>
      <w:r>
        <w:t xml:space="preserve">Vp4 recurrence was independently counted from the 14 Table 2 rows. Grade-specific recurrence counts for Vp1–3 were not separately reported. Neither 100 minus DFS nor 100 minus RFS is relabeled as recurrence. Different event definitions, death handling and follow-up preclude that substitution.</w:t>
      </w:r>
    </w:p>
    <w:p>
      <w:pPr>
        <w:pStyle w:val="Heading3"/>
        <w:keepNext/>
        <w:widowControl/>
      </w:pPr>
      <w:r>
        <w:t xml:space="preserve">Anatomy comparisons in other transplant cohorts</w:t>
      </w:r>
    </w:p>
    <w:tbl>
      <w:tblPr>
        <w:tblW w:w="9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350"/>
        <w:gridCol w:w="1350"/>
        <w:gridCol w:w="1550"/>
        <w:gridCol w:w="2850"/>
      </w:tblGrid>
      <w:tr>
        <w:trPr>
          <w:cantSplit/>
          <w:tblHeader/>
        </w:trPr>
        <w:tc>
          <w:tcPr>
            <w:tcW w:w="3350" w:type="dxa"/>
            <w:vAlign w:val="center"/>
            <w:tcMar>
              <w:top w:w="90" w:type="dxa"/>
              <w:left w:w="90" w:type="dxa"/>
              <w:bottom w:w="90" w:type="dxa"/>
              <w:right w:w="90" w:type="dxa"/>
            </w:tcMar>
            <w:shd w:fill="DCE6F1"/>
          </w:tcPr>
          <w:p>
            <w:pPr>
              <w:pStyle w:val="Normal"/>
              <w:widowControl/>
              <w:spacing w:before="60" w:after="20"/>
            </w:pPr>
            <w:r>
              <w:rPr>
                <w:b/>
              </w:rPr>
              <w:t xml:space="preserve">Study and reported group</w:t>
            </w:r>
          </w:p>
        </w:tc>
        <w:tc>
          <w:tcPr>
            <w:tcW w:w="1350" w:type="dxa"/>
            <w:vAlign w:val="center"/>
            <w:tcMar>
              <w:top w:w="90" w:type="dxa"/>
              <w:left w:w="90" w:type="dxa"/>
              <w:bottom w:w="90" w:type="dxa"/>
              <w:right w:w="90" w:type="dxa"/>
            </w:tcMar>
            <w:shd w:fill="DCE6F1"/>
          </w:tcPr>
          <w:p>
            <w:pPr>
              <w:pStyle w:val="Normal"/>
              <w:widowControl/>
              <w:spacing w:before="60" w:after="20"/>
              <w:jc w:val="center"/>
            </w:pPr>
            <w:r>
              <w:rPr>
                <w:b/>
              </w:rPr>
              <w:t xml:space="preserve">OS</w:t>
            </w:r>
          </w:p>
        </w:tc>
        <w:tc>
          <w:tcPr>
            <w:tcW w:w="1550" w:type="dxa"/>
            <w:vAlign w:val="center"/>
            <w:tcMar>
              <w:top w:w="90" w:type="dxa"/>
              <w:left w:w="90" w:type="dxa"/>
              <w:bottom w:w="90" w:type="dxa"/>
              <w:right w:w="90" w:type="dxa"/>
            </w:tcMar>
            <w:shd w:fill="DCE6F1"/>
          </w:tcPr>
          <w:p>
            <w:pPr>
              <w:pStyle w:val="Normal"/>
              <w:widowControl/>
              <w:spacing w:before="60" w:after="20"/>
              <w:jc w:val="center"/>
            </w:pPr>
            <w:r>
              <w:rPr>
                <w:b/>
              </w:rPr>
              <w:t xml:space="preserve">DFS or RFS</w:t>
            </w:r>
          </w:p>
        </w:tc>
        <w:tc>
          <w:tcPr>
            <w:tcW w:w="28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Choi 2017</w:t>
            </w:r>
            <w:r>
              <w:br/>
            </w:r>
            <w:r>
              <w:t xml:space="preserve">Segmental n=27; Vp1–2-type anatomy</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50.3% at 5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DFS 63.9% at 5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9/27; 11/27 occult PVTT until explant</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Choi 2017</w:t>
            </w:r>
            <w:r>
              <w:br/>
            </w:r>
            <w:r>
              <w:t xml:space="preserve">First-order/lobar n=7; Vp3-type anatomy</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14.3% at 5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DFS 14.3% at 3 and 5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6/7; four early deaths excluded from study</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Yang 2020</w:t>
            </w:r>
            <w:r>
              <w:br/>
            </w:r>
            <w:r>
              <w:t xml:space="preserve">Vp2–3 combined, n=47</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65.4% at 3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40.0% at 3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RFS recurrence-only; not a death composite</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Yang 2020</w:t>
            </w:r>
            <w:r>
              <w:br/>
            </w:r>
            <w:r>
              <w:t xml:space="preserve">Vp4, n=28</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30.6% at 3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RFS 21.4% at 3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Separate crude count not used here</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Ye 2024</w:t>
            </w:r>
            <w:r>
              <w:br/>
            </w:r>
            <w:r>
              <w:t xml:space="preserve">Segmental, n=13</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75.0% at 3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58.3% at 3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4/13 (30.8%)</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Ye 2024</w:t>
            </w:r>
            <w:r>
              <w:br/>
            </w:r>
            <w:r>
              <w:t xml:space="preserve">Lobar including main portal vein, n=68; NOT isolated Vp3</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45.9% at 3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RFS 9.1% at 3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60/68 (88.2%)</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Soin 2020</w:t>
            </w:r>
            <w:r>
              <w:br/>
            </w:r>
            <w:r>
              <w:t xml:space="preserve">All 25 LDLT; 43 initial entries included portal and hepatic/IVC invasion</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53% at 5 y; 57% excluding 2 early deaths</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52% at 5 y; 51% excluding 2 early deaths</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6/25 (24%); viable PVTT 17/25 on Table 2</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Sposito 2026</w:t>
            </w:r>
            <w:r>
              <w:br/>
            </w:r>
            <w:r>
              <w:t xml:space="preserve">37 DBD/DCD LT after Y90; branch PVTT, no grade-specific LT estimates</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67.2% at 3 y; 61.6% at 5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79.3% at 3 and 5 y; nonrecurrence deaths censored</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6/37 (16.2%) crude; 4 perioperative deaths included in OS</w:t>
            </w:r>
          </w:p>
        </w:tc>
      </w:tr>
    </w:tbl>
    <w:p>
      <w:pPr>
        <w:pStyle w:val="Normal"/>
        <w:widowControl/>
        <w:spacing w:before="60" w:after="20"/>
      </w:pPr>
      <w:r>
        <w:t xml:space="preserve">Choi and Yang full PDFs reviewed. Choi excluded four deaths within one month and included occult explant PVTT; Yang groups Vp2–3 (n=47) against Vp4 (n=28). Their results do not provide independent estimates for each grade or a validated anatomy cutoff.</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IwPC9SZWNOdW0+PERpc3BsYXlUZXh0PltWMTYtMjBdPC9EaXNwbGF5VGV4dD48cmVjb3JkPjxyZWMtbnVtYmVyPjIwPC9yZWMtbnVtYmVyPjxmb3JlaWduLWtleXM+PGtleSBhcHA9IkVOIiBkYi1pZD0iN2U3OGIxNWItODYzMy01ZWMwLWEwYjQtY2U4YmRhNDhjMjY2IiB0aW1lc3RhbXA9IjE3OTMyODM2ODMiPjIw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IxPC9SZWNOdW0+PERpc3BsYXlUZXh0PltWMTYtMjFdPC9EaXNwbGF5VGV4dD48cmVjb3JkPjxyZWMtbnVtYmVyPjIxPC9yZWMtbnVtYmVyPjxmb3JlaWduLWtleXM+PGtleSBhcHA9IkVOIiBkYi1pZD0iN2U3OGIxNWItODYzMy01ZWMwLWEwYjQtY2U4YmRhNDhjMjY2IiB0aW1lc3RhbXA9IjE3OTMyODM2ODMiPjIx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hyperlink r:id="rId70">
        <w:r>
          <w:rPr>
            <w:color w:val="77230C"/>
            <w:sz w:val="20"/>
            <w:u w:val="single"/>
          </w:rPr>
          <w:t>Choi 2017</w:t>
        </w:r>
      </w:hyperlink>
      <w:r>
        <w:t xml:space="preserve"> — </w:t>
      </w:r>
      <w:hyperlink r:id="rId71">
        <w:r>
          <w:rPr>
            <w:color w:val="77230C"/>
            <w:sz w:val="20"/>
            <w:u w:val="single"/>
          </w:rPr>
          <w:t>Full-text PDF</w:t>
        </w:r>
      </w:hyperlink>
      <w:r>
        <w:t xml:space="preserve">  |  </w:t>
      </w:r>
      <w:hyperlink r:id="rId72">
        <w:r>
          <w:rPr>
            <w:color w:val="77230C"/>
            <w:sz w:val="20"/>
            <w:u w:val="single"/>
          </w:rPr>
          <w:t>Yang 2020</w:t>
        </w:r>
      </w:hyperlink>
      <w:r>
        <w:t xml:space="preserve"> — </w:t>
      </w:r>
      <w:hyperlink r:id="rId73">
        <w:r>
          <w:rPr>
            <w:color w:val="77230C"/>
            <w:sz w:val="20"/>
            <w:u w:val="single"/>
          </w:rPr>
          <w:t>Full-text PDF</w:t>
        </w:r>
      </w:hyperlink>
    </w:p>
    <w:p>
      <w:pPr>
        <w:pStyle w:val="Normal"/>
        <w:widowControl/>
        <w:spacing w:before="60" w:after="20"/>
      </w:pPr>
      <w:r>
        <w:t xml:space="preserve">Ye: Table 2, PDF p6; Results and Figure 4, p7. Its “lobar” definition includes the main trunk (Methods p3), so these results cannot be assigned to Vp3 alone. Perioperative deaths and follow-up losses within one year were excluded; all patients had HBV.</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hyperlink r:id="rId74">
        <w:r>
          <w:rPr>
            <w:color w:val="77230C"/>
            <w:sz w:val="20"/>
            <w:u w:val="single"/>
          </w:rPr>
          <w:t>Ye 2024</w:t>
        </w:r>
      </w:hyperlink>
      <w:r>
        <w:t xml:space="preserve"> — </w:t>
      </w:r>
      <w:hyperlink r:id="rId75">
        <w:r>
          <w:rPr>
            <w:color w:val="77230C"/>
            <w:sz w:val="20"/>
            <w:u w:val="single"/>
          </w:rPr>
          <w:t>Full-text PDF</w:t>
        </w:r>
      </w:hyperlink>
    </w:p>
    <w:p>
      <w:pPr>
        <w:pStyle w:val="Normal"/>
        <w:widowControl/>
        <w:spacing w:before="60" w:after="20"/>
      </w:pPr>
      <w:r>
        <w:t xml:space="preserve">Soin full PDF: all 25 recipients had five-year OS 53% and author RFS 52%; 57%/51% excludes two early deaths. Only 18/25 had complete loss of PVTT enhancement; seven Vp1/2 cases had minimal enhancement or no repeat imaging. Table 2 reports viable PVTT in 17/25. No complete 43-entry ITT survival comparison.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IzPC9SZWNOdW0+PERpc3BsYXlUZXh0PltWMTYtMjNdPC9EaXNwbGF5VGV4dD48cmVjb3JkPjxyZWMtbnVtYmVyPjIzPC9yZWMtbnVtYmVyPjxmb3JlaWduLWtleXM+PGtleSBhcHA9IkVOIiBkYi1pZD0iN2U3OGIxNWItODYzMy01ZWMwLWEwYjQtY2U4YmRhNDhjMjY2IiB0aW1lc3RhbXA9IjE3OTMyODM2ODMiPjIz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hyperlink r:id="rId76">
        <w:r>
          <w:rPr>
            <w:color w:val="77230C"/>
            <w:sz w:val="20"/>
            <w:u w:val="single"/>
          </w:rPr>
          <w:t>Soin 2020</w:t>
        </w:r>
      </w:hyperlink>
      <w:r>
        <w:t xml:space="preserve"> — </w:t>
      </w:r>
      <w:hyperlink r:id="rId77">
        <w:r>
          <w:rPr>
            <w:color w:val="77230C"/>
            <w:sz w:val="20"/>
            <w:u w:val="single"/>
          </w:rPr>
          <w:t>Full-text PDF</w:t>
        </w:r>
      </w:hyperlink>
    </w:p>
    <w:p>
      <w:pPr>
        <w:pStyle w:val="Heading3"/>
        <w:keepNext/>
        <w:widowControl/>
      </w:pPr>
      <w:r>
        <w:t xml:space="preserve">Response matters and does not erase the anatomical uncertainty</w:t>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50"/>
        <w:gridCol w:w="500"/>
        <w:gridCol w:w="1200"/>
        <w:gridCol w:w="1200"/>
        <w:gridCol w:w="3250"/>
      </w:tblGrid>
      <w:tr>
        <w:trPr>
          <w:cantSplit/>
          <w:tblHeader/>
        </w:trPr>
        <w:tc>
          <w:tcPr>
            <w:tcW w:w="2850" w:type="dxa"/>
            <w:vAlign w:val="center"/>
            <w:tcMar>
              <w:top w:w="90" w:type="dxa"/>
              <w:left w:w="90" w:type="dxa"/>
              <w:bottom w:w="90" w:type="dxa"/>
              <w:right w:w="90" w:type="dxa"/>
            </w:tcMar>
            <w:shd w:fill="DCE6F1"/>
          </w:tcPr>
          <w:p>
            <w:pPr>
              <w:pStyle w:val="Normal"/>
              <w:widowControl/>
              <w:spacing w:before="60" w:after="20"/>
            </w:pPr>
            <w:r>
              <w:rPr>
                <w:b/>
              </w:rPr>
              <w:t xml:space="preserve">Yoon response stratum</w:t>
            </w:r>
          </w:p>
        </w:tc>
        <w:tc>
          <w:tcPr>
            <w:tcW w:w="500" w:type="dxa"/>
            <w:vAlign w:val="center"/>
            <w:tcMar>
              <w:top w:w="90" w:type="dxa"/>
              <w:left w:w="90" w:type="dxa"/>
              <w:bottom w:w="90" w:type="dxa"/>
              <w:right w:w="90" w:type="dxa"/>
            </w:tcMar>
            <w:shd w:fill="DCE6F1"/>
          </w:tcPr>
          <w:p>
            <w:pPr>
              <w:pStyle w:val="Normal"/>
              <w:widowControl/>
              <w:spacing w:before="60" w:after="20"/>
              <w:jc w:val="center"/>
            </w:pPr>
            <w:r>
              <w:rPr>
                <w:b/>
              </w:rPr>
              <w:t xml:space="preserve">n</w:t>
            </w:r>
          </w:p>
        </w:tc>
        <w:tc>
          <w:tcPr>
            <w:tcW w:w="1200" w:type="dxa"/>
            <w:vAlign w:val="center"/>
            <w:tcMar>
              <w:top w:w="90" w:type="dxa"/>
              <w:left w:w="90" w:type="dxa"/>
              <w:bottom w:w="90" w:type="dxa"/>
              <w:right w:w="90" w:type="dxa"/>
            </w:tcMar>
            <w:shd w:fill="DCE6F1"/>
          </w:tcPr>
          <w:p>
            <w:pPr>
              <w:pStyle w:val="Normal"/>
              <w:widowControl/>
              <w:spacing w:before="60" w:after="20"/>
              <w:jc w:val="center"/>
            </w:pPr>
            <w:r>
              <w:rPr>
                <w:b/>
              </w:rPr>
              <w:t xml:space="preserve">5-year OS</w:t>
            </w:r>
          </w:p>
        </w:tc>
        <w:tc>
          <w:tcPr>
            <w:tcW w:w="1200" w:type="dxa"/>
            <w:vAlign w:val="center"/>
            <w:tcMar>
              <w:top w:w="90" w:type="dxa"/>
              <w:left w:w="90" w:type="dxa"/>
              <w:bottom w:w="90" w:type="dxa"/>
              <w:right w:w="90" w:type="dxa"/>
            </w:tcMar>
            <w:shd w:fill="DCE6F1"/>
          </w:tcPr>
          <w:p>
            <w:pPr>
              <w:pStyle w:val="Normal"/>
              <w:widowControl/>
              <w:spacing w:before="60" w:after="20"/>
              <w:jc w:val="center"/>
            </w:pPr>
            <w:r>
              <w:rPr>
                <w:b/>
              </w:rPr>
              <w:t xml:space="preserve">5-year DFS</w:t>
            </w:r>
          </w:p>
        </w:tc>
        <w:tc>
          <w:tcPr>
            <w:tcW w:w="32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2850" w:type="dxa"/>
            <w:vAlign w:val="center"/>
            <w:tcMar>
              <w:top w:w="90" w:type="dxa"/>
              <w:left w:w="90" w:type="dxa"/>
              <w:bottom w:w="90" w:type="dxa"/>
              <w:right w:w="90" w:type="dxa"/>
            </w:tcMar>
            <w:shd w:fill="FFFFFF"/>
          </w:tcPr>
          <w:p>
            <w:pPr>
              <w:pStyle w:val="Normal"/>
              <w:widowControl/>
              <w:spacing w:before="60" w:after="20"/>
            </w:pPr>
            <w:r>
              <w:t xml:space="preserve">CR or PR by overall mRECIST</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83</w:t>
            </w:r>
          </w:p>
        </w:tc>
        <w:tc>
          <w:tcPr>
            <w:tcW w:w="1200" w:type="dxa"/>
            <w:vAlign w:val="center"/>
            <w:tcMar>
              <w:top w:w="90" w:type="dxa"/>
              <w:left w:w="90" w:type="dxa"/>
              <w:bottom w:w="90" w:type="dxa"/>
              <w:right w:w="90" w:type="dxa"/>
            </w:tcMar>
            <w:shd w:fill="FFFFFF"/>
          </w:tcPr>
          <w:p>
            <w:pPr>
              <w:pStyle w:val="Normal"/>
              <w:widowControl/>
              <w:spacing w:before="60" w:after="20"/>
              <w:jc w:val="center"/>
            </w:pPr>
            <w:r>
              <w:t xml:space="preserve">66.6%</w:t>
            </w:r>
          </w:p>
        </w:tc>
        <w:tc>
          <w:tcPr>
            <w:tcW w:w="1200" w:type="dxa"/>
            <w:vAlign w:val="center"/>
            <w:tcMar>
              <w:top w:w="90" w:type="dxa"/>
              <w:left w:w="90" w:type="dxa"/>
              <w:bottom w:w="90" w:type="dxa"/>
              <w:right w:w="90" w:type="dxa"/>
            </w:tcMar>
            <w:shd w:fill="FFFFFF"/>
          </w:tcPr>
          <w:p>
            <w:pPr>
              <w:pStyle w:val="Normal"/>
              <w:widowControl/>
              <w:spacing w:before="60" w:after="20"/>
              <w:jc w:val="center"/>
            </w:pPr>
            <w:r>
              <w:t xml:space="preserve">64.7%</w:t>
            </w:r>
          </w:p>
        </w:tc>
        <w:tc>
          <w:tcPr>
            <w:tcW w:w="3250" w:type="dxa"/>
            <w:vAlign w:val="center"/>
            <w:tcMar>
              <w:top w:w="90" w:type="dxa"/>
              <w:left w:w="90" w:type="dxa"/>
              <w:bottom w:w="90" w:type="dxa"/>
              <w:right w:w="90" w:type="dxa"/>
            </w:tcMar>
            <w:shd w:fill="FFFFFF"/>
          </w:tcPr>
          <w:p>
            <w:pPr>
              <w:pStyle w:val="Normal"/>
              <w:widowControl/>
              <w:spacing w:before="60" w:after="20"/>
              <w:jc w:val="center"/>
            </w:pPr>
            <w:r>
              <w:t xml:space="preserve">28/83 (33.7%)</w:t>
            </w:r>
          </w:p>
        </w:tc>
      </w:tr>
      <w:tr>
        <w:trPr>
          <w:cantSplit/>
        </w:trPr>
        <w:tc>
          <w:tcPr>
            <w:tcW w:w="2850" w:type="dxa"/>
            <w:vAlign w:val="center"/>
            <w:tcMar>
              <w:top w:w="90" w:type="dxa"/>
              <w:left w:w="90" w:type="dxa"/>
              <w:bottom w:w="90" w:type="dxa"/>
              <w:right w:w="90" w:type="dxa"/>
            </w:tcMar>
            <w:shd w:fill="F5F7F9"/>
          </w:tcPr>
          <w:p>
            <w:pPr>
              <w:pStyle w:val="Normal"/>
              <w:widowControl/>
              <w:spacing w:before="60" w:after="20"/>
            </w:pPr>
            <w:r>
              <w:t xml:space="preserve">Stable or progressive disease</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54</w:t>
            </w:r>
          </w:p>
        </w:tc>
        <w:tc>
          <w:tcPr>
            <w:tcW w:w="1200" w:type="dxa"/>
            <w:vAlign w:val="center"/>
            <w:tcMar>
              <w:top w:w="90" w:type="dxa"/>
              <w:left w:w="90" w:type="dxa"/>
              <w:bottom w:w="90" w:type="dxa"/>
              <w:right w:w="90" w:type="dxa"/>
            </w:tcMar>
            <w:shd w:fill="F5F7F9"/>
          </w:tcPr>
          <w:p>
            <w:pPr>
              <w:pStyle w:val="Normal"/>
              <w:widowControl/>
              <w:spacing w:before="60" w:after="20"/>
              <w:jc w:val="center"/>
            </w:pPr>
            <w:r>
              <w:t xml:space="preserve">35.1%</w:t>
            </w:r>
          </w:p>
        </w:tc>
        <w:tc>
          <w:tcPr>
            <w:tcW w:w="1200" w:type="dxa"/>
            <w:vAlign w:val="center"/>
            <w:tcMar>
              <w:top w:w="90" w:type="dxa"/>
              <w:left w:w="90" w:type="dxa"/>
              <w:bottom w:w="90" w:type="dxa"/>
              <w:right w:w="90" w:type="dxa"/>
            </w:tcMar>
            <w:shd w:fill="F5F7F9"/>
          </w:tcPr>
          <w:p>
            <w:pPr>
              <w:pStyle w:val="Normal"/>
              <w:widowControl/>
              <w:spacing w:before="60" w:after="20"/>
              <w:jc w:val="center"/>
            </w:pPr>
            <w:r>
              <w:t xml:space="preserve">19.7%</w:t>
            </w:r>
          </w:p>
        </w:tc>
        <w:tc>
          <w:tcPr>
            <w:tcW w:w="3250" w:type="dxa"/>
            <w:vAlign w:val="center"/>
            <w:tcMar>
              <w:top w:w="90" w:type="dxa"/>
              <w:left w:w="90" w:type="dxa"/>
              <w:bottom w:w="90" w:type="dxa"/>
              <w:right w:w="90" w:type="dxa"/>
            </w:tcMar>
            <w:shd w:fill="F5F7F9"/>
          </w:tcPr>
          <w:p>
            <w:pPr>
              <w:pStyle w:val="Normal"/>
              <w:widowControl/>
              <w:spacing w:before="60" w:after="20"/>
              <w:jc w:val="center"/>
            </w:pPr>
            <w:r>
              <w:t xml:space="preserve">42/54 (77.8%)</w:t>
            </w:r>
          </w:p>
        </w:tc>
      </w:tr>
    </w:tbl>
    <w:p>
      <w:pPr>
        <w:pStyle w:val="Normal"/>
        <w:widowControl/>
        <w:spacing w:before="60" w:after="20"/>
      </w:pPr>
      <w:r>
        <w:t xml:space="preserve">Yoon: Results p7261, Figure 1 and Table 4. CR/PR is overall mRECIST response, not mandatory complete disappearance of viable vascular tumor; 65/83 responders still had viable PVTT on explant.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hyperlink r:id="rId78">
        <w:r>
          <w:rPr>
            <w:color w:val="77230C"/>
            <w:sz w:val="20"/>
            <w:u w:val="single"/>
          </w:rPr>
          <w:t>Yoon 2026</w:t>
        </w:r>
      </w:hyperlink>
      <w:r>
        <w:t xml:space="preserve"> — </w:t>
      </w:r>
      <w:hyperlink r:id="rId79">
        <w:r>
          <w:rPr>
            <w:color w:val="77230C"/>
            <w:sz w:val="20"/>
            <w:u w:val="single"/>
          </w:rPr>
          <w:t>Full-text PDF</w:t>
        </w:r>
      </w:hyperlink>
    </w:p>
    <w:p>
      <w:pPr>
        <w:pStyle w:val="Heading3"/>
        <w:keepNext/>
        <w:widowControl/>
      </w:pPr>
      <w:r>
        <w:t xml:space="preserve">Interpretation for HCC B2</w:t>
      </w:r>
    </w:p>
    <w:p>
      <w:pPr>
        <w:pStyle w:val="Normal"/>
        <w:widowControl/>
        <w:numPr>
          <w:ilvl w:val="0"/>
          <w:numId w:val="3"/>
        </w:numPr>
      </w:pPr>
      <w:r>
        <w:t xml:space="preserve">The Yoon grade comparisons were not statistically significant (OS P=0.1882; DFS P=0.2988). With only 14 Vp4 recipients, this neither proves equivalence nor establishes futility. The Vp4 five-year OS of 50.0% is a real counterargument to blanket exclusion.</w:t>
      </w:r>
    </w:p>
    <w:p>
      <w:pPr>
        <w:pStyle w:val="Normal"/>
        <w:widowControl/>
        <w:numPr>
          <w:ilvl w:val="0"/>
          <w:numId w:val="3"/>
        </w:numPr>
      </w:pPr>
      <w:r>
        <w:t xml:space="preserve">Older anatomy-based cohorts report substantially poorer proximal-vessel outcomes; the populations, treatments, classification systems and endpoint definitions differ. Possible center/time overlap among Chinese cohorts prevents treating every series as independent confirmation. No pooled survival percentage is calculated.</w:t>
      </w:r>
    </w:p>
    <w:p>
      <w:pPr>
        <w:pStyle w:val="Normal"/>
        <w:widowControl/>
        <w:numPr>
          <w:ilvl w:val="0"/>
          <w:numId w:val="3"/>
        </w:numPr>
      </w:pPr>
      <w:r>
        <w:t xml:space="preserve">OPEN local position: retain original Vp1–2 as the initial transplanting-study boundary. Vp3 registry-first means observational follow-up without transplantation authorized by that registry; any transplanting Vp3 arm needs separate prospective approval. Keep Vp4 outside the initial pilot, not labeled universally futile.</w:t>
      </w:r>
    </w:p>
    <w:p>
      <w:pPr>
        <w:pStyle w:val="Normal"/>
        <w:widowControl/>
        <w:numPr>
          <w:ilvl w:val="0"/>
          <w:numId w:val="3"/>
        </w:numPr>
      </w:pPr>
      <w:r>
        <w:t xml:space="preserve">The complete vascular-response requirement and ≥12-month control period are conservative proposed safeguards, not thresholds validated by these cohorts. Favorable LDLT outcomes do not establish deceased-donor allocation priority or resolve living-donor risk.</w:t>
      </w:r>
    </w:p>
    <w:p>
      <w:pPr>
        <w:pStyle w:val="Normal"/>
        <w:widowControl/>
        <w:spacing w:before="60" w:after="20"/>
      </w:pPr>
      <w:r>
        <w:t xml:space="preserve">Read the selection and reporting limits together with the outcome estimates.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IwPC9SZWNOdW0+PERpc3BsYXlUZXh0PltWMTYtMjBdPC9EaXNwbGF5VGV4dD48cmVjb3JkPjxyZWMtbnVtYmVyPjIwPC9yZWMtbnVtYmVyPjxmb3JlaWduLWtleXM+PGtleSBhcHA9IkVOIiBkYi1pZD0iN2U3OGIxNWItODYzMy01ZWMwLWEwYjQtY2U4YmRhNDhjMjY2IiB0aW1lc3RhbXA9IjE3OTMyODM2ODMiPjIw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IxPC9SZWNOdW0+PERpc3BsYXlUZXh0PltWMTYtMjFdPC9EaXNwbGF5VGV4dD48cmVjb3JkPjxyZWMtbnVtYmVyPjIxPC9yZWMtbnVtYmVyPjxmb3JlaWduLWtleXM+PGtleSBhcHA9IkVOIiBkYi1pZD0iN2U3OGIxNWItODYzMy01ZWMwLWEwYjQtY2U4YmRhNDhjMjY2IiB0aW1lc3RhbXA9IjE3OTMyODM2ODMiPjIx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IzPC9SZWNOdW0+PERpc3BsYXlUZXh0PltWMTYtMjNdPC9EaXNwbGF5VGV4dD48cmVjb3JkPjxyZWMtbnVtYmVyPjIzPC9yZWMtbnVtYmVyPjxmb3JlaWduLWtleXM+PGtleSBhcHA9IkVOIiBkYi1pZD0iN2U3OGIxNWItODYzMy01ZWMwLWEwYjQtY2U4YmRhNDhjMjY2IiB0aW1lc3RhbXA9IjE3OTMyODM2ODMiPjIz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hyperlink r:id="rId80">
        <w:r>
          <w:rPr>
            <w:color w:val="77230C"/>
            <w:sz w:val="20"/>
            <w:u w:val="single"/>
          </w:rPr>
          <w:t>Yoon 2026</w:t>
        </w:r>
      </w:hyperlink>
      <w:r>
        <w:t xml:space="preserve"> — </w:t>
      </w:r>
      <w:hyperlink r:id="rId81">
        <w:r>
          <w:rPr>
            <w:color w:val="77230C"/>
            <w:sz w:val="20"/>
            <w:u w:val="single"/>
          </w:rPr>
          <w:t>Full-text PDF</w:t>
        </w:r>
      </w:hyperlink>
      <w:r>
        <w:t xml:space="preserve">  |  </w:t>
      </w:r>
      <w:hyperlink r:id="rId82">
        <w:r>
          <w:rPr>
            <w:color w:val="77230C"/>
            <w:sz w:val="20"/>
            <w:u w:val="single"/>
          </w:rPr>
          <w:t>Ye 2024</w:t>
        </w:r>
      </w:hyperlink>
      <w:r>
        <w:t xml:space="preserve"> — </w:t>
      </w:r>
      <w:hyperlink r:id="rId83">
        <w:r>
          <w:rPr>
            <w:color w:val="77230C"/>
            <w:sz w:val="20"/>
            <w:u w:val="single"/>
          </w:rPr>
          <w:t>Full-text PDF</w:t>
        </w:r>
      </w:hyperlink>
      <w:r>
        <w:t xml:space="preserve">  |  </w:t>
      </w:r>
      <w:hyperlink r:id="rId84">
        <w:r>
          <w:rPr>
            <w:color w:val="77230C"/>
            <w:sz w:val="20"/>
            <w:u w:val="single"/>
          </w:rPr>
          <w:t>Choi 2017</w:t>
        </w:r>
      </w:hyperlink>
      <w:r>
        <w:t xml:space="preserve"> — </w:t>
      </w:r>
      <w:hyperlink r:id="rId85">
        <w:r>
          <w:rPr>
            <w:color w:val="77230C"/>
            <w:sz w:val="20"/>
            <w:u w:val="single"/>
          </w:rPr>
          <w:t>Full-text PDF</w:t>
        </w:r>
      </w:hyperlink>
      <w:r>
        <w:t xml:space="preserve">  |  </w:t>
      </w:r>
      <w:hyperlink r:id="rId86">
        <w:r>
          <w:rPr>
            <w:color w:val="77230C"/>
            <w:sz w:val="20"/>
            <w:u w:val="single"/>
          </w:rPr>
          <w:t>Yang 2020</w:t>
        </w:r>
      </w:hyperlink>
      <w:r>
        <w:t xml:space="preserve"> — </w:t>
      </w:r>
      <w:hyperlink r:id="rId87">
        <w:r>
          <w:rPr>
            <w:color w:val="77230C"/>
            <w:sz w:val="20"/>
            <w:u w:val="single"/>
          </w:rPr>
          <w:t>Full-text PDF</w:t>
        </w:r>
      </w:hyperlink>
      <w:r>
        <w:t xml:space="preserve">  |  </w:t>
      </w:r>
      <w:hyperlink r:id="rId88">
        <w:r>
          <w:rPr>
            <w:color w:val="77230C"/>
            <w:sz w:val="20"/>
            <w:u w:val="single"/>
          </w:rPr>
          <w:t>Soin 2020</w:t>
        </w:r>
      </w:hyperlink>
      <w:r>
        <w:t xml:space="preserve"> — </w:t>
      </w:r>
      <w:hyperlink r:id="rId89">
        <w:r>
          <w:rPr>
            <w:color w:val="77230C"/>
            <w:sz w:val="20"/>
            <w:u w:val="single"/>
          </w:rPr>
          <w:t>Full-text PDF</w:t>
        </w:r>
      </w:hyperlink>
    </w:p>
    <w:p>
      <w:pPr>
        <w:pStyle w:val="Normal"/>
        <w:widowControl/>
        <w:spacing w:before="60" w:after="20"/>
      </w:pPr>
      <w:r>
        <w:t xml:space="preserve">Evidence integrity note: Yoon’s discussion/conclusion transpose the responder OS and DFS percentages; this update uses the Results and Figure 1 values. Request numerical Vp2/Vp3 Kaplan–Meier estimates, confidence intervals and grade-specific recurrence counts from the authors or a supplement before using exact grade-specific estimates in consent.</w:t>
      </w:r>
    </w:p>
    <w:p>
      <w:pPr>
        <w:pStyle w:val="Heading3"/>
        <w:keepNext/>
        <w:widowControl/>
      </w:pPr>
      <w:r>
        <w:t xml:space="preserve">Y90 before transplantation</w:t>
      </w:r>
    </w:p>
    <w:p>
      <w:pPr>
        <w:pStyle w:val="Normal"/>
        <w:widowControl/>
        <w:numPr>
          <w:ilvl w:val="0"/>
          <w:numId w:val="3"/>
        </w:numPr>
        <w:spacing w:before="60" w:after="20"/>
      </w:pPr>
      <w:r>
        <w:t xml:space="preserve">The 37/240 transplant proportion (15.4%) describes pathway feasibility; five-year OS 61.6% describes selected recipients from LT. Four perioperative deaths and 13 major complications (grade ≥3) occurred among 37 recipients. The 79.3% RFS estimate censors deaths without recurrence and is not an alive-and-recurrence-free outcome.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spacing w:before="60" w:after="20"/>
      </w:pPr>
      <w:r>
        <w:t xml:space="preserve">Six months of response was the shared Italian minimum; four centers accepted partial vascular response. The median 17 months from TARE to LT was not a minimum. Neither interval proves that the proposed original-Vp1–2/complete-response/12-month combination is optimal; the stricter local proposal remains OPEN.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spacing w:before="60" w:after="20"/>
      </w:pPr>
      <w:r>
        <w:t xml:space="preserve">Map original and current vessel anatomy. The study reports no grade-specific recipient outcomes and excluded main-portal-trunk/hepatic-vein disease. Indeterminate postradiation enhancement requires HOLD and expert review; confirmed viable tumor fails the proposed gate. Allograft allocation and study authorization remain separate.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Main PDF pp4–6 (selection, endpoints, cohort flow), p8/Table 2 (harms/pathology), p9/Figure 3 (outcomes and risk set), pp10–11 (exploratory limits).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hyperlink r:id="rId90">
        <w:r>
          <w:rPr>
            <w:color w:val="77230C"/>
            <w:sz w:val="20"/>
            <w:u w:val="single"/>
          </w:rPr>
          <w:t>Sposito 2026</w:t>
        </w:r>
      </w:hyperlink>
      <w:r>
        <w:t xml:space="preserve"> — </w:t>
      </w:r>
      <w:hyperlink r:id="rId91">
        <w:r>
          <w:rPr>
            <w:color w:val="77230C"/>
            <w:sz w:val="20"/>
            <w:u w:val="single"/>
          </w:rPr>
          <w:t>Full-text PDF</w:t>
        </w:r>
      </w:hyperlink>
    </w:p>
    <w:p>
      <w:pPr>
        <w:pStyle w:val="Heading3"/>
        <w:keepNext/>
        <w:widowControl/>
      </w:pPr>
      <w:r>
        <w:t xml:space="preserve">Synthesis and evidence that challenges the proposal</w:t>
      </w:r>
    </w:p>
    <w:p>
      <w:pPr>
        <w:pStyle w:val="Normal"/>
        <w:widowControl/>
        <w:spacing w:before="60" w:after="20"/>
      </w:pPr>
      <w:r>
        <w:t xml:space="preserve">Selected PVTT transplant cohorts show that some long-term survivors exist, including proximal disease, but do not establish a universal Vp2/Vp3 benefit boundary. Sposito's now-reviewed full text adds a 240-patient Y90 pathway: 61 sustained downstagings, 37 transplants, five-year OS 18.9% from TARE for all entrants versus 61.6% from LT for recipients. Recipient RFS 79.3% censors nonrecurrence deaths; six recurrences/37 and four perioperative deaths must be reported separately. Selection varied across centers and accepted partial vascular response at four of five centers after at least six months. No grade-specific transplant outcomes or validation of the proposed Vp1–2/complete-response/12-month composite is supplied. Its favorable recipient results support prospective study development, while substantial attrition, decompensation, major complications and selection bias temper benefit and allocation claims. The original-Vp1–2 and 12-month post-downstaging proposal is consistent with the weak-evidence, weak-recommendation ILTS–ILCA consensus (Table 1, printed p820/current PDF p6). This is not a validated optimum or universal transplant-benefit threshold; separate NLRB requirements and prospective approvals still apply.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IwPC9SZWNOdW0+PERpc3BsYXlUZXh0PltWMTYtMjBdPC9EaXNwbGF5VGV4dD48cmVjb3JkPjxyZWMtbnVtYmVyPjIwPC9yZWMtbnVtYmVyPjxmb3JlaWduLWtleXM+PGtleSBhcHA9IkVOIiBkYi1pZD0iN2U3OGIxNWItODYzMy01ZWMwLWEwYjQtY2U4YmRhNDhjMjY2IiB0aW1lc3RhbXA9IjE3OTMyODM2ODMiPjIw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IxPC9SZWNOdW0+PERpc3BsYXlUZXh0PltWMTYtMjFdPC9EaXNwbGF5VGV4dD48cmVjb3JkPjxyZWMtbnVtYmVyPjIxPC9yZWMtbnVtYmVyPjxmb3JlaWduLWtleXM+PGtleSBhcHA9IkVOIiBkYi1pZD0iN2U3OGIxNWItODYzMy01ZWMwLWEwYjQtY2U4YmRhNDhjMjY2IiB0aW1lc3RhbXA9IjE3OTMyODM2ODMiPjIx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IzPC9SZWNOdW0+PERpc3BsYXlUZXh0PltWMTYtMjNdPC9EaXNwbGF5VGV4dD48cmVjb3JkPjxyZWMtbnVtYmVyPjIzPC9yZWMtbnVtYmVyPjxmb3JlaWduLWtleXM+PGtleSBhcHA9IkVOIiBkYi1pZD0iN2U3OGIxNWItODYzMy01ZWMwLWEwYjQtY2U4YmRhNDhjMjY2IiB0aW1lc3RhbXA9IjE3OTMyODM2ODMiPjIz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yNDwvUmVjTnVtPjxEaXNwbGF5VGV4dD5bVjE2LTI0XTwvRGlzcGxheVRleHQ+PHJlY29yZD48cmVjLW51bWJlcj4yNDwvcmVjLW51bWJlcj48Zm9yZWlnbi1rZXlzPjxrZXkgYXBwPSJFTiIgZGItaWQ9IjdlNzhiMTViLTg2MzMtNWVjMC1hMGI0LWNlOGJkYTQ4YzI2NiIgdGltZXN0YW1wPSIxNzkzMjgzNjgzIj4yN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spacing w:before="60" w:after="20"/>
      </w:pPr>
      <w:r>
        <w:t xml:space="preserve">A blanket statement that every PVTT transplant is futile is not supported: Yoon reports selected Vp4 survivors, and Sposito reports five-year recipient OS 61.6% after branch-PVTT downstaging. Conversely, Sposito excluded main-trunk/hepatic-vein involvement and gives no separate recipient survival for its PV1/PV2/PV3 groups. Its six-month requirement and acceptance of partial PVTT response challenge the necessity of the stricter local proposal without proving that relaxation is safe. Post-radiation enhancement requires expert adjudication; radiological uncertainty is a HOLD, not automatic viable disease or permission to transplant. Neither 79.3% author RFS nor the cancer-death association establishes survival benefit for an unselected entrant or a modern-systemic-therapy comparator.</w:t>
      </w:r>
    </w:p>
    <w:p>
      <w:pPr>
        <w:pStyle w:val="Normal"/>
        <w:widowControl/>
        <w:spacing w:before="60" w:after="20"/>
      </w:pPr>
      <w:r>
        <w:rPr>
          <w:b/>
        </w:rPr>
        <w:t xml:space="preserve">Certainty / applicability: </w:t>
      </w:r>
      <w:r>
        <w:t xml:space="preserve">Low certainty for feasibility in highly selected branch-PVTT responders; very low certainty for causal comparative benefit, grade-specific eligibility, optimal observation duration and transferability to US deceased-donor allocation. No validated combined selection rule.</w:t>
      </w:r>
    </w:p>
    <w:p>
      <w:pPr>
        <w:pStyle w:val="Heading3"/>
        <w:keepNext/>
        <w:widowControl/>
      </w:pPr>
      <w:r>
        <w:t xml:space="preserve">Where each proposed threshold comes from</w:t>
      </w:r>
    </w:p>
    <w:p>
      <w:pPr>
        <w:pStyle w:val="Normal"/>
        <w:widowControl/>
        <w:numPr>
          <w:ilvl w:val="0"/>
          <w:numId w:val="3"/>
        </w:numPr>
        <w:spacing w:before="60" w:after="20"/>
      </w:pPr>
      <w:r>
        <w:t xml:space="preserve">Original Vp1–2 and at least 12 months of control: weak-evidence ILTS–ILCA consensus lineage plus conservative local risk control; not a demonstrated survival cliff or an optimal duration. Complete vascular response and bounded Milan parenchymal burden add local safeguards, not a jointly tested model.</w:t>
      </w:r>
    </w:p>
    <w:p>
      <w:pPr>
        <w:pStyle w:val="Normal"/>
        <w:widowControl/>
        <w:numPr>
          <w:ilvl w:val="0"/>
          <w:numId w:val="3"/>
        </w:numPr>
        <w:spacing w:before="60" w:after="20"/>
      </w:pPr>
      <w:r>
        <w:t xml:space="preserve">Sposito: at least six months of response after TARE; complete PVTT response at one center, partial response accepted at four; variable morphology and AFP thresholds. Its median 17 months from TARE to LT is an observed interval, not a minimum requirement.</w:t>
      </w:r>
    </w:p>
    <w:p>
      <w:pPr>
        <w:pStyle w:val="Normal"/>
        <w:widowControl/>
        <w:numPr>
          <w:ilvl w:val="0"/>
          <w:numId w:val="3"/>
        </w:numPr>
        <w:spacing w:before="60" w:after="20"/>
      </w:pPr>
      <w:r>
        <w:t xml:space="preserve">Anatomy: Sposito PV1 segmentary, PV2 secondary-order and PV3 first-order describe baseline all-240 groups. Main-trunk/hepatic-vein disease was excluded; grade-specific recipient outcomes are absent. Document vessel anatomy before crosswalking classification systems; do not infer a Vp3 estimate or any Vp4 evidence from this cohort.</w:t>
      </w:r>
    </w:p>
    <w:p>
      <w:pPr>
        <w:pStyle w:val="Normal"/>
        <w:widowControl/>
        <w:numPr>
          <w:ilvl w:val="0"/>
          <w:numId w:val="3"/>
        </w:numPr>
        <w:spacing w:before="60" w:after="20"/>
      </w:pPr>
      <w:r>
        <w:t xml:space="preserve">Do not turn exploratory recipient associations for age 65, AFP 100 ng/mL or tumor size 50 mm into new mandatory cutoffs. Relevant adverse subgroups contained only four, three and six patients, respectively.</w:t>
      </w:r>
    </w:p>
    <w:p>
      <w:pPr>
        <w:pStyle w:val="Normal"/>
        <w:widowControl/>
        <w:numPr>
          <w:ilvl w:val="0"/>
          <w:numId w:val="3"/>
        </w:numPr>
        <w:spacing w:before="60" w:after="20"/>
      </w:pPr>
      <w:r>
        <w:t xml:space="preserve">Vp3 observational registry first and Vp4/main/contralateral/hepatic-vein exclusion from the initial pilot remain OPEN design boundaries, not universal declarations of futility. A registry, donor offer or favorable response does not confer clinical/research/allocation approval.</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“Those with CR or PR were defined as DS responders”</w:t>
            </w:r>
          </w:p>
          <w:p>
            <w:pPr>
              <w:pStyle w:val="Normal"/>
              <w:widowControl/>
              <w:spacing w:before="60" w:after="20"/>
            </w:pPr>
            <w:r>
              <w:t xml:space="preserve">Published PDF p2 / journal p7260, response assessment</w:t>
            </w:r>
          </w:p>
          <w:p>
            <w:pPr>
              <w:pStyle w:val="Normal"/>
              <w:widowControl/>
              <w:spacing w:before="60" w:after="20"/>
            </w:pPr>
            <w:hyperlink r:id="rId92">
              <w:r>
                <w:rPr>
                  <w:color w:val="77230C"/>
                  <w:sz w:val="20"/>
                  <w:u w:val="single"/>
                </w:rPr>
                <w:t>Source</w:t>
              </w:r>
            </w:hyperlink>
            <w:r>
              <w:t xml:space="preserve"> | </w:t>
            </w:r>
            <w:hyperlink r:id="rId9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Yoon did not require the complete vascular clearance proposed here; 65/83 responders still had viable PVTT on explant.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“our study did not identify it as an independent predictor of survival.”</w:t>
            </w:r>
          </w:p>
          <w:p>
            <w:pPr>
              <w:pStyle w:val="Normal"/>
              <w:widowControl/>
              <w:spacing w:before="60" w:after="20"/>
            </w:pPr>
            <w:r>
              <w:t xml:space="preserve">Published PDF p10 / journal p7268, discussion of PVTT grade</w:t>
            </w:r>
          </w:p>
          <w:p>
            <w:pPr>
              <w:pStyle w:val="Normal"/>
              <w:widowControl/>
              <w:spacing w:before="60" w:after="20"/>
            </w:pPr>
            <w:hyperlink r:id="rId94">
              <w:r>
                <w:rPr>
                  <w:color w:val="77230C"/>
                  <w:sz w:val="20"/>
                  <w:u w:val="single"/>
                </w:rPr>
                <w:t>Source</w:t>
              </w:r>
            </w:hyperlink>
            <w:r>
              <w:t xml:space="preserve"> | </w:t>
            </w:r>
            <w:hyperlink r:id="rId9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selected cohort did not establish a sharp anatomical survival cutoff. Vp4 five-year OS was 50.0%; small numbers and non-intention-to-treat selection prevent an equivalence claim.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Ye 2024</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“lobar PVTT: tumor thrombi involving left and right branches or main portal vein”</w:t>
            </w:r>
          </w:p>
          <w:p>
            <w:pPr>
              <w:pStyle w:val="Normal"/>
              <w:widowControl/>
              <w:spacing w:before="60" w:after="20"/>
            </w:pPr>
            <w:r>
              <w:t xml:space="preserve">Complete early-online PDF p3, Diagnosis of PVTT</w:t>
            </w:r>
          </w:p>
          <w:p>
            <w:pPr>
              <w:pStyle w:val="Normal"/>
              <w:widowControl/>
              <w:spacing w:before="60" w:after="20"/>
            </w:pPr>
            <w:hyperlink r:id="rId96">
              <w:r>
                <w:rPr>
                  <w:color w:val="77230C"/>
                  <w:sz w:val="20"/>
                  <w:u w:val="single"/>
                </w:rPr>
                <w:t>Source</w:t>
              </w:r>
            </w:hyperlink>
            <w:r>
              <w:t xml:space="preserve"> | </w:t>
            </w:r>
            <w:hyperlink r:id="rId9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This poor-outcome group combines first-order and main-portal involvement. Its recurrence cannot be attributed to Vp3 alone; perioperative deaths were excluded.</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“minimum of 12 months”</w:t>
            </w:r>
          </w:p>
          <w:p>
            <w:pPr>
              <w:pStyle w:val="Normal"/>
              <w:widowControl/>
              <w:spacing w:before="60" w:after="20"/>
            </w:pPr>
            <w:r>
              <w:t xml:space="preserve">December 2025 guidance p3, treated primary-branch invasion/rupture discussion</w:t>
            </w:r>
          </w:p>
          <w:p>
            <w:pPr>
              <w:pStyle w:val="Normal"/>
              <w:widowControl/>
              <w:spacing w:before="60" w:after="20"/>
            </w:pPr>
            <w:hyperlink r:id="rId98">
              <w:r>
                <w:rPr>
                  <w:color w:val="77230C"/>
                  <w:sz w:val="20"/>
                  <w:u w:val="single"/>
                </w:rPr>
                <w:t>Source</w:t>
              </w:r>
            </w:hyperlink>
            <w:r>
              <w:t xml:space="preserve"> | </w:t>
            </w:r>
            <w:hyperlink r:id="rId9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Applies to specified case-by-case exception considerations; applying this duration to every Vp1–2 study candidate is local conservatism.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“with censoring at last follow-up or death without recurrence.”</w:t>
            </w:r>
          </w:p>
          <w:p>
            <w:pPr>
              <w:pStyle w:val="Normal"/>
              <w:widowControl/>
              <w:spacing w:before="60" w:after="20"/>
            </w:pPr>
            <w:r>
              <w:t xml:space="preserve">Full main PDF p5, Statistical analysis, definition of RFS</w:t>
            </w:r>
          </w:p>
          <w:p>
            <w:pPr>
              <w:pStyle w:val="Normal"/>
              <w:widowControl/>
              <w:spacing w:before="60" w:after="20"/>
            </w:pPr>
            <w:hyperlink r:id="rId100">
              <w:r>
                <w:rPr>
                  <w:color w:val="77230C"/>
                  <w:sz w:val="20"/>
                  <w:u w:val="single"/>
                </w:rPr>
                <w:t>Source</w:t>
              </w:r>
            </w:hyperlink>
            <w:r>
              <w:t xml:space="preserve"> | </w:t>
            </w:r>
            <w:hyperlink r:id="rId10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Author RFS is recurrence-only with nonrecurrence deaths censored; 79.3% is not death-inclusive disease-free survival and is not a competing-risk recurrence estimate.</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“criteria for successful downstaging were not defined a priori by a unified protocol”</w:t>
            </w:r>
          </w:p>
          <w:p>
            <w:pPr>
              <w:pStyle w:val="Normal"/>
              <w:widowControl/>
              <w:spacing w:before="60" w:after="20"/>
            </w:pPr>
            <w:r>
              <w:t xml:space="preserve">Full main PDF p4, Criteria for successful downstaging and liver transplant</w:t>
            </w:r>
          </w:p>
          <w:p>
            <w:pPr>
              <w:pStyle w:val="Normal"/>
              <w:widowControl/>
              <w:spacing w:before="60" w:after="20"/>
            </w:pPr>
            <w:hyperlink r:id="rId102">
              <w:r>
                <w:rPr>
                  <w:color w:val="77230C"/>
                  <w:sz w:val="20"/>
                  <w:u w:val="single"/>
                </w:rPr>
                <w:t>Source</w:t>
              </w:r>
            </w:hyperlink>
            <w:r>
              <w:t xml:space="preserve"> | </w:t>
            </w:r>
            <w:hyperlink r:id="rId10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centers shared a minimum response interval but differed in vascular response, tumor burden and AFP selection. Their combined results do not prospectively validate one composite eligibility rule.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Develop an initial Vp1–2-only transplanting study; keep Vp3 registry-first and Vp4/hepatic-vein expansion closed.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IwPC9SZWNOdW0+PERpc3BsYXlUZXh0PltWMTYtMjBdPC9EaXNwbGF5VGV4dD48cmVjb3JkPjxyZWMtbnVtYmVyPjIwPC9yZWMtbnVtYmVyPjxmb3JlaWduLWtleXM+PGtleSBhcHA9IkVOIiBkYi1pZD0iN2U3OGIxNWItODYzMy01ZWMwLWEwYjQtY2U4YmRhNDhjMjY2IiB0aW1lc3RhbXA9IjE3OTMyODM2ODMiPjIw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IxPC9SZWNOdW0+PERpc3BsYXlUZXh0PltWMTYtMjFdPC9EaXNwbGF5VGV4dD48cmVjb3JkPjxyZWMtbnVtYmVyPjIxPC9yZWMtbnVtYmVyPjxmb3JlaWduLWtleXM+PGtleSBhcHA9IkVOIiBkYi1pZD0iN2U3OGIxNWItODYzMy01ZWMwLWEwYjQtY2U4YmRhNDhjMjY2IiB0aW1lc3RhbXA9IjE3OTMyODM2ODMiPjIx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IzPC9SZWNOdW0+PERpc3BsYXlUZXh0PltWMTYtMjNdPC9EaXNwbGF5VGV4dD48cmVjb3JkPjxyZWMtbnVtYmVyPjIzPC9yZWMtbnVtYmVyPjxmb3JlaWduLWtleXM+PGtleSBhcHA9IkVOIiBkYi1pZD0iN2U3OGIxNWItODYzMy01ZWMwLWEwYjQtY2U4YmRhNDhjMjY2IiB0aW1lc3RhbXA9IjE3OTMyODM2ODMiPjIz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yNDwvUmVjTnVtPjxEaXNwbGF5VGV4dD5bVjE2LTI0XTwvRGlzcGxheVRleHQ+PHJlY29yZD48cmVjLW51bWJlcj4yNDwvcmVjLW51bWJlcj48Zm9yZWlnbi1rZXlzPjxrZXkgYXBwPSJFTiIgZGItaWQ9IjdlNzhiMTViLTg2MzMtNWVjMC1hMGI0LWNlOGJkYTQ4YzI2NiIgdGltZXN0YW1wPSIxNzkzMjgzNjgzIj4yN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</w:fldData>
        </w:fldChar>
      </w:r>
      <w:r>
        <w:instrText xml:space="preserve"> ADDIN EN.CITE.DATA </w:instrText>
      </w:r>
      <w:r>
        <w:fldChar w:fldCharType="end"/>
      </w:r>
      <w:r>
        <w:fldChar w:fldCharType="separate"/>
      </w:r>
      <w:r>
        <w:t xml:space="preserve">[V16-26]</w:t>
      </w:r>
      <w:r>
        <w:fldChar w:fldCharType="end"/>
      </w:r>
    </w:p>
    <w:p>
      <w:pPr>
        <w:pStyle w:val="Normal"/>
        <w:widowControl/>
        <w:numPr>
          <w:ilvl w:val="0"/>
          <w:numId w:val="3"/>
        </w:numPr>
      </w:pPr>
      <w:r>
        <w:t xml:space="preserve">Original Vp1 or Vp2 only, confirmed by central review of pretreatment imaging and an explicit vessel-anatomy map.</w:t>
      </w:r>
    </w:p>
    <w:p>
      <w:pPr>
        <w:pStyle w:val="Normal"/>
        <w:widowControl/>
        <w:numPr>
          <w:ilvl w:val="1"/>
          <w:numId w:val="3"/>
        </w:numPr>
        <w:spacing w:before="60" w:after="20"/>
      </w:pPr>
      <w:r>
        <w:t xml:space="preserve">Exclude Vp3, Vp4/main or contralateral portal involvement, hepatic-vein involvement, prior rupture and combined expanded-burden experiments from the initial transplanting pilot.</w:t>
      </w:r>
    </w:p>
    <w:p>
      <w:pPr>
        <w:pStyle w:val="Normal"/>
        <w:widowControl/>
        <w:numPr>
          <w:ilvl w:val="1"/>
          <w:numId w:val="3"/>
        </w:numPr>
        <w:spacing w:before="60" w:after="20"/>
      </w:pPr>
      <w:r>
        <w:t xml:space="preserve">These are OPEN study boundaries, not universal futility claims.</w:t>
      </w:r>
    </w:p>
    <w:p>
      <w:pPr>
        <w:pStyle w:val="Normal"/>
        <w:widowControl/>
        <w:numPr>
          <w:ilvl w:val="0"/>
          <w:numId w:val="3"/>
        </w:numPr>
      </w:pPr>
      <w:r>
        <w:t xml:space="preserve">Require centrally adjudicated complete absence of enhancing viable vascular tumor, parenchymal burden within Milan or nonviable, no extrahepatic disease, and at least 12 continuous months of control with imaging approximately every three months.</w:t>
      </w:r>
    </w:p>
    <w:p>
      <w:pPr>
        <w:pStyle w:val="Normal"/>
        <w:widowControl/>
        <w:numPr>
          <w:ilvl w:val="1"/>
          <w:numId w:val="3"/>
        </w:numPr>
        <w:spacing w:before="60" w:after="20"/>
      </w:pPr>
      <w:r>
        <w:t xml:space="preserve">Start the control clock at the first scan meeting all proposed response criteria; do not count the treatment date or the cohort's median time to LT as that clock.</w:t>
      </w:r>
    </w:p>
    <w:p>
      <w:pPr>
        <w:pStyle w:val="Normal"/>
        <w:widowControl/>
        <w:numPr>
          <w:ilvl w:val="0"/>
          <w:numId w:val="3"/>
        </w:numPr>
      </w:pPr>
      <w:r>
        <w:t xml:space="preserve">Confirmed recurrent or persistent viable vascular tumor or extrahepatic metastasis fails the proposed transplant gate.</w:t>
      </w:r>
    </w:p>
    <w:p>
      <w:pPr>
        <w:pStyle w:val="Normal"/>
        <w:widowControl/>
        <w:numPr>
          <w:ilvl w:val="1"/>
          <w:numId w:val="3"/>
        </w:numPr>
        <w:spacing w:before="60" w:after="20"/>
      </w:pPr>
      <w:r>
        <w:t xml:space="preserve">Indeterminate post-Y90 enhancement, bland-versus-tumor uncertainty or discordant reads requires HOLD, expert review and interval reassessment; enhancement alone is not automatically proof of viable tumor, and unresolved response cannot authorize LT.</w:t>
      </w:r>
    </w:p>
    <w:p>
      <w:pPr>
        <w:pStyle w:val="Normal"/>
        <w:widowControl/>
        <w:numPr>
          <w:ilvl w:val="0"/>
          <w:numId w:val="3"/>
        </w:numPr>
      </w:pPr>
      <w:r>
        <w:t xml:space="preserve">In counseling and the prospective dataset, report all-entry survival and the proportion reaching LT separately from recipient survival, crude recurrence, death-censored RFS and perioperative morbidity/mortality.</w:t>
      </w:r>
    </w:p>
    <w:p>
      <w:pPr>
        <w:pStyle w:val="Normal"/>
        <w:widowControl/>
        <w:numPr>
          <w:ilvl w:val="1"/>
          <w:numId w:val="3"/>
        </w:numPr>
        <w:spacing w:before="60" w:after="20"/>
      </w:pPr>
      <w:r>
        <w:t xml:space="preserve">Do not describe Sposito's 79.3% RFS as alive-and-recurrence-free survival or derive recurrence incidence by subtraction.</w:t>
      </w:r>
    </w:p>
    <w:p>
      <w:pPr>
        <w:pStyle w:val="Normal"/>
        <w:widowControl/>
        <w:spacing w:before="60" w:after="20"/>
      </w:pPr>
      <w:r>
        <w:rPr>
          <w:b/>
        </w:rPr>
        <w:t xml:space="preserve">Why retain or change it: </w:t>
      </w:r>
      <w:r>
        <w:t xml:space="preserve">Retain the OPEN initial original-Vp1–2/complete-vascular-response/at-least-12-month study proposal, with bounded parenchymal burden and expert imaging adjudication. This conservative combination is not validated by Sposito's less restrictive retrospective selection. Explain the 37/240 chance of reaching LT, 61.6% five-year recipient OS, six recurrences, four perioperative deaths and 13 major complications using their separate denominators and endpoints. Do not promote branch PVTT into the standard pathway or create US allocation priority from Italian deceased-donor experience. Vp3 remains registry-first without transplant authority; any expansion needs separate prospective and allocation review.</w:t>
      </w:r>
    </w:p>
    <w:p>
      <w:pPr>
        <w:pStyle w:val="Heading3"/>
        <w:keepNext/>
        <w:widowControl/>
      </w:pPr>
      <w:r>
        <w:t xml:space="preserve">Information required before the decision</w:t>
      </w:r>
    </w:p>
    <w:p>
      <w:pPr>
        <w:pStyle w:val="Normal"/>
        <w:widowControl/>
        <w:spacing w:before="60" w:after="20"/>
      </w:pPr>
      <w:r>
        <w:t xml:space="preserve">Original vessel-by-vessel map with Vp grade; expert serial contrast CT/MRI; chest staging; AFP; separate vascular and parenchymal response; resection options. Crosswalk the original study/anatomic vascular definition to current Vp grade. Record vascular response separately from overall mRECIST response; neither excludes microscopic viable PVTT.</w:t>
      </w:r>
    </w:p>
    <w:p>
      <w:pPr>
        <w:pStyle w:val="Normal"/>
        <w:widowControl/>
        <w:spacing w:before="60" w:after="20"/>
      </w:pPr>
      <w:r>
        <w:rPr>
          <w:b/>
        </w:rPr>
        <w:t xml:space="preserve">Clinical versus allocation: </w:t>
      </w:r>
      <w:r>
        <w:t xml:space="preserve">Clinical study eligibility cannot override the main-portal/hepatic-vein exception contraindications or grant priority. Obtain a separate documented organ route.</w:t>
      </w:r>
    </w:p>
    <w:p>
      <w:pPr>
        <w:pStyle w:val="Normal"/>
        <w:widowControl/>
        <w:spacing w:before="60" w:after="20"/>
      </w:pPr>
      <w:r>
        <w:rPr>
          <w:b/>
        </w:rPr>
        <w:t xml:space="preserve">Roadmap / protocol reconciliation: </w:t>
      </w:r>
      <w:r>
        <w:t xml:space="preserve">Continue standard HCC treatment and restaging while the study is developed; radiographic downstaging alone is not an instruction to list.</w:t>
      </w:r>
    </w:p>
    <w:p>
      <w:pPr>
        <w:pStyle w:val="Normal"/>
        <w:widowControl/>
        <w:spacing w:before="60" w:after="20"/>
      </w:pPr>
      <w:hyperlink r:id="rId104">
        <w:r>
          <w:rPr>
            <w:color w:val="77230C"/>
            <w:sz w:val="20"/>
            <w:u w:val="single"/>
          </w:rPr>
          <w:t>Meeting record: HCC-B2</w:t>
        </w:r>
      </w:hyperlink>
      <w:r>
        <w:t xml:space="preserve">  |  </w:t>
      </w:r>
      <w:hyperlink r:id="rId10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4 Downstaging treatment and response assessment</w:t>
      </w:r>
    </w:p>
    <w:p>
      <w:pPr>
        <w:pStyle w:val="Heading1"/>
        <w:widowControl/>
        <w:keepNext/>
      </w:pPr>
      <w:r>
        <w:t xml:space="preserve">4.1 Treatment-to-transplant interface</w:t>
      </w:r>
    </w:p>
    <w:p>
      <w:pPr>
        <w:pStyle w:val="Normal"/>
        <w:widowControl/>
        <w:spacing w:after="120"/>
      </w:pPr>
      <w:r>
        <w:t xml:space="preserve">Purpose: select treatment that controls disease while preserving liver function and the planned transplant route. This section is not a general HCC regimen catalogue. All selection criteria, allocation rules and high-risk meeting decisions elsewhere in this protocol remain in force.</w:t>
      </w:r>
    </w:p>
    <w:p>
      <w:pPr>
        <w:pStyle w:val="Normal"/>
        <w:widowControl/>
        <w:spacing w:after="120"/>
      </w:pPr>
      <w:r>
        <w:t xml:space="preserve">Treatment comparisons and regimen details: </w:t>
      </w:r>
      <w:hyperlink r:id="rId402">
        <w:r>
          <w:rPr>
            <w:color w:val="0563C1"/>
            <w:u w:val="single"/>
          </w:rPr>
          <w:t>HCC cancer roadmap — liver-directed and systemic matrices</w:t>
        </w:r>
      </w:hyperlink>
      <w:r>
        <w:t xml:space="preserve"> | </w:t>
      </w:r>
      <w:hyperlink r:id="rId403">
        <w:r>
          <w:rPr>
            <w:color w:val="0563C1"/>
            <w:u w:val="single"/>
          </w:rPr>
          <w:t>Systemic matrix extract</w:t>
        </w:r>
      </w:hyperlink>
    </w:p>
    <w:p>
      <w:pPr>
        <w:pStyle w:val="Heading2"/>
        <w:widowControl/>
        <w:keepNext/>
      </w:pPr>
      <w:r>
        <w:t xml:space="preserve">Before treatment</w:t>
      </w:r>
    </w:p>
    <w:p>
      <w:pPr>
        <w:pStyle w:val="Normal"/>
        <w:widowControl/>
        <w:spacing w:after="120"/>
        <w:numPr>
          <w:ilvl w:val="0"/>
          <w:numId w:val="5"/>
        </w:numPr>
      </w:pPr>
      <w:r>
        <w:t xml:space="preserve">Record the objective: bridging within the accepted route, downstaging toward an explicitly defined route, or nontransplant disease control. Record pretreatment tumor sites and dimensions, vascular/extrahepatic status, AFP trend, Child-Pugh, performance status and the expected waiting period.</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after="120"/>
        <w:numPr>
          <w:ilvl w:val="0"/>
          <w:numId w:val="5"/>
        </w:numPr>
      </w:pPr>
      <w:r>
        <w:t xml:space="preserve">MDT selects among thermal ablation, arterial embolization, radioembolization and external beam radiation according to anatomy, liver reserve, portal flow, prior treatment, local expertise and feasibility. No modality is universally the preferred bridge. A selective technical plan and the reserve needed for the next step must be documented.</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jc8L1JlY051bT48RGlzcGxheVRleHQ+W1YxNi0yN108L0Rpc3BsYXlUZXh0PjxyZWNvcmQ+PHJlYy1udW1iZXI+Mjc8L3JlYy1udW1iZXI+PGZvcmVpZ24ta2V5cz48a2V5IGFwcD0iRU4iIGRiLWlkPSI3ZTc4YjE1Yi04NjMzLTVlYzAtYTBiNC1jZThiZGE0OGMyNjYiIHRpbWVzdGFtcD0iMTc5MzI4MzY4MyI+Mjc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wcnJvLjIwMjEuMDkuMDA0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spacing w:after="120"/>
        <w:numPr>
          <w:ilvl w:val="0"/>
          <w:numId w:val="5"/>
        </w:numPr>
      </w:pPr>
      <w:r>
        <w:t xml:space="preserve">Do not proceed with an elective treatment plan until decompensation, infection, bleeding, biliary obstruction and procedure-specific nontarget risks have been evaluated and addressed. An unresolved safety problem requires reconsideration of treatment, not automatic exclusion from every transplant pathway.</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</w:fldData>
        </w:fldChar>
      </w:r>
      <w:r>
        <w:instrText xml:space="preserve"> ADDIN EN.CITE.DATA </w:instrText>
      </w:r>
      <w:r>
        <w:fldChar w:fldCharType="end"/>
      </w:r>
      <w:r>
        <w:fldChar w:fldCharType="separate"/>
      </w:r>
      <w:r>
        <w:t xml:space="preserve">[V16-29]</w:t>
      </w:r>
      <w:r>
        <w:fldChar w:fldCharType="end"/>
      </w:r>
    </w:p>
    <w:p>
      <w:pPr>
        <w:pStyle w:val="Heading2"/>
        <w:widowControl/>
        <w:keepNext/>
      </w:pPr>
      <w:r>
        <w:t xml:space="preserve">Response and the next transplant decision</w:t>
      </w:r>
    </w:p>
    <w:p>
      <w:pPr>
        <w:pStyle w:val="Normal"/>
        <w:widowControl/>
        <w:spacing w:after="120"/>
        <w:numPr>
          <w:ilvl w:val="0"/>
          <w:numId w:val="5"/>
        </w:numPr>
      </w:pPr>
      <w:r>
        <w:t xml:space="preserve">Obtain multiphasic contrast CT or MRI with AFP and liver-function reassessment. Typical first imaging assessment is about 6 weeks after TACE and about 12 weeks after radioembolization or external beam radiation; obtain earlier imaging for a clinical concern. Tailor timing to the modality and the protocol observation window.</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after="120"/>
        <w:numPr>
          <w:ilvl w:val="0"/>
          <w:numId w:val="5"/>
        </w:numPr>
      </w:pPr>
      <w:r>
        <w:t xml:space="preserve">Use treatment-specific response interpretation. Persistent but stable or decreasing enhancement after radiation can be nonprogressing; do not call failure or mandate retreatment on enhancement alone. New or increasing masslike enhancement, a rising biomarker, or clinical deterioration requires joint radiology/MDT review.</w:t>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MDwvUmVjTnVtPjxEaXNwbGF5VGV4dD5bVjE2LTMwXTwvRGlzcGxheVRleHQ+PHJlY29yZD48cmVjLW51bWJlcj4zMDwvcmVjLW51bWJlcj48Zm9yZWlnbi1rZXlzPjxrZXkgYXBwPSJFTiIgZGItaWQ9IjdlNzhiMTViLTg2MzMtNWVjMC1hMGI0LWNlOGJkYTQ4YzI2NiIgdGltZXN0YW1wPSIxNzkzMjgzNjgzIj4zM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[V16-30]</w:t>
      </w:r>
      <w:r>
        <w:fldChar w:fldCharType="end"/>
      </w:r>
    </w:p>
    <w:p>
      <w:pPr>
        <w:pStyle w:val="Normal"/>
        <w:widowControl/>
        <w:spacing w:after="120"/>
        <w:numPr>
          <w:ilvl w:val="0"/>
          <w:numId w:val="5"/>
        </w:numPr>
      </w:pPr>
      <w:r>
        <w:t xml:space="preserve">Advance only after the selected route’s tumor-burden, response, reserve, observation and allocation conditions are documented. Cancer control and eligibility for an allocation exception are separate conclusions. Repeat treatment only when residual/progressive disease and expected benefit justify the reserve and toxicity cost.</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after="120"/>
        <w:numPr>
          <w:ilvl w:val="0"/>
          <w:numId w:val="5"/>
        </w:numPr>
      </w:pPr>
      <w:r>
        <w:t xml:space="preserve">Restage while waiting, generally at approximately 3-month intervals, with earlier review for progression or toxicity and any shorter protocol-specific surveillance requirement. Document viable disease and AFP rather than reclassifying treated scars as new untreated tumors.</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after="120"/>
        <w:numPr>
          <w:ilvl w:val="0"/>
          <w:numId w:val="5"/>
        </w:numPr>
      </w:pPr>
      <w:r>
        <w:t xml:space="preserve">For high-risk conversion, retain the OPEN local surveillance proposal in the B decisions: AFP every 4 weeks and imaging every 6–8 weeks when clinically appropriate. Early post-radiation scans are interim assessments, not proof of failure; reconcile with the usual approximately 12-week primary response assessment. NLRB observation after completed downstaging is a separate eligibility requirement and is not replaced by an early response scan.</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MDwvUmVjTnVtPjxEaXNwbGF5VGV4dD5bVjE2LTMwXTwvRGlzcGxheVRleHQ+PHJlY29yZD48cmVjLW51bWJlcj4zMDwvcmVjLW51bWJlcj48Zm9yZWlnbi1rZXlzPjxrZXkgYXBwPSJFTiIgZGItaWQ9IjdlNzhiMTViLTg2MzMtNWVjMC1hMGI0LWNlOGJkYTQ4YzI2NiIgdGltZXN0YW1wPSIxNzkzMjgzNjgzIj4zM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[V16-30]</w:t>
      </w:r>
      <w:r>
        <w:fldChar w:fldCharType="end"/>
      </w:r>
    </w:p>
    <w:p>
      <w:pPr>
        <w:pStyle w:val="Heading2"/>
        <w:widowControl/>
        <w:keepNext/>
      </w:pPr>
      <w:r>
        <w:t xml:space="preserve">Systemic exposure and operative safety</w:t>
      </w:r>
    </w:p>
    <w:p>
      <w:pPr>
        <w:pStyle w:val="Normal"/>
        <w:widowControl/>
        <w:spacing w:after="120"/>
        <w:numPr>
          <w:ilvl w:val="0"/>
          <w:numId w:val="5"/>
        </w:numPr>
      </w:pPr>
      <w:r>
        <w:t xml:space="preserve">Do not add systemic therapy routinely just because transplantation is planned. If needed for disease control, oncology selects a regimen using the cancer roadmap and records its intent, evidence, anticipated benefit and transplant implications before the first dose.</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jc8L1JlY051bT48RGlzcGxheVRleHQ+W1YxNi0yN108L0Rpc3BsYXlUZXh0PjxyZWNvcmQ+PHJlYy1udW1iZXI+Mjc8L3JlYy1udW1iZXI+PGZvcmVpZ24ta2V5cz48a2V5IGFwcD0iRU4iIGRiLWlkPSI3ZTc4YjE1Yi04NjMzLTVlYzAtYTBiNC1jZThiZGE0OGMyNjYiIHRpbWVzdGFtcD0iMTc5MzI4MzY4MyI+Mjc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p>
    <w:p>
      <w:pPr>
        <w:pStyle w:val="Normal"/>
        <w:widowControl/>
        <w:spacing w:after="120"/>
        <w:numPr>
          <w:ilvl w:val="0"/>
          <w:numId w:val="5"/>
        </w:numPr>
      </w:pPr>
      <w:r>
        <w:t xml:space="preserve">Before any immune checkpoint inhibitor in an LT-intent patient, obtain prospective transplant/oncology review and a documented stop, reassessment and washout plan. Follow the protocol’s existing ICI decision and meeting record. No single interval guarantees freedom from rejection; the proposed local threshold is not a validated universal safe boundary.</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Ni0zMl08L0Rpc3BsYXlUZXh0PjxyZWNvcmQ+PHJlYy1udW1iZXI+MzI8L3JlYy1udW1iZXI+PGZvcmVpZ24ta2V5cz48a2V5IGFwcD0iRU4iIGRiLWlkPSI3ZTc4YjE1Yi04NjMzLTVlYzAtYTBiNC1jZThiZGE0OGMyNjYiIHRpbWVzdGFtcD0iMTc5MzI4MzY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p>
    <w:p>
      <w:pPr>
        <w:pStyle w:val="Normal"/>
        <w:widowControl/>
        <w:spacing w:after="120"/>
        <w:numPr>
          <w:ilvl w:val="0"/>
          <w:numId w:val="5"/>
        </w:numPr>
      </w:pPr>
      <w:r>
        <w:t xml:space="preserve">Use agent-specific perioperative holds. The bevacizumab label requires at least 28 days before elective surgery and at least 28 days after major surgery with adequate wound healing; this minimum is not a proven safe LT interval. Transplant timing may require a longer individualized interval. TKIs also require their own label/pharmacy review.</w:t>
      </w:r>
      <w:r>
        <w:t xml:space="preserve"> </w:t>
      </w:r>
      <w:r>
        <w:t xml:space="preserve"> </w:t>
      </w:r>
      <w:r>
        <w:t xml:space="preserve"> </w:t>
      </w:r>
      <w:r>
        <w:fldChar w:fldCharType="begin"/>
      </w:r>
      <w:r>
        <w:instrText xml:space="preserve"> ADDIN EN.CITE </w:instrText>
      </w:r>
      <w:r>
        <w:fldChar w:fldCharType="begin">
          <w:fldData>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spacing w:after="120"/>
        <w:numPr>
          <w:ilvl w:val="0"/>
          <w:numId w:val="5"/>
        </w:numPr>
      </w:pPr>
      <w:r>
        <w:t xml:space="preserve">After LT, do not automatically apply the nontransplant ICI matrix. Rejection and graft-loss risk require transplant/oncology assessment and an explicit exceptional-use decision; use the recurrence and immunosuppression sections of the protocol.</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</w:fldData>
        </w:fldChar>
      </w:r>
      <w:r>
        <w:instrText xml:space="preserve"> ADDIN EN.CITE.DATA </w:instrText>
      </w:r>
      <w:r>
        <w:fldChar w:fldCharType="end"/>
      </w:r>
      <w:r>
        <w:fldChar w:fldCharType="separate"/>
      </w:r>
      <w:r>
        <w:t xml:space="preserve">[V16-34]</w:t>
      </w:r>
      <w:r>
        <w:fldChar w:fldCharType="end"/>
      </w:r>
    </w:p>
    <w:p>
      <w:pPr>
        <w:pStyle w:val="Heading2"/>
        <w:widowControl/>
        <w:keepNext/>
      </w:pPr>
      <w:r>
        <w:t xml:space="preserve">4.2 ICI evidence and B3 decision</w:t>
      </w:r>
    </w:p>
    <w:p>
      <w:pPr>
        <w:pStyle w:val="Normal"/>
        <w:widowControl/>
      </w:pPr>
      <w:r>
        <w:t xml:space="preserve">VITALITY reported 117 assessed patients, 65/86 ever beyond Milan downstaged, and 43/117 transplanted; most also received locoregional therapy. ImmunoXXL reported 16 selected transplanted patients from 61 treated, with four rejection events. These studies do not isolate an ICI effect from selection or concomitant therapy. The main papers have been fully reviewed; any separately referenced, unavailable supplements remain identified in the source-specific notes.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Ni0zMl08L0Rpc3BsYXlUZXh0PjxyZWNvcmQ+PHJlYy1udW1iZXI+MzI8L3JlYy1udW1iZXI+PGZvcmVpZ24ta2V5cz48a2V5IGFwcD0iRU4iIGRiLWlkPSI3ZTc4YjE1Yi04NjMzLTVlYzAtYTBiNC1jZThiZGE0OGMyNjYiIHRpbWVzdGFtcD0iMTc5MzI4MzY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Ni0zNV08L0Rpc3BsYXlUZXh0PjxyZWNvcmQ+PHJlYy1udW1iZXI+MzU8L3JlYy1udW1iZXI+PGZvcmVpZ24ta2V5cz48a2V5IGFwcD0iRU4iIGRiLWlkPSI3ZTc4YjE1Yi04NjMzLTVlYzAtYTBiNC1jZThiZGE0OGMyNjYiIHRpbWVzdGFtcD0iMTc5MzI4MzY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p>
    <w:p>
      <w:pPr>
        <w:pStyle w:val="Normal"/>
        <w:widowControl/>
        <w:numPr>
          <w:ilvl w:val="0"/>
          <w:numId w:val="3"/>
        </w:numPr>
      </w:pPr>
      <w:r>
        <w:t xml:space="preserve">Record ICI agent, every exposure date, last dose, immune-related adverse events and treatment, active infection, renal function and other immunosuppression. The OPEN HCC-B3 proposal is an elective interval of at least 90 days plus a separate toxicity gate. It is a conservative local safeguard, not a proven safe minimum or an OPTN requirement. Shorter exceptional-care timing requires explicit independent review; longer intervals do not eliminate risk.</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p>
    <w:p>
      <w:pPr>
        <w:pStyle w:val="Normal"/>
        <w:widowControl/>
      </w:pPr>
      <w:r>
        <w:t xml:space="preserve">In a 119-recipient international cohort there were 24 rejection events and six rejection-related graft losses. Shorter washout was associated with more rejection; the above-50-day reference group is not an evidentiary guarantee of safety. The 91-patient individual-patient meta-analysis is largely retrospective. Prior immune toxicity is a risk signal, not proof that ATG or higher tacrolimus targets prevents rejection.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p>
    <w:p>
      <w:pPr>
        <w:pStyle w:val="Heading3"/>
        <w:keepNext/>
        <w:widowControl/>
      </w:pPr>
      <w:bookmarkStart w:id="3" w:name="HCC_B3"/>
      <w:r>
        <w:t xml:space="preserve">HCC-B3 — How should prior ICI alter activation and consent?</w:t>
      </w:r>
      <w:bookmarkEnd w:id="3"/>
    </w:p>
    <w:p>
      <w:pPr>
        <w:pStyle w:val="Heading3"/>
        <w:keepNext/>
        <w:widowControl/>
      </w:pPr>
      <w:r>
        <w:t xml:space="preserve">Question and comparison</w:t>
      </w:r>
    </w:p>
    <w:p>
      <w:pPr>
        <w:pStyle w:val="Normal"/>
        <w:widowControl/>
        <w:spacing w:before="60" w:after="20"/>
      </w:pPr>
      <w:r>
        <w:t xml:space="preserve">Patients with HCC treated with immune checkpoint inhibitors before planned LT; compare shorter versus longer ICI-free intervals, prior irAE versus none, and ICI-exposed versus non-ICI recipients. Assess treatment-entry tumor control/access to LT separately from recipient rejection, graft loss, recurrence and survival.</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VITALITY · Tabrizian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Ni0zMl08L0Rpc3BsYXlUZXh0PjxyZWNvcmQ+PHJlYy1udW1iZXI+MzI8L3JlYy1udW1iZXI+PGZvcmVpZ24ta2V5cz48a2V5IGFwcD0iRU4iIGRiLWlkPSI3ZTc4YjE1Yi04NjMzLTVlYzAtYTBiNC1jZThiZGE0OGMyNjYiIHRpbWVzdGFtcD0iMTc5MzI4MzY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p>
          <w:p>
            <w:pPr>
              <w:pStyle w:val="Normal"/>
              <w:widowControl/>
              <w:spacing w:before="60" w:after="20"/>
            </w:pPr>
            <w:r>
              <w:t xml:space="preserve">Prospectively collected six-center observational cohort, January 2016–August 2023; 117 ICI-treated adults with intent to transplant. Baseline 70 within Milan and 47 beyond; 39 of the original within-Milan patients later progressed, yielding 31 always-within and 86 ever-beyond. ICI chosen after inadequate/exhausted LRT, high AFP or technical LRT infeasibility; 110/117 also received LRT.</w:t>
            </w:r>
          </w:p>
          <w:p>
            <w:pPr>
              <w:pStyle w:val="Normal"/>
              <w:widowControl/>
              <w:spacing w:before="60" w:after="20"/>
            </w:pPr>
            <w:hyperlink r:id="rId106">
              <w:r>
                <w:rPr>
                  <w:color w:val="77230C"/>
                  <w:sz w:val="20"/>
                  <w:u w:val="single"/>
                </w:rPr>
                <w:t>Primary source</w:t>
              </w:r>
            </w:hyperlink>
            <w:r>
              <w:t xml:space="preserve"> | </w:t>
            </w:r>
            <w:hyperlink r:id="rId107">
              <w:r>
                <w:rPr>
                  <w:color w:val="77230C"/>
                  <w:sz w:val="20"/>
                  <w:u w:val="single"/>
                </w:rPr>
                <w:t>Full-text PDF</w:t>
              </w:r>
            </w:hyperlink>
          </w:p>
          <w:p>
            <w:pPr>
              <w:pStyle w:val="Normal"/>
              <w:widowControl/>
              <w:spacing w:before="60" w:after="20"/>
            </w:pPr>
            <w:r>
              <w:t xml:space="preserve">Locator: PDF p 3/j 513 Methods and time origins | PDF p 4/j 514 baseline counts | PDF p 5/j 515 toxicities/outcomes | PDF p 6/j 516 Figure 1 and LT outcomes | PDF p 8–9/j 518–519 Tables 3–5 | PDF p 10/j 520 limitations</w:t>
            </w:r>
          </w:p>
          <w:p>
            <w:pPr>
              <w:pStyle w:val="Normal"/>
              <w:widowControl/>
              <w:spacing w:before="60" w:after="20"/>
            </w:pPr>
            <w:r>
              <w:t xml:space="preserve">Review depth: Complete main-paper PDF read: all 12 pages, including methods/results/tables/discussion, Figure 1 and references. Separate supplement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65/86 ever-beyond downstaged (75.6%), median 5.6 months. Three-year ITT survival 71.1% (Results/Figure 2; minor conflicting 70.8% in Discussion); recipient three-year survival 85%. Three-year cumulative LT 33.9%, dropout 42.6%. Complete necrosis 10/42 evaluable explants; micro/macrovascular invasion 13/41. Five HCC recurrences, none with complete explant necrosis. Median ICI washout 43 days; 29/43 &lt;3 months, 14/43 ≥3 months. Safety: Seven biopsy-proven rejections, six after &lt;3-month washout; one graft loss/retransplant after 54-day washout, no rejection-related death. Report 7 events/43 recipients (16.3% crude calculation); article says 16.7%, and Table 5 long-washout 1/13 = 7.7% despite n 14 header: one evaluable-status ambiguity remains. No grade 4–5 waitlist toxicity; two grade 3 events—Figure 1 'no grade3–5' conflicts with Table 2/text.</w:t>
            </w:r>
          </w:p>
          <w:p>
            <w:pPr>
              <w:pStyle w:val="Normal"/>
              <w:widowControl/>
              <w:spacing w:before="60" w:after="20"/>
            </w:pPr>
            <w:r>
              <w:rPr>
                <w:b/>
              </w:rPr>
              <w:t xml:space="preserve">Do not infer: </w:t>
            </w:r>
            <w:r>
              <w:t xml:space="preserve">No non-ICI comparator; treatment mix and prior-treatment survival selection; short post-LT follow-up. No demonstrated advantage from ICI addition, validated washout cutoff, immune assay or induction regimen. Supplements Figure S1 not provided.</w:t>
            </w:r>
          </w:p>
        </w:tc>
      </w:tr>
      <w:tr>
        <w:trPr/>
        <w:tc>
          <w:tcPr>
            <w:tcW w:w="3400" w:type="dxa"/>
            <w:tcMar>
              <w:top w:w="90" w:type="dxa"/>
              <w:left w:w="90" w:type="dxa"/>
              <w:bottom w:w="90" w:type="dxa"/>
              <w:right w:w="90" w:type="dxa"/>
            </w:tcMar>
          </w:tcPr>
          <w:p>
            <w:pPr>
              <w:pStyle w:val="Normal"/>
              <w:widowControl/>
              <w:spacing w:before="60" w:after="20"/>
            </w:pPr>
            <w:r>
              <w:rPr>
                <w:b/>
              </w:rPr>
              <w:t xml:space="preserve">ImmunoXXL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Ni0zNV08L0Rpc3BsYXlUZXh0PjxyZWNvcmQ+PHJlYy1udW1iZXI+MzU8L3JlYy1udW1iZXI+PGZvcmVpZ24ta2V5cz48a2V5IGFwcD0iRU4iIGRiLWlkPSI3ZTc4YjE1Yi04NjMzLTVlYzAtYTBiNC1jZThiZGE0OGMyNjYiIHRpbWVzdGFtcD0iMTc5MzI4MzY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p>
          <w:p>
            <w:pPr>
              <w:pStyle w:val="Normal"/>
              <w:widowControl/>
              <w:spacing w:before="60" w:after="20"/>
            </w:pPr>
            <w:r>
              <w:t xml:space="preserve">Single-center prospective observational phase-II-design study. Sixty-one potentially eligible patients received atezolizumab/bevacizumab from June 2022; 16 selected responders enrolled/listed/transplanted December 2022–January 2025. Initially beyond Up-to-7/UNOS-DS, not amenable to further LRT/surgery, no hepatic-vein/caval invasion or extrahepatic spread. Methods specify Child-Pugh A/ECOG 0–1 at treatment, but Table 1 includes two Child-Pugh B at diagnosis (different time point). At least three months/three cycles and modeled post-LT survival ≥60%; Figure 1 explicitly adds PVTT ≤ Vp2 and AFP ≤100 at downstaging eligibility.</w:t>
            </w:r>
          </w:p>
          <w:p>
            <w:pPr>
              <w:pStyle w:val="Normal"/>
              <w:widowControl/>
              <w:spacing w:before="60" w:after="20"/>
            </w:pPr>
            <w:hyperlink r:id="rId108">
              <w:r>
                <w:rPr>
                  <w:color w:val="77230C"/>
                  <w:sz w:val="20"/>
                  <w:u w:val="single"/>
                </w:rPr>
                <w:t>Primary source</w:t>
              </w:r>
            </w:hyperlink>
            <w:r>
              <w:t xml:space="preserve"> | </w:t>
            </w:r>
            <w:hyperlink r:id="rId109">
              <w:r>
                <w:rPr>
                  <w:color w:val="77230C"/>
                  <w:sz w:val="20"/>
                  <w:u w:val="single"/>
                </w:rPr>
                <w:t>Full-text PDF</w:t>
              </w:r>
            </w:hyperlink>
          </w:p>
          <w:p>
            <w:pPr>
              <w:pStyle w:val="Normal"/>
              <w:widowControl/>
              <w:spacing w:before="60" w:after="20"/>
            </w:pPr>
            <w:r>
              <w:t xml:space="preserve">Locator: PDF p 3/j 118 eligibility/methods | PDF p 4/j 119 Figure 1 | PDF p 5/j 120 statistical time origins and cohort flow | PDF p 6/j 121 Table 1 | PDF p 7/j 122 Figures 2–3 | PDF p 8/j 123 rejection/retransplant outcomes | PDF p 10/j 125 limitations | PDF p 12/j 127 Table 2</w:t>
            </w:r>
          </w:p>
          <w:p>
            <w:pPr>
              <w:pStyle w:val="Normal"/>
              <w:widowControl/>
              <w:spacing w:before="60" w:after="20"/>
            </w:pPr>
            <w:r>
              <w:t xml:space="preserve">Review depth: Complete 14-page main-paper PDF read; Tables S1–S5 and separate supplementary methods/figures are referenced but not attached.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baseline PVTT: Figure 2 six Vp2, one Vp3, one Vp4; after treatment/explant seven complete responses and one Vp4 → Vp2. Median washout 57.5 d (IQR 29–87), follow-up 16 mo. Ten complete and six partial pathological responses. One recurrence and one death; reported two-year recurrence-free estimate 90% (95% CI 62–98) and OS 94% (67–100), with above time-origin/death-censoring caveat. Radiologic counts 12 CR/4 PR equal 75%/25%, whereas text/table incorrectly label 70%/30%. Safety: Four biopsy-proven acute rejections (RAI 5–7); median washout 28 d rejecting vs 60 d nonrejecting, P = .045. Three pre-LT events labeled irAEs, including ascites and severe hypertension. Ninety-day morbidity 10/16 (62.5%), mortality 1/16 (6.3%). Two retransplants: one hepatic-artery thrombosis; one marginal-graft dysfunction mixed with rejection/sepsis, followed by death. Do not describe all graft loss as rejection-caused or the entire course as harmless/manageable rejection.</w:t>
            </w:r>
          </w:p>
          <w:p>
            <w:pPr>
              <w:pStyle w:val="Normal"/>
              <w:widowControl/>
              <w:spacing w:before="60" w:after="20"/>
            </w:pPr>
            <w:r>
              <w:rPr>
                <w:b/>
              </w:rPr>
              <w:t xml:space="preserve">Do not infer: </w:t>
            </w:r>
            <w:r>
              <w:t xml:space="preserve">Tiny selected cohort, short follow-up and wide intervals; historical proxy endpoint, no clinical survival control. Fourteen LRT-only patients served an immunoprofiling comparison, not an unbiased comparative efficacy arm. Transcriptomic/immune associations are exploratory and cannot validate a two-month safe interval or immune-clearance assay. Supplementary eligibility details unavailable.</w:t>
            </w:r>
          </w:p>
        </w:tc>
      </w:tr>
      <w:tr>
        <w:trPr/>
        <w:tc>
          <w:tcPr>
            <w:tcW w:w="3400" w:type="dxa"/>
            <w:tcMar>
              <w:top w:w="90" w:type="dxa"/>
              <w:left w:w="90" w:type="dxa"/>
              <w:bottom w:w="90" w:type="dxa"/>
              <w:right w:w="90" w:type="dxa"/>
            </w:tcMar>
          </w:tcPr>
          <w:p>
            <w:pPr>
              <w:pStyle w:val="Normal"/>
              <w:widowControl/>
              <w:spacing w:before="60" w:after="20"/>
            </w:pPr>
            <w:r>
              <w:rPr>
                <w:b/>
              </w:rPr>
              <w:t xml:space="preserve">Moeckli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p>
          <w:p>
            <w:pPr>
              <w:pStyle w:val="Normal"/>
              <w:widowControl/>
              <w:spacing w:before="60" w:after="20"/>
            </w:pPr>
            <w:r>
              <w:t xml:space="preserve">International retrospective individual-patient assembly from literature search (2017–25 Nov 2024), author/center follow-up and five previously unpublished patients; 119 recipients from 29 centers after 3 exclusions. Not 119 independent newly recruited patients. Required ICI type, washout, rejection information and ≥2 weeks post-LT follow-up. Duplicates within this assembly removed; overlap with prior IPD review acknowledged.</w:t>
            </w:r>
          </w:p>
          <w:p>
            <w:pPr>
              <w:pStyle w:val="Normal"/>
              <w:widowControl/>
              <w:spacing w:before="60" w:after="20"/>
            </w:pPr>
            <w:hyperlink r:id="rId110">
              <w:r>
                <w:rPr>
                  <w:color w:val="77230C"/>
                  <w:sz w:val="20"/>
                  <w:u w:val="single"/>
                </w:rPr>
                <w:t>Primary source</w:t>
              </w:r>
            </w:hyperlink>
            <w:r>
              <w:t xml:space="preserve"> | </w:t>
            </w:r>
            <w:hyperlink r:id="rId111">
              <w:r>
                <w:rPr>
                  <w:color w:val="77230C"/>
                  <w:sz w:val="20"/>
                  <w:u w:val="single"/>
                </w:rPr>
                <w:t>Full-text PDF</w:t>
              </w:r>
            </w:hyperlink>
          </w:p>
          <w:p>
            <w:pPr>
              <w:pStyle w:val="Normal"/>
              <w:widowControl/>
              <w:spacing w:before="60" w:after="20"/>
            </w:pPr>
            <w:r>
              <w:t xml:space="preserve">Locator: PDF p 3–4/j 1124–1125 inclusion, outcome/statistical definitions | PDF p 5–7/j 1126–1128 Table 1 and graft-loss outcomes | PDF p 8/j 1129 Figure 2 | PDF p 10–11/j 1131–1132 Table 2 | PDF p 13/j 1134 missing follow-up/limitations</w:t>
            </w:r>
          </w:p>
          <w:p>
            <w:pPr>
              <w:pStyle w:val="Normal"/>
              <w:widowControl/>
              <w:spacing w:before="60" w:after="20"/>
            </w:pPr>
            <w:r>
              <w:t xml:space="preserve">Review depth: Complete 16-page main-paper PDF read, including both parts of regression Table 2 and all figures. Supplemental Appendix/Table S1–S2/Figures S1–S3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18 mo (IQR 11–27). Reported washout bins: 0–30 d n 30, 15 rejections; 30–50 d n 23, 6; 50–90 d n 28, 2; &gt;90 d n 38, 1. Combined short 53 had 21 rejections versus long 66 had 3. Table 2 multivariable ORs versus &gt;50 d: 0–30 d 34.0 (95% CI 7.17–267), 30–50 d 10.8 (2.3–78.6); univariate 21.3/9.48. Continuous sensitivity OR .97/day (.95–.99). Data-driven 50 day choice sought observed rejection &lt;10%. No detected recurrence difference; body reports 36 mo recurrence-free 71% vs 66%, abstract 67% comparator (minor inconsistency). Safety: 24/119 rejection 20.2%, median 9 d; six rejection-related graft losses (6/119 5.0%; 6/24 25%). Four patients with graft loss subsequently died and two were retransplanted; do not label all four deaths definitively rejection-attributable without case supplement. Nine deaths among 92 with available status. Rejection/persistent graft-loss risk not zero after 90 days (one of 38).</w:t>
            </w:r>
          </w:p>
          <w:p>
            <w:pPr>
              <w:pStyle w:val="Normal"/>
              <w:widowControl/>
              <w:spacing w:before="60" w:after="20"/>
            </w:pPr>
            <w:r>
              <w:rPr>
                <w:b/>
              </w:rPr>
              <w:t xml:space="preserve">Do not infer: </w:t>
            </w:r>
            <w:r>
              <w:t xml:space="preserve">Literature-derived/publication bias, heterogeneous ascertainment and immunosuppression, one-third clinically diagnosed, small event count/data-driven cutpoint and very wide adjusted intervals. Missing donor factors undermine reassurance from nonsignificance. No capture of progression/dropout during washout, so no estimate of the longer-wait oncologic tradeoff. Main paper does not externally validate the 50 day threshold.</w:t>
            </w:r>
          </w:p>
        </w:tc>
      </w:tr>
      <w:tr>
        <w:trPr/>
        <w:tc>
          <w:tcPr>
            <w:tcW w:w="3400" w:type="dxa"/>
            <w:tcMar>
              <w:top w:w="90" w:type="dxa"/>
              <w:left w:w="90" w:type="dxa"/>
              <w:bottom w:w="90" w:type="dxa"/>
              <w:right w:w="90" w:type="dxa"/>
            </w:tcMar>
          </w:tcPr>
          <w:p>
            <w:pPr>
              <w:pStyle w:val="Normal"/>
              <w:widowControl/>
              <w:spacing w:before="60" w:after="20"/>
            </w:pPr>
            <w:r>
              <w:rPr>
                <w:b/>
              </w:rPr>
              <w:t xml:space="preserve">Rezaee-Zavareh · IPD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p>
          <w:p>
            <w:pPr>
              <w:pStyle w:val="Normal"/>
              <w:widowControl/>
              <w:spacing w:before="60" w:after="20"/>
            </w:pPr>
            <w:r>
              <w:t xml:space="preserve">Secondary systematic review and individual-patient-data analysis: 91 recipients from 30 predominantly case reports/series and cohorts.</w:t>
            </w:r>
          </w:p>
          <w:p>
            <w:pPr>
              <w:pStyle w:val="Normal"/>
              <w:widowControl/>
              <w:spacing w:before="60" w:after="20"/>
            </w:pPr>
            <w:hyperlink r:id="rId112">
              <w:r>
                <w:rPr>
                  <w:color w:val="77230C"/>
                  <w:sz w:val="20"/>
                  <w:u w:val="single"/>
                </w:rPr>
                <w:t>Primary source</w:t>
              </w:r>
            </w:hyperlink>
            <w:r>
              <w:t xml:space="preserve"> | </w:t>
            </w:r>
            <w:hyperlink r:id="rId113">
              <w:r>
                <w:rPr>
                  <w:color w:val="77230C"/>
                  <w:sz w:val="20"/>
                  <w:u w:val="single"/>
                </w:rPr>
                <w:t>Full-text PDF</w:t>
              </w:r>
            </w:hyperlink>
          </w:p>
          <w:p>
            <w:pPr>
              <w:pStyle w:val="Normal"/>
              <w:widowControl/>
              <w:spacing w:before="60" w:after="20"/>
            </w:pPr>
            <w:r>
              <w:t xml:space="preserve">Locator: Complete local author manuscript: Results/washout model; PDF p10 (manuscript p7) conclusion. Existing V6 quotation ledger retained.</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24/91 rejections (26.4%), nine recurrences and nine deaths; median follow-up 690 days. Adjusted rejection hazard ratio per additional washout week .92 (95% CI .86–.99). Ninety-four days was the median washout among modeled patients with predicted rejection probability ≤20%, not an observed universal safety cutoff.</w:t>
            </w:r>
          </w:p>
          <w:p>
            <w:pPr>
              <w:pStyle w:val="Normal"/>
              <w:widowControl/>
              <w:spacing w:before="60" w:after="20"/>
            </w:pPr>
            <w:r>
              <w:rPr>
                <w:b/>
              </w:rPr>
              <w:t xml:space="preserve">Do not infer: </w:t>
            </w:r>
            <w:r>
              <w:t xml:space="preserve">Publication/selection bias, heterogeneous regimens, small events and overlap with later cohorts. A modeled ≤20% probability does not justify telling an individual that three months eliminates rejection risk.</w:t>
            </w:r>
          </w:p>
        </w:tc>
      </w:tr>
      <w:tr>
        <w:trPr/>
        <w:tc>
          <w:tcPr>
            <w:tcW w:w="3400" w:type="dxa"/>
            <w:tcMar>
              <w:top w:w="90" w:type="dxa"/>
              <w:left w:w="90" w:type="dxa"/>
              <w:bottom w:w="90" w:type="dxa"/>
              <w:right w:w="90" w:type="dxa"/>
            </w:tcMar>
          </w:tcPr>
          <w:p>
            <w:pPr>
              <w:pStyle w:val="Normal"/>
              <w:widowControl/>
              <w:spacing w:before="60" w:after="20"/>
            </w:pPr>
            <w:r>
              <w:rPr>
                <w:b/>
              </w:rPr>
              <w:t xml:space="preserve">Fang · irAEs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p>
          <w:p>
            <w:pPr>
              <w:pStyle w:val="Normal"/>
              <w:widowControl/>
              <w:spacing w:before="60" w:after="20"/>
            </w:pPr>
            <w:r>
              <w:t xml:space="preserve">Multicenter Chinese retrospective cohort, 2018–2024: 209 ICI-exposed LT recipients.</w:t>
            </w:r>
          </w:p>
          <w:p>
            <w:pPr>
              <w:pStyle w:val="Normal"/>
              <w:widowControl/>
              <w:spacing w:before="60" w:after="20"/>
            </w:pPr>
            <w:hyperlink r:id="rId114">
              <w:r>
                <w:rPr>
                  <w:color w:val="77230C"/>
                  <w:sz w:val="20"/>
                  <w:u w:val="single"/>
                </w:rPr>
                <w:t>Primary source</w:t>
              </w:r>
            </w:hyperlink>
            <w:r>
              <w:t xml:space="preserve"> | </w:t>
            </w:r>
            <w:hyperlink r:id="rId115">
              <w:r>
                <w:rPr>
                  <w:color w:val="77230C"/>
                  <w:sz w:val="20"/>
                  <w:u w:val="single"/>
                </w:rPr>
                <w:t>Full-text PDF</w:t>
              </w:r>
            </w:hyperlink>
          </w:p>
          <w:p>
            <w:pPr>
              <w:pStyle w:val="Normal"/>
              <w:widowControl/>
              <w:spacing w:before="60" w:after="20"/>
            </w:pPr>
            <w:r>
              <w:t xml:space="preserve">Locator: Complete local PDF pp5–6, Tables 3–4; avoid reversed conditional denominators.</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Rejection occurred in 36/209 (17.2%); 61.1% biopsy proven, median ten days after LT. Correct risks from Table 3: 21/44 (47.7%) with prior irAE versus 15/165 (9.1%) without. Any irAE adjusted OR 9.17 (95% CI 4.00–21.02); washout &lt;30 days OR 3.071 (1.211–7.787). The six grade 3–4 cases split three with and three without rejection.</w:t>
            </w:r>
          </w:p>
          <w:p>
            <w:pPr>
              <w:pStyle w:val="Normal"/>
              <w:widowControl/>
              <w:spacing w:before="60" w:after="20"/>
            </w:pPr>
            <w:r>
              <w:rPr>
                <w:b/>
              </w:rPr>
              <w:t xml:space="preserve">Do not infer: </w:t>
            </w:r>
            <w:r>
              <w:t xml:space="preserve">The discussion's 58.3%/13.3% are irAE prevalence within rejection/nonrejection groups, not rejection probabilities. Too few severe irAEs to validate a grade-specific exclusion or a recovery interval.</w:t>
            </w:r>
          </w:p>
        </w:tc>
      </w:tr>
      <w:tr>
        <w:trPr/>
        <w:tc>
          <w:tcPr>
            <w:tcW w:w="3400" w:type="dxa"/>
            <w:tcMar>
              <w:top w:w="90" w:type="dxa"/>
              <w:left w:w="90" w:type="dxa"/>
              <w:bottom w:w="90" w:type="dxa"/>
              <w:right w:w="90" w:type="dxa"/>
            </w:tcMar>
          </w:tcPr>
          <w:p>
            <w:pPr>
              <w:pStyle w:val="Normal"/>
              <w:widowControl/>
              <w:spacing w:before="60" w:after="20"/>
            </w:pPr>
            <w:r>
              <w:rPr>
                <w:b/>
              </w:rPr>
              <w:t xml:space="preserve">Aceituno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2LTM4XTwvRGlzcGxheVRleHQ+PHJlY29yZD48cmVjLW51bWJlcj4zODwvcmVjLW51bWJlcj48Zm9yZWlnbi1rZXlzPjxrZXkgYXBwPSJFTiIgZGItaWQ9IjdlNzhiMTViLTg2MzMtNWVjMC1hMGI0LWNlOGJkYTQ4YzI2NiIgdGltZXN0YW1wPSIxNzkzMjgzNj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p>
          <w:p>
            <w:pPr>
              <w:pStyle w:val="Normal"/>
              <w:widowControl/>
              <w:spacing w:before="60" w:after="20"/>
            </w:pPr>
            <w:r>
              <w:t xml:space="preserve">Ten-center ICI series, 48 recipients, propensity matched with 144 Toronto non-ICI controls; 20/48 exposed cases previously published.</w:t>
            </w:r>
          </w:p>
          <w:p>
            <w:pPr>
              <w:pStyle w:val="Normal"/>
              <w:widowControl/>
              <w:spacing w:before="60" w:after="20"/>
            </w:pPr>
            <w:hyperlink r:id="rId116">
              <w:r>
                <w:rPr>
                  <w:color w:val="77230C"/>
                  <w:sz w:val="20"/>
                  <w:u w:val="single"/>
                </w:rPr>
                <w:t>Primary source</w:t>
              </w:r>
            </w:hyperlink>
            <w:r>
              <w:t xml:space="preserve"> | </w:t>
            </w:r>
            <w:hyperlink r:id="rId117">
              <w:r>
                <w:rPr>
                  <w:color w:val="77230C"/>
                  <w:sz w:val="20"/>
                  <w:u w:val="single"/>
                </w:rPr>
                <w:t>Full-text PDF</w:t>
              </w:r>
            </w:hyperlink>
          </w:p>
          <w:p>
            <w:pPr>
              <w:pStyle w:val="Normal"/>
              <w:widowControl/>
              <w:spacing w:before="60" w:after="20"/>
            </w:pPr>
            <w:r>
              <w:t xml:space="preserve">Locator: Complete local PDF pp2–5, Methods and Tables 1–2.</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Biopsy-proven rejection 9/48 (18.8%) versus 28/144 (19.4%), P=.916. Two exposed cases were steroid resistant; one rejection-related graft failure required retransplant. Overall graft failure 2/48 versus 3/144, retransplant 2 versus zero, recurrence 5/48 versus 15/144, death 7/48 versus 21/144. Median follow-up 2.6 versus 3.2 years. Table 1 washout median 60 days, IQR 22–196.</w:t>
            </w:r>
          </w:p>
          <w:p>
            <w:pPr>
              <w:pStyle w:val="Normal"/>
              <w:widowControl/>
              <w:spacing w:before="60" w:after="20"/>
            </w:pPr>
            <w:r>
              <w:rPr>
                <w:b/>
              </w:rPr>
              <w:t xml:space="preserve">Do not infer: </w:t>
            </w:r>
            <w:r>
              <w:t xml:space="preserve">No detected difference is not equivalence. Substantial tumor-risk imbalance and published-case overlap. Abstract washout IQR 13–96 conflicts with Table 1 and appears to match rejection-onset timing; use table and flag discrepancy. It cannot reassure about prior irAE risk.</w:t>
            </w:r>
          </w:p>
        </w:tc>
      </w:tr>
      <w:tr>
        <w:trPr/>
        <w:tc>
          <w:tcPr>
            <w:tcW w:w="3400" w:type="dxa"/>
            <w:tcMar>
              <w:top w:w="90" w:type="dxa"/>
              <w:left w:w="90" w:type="dxa"/>
              <w:bottom w:w="90" w:type="dxa"/>
              <w:right w:w="90" w:type="dxa"/>
            </w:tcMar>
          </w:tcPr>
          <w:p>
            <w:pPr>
              <w:pStyle w:val="Normal"/>
              <w:widowControl/>
              <w:spacing w:before="60" w:after="20"/>
            </w:pPr>
            <w:r>
              <w:rPr>
                <w:b/>
              </w:rPr>
              <w:t xml:space="preserve">LITCHI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zOTwvUmVjTnVtPjxEaXNwbGF5VGV4dD5bVjE2LTM5XTwvRGlzcGxheVRleHQ+PHJlY29yZD48cmVjLW51bWJlcj4zOTwvcmVjLW51bWJlcj48Zm9yZWlnbi1rZXlzPjxrZXkgYXBwPSJFTiIgZGItaWQ9IjdlNzhiMTViLTg2MzMtNWVjMC1hMGI0LWNlOGJkYTQ4YzI2NiIgdGltZXN0YW1wPSIxNzkzMjgzNjgzIj4zOT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[V16-39]</w:t>
            </w:r>
            <w:r>
              <w:fldChar w:fldCharType="end"/>
            </w:r>
          </w:p>
          <w:p>
            <w:pPr>
              <w:pStyle w:val="Normal"/>
              <w:widowControl/>
              <w:spacing w:before="60" w:after="20"/>
            </w:pPr>
            <w:r>
              <w:t xml:space="preserve">European multicenter series of 18 ICI-exposed LT recipients: 15 atezolizumab–bevacizumab, two nivolumab and one pembrolizumab. Fourteen of 17 evaluable patients were beyond Milan before treatment and seven of 17 remained beyond Milan before LT.</w:t>
            </w:r>
          </w:p>
          <w:p>
            <w:pPr>
              <w:pStyle w:val="Normal"/>
              <w:widowControl/>
              <w:spacing w:before="60" w:after="20"/>
            </w:pPr>
            <w:hyperlink r:id="rId118">
              <w:r>
                <w:rPr>
                  <w:color w:val="77230C"/>
                  <w:sz w:val="20"/>
                  <w:u w:val="single"/>
                </w:rPr>
                <w:t>Primary source</w:t>
              </w:r>
            </w:hyperlink>
            <w:r>
              <w:t xml:space="preserve"> | </w:t>
            </w:r>
            <w:hyperlink r:id="rId119">
              <w:r>
                <w:rPr>
                  <w:color w:val="77230C"/>
                  <w:sz w:val="20"/>
                  <w:u w:val="single"/>
                </w:rPr>
                <w:t>Full-text PDF</w:t>
              </w:r>
            </w:hyperlink>
          </w:p>
          <w:p>
            <w:pPr>
              <w:pStyle w:val="Normal"/>
              <w:widowControl/>
              <w:spacing w:before="60" w:after="20"/>
            </w:pPr>
            <w:r>
              <w:t xml:space="preserve">Locator: PDF p 2: cohort, biopsy ascertainment, 14/17 and 7/17 Milan status. | PDF p 3: Table 1 washout, harms, 12-month OS and follow up. | PDF p 4: rejection days, limitations, 14/18 &gt;100 days. | PDF p 5: supplement inventory not included.</w:t>
            </w:r>
          </w:p>
          <w:p>
            <w:pPr>
              <w:pStyle w:val="Normal"/>
              <w:widowControl/>
              <w:spacing w:before="60" w:after="20"/>
            </w:pPr>
            <w:r>
              <w:t xml:space="preserve">Review depth: Complete six-page main article read, including individual-patient Table 1 and discussion; supplemental Tables S1–S4/Figures S1–S3 not provided.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of 18 had biopsy-proven rejection (22%; reported 95% CI 6.4–47.6%), diagnosed at days 21, 27, 147 and 686. One rejection was fatal after a 13-day washout. One HCC recurrence occurred at 229 days. The reported one-year OS point estimate is 77%, but abstract and body give inconsistent confidence intervals. Safety: Rejection can occur late, not only in the immediate postoperative period. One fatal rejection; a long washout does not eliminate risk.</w:t>
            </w:r>
          </w:p>
          <w:p>
            <w:pPr>
              <w:pStyle w:val="Normal"/>
              <w:widowControl/>
              <w:spacing w:before="60" w:after="20"/>
            </w:pPr>
            <w:r>
              <w:rPr>
                <w:b/>
              </w:rPr>
              <w:t xml:space="preserve">Do not infer: </w:t>
            </w:r>
            <w:r>
              <w:t xml:space="preserve">Small selected recipient series without a control group or entry denominator; center-dependent surveillance biopsies. Very short oncologic follow-up for high-risk subgroups. The inconsistent OS confidence interval should not be copied. No validated washout or protective immunosuppression regimen.</w:t>
            </w:r>
          </w:p>
        </w:tc>
      </w:tr>
      <w:tr>
        <w:trPr/>
        <w:tc>
          <w:tcPr>
            <w:tcW w:w="3400" w:type="dxa"/>
            <w:tcMar>
              <w:top w:w="90" w:type="dxa"/>
              <w:left w:w="90" w:type="dxa"/>
              <w:bottom w:w="90" w:type="dxa"/>
              <w:right w:w="90" w:type="dxa"/>
            </w:tcMar>
          </w:tcPr>
          <w:p>
            <w:pPr>
              <w:pStyle w:val="Normal"/>
              <w:widowControl/>
              <w:spacing w:before="60" w:after="20"/>
            </w:pPr>
            <w:r>
              <w:rPr>
                <w:b/>
              </w:rPr>
              <w:t xml:space="preserve">HCC ICI cohort · JAMA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A8L1JlY051bT48RGlzcGxheVRleHQ+W1YxNi00MF08L0Rpc3BsYXlUZXh0PjxyZWNvcmQ+PHJlYy1udW1iZXI+NDA8L3JlYy1udW1iZXI+PGZvcmVpZ24ta2V5cz48a2V5IGFwcD0iRU4iIGRiLWlkPSI3ZTc4YjE1Yi04NjMzLTVlYzAtYTBiNC1jZThiZGE0OGMyNjYiIHRpbWVzdGFtcD0iMTc5MzI4MzY4MyI+NDA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p>
          <w:p>
            <w:pPr>
              <w:pStyle w:val="Normal"/>
              <w:widowControl/>
              <w:spacing w:before="60" w:after="20"/>
            </w:pPr>
            <w:r>
              <w:t xml:space="preserve">Eight Chinese centers, LT 2019–2024. 879 adult recipients initially beyond Milan screened, 727 eligible: 244 ICI and 483 non-ICI; 208 matched in each arm. Predominantly HBV (88% matched), male (90.6%); baseline macrovascular invasion 76/208 versus 77/208. ICI strategy commonly combined LRT and targeted agents: 131 triple, 61 dual, 16 ICI alone. Control 182 LRT alone, 23 LRT + targeted, 3 targeted alone.</w:t>
            </w:r>
          </w:p>
          <w:p>
            <w:pPr>
              <w:pStyle w:val="Normal"/>
              <w:widowControl/>
              <w:spacing w:before="60" w:after="20"/>
            </w:pPr>
            <w:hyperlink r:id="rId120">
              <w:r>
                <w:rPr>
                  <w:color w:val="77230C"/>
                  <w:sz w:val="20"/>
                  <w:u w:val="single"/>
                </w:rPr>
                <w:t>Primary source</w:t>
              </w:r>
            </w:hyperlink>
            <w:r>
              <w:t xml:space="preserve"> | </w:t>
            </w:r>
            <w:hyperlink r:id="rId121">
              <w:r>
                <w:rPr>
                  <w:color w:val="77230C"/>
                  <w:sz w:val="20"/>
                  <w:u w:val="single"/>
                </w:rPr>
                <w:t>Full-text PDF</w:t>
              </w:r>
            </w:hyperlink>
          </w:p>
          <w:p>
            <w:pPr>
              <w:pStyle w:val="Normal"/>
              <w:widowControl/>
              <w:spacing w:before="60" w:after="20"/>
            </w:pPr>
            <w:r>
              <w:t xml:space="preserve">Locator: PDF pp 2–3 / E2–E3: design, Figure 1, time origins and matching. | PDF p 4 / E4: Table 1, multimodal exposures, only 32/208 and 18/208 within Milan. | PDF p 5 / E5: Table 2 washout missingness and rejection/survival. | PDF p 6 / E6: Figure 2 at-risk counts. | PDF pp 7–9 / E7–E9: subgroup caveats, limitations and conclusion.</w:t>
            </w:r>
          </w:p>
          <w:p>
            <w:pPr>
              <w:pStyle w:val="Normal"/>
              <w:widowControl/>
              <w:spacing w:before="60" w:after="20"/>
            </w:pPr>
            <w:r>
              <w:t xml:space="preserve">Review depth: Complete 10-page main article read, including all tables/figures, discussion and references; supplements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ICI versus control: median OS 4.57 versus 2.53 years, adjusted HR .63 (95% CI .43–.92); median RFS 1.47 versus .89 years, adjusted HR .59 (.44–.80); recurrence subdistribution HR .54 (.40–.72). 1-/3-year OS 83.9/71.6% versus 74.6/43.9%; RFS 62.8/43.5 versus 48.4/30.7%. Acute rejection ≤90 days 34/208 (16.3%) versus 17/208 (8.2%), absolute difference 8.17 pp (CI 1.92–14.43); rejection-attributed deaths 3/34 versus 1/17. Median washout 58.5 days; ≤90-day washout 26/32 rejection cases versus 100/160 nonrejection cases. Objective response 100/208 versus 40/208; pCR 6/208 versus 0; major pathologic response 58/208 versus 35/208. Safety: Higher early rejection and three rejection-attributed deaths in ICI arm. No reliable pre-LT toxicity/dropout estimate because only transplanted patients included. At five years OS at-risk counts only 3 ICI and 21 control; long-horizon medians/tails imprecise.</w:t>
            </w:r>
          </w:p>
          <w:p>
            <w:pPr>
              <w:pStyle w:val="Normal"/>
              <w:widowControl/>
              <w:spacing w:before="60" w:after="20"/>
            </w:pPr>
            <w:r>
              <w:rPr>
                <w:b/>
              </w:rPr>
              <w:t xml:space="preserve">Do not infer: </w:t>
            </w:r>
            <w:r>
              <w:t xml:space="preserve">Retrospective PSM of selected recipients, residual biology/era confounding and conditioning on transplantation; graft type and donor age included in primary propensity model but sensitivity reportedly excludes these postexposure factors. Only 15.4%/8.7% downstaged within Milan; clinical selection differs markedly from proposed local pilot. Multimodal strategy not isolated ICI effect. Missing supplementary eligibility, rejection treatment and dynamic response details. Overlap with related Guo/Fang Chinese cohorts possible; do not sum as independent samples. Exploratory sex and high-risk subgroups not treatment-selection rules.</w:t>
            </w:r>
          </w:p>
        </w:tc>
      </w:tr>
      <w:tr>
        <w:trPr/>
        <w:tc>
          <w:tcPr>
            <w:tcW w:w="3400" w:type="dxa"/>
            <w:tcMar>
              <w:top w:w="90" w:type="dxa"/>
              <w:left w:w="90" w:type="dxa"/>
              <w:bottom w:w="90" w:type="dxa"/>
              <w:right w:w="90" w:type="dxa"/>
            </w:tcMar>
          </w:tcPr>
          <w:p>
            <w:pPr>
              <w:pStyle w:val="Normal"/>
              <w:widowControl/>
              <w:spacing w:before="60" w:after="20"/>
            </w:pPr>
            <w:r>
              <w:rPr>
                <w:b/>
              </w:rPr>
              <w:t xml:space="preserve">Kulkarni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40MTwvUmVjTnVtPjxEaXNwbGF5VGV4dD5bVjE2LTQxXTwvRGlzcGxheVRleHQ+PHJlY29yZD48cmVjLW51bWJlcj40MTwvcmVjLW51bWJlcj48Zm9yZWlnbi1rZXlzPjxrZXkgYXBwPSJFTiIgZGItaWQ9IjdlNzhiMTViLTg2MzMtNWVjMC1hMGI0LWNlOGJkYTQ4YzI2NiIgdGltZXN0YW1wPSIxNzkzMjgzNjgzIj40M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[V16-41]</w:t>
            </w:r>
            <w:r>
              <w:fldChar w:fldCharType="end"/>
            </w:r>
          </w:p>
          <w:p>
            <w:pPr>
              <w:pStyle w:val="Normal"/>
              <w:widowControl/>
              <w:spacing w:before="60" w:after="20"/>
            </w:pPr>
            <w:r>
              <w:t xml:space="preserve">Mixed pre-LT ICI case series, a small pilot randomized study, post-LT case series, LRT studies and nontransplant systemic-therapy trials. These are different populations and overlapping evidence.</w:t>
            </w:r>
          </w:p>
          <w:p>
            <w:pPr>
              <w:pStyle w:val="Normal"/>
              <w:widowControl/>
              <w:spacing w:before="60" w:after="20"/>
            </w:pPr>
            <w:hyperlink r:id="rId122">
              <w:r>
                <w:rPr>
                  <w:color w:val="77230C"/>
                  <w:sz w:val="20"/>
                  <w:u w:val="single"/>
                </w:rPr>
                <w:t>Primary source</w:t>
              </w:r>
            </w:hyperlink>
            <w:r>
              <w:t xml:space="preserve"> | </w:t>
            </w:r>
            <w:hyperlink r:id="rId123">
              <w:r>
                <w:rPr>
                  <w:color w:val="77230C"/>
                  <w:sz w:val="20"/>
                  <w:u w:val="single"/>
                </w:rPr>
                <w:t>Full-text PDF</w:t>
              </w:r>
            </w:hyperlink>
          </w:p>
          <w:p>
            <w:pPr>
              <w:pStyle w:val="Normal"/>
              <w:widowControl/>
              <w:spacing w:before="60" w:after="20"/>
            </w:pPr>
            <w:r>
              <w:t xml:space="preserve">Locator: PDF pp 6–8 Table 3; p 9 rejection/post-LT discussion; p 10/printed 594 Section 10; pp 11–12 preventive proposals and research gaps; pp 13–14 trial table/conclusion.</w:t>
            </w:r>
          </w:p>
          <w:p>
            <w:pPr>
              <w:pStyle w:val="Normal"/>
              <w:widowControl/>
              <w:spacing w:before="60" w:after="20"/>
            </w:pPr>
            <w:r>
              <w:t xml:space="preserve">Review depth: Complete substantive narrative text pp 1–14, all 6 tables and relevant bibliography references read; no independent reanalysis of its cited cohorts or external supplements.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individualized ICI use, acknowledgement of rejection, infection/decompensation and anti-VEGF wound-healing risk, and LDLT scheduling flexibility.; Section 10 describes center variation in corticosteroid with or without basiliximab induction. This supports documenting institutional practice, not declaring one regimen proven superior.; Suggested early tacrolimus 12–15 ng/mL, protocol biopsy and prophylactic plasma strategies are author proposals based on small heterogeneous reports; the review itself states that benefit of T-cell-directed induction is unknown.; Biomarkers and protocol biopsies are described as needing validation. The review does not establish a transplant-eligibility rule based on TP53, TERT, CTNNB1, ctDNA or fewer than five ICI cycles.</w:t>
            </w:r>
          </w:p>
          <w:p>
            <w:pPr>
              <w:pStyle w:val="Normal"/>
              <w:widowControl/>
              <w:spacing w:before="60" w:after="20"/>
            </w:pPr>
            <w:r>
              <w:rPr>
                <w:b/>
              </w:rPr>
              <w:t xml:space="preserve">Do not infer: </w:t>
            </w:r>
            <w:r>
              <w:t xml:space="preserve">Some categorical statements exceed the cited evidence: no response in post-LT HCC comes from tiny old series and is not consistent with the newer 52-recipient DeMartin study; use the updated primary extraction.; Section 10's tacrolimus target is not a society guideline and has not been prospectively shown to prevent ICI-associated rejection without excess toxicity.; Table 3 Guo washout direction contains a typographical inconsistency; do not copy it. The VITALITY 86%/14% numbers must not be presented as group rejection incidence.; Selection exclusion based solely on ≤4 ICI cycles, a mutation or imaging response category is not validated by this review.; Do not use the review's UNOS size inequalities instead of current official policy. Time origin: Use underlying primary studies for all quantitative consent/outcome claims. Table 3 mixes candidates and recipients; the 86%/14% VITALITY statement describes the distribution of seven rejection events by washout, not the probability of rejection in each exposure group.</w:t>
            </w:r>
          </w:p>
        </w:tc>
      </w:tr>
      <w:tr>
        <w:trPr/>
        <w:tc>
          <w:tcPr>
            <w:tcW w:w="3400" w:type="dxa"/>
            <w:tcMar>
              <w:top w:w="90" w:type="dxa"/>
              <w:left w:w="90" w:type="dxa"/>
              <w:bottom w:w="90" w:type="dxa"/>
              <w:right w:w="90" w:type="dxa"/>
            </w:tcMar>
          </w:tcPr>
          <w:p>
            <w:pPr>
              <w:pStyle w:val="Normal"/>
              <w:widowControl/>
              <w:spacing w:before="60" w:after="20"/>
            </w:pPr>
            <w:r>
              <w:rPr>
                <w:b/>
              </w:rPr>
              <w:t xml:space="preserve">Demirors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40MjwvUmVjTnVtPjxEaXNwbGF5VGV4dD5bVjE2LTQyXTwvRGlzcGxheVRleHQ+PHJlY29yZD48cmVjLW51bWJlcj40MjwvcmVjLW51bWJlcj48Zm9yZWlnbi1rZXlzPjxrZXkgYXBwPSJFTiIgZGItaWQ9IjdlNzhiMTViLTg2MzMtNWVjMC1hMGI0LWNlOGJkYTQ4YzI2NiIgdGltZXN0YW1wPSIxNzkzMjgzNjgzIj40Mj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[V16-42]</w:t>
            </w:r>
            <w:r>
              <w:fldChar w:fldCharType="end"/>
            </w:r>
          </w:p>
          <w:p>
            <w:pPr>
              <w:pStyle w:val="Normal"/>
              <w:widowControl/>
              <w:spacing w:before="60" w:after="20"/>
            </w:pPr>
            <w:r>
              <w:t xml:space="preserve">HCC dominates; review claims &gt;1,200 ICI-exposed LT recipients and 43 CCA patients. Tables mix primary cohorts, systematic reviews, candidate denominators, resection cohorts, chemotherapy-only transplant evidence and contextual abstracts; unique-recipient totals are not independently reconciled.</w:t>
            </w:r>
          </w:p>
          <w:p>
            <w:pPr>
              <w:pStyle w:val="Normal"/>
              <w:widowControl/>
              <w:spacing w:before="60" w:after="20"/>
            </w:pPr>
            <w:hyperlink r:id="rId124">
              <w:r>
                <w:rPr>
                  <w:color w:val="77230C"/>
                  <w:sz w:val="20"/>
                  <w:u w:val="single"/>
                </w:rPr>
                <w:t>Primary source</w:t>
              </w:r>
            </w:hyperlink>
            <w:r>
              <w:t xml:space="preserve"> | </w:t>
            </w:r>
            <w:hyperlink r:id="rId125">
              <w:r>
                <w:rPr>
                  <w:color w:val="77230C"/>
                  <w:sz w:val="20"/>
                  <w:u w:val="single"/>
                </w:rPr>
                <w:t>Full-text PDF</w:t>
              </w:r>
            </w:hyperlink>
          </w:p>
          <w:p>
            <w:pPr>
              <w:pStyle w:val="Normal"/>
              <w:widowControl/>
              <w:spacing w:before="60" w:after="20"/>
            </w:pPr>
            <w:r>
              <w:t xml:space="preserve">Locator: PDF pp 3–5 methods/aggregate population; pp 6–7 Table 1 and CCA efficacy; pp 7–9 washout/rejection; pp 10–11 Table 2; p 12 Table 3; pp 13–14 interpretation; pp 16–17 references 4–6, 15, 22, 29–35.</w:t>
            </w:r>
          </w:p>
          <w:p>
            <w:pPr>
              <w:pStyle w:val="Normal"/>
              <w:widowControl/>
              <w:spacing w:before="60" w:after="20"/>
            </w:pPr>
            <w:r>
              <w:t xml:space="preserve">Review depth: Complete main text pp 1–14, all 3 tables and all 35 reference entries pp 15–17 read; conflicting claims checked against already-reviewed V8 primary papers and targeted official/primary sources.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General themes—ICI-associated rejection risk, need for an interval and MDT care, absence of a validated immune biomarker—are consistent with primary evidence.; Table 3 is not a reliable substitute for original society guidance: AASLD 2023 actually recommends discontinuation at least 3 months before LT (local official PDF p 20/j 1941), contrary to this review's 'no specific duration' cell.; Table 3 labels Watt et al. as ILTS guidance, but reference 31 is a prospective standardized institutional post-LT ICI practice study, not an ILTS consensus or pre-LT induction guideline.; SYS-TARE/Maspero chemotherapy-plus-radioembolization evidence is displayed under ICI bridging; it does not establish pre-LT ICI efficacy or safety in CCA.; Table 2 says Moeckli graft loss not separately reported; the primary paper reports 6/119. The review's OR 21.3/9.48 washout values are unadjusted, not the adjusted model coefficients.; PLENTY is mislabeled as a North American prospective cohort in Table 1; the primary pilot is a Chinese randomized study. ImmunoXXL is labeled RCT despite the reviewed prospective single-arm design.</w:t>
            </w:r>
          </w:p>
          <w:p>
            <w:pPr>
              <w:pStyle w:val="Normal"/>
              <w:widowControl/>
              <w:spacing w:before="60" w:after="20"/>
            </w:pPr>
            <w:r>
              <w:rPr>
                <w:b/>
              </w:rPr>
              <w:t xml:space="preserve">Do not infer: </w:t>
            </w:r>
            <w:r>
              <w:t xml:space="preserve">Guideline attribution errors, mixed eligibility/interventions, overlapping datasets and inconsistent denominators substantially weaken its use for protocol thresholds.; Claim that &gt;50 days normalizes rejection versus non-ICI controls overstates the 119-recipient source, which lacks a parallel non-ICI control group.; Proposed ATG indications, tacrolimus 12–15, protocol biopsies and early-mTOR avoidance are not established by the cited papers as universal society recommendations.; Donor-category nonsignificance is not proof of equivalence/safety across DCD, DBD and LDLT.; CCA and NET protocols must not inherit HCC cohort efficacy rates or transplant eligibility thresholds from this review. Time origin: Do not pool its &gt;1,200 as new unique patients or combine it with underlying studies. VITALITY 75.6% is 65/86 ever-beyond-Milan candidates, with 43 LT of 117 intent-to-transplant; 71.1% three-year survival is candidate-level ITT, not recipient survival.</w:t>
            </w:r>
          </w:p>
        </w:tc>
      </w:tr>
    </w:tbl>
    <w:p>
      <w:pPr>
        <w:pStyle w:val="Heading3"/>
        <w:keepNext/>
        <w:widowControl/>
      </w:pPr>
      <w:r>
        <w:t xml:space="preserve">Synthesis and evidence that challenges the proposal</w:t>
      </w:r>
    </w:p>
    <w:p>
      <w:pPr>
        <w:pStyle w:val="Normal"/>
        <w:widowControl/>
        <w:spacing w:before="60" w:after="20"/>
      </w:pPr>
      <w:r>
        <w:t xml:space="preserve">ICI conversion evidence is encouraging but observational and often recipient-selected. VITALITY has 117 intended candidates and 43 LT recipients; ImmunoXXL has 61 treated and 16 selected LT recipients. Ong's matched recipient comparison is not an ITT efficacy estimate. Moeckli's 50-day cutoff was data-driven in a heterogeneous 119-recipient collection; rejection was 21/53 at ≤50 days versus 3/66 at &gt;50 days. LITCHI shows late rejection despite predominantly long washout. Separate post-LT treatment data show five rejection-attributed deaths among 52 ICI-treated recipients. AASLD 2023 advises stopping ICI at least three months before LT. This supports the guideline lineage of the conservative interval but is not prospective proof of a safe threshold. Narrative reviews do not establish routine ATG, high tacrolimus troughs or prophylactic plasma as safe ICI-specific strategies.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Ni0zMl08L0Rpc3BsYXlUZXh0PjxyZWNvcmQ+PHJlYy1udW1iZXI+MzI8L3JlYy1udW1iZXI+PGZvcmVpZ24ta2V5cz48a2V5IGFwcD0iRU4iIGRiLWlkPSI3ZTc4YjE1Yi04NjMzLTVlYzAtYTBiNC1jZThiZGE0OGMyNjYiIHRpbWVzdGFtcD0iMTc5MzI4MzY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Ni0zNV08L0Rpc3BsYXlUZXh0PjxyZWNvcmQ+PHJlYy1udW1iZXI+MzU8L3JlYy1udW1iZXI+PGZvcmVpZ24ta2V5cz48a2V5IGFwcD0iRU4iIGRiLWlkPSI3ZTc4YjE1Yi04NjMzLTVlYzAtYTBiNC1jZThiZGE0OGMyNjYiIHRpbWVzdGFtcD0iMTc5MzI4MzY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2LTM4XTwvRGlzcGxheVRleHQ+PHJlY29yZD48cmVjLW51bWJlcj4zODwvcmVjLW51bWJlcj48Zm9yZWlnbi1rZXlzPjxrZXkgYXBwPSJFTiIgZGItaWQ9IjdlNzhiMTViLTg2MzMtNWVjMC1hMGI0LWNlOGJkYTQ4YzI2NiIgdGltZXN0YW1wPSIxNzkzMjgzNj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zOTwvUmVjTnVtPjxEaXNwbGF5VGV4dD5bVjE2LTM5XTwvRGlzcGxheVRleHQ+PHJlY29yZD48cmVjLW51bWJlcj4zOTwvcmVjLW51bWJlcj48Zm9yZWlnbi1rZXlzPjxrZXkgYXBwPSJFTiIgZGItaWQ9IjdlNzhiMTViLTg2MzMtNWVjMC1hMGI0LWNlOGJkYTQ4YzI2NiIgdGltZXN0YW1wPSIxNzkzMjgzNjgzIj4zOT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A8L1JlY051bT48RGlzcGxheVRleHQ+W1YxNi00MF08L0Rpc3BsYXlUZXh0PjxyZWNvcmQ+PHJlYy1udW1iZXI+NDA8L3JlYy1udW1iZXI+PGZvcmVpZ24ta2V5cz48a2V5IGFwcD0iRU4iIGRiLWlkPSI3ZTc4YjE1Yi04NjMzLTVlYzAtYTBiNC1jZThiZGE0OGMyNjYiIHRpbWVzdGFtcD0iMTc5MzI4MzY4MyI+NDA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40MTwvUmVjTnVtPjxEaXNwbGF5VGV4dD5bVjE2LTQxXTwvRGlzcGxheVRleHQ+PHJlY29yZD48cmVjLW51bWJlcj40MTwvcmVjLW51bWJlcj48Zm9yZWlnbi1rZXlzPjxrZXkgYXBwPSJFTiIgZGItaWQ9IjdlNzhiMTViLTg2MzMtNWVjMC1hMGI0LWNlOGJkYTQ4YzI2NiIgdGltZXN0YW1wPSIxNzkzMjgzNjgzIj40M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[V16-41]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40MjwvUmVjTnVtPjxEaXNwbGF5VGV4dD5bVjE2LTQyXTwvRGlzcGxheVRleHQ+PHJlY29yZD48cmVjLW51bWJlcj40MjwvcmVjLW51bWJlcj48Zm9yZWlnbi1rZXlzPjxrZXkgYXBwPSJFTiIgZGItaWQ9IjdlNzhiMTViLTg2MzMtNWVjMC1hMGI0LWNlOGJkYTQ4YzI2NiIgdGltZXN0YW1wPSIxNzkzMjgzNjgzIj40Mj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[V16-42]</w:t>
      </w:r>
      <w:r>
        <w:fldChar w:fldCharType="end"/>
      </w:r>
    </w:p>
    <w:p>
      <w:pPr>
        <w:pStyle w:val="Normal"/>
        <w:widowControl/>
        <w:numPr>
          <w:ilvl w:val="0"/>
          <w:numId w:val="3"/>
        </w:numPr>
        <w:spacing w:before="60" w:after="20"/>
      </w:pPr>
      <w:r>
        <w:t xml:space="preserve">ImmunoXXL demonstrates feasibility with intervals shorter than 90 days, and Aceituno found similar rejection proportions in matched groups; these challenge a claim that &lt;90 days is an absolute biological contraindication. They do not prove equivalence or validate elective shortening. Ong suggests oncologic benefit but also higher rejection, while Fang highlights risk missed by washout alone. The literature supports individualized exceptional review, not automatic urgency-based exemption.</w:t>
      </w:r>
    </w:p>
    <w:p>
      <w:pPr>
        <w:pStyle w:val="Normal"/>
        <w:widowControl/>
        <w:spacing w:before="60" w:after="20"/>
      </w:pPr>
      <w:r>
        <w:rPr>
          <w:b/>
        </w:rPr>
        <w:t xml:space="preserve">Certainty / applicability: </w:t>
      </w:r>
      <w:r>
        <w:t xml:space="preserve">Low for the association between shorter washout and rejection; low for prior-any-irAE risk; very low for a precise safe interval, a grade-specific irAE exclusion, an optimal immunosuppression regimen or an ICI-caused treatment-entry survival benefit. No reviewed trial randomized washout or transplant versus continued systemic therapy after ICI.</w:t>
      </w:r>
    </w:p>
    <w:p>
      <w:pPr>
        <w:pStyle w:val="Heading3"/>
        <w:keepNext/>
        <w:widowControl/>
      </w:pPr>
      <w:r>
        <w:t xml:space="preserve">Where each proposed threshold comes from</w:t>
      </w:r>
    </w:p>
    <w:p>
      <w:pPr>
        <w:pStyle w:val="Normal"/>
        <w:widowControl/>
        <w:numPr>
          <w:ilvl w:val="0"/>
          <w:numId w:val="3"/>
        </w:numPr>
        <w:spacing w:before="60" w:after="20"/>
      </w:pPr>
      <w:r>
        <w:t xml:space="preserve">Ninety days: conservative local planning rule informed by retrospective timing associations and IPD modeling, not a validated threshold. Grade ≤1 recovery and exclusion of prior severe nonendocrine/myocarditis cases: proposed operational safety judgment, not a proven transplant-specific cutoff; Fang's severe-event sample is only six. No laboratory or immune assay identified in this review validates clearance for LT. Center-specific immunosuppression should not be portrayed as evidence-proven protection from ICI-associated rejection.</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Rezaee-Zavareh · IPD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p>
          <w:p>
            <w:pPr>
              <w:pStyle w:val="Normal"/>
              <w:widowControl/>
              <w:spacing w:before="60" w:after="20"/>
            </w:pPr>
            <w:r>
              <w:t xml:space="preserve">“a 3-month washout may reduce it”</w:t>
            </w:r>
          </w:p>
          <w:p>
            <w:pPr>
              <w:pStyle w:val="Normal"/>
              <w:widowControl/>
              <w:spacing w:before="60" w:after="20"/>
            </w:pPr>
            <w:r>
              <w:t xml:space="preserve">Accepted PDF p10 / manuscript p7, abstract conclusion</w:t>
            </w:r>
          </w:p>
          <w:p>
            <w:pPr>
              <w:pStyle w:val="Normal"/>
              <w:widowControl/>
              <w:spacing w:before="60" w:after="20"/>
            </w:pPr>
            <w:hyperlink r:id="rId126">
              <w:r>
                <w:rPr>
                  <w:color w:val="77230C"/>
                  <w:sz w:val="20"/>
                  <w:u w:val="single"/>
                </w:rPr>
                <w:t>Source</w:t>
              </w:r>
            </w:hyperlink>
            <w:r>
              <w:t xml:space="preserve"> | </w:t>
            </w:r>
            <w:hyperlink r:id="rId12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risk-reduction suggestion from largely retrospective data, not a safe minimum.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Fang · irAEs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p>
          <w:p>
            <w:pPr>
              <w:pStyle w:val="Normal"/>
              <w:widowControl/>
              <w:spacing w:before="60" w:after="20"/>
            </w:pPr>
            <w:r>
              <w:t xml:space="preserve">“irAEs (any grade vs non)”</w:t>
            </w:r>
          </w:p>
          <w:p>
            <w:pPr>
              <w:pStyle w:val="Normal"/>
              <w:widowControl/>
              <w:spacing w:before="60" w:after="20"/>
            </w:pPr>
            <w:r>
              <w:t xml:space="preserve">Published PDF p6, Table 4</w:t>
            </w:r>
          </w:p>
          <w:p>
            <w:pPr>
              <w:pStyle w:val="Normal"/>
              <w:widowControl/>
              <w:spacing w:before="60" w:after="20"/>
            </w:pPr>
            <w:hyperlink r:id="rId128">
              <w:r>
                <w:rPr>
                  <w:color w:val="77230C"/>
                  <w:sz w:val="20"/>
                  <w:u w:val="single"/>
                </w:rPr>
                <w:t>Source</w:t>
              </w:r>
            </w:hyperlink>
            <w:r>
              <w:t xml:space="preserve"> | </w:t>
            </w:r>
            <w:hyperlink r:id="rId12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Prior irAEs were associated with rejection; the study did not validate the specific grade-based activation rule proposed here.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≥90 days after the last ICI dose as the elective LT planning threshold, with a separate immune-toxicity gate.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Ni0zMl08L0Rpc3BsYXlUZXh0PjxyZWNvcmQ+PHJlYy1udW1iZXI+MzI8L3JlYy1udW1iZXI+PGZvcmVpZ24ta2V5cz48a2V5IGFwcD0iRU4iIGRiLWlkPSI3ZTc4YjE1Yi04NjMzLTVlYzAtYTBiNC1jZThiZGE0OGMyNjYiIHRpbWVzdGFtcD0iMTc5MzI4MzY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Ni0zNV08L0Rpc3BsYXlUZXh0PjxyZWNvcmQ+PHJlYy1udW1iZXI+MzU8L3JlYy1udW1iZXI+PGZvcmVpZ24ta2V5cz48a2V5IGFwcD0iRU4iIGRiLWlkPSI3ZTc4YjE1Yi04NjMzLTVlYzAtYTBiNC1jZThiZGE0OGMyNjYiIHRpbWVzdGFtcD0iMTc5MzI4MzY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2LTM4XTwvRGlzcGxheVRleHQ+PHJlY29yZD48cmVjLW51bWJlcj4zODwvcmVjLW51bWJlcj48Zm9yZWlnbi1rZXlzPjxrZXkgYXBwPSJFTiIgZGItaWQ9IjdlNzhiMTViLTg2MzMtNWVjMC1hMGI0LWNlOGJkYTQ4YzI2NiIgdGltZXN0YW1wPSIxNzkzMjgzNj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zOTwvUmVjTnVtPjxEaXNwbGF5VGV4dD5bVjE2LTM5XTwvRGlzcGxheVRleHQ+PHJlY29yZD48cmVjLW51bWJlcj4zOTwvcmVjLW51bWJlcj48Zm9yZWlnbi1rZXlzPjxrZXkgYXBwPSJFTiIgZGItaWQ9IjdlNzhiMTViLTg2MzMtNWVjMC1hMGI0LWNlOGJkYTQ4YzI2NiIgdGltZXN0YW1wPSIxNzkzMjgzNjgzIj4zOT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A8L1JlY051bT48RGlzcGxheVRleHQ+W1YxNi00MF08L0Rpc3BsYXlUZXh0PjxyZWNvcmQ+PHJlYy1udW1iZXI+NDA8L3JlYy1udW1iZXI+PGZvcmVpZ24ta2V5cz48a2V5IGFwcD0iRU4iIGRiLWlkPSI3ZTc4YjE1Yi04NjMzLTVlYzAtYTBiNC1jZThiZGE0OGMyNjYiIHRpbWVzdGFtcD0iMTc5MzI4MzY4MyI+NDA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40MTwvUmVjTnVtPjxEaXNwbGF5VGV4dD5bVjE2LTQxXTwvRGlzcGxheVRleHQ+PHJlY29yZD48cmVjLW51bWJlcj40MTwvcmVjLW51bWJlcj48Zm9yZWlnbi1rZXlzPjxrZXkgYXBwPSJFTiIgZGItaWQ9IjdlNzhiMTViLTg2MzMtNWVjMC1hMGI0LWNlOGJkYTQ4YzI2NiIgdGltZXN0YW1wPSIxNzkzMjgzNjgzIj40M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[V16-41]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40MjwvUmVjTnVtPjxEaXNwbGF5VGV4dD5bVjE2LTQyXTwvRGlzcGxheVRleHQ+PHJlY29yZD48cmVjLW51bWJlcj40MjwvcmVjLW51bWJlcj48Zm9yZWlnbi1rZXlzPjxrZXkgYXBwPSJFTiIgZGItaWQ9IjdlNzhiMTViLTg2MzMtNWVjMC1hMGI0LWNlOGJkYTQ4YzI2NiIgdGltZXN0YW1wPSIxNzkzMjgzNjgzIj40Mj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[V16-42]</w:t>
      </w:r>
      <w:r>
        <w:fldChar w:fldCharType="end"/>
      </w:r>
    </w:p>
    <w:p>
      <w:pPr>
        <w:pStyle w:val="Normal"/>
        <w:widowControl/>
        <w:numPr>
          <w:ilvl w:val="0"/>
          <w:numId w:val="3"/>
        </w:numPr>
      </w:pPr>
      <w:r>
        <w:t xml:space="preserve">Proposed elective cutoff: ≥90 days from last ICI dose to LT.</w:t>
      </w:r>
    </w:p>
    <w:p>
      <w:pPr>
        <w:pStyle w:val="Normal"/>
        <w:widowControl/>
        <w:numPr>
          <w:ilvl w:val="1"/>
          <w:numId w:val="3"/>
        </w:numPr>
        <w:spacing w:before="60" w:after="20"/>
      </w:pPr>
      <w:r>
        <w:t xml:space="preserve">No interval is proven safe; a longer interval does not eliminate rejection or graft-loss risk.</w:t>
      </w:r>
    </w:p>
    <w:p>
      <w:pPr>
        <w:pStyle w:val="Normal"/>
        <w:widowControl/>
        <w:numPr>
          <w:ilvl w:val="0"/>
          <w:numId w:val="3"/>
        </w:numPr>
      </w:pPr>
      <w:r>
        <w:t xml:space="preserve">Require no active clinically significant non-endocrine immune toxicity: grade ≤1 and no escalating immunosuppression for toxicity.</w:t>
      </w:r>
    </w:p>
    <w:p>
      <w:pPr>
        <w:pStyle w:val="Normal"/>
        <w:widowControl/>
        <w:numPr>
          <w:ilvl w:val="1"/>
          <w:numId w:val="3"/>
        </w:numPr>
        <w:spacing w:before="60" w:after="20"/>
      </w:pPr>
      <w:r>
        <w:t xml:space="preserve">Stable endocrine replacement may qualify.</w:t>
      </w:r>
    </w:p>
    <w:p>
      <w:pPr>
        <w:pStyle w:val="Normal"/>
        <w:widowControl/>
        <w:numPr>
          <w:ilvl w:val="1"/>
          <w:numId w:val="3"/>
        </w:numPr>
        <w:spacing w:before="60" w:after="20"/>
      </w:pPr>
      <w:r>
        <w:t xml:space="preserve">Prior grade 3–4 non-endocrine toxicity or myocarditis is excluded from the initial pilot pending separate specialist review.</w:t>
      </w:r>
    </w:p>
    <w:p>
      <w:pPr>
        <w:pStyle w:val="Normal"/>
        <w:widowControl/>
        <w:numPr>
          <w:ilvl w:val="0"/>
          <w:numId w:val="3"/>
        </w:numPr>
      </w:pPr>
      <w:r>
        <w:t xml:space="preserve">A shorter interval has no automatic urgency waiver.</w:t>
      </w:r>
    </w:p>
    <w:p>
      <w:pPr>
        <w:pStyle w:val="Normal"/>
        <w:widowControl/>
        <w:numPr>
          <w:ilvl w:val="1"/>
          <w:numId w:val="3"/>
        </w:numPr>
        <w:spacing w:before="60" w:after="20"/>
      </w:pPr>
      <w:r>
        <w:t xml:space="preserve">An exceptional-care decision must document near-term mortality without LT, alternatives, donor/graft risk, consent and rescue capability.</w:t>
      </w:r>
    </w:p>
    <w:p>
      <w:pPr>
        <w:pStyle w:val="Normal"/>
        <w:widowControl/>
        <w:numPr>
          <w:ilvl w:val="1"/>
          <w:numId w:val="3"/>
        </w:numPr>
        <w:spacing w:before="60" w:after="20"/>
      </w:pPr>
      <w:r>
        <w:t xml:space="preserve">Biology, ICI and allocation clocks may overlap; do not add them mechanically.</w:t>
      </w:r>
    </w:p>
    <w:p>
      <w:pPr>
        <w:pStyle w:val="Normal"/>
        <w:widowControl/>
        <w:numPr>
          <w:ilvl w:val="0"/>
          <w:numId w:val="3"/>
        </w:numPr>
      </w:pPr>
      <w:r>
        <w:t xml:space="preserve">Consent must address rejection, graft loss, uncertain comparative oncologic benefit and progression during washout.</w:t>
      </w:r>
    </w:p>
    <w:p>
      <w:pPr>
        <w:pStyle w:val="Normal"/>
        <w:widowControl/>
        <w:numPr>
          <w:ilvl w:val="1"/>
          <w:numId w:val="3"/>
        </w:numPr>
        <w:spacing w:before="60" w:after="20"/>
      </w:pPr>
      <w:r>
        <w:t xml:space="preserve">Neither elapsed time nor complete radiological response guarantees immune safety.</w:t>
      </w:r>
    </w:p>
    <w:p>
      <w:pPr>
        <w:pStyle w:val="Normal"/>
        <w:widowControl/>
        <w:numPr>
          <w:ilvl w:val="1"/>
          <w:numId w:val="3"/>
        </w:numPr>
        <w:spacing w:before="60" w:after="20"/>
      </w:pPr>
      <w:r>
        <w:t xml:space="preserve">Use the full-text evidence and source-specific residual gaps before ratifying these provisional thresholds.</w:t>
      </w:r>
    </w:p>
    <w:p>
      <w:pPr>
        <w:pStyle w:val="Normal"/>
        <w:widowControl/>
        <w:spacing w:before="60" w:after="20"/>
      </w:pPr>
      <w:r>
        <w:rPr>
          <w:b/>
        </w:rPr>
        <w:t xml:space="preserve">Why retain or change it: </w:t>
      </w:r>
      <w:r>
        <w:t xml:space="preserve">Retain elective last-ICI-to-LT interval ≥90 days as a conservative local default, with residual risk acknowledged; shorter intervals require explicit exceptional review, not automatic activation. Require non-endocrine irAE recovery to grade ≤1 and no escalating immune suppression; controlled endocrine replacement may be acceptable. Prior severe non-endocrine irAE or myocarditis should trigger initial-pilot exclusion or dedicated governance review. Do not mandate unvalidated immune assays, ATG induction or high tacrolimus targets. Keep pre-LT exposure and post-LT therapeutic ICI as distinct decisions.</w:t>
      </w:r>
    </w:p>
    <w:p>
      <w:pPr>
        <w:pStyle w:val="Heading3"/>
        <w:keepNext/>
        <w:widowControl/>
      </w:pPr>
      <w:r>
        <w:t xml:space="preserve">Information required before the decision</w:t>
      </w:r>
    </w:p>
    <w:p>
      <w:pPr>
        <w:pStyle w:val="Normal"/>
        <w:widowControl/>
        <w:spacing w:before="60" w:after="20"/>
      </w:pPr>
      <w:r>
        <w:t xml:space="preserve">Drug and last-dose dates; complete irAE history and grade; treatment and recovery; graft-risk review by hepatology, oncology and pharmacy; current staging.</w:t>
      </w:r>
    </w:p>
    <w:p>
      <w:pPr>
        <w:pStyle w:val="Normal"/>
        <w:widowControl/>
        <w:spacing w:before="60" w:after="20"/>
      </w:pPr>
      <w:r>
        <w:rPr>
          <w:b/>
        </w:rPr>
        <w:t xml:space="preserve">Clinical versus allocation: </w:t>
      </w:r>
      <w:r>
        <w:t xml:space="preserve">Prior ICI alone is not an automatic HCC exception exclusion. The proposed clinical timing gate is separate from tumor eligibility and allocation waiting time.</w:t>
      </w:r>
    </w:p>
    <w:p>
      <w:pPr>
        <w:pStyle w:val="Normal"/>
        <w:widowControl/>
        <w:spacing w:before="60" w:after="20"/>
      </w:pPr>
      <w:r>
        <w:rPr>
          <w:b/>
        </w:rPr>
        <w:t xml:space="preserve">Roadmap / protocol reconciliation: </w:t>
      </w:r>
      <w:r>
        <w:t xml:space="preserve">Preserve effective cancer treatment choices, but discuss transplant intent before initiating ICI. No immune assay, ATG regimen or high tacrolimus target is validated as clearance.</w:t>
      </w:r>
    </w:p>
    <w:p>
      <w:pPr>
        <w:pStyle w:val="Normal"/>
        <w:widowControl/>
        <w:spacing w:before="60" w:after="20"/>
      </w:pPr>
      <w:hyperlink r:id="rId130">
        <w:r>
          <w:rPr>
            <w:color w:val="77230C"/>
            <w:sz w:val="20"/>
            <w:u w:val="single"/>
          </w:rPr>
          <w:t>Meeting record: HCC-B3</w:t>
        </w:r>
      </w:hyperlink>
      <w:r>
        <w:t xml:space="preserve">  |  </w:t>
      </w:r>
      <w:hyperlink r:id="rId131">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4.3 Advance or hold after treatment</w:t>
      </w:r>
    </w:p>
    <w:p>
      <w:pPr>
        <w:pStyle w:val="Normal"/>
        <w:widowControl/>
        <w:numPr>
          <w:ilvl w:val="0"/>
          <w:numId w:val="3"/>
        </w:numPr>
      </w:pPr>
      <w:r>
        <w:t xml:space="preserve">Advance to selection review only with documented tumor control, no new extrahepatic disease, acceptable reserve and toxicity, repeat assessment of resection/ablation options, the applicable AFP response, and completion of the selected clinical and allocation observation requirements.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Hold for unresolved lesions, marker/imaging discordance, incomplete ICI review or unapproved study boundaries. Stop the proposed route for uncontrolled progression, new metastatic disease or medical risk incompatible with LT. Do not continue increasingly toxic therapy simply to manufacture eligibility.</w:t>
      </w:r>
    </w:p>
    <w:p>
      <w:pPr>
        <w:pStyle w:val="Normal"/>
        <w:widowControl/>
        <w:numPr>
          <w:ilvl w:val="0"/>
          <w:numId w:val="3"/>
        </w:numPr>
      </w:pPr>
      <w:r>
        <w:t xml:space="preserve">Maintain separate dated clocks for response stability, ICI washout and exception waiting time. They may overlap when allowed; do not automatically add a new observation period after the ICI washout.</w:t>
      </w:r>
    </w:p>
    <w:p>
      <w:pPr>
        <w:pStyle w:val="Heading2"/>
        <w:keepNext/>
        <w:widowControl/>
      </w:pPr>
      <w:r>
        <w:t xml:space="preserve">5 Listing and transplant surgery</w:t>
      </w:r>
    </w:p>
    <w:p>
      <w:pPr>
        <w:pStyle w:val="Normal"/>
        <w:widowControl/>
        <w:numPr>
          <w:ilvl w:val="0"/>
          <w:numId w:val="3"/>
        </w:numPr>
      </w:pPr>
      <w:r>
        <w:t xml:space="preserve">Before activation, selection conference must sign the diagnosis and baseline map, final staging and AFP, tumor-control timeline, medical fitness, approved study stratum if applicable, actual allocation route and donor clearance. Any missing requirement keeps activation on hold.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Before incision, reassess interval clinical or imaging changes and confirm graft/vascular technical planning. Unexpected disseminated malignancy stops transplantation under this pathway. Explant assessment records viable burden, differentiation, vascular invasion and treatment response.</w:t>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2U3OGIxNWItODYzMy01ZWMwLWEwYjQtY2U4YmRhNDhjMjY2IiB0aW1lc3RhbXA9IjE3OTMyODM2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2U3OGIxNWItODYzMy01ZWMwLWEwYjQtY2U4YmRhNDhjMjY2IiB0aW1lc3RhbXA9IjE3OTMyODM2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Ni00NF08L0Rpc3BsYXlUZXh0PjxyZWNvcmQ+PHJlYy1udW1iZXI+NDQ8L3JlYy1udW1iZXI+PGZvcmVpZ24ta2V5cz48a2V5IGFwcD0iRU4iIGRiLWlkPSI3ZTc4YjE1Yi04NjMzLTVlYzAtYTBiNC1jZThiZGE0OGMyNjYiIHRpbWVzdGFtcD0iMTc5MzI4MzY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[V16-44]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Ni00NV08L0Rpc3BsYXlUZXh0PjxyZWNvcmQ+PHJlYy1udW1iZXI+NDU8L3JlYy1udW1iZXI+PGZvcmVpZ24ta2V5cz48a2V5IGFwcD0iRU4iIGRiLWlkPSI3ZTc4YjE1Yi04NjMzLTVlYzAtYTBiNC1jZThiZGE0OGMyNjYiIHRpbWVzdGFtcD0iMTc5MzI4MzY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[V16-45]</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Ni00NF08L0Rpc3BsYXlUZXh0PjxyZWNvcmQ+PHJlYy1udW1iZXI+NDQ8L3JlYy1udW1iZXI+PGZvcmVpZ24ta2V5cz48a2V5IGFwcD0iRU4iIGRiLWlkPSI3ZTc4YjE1Yi04NjMzLTVlYzAtYTBiNC1jZThiZGE0OGMyNjYiIHRpbWVzdGFtcD0iMTc5MzI4MzY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[V16-44]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Ni00NV08L0Rpc3BsYXlUZXh0PjxyZWNvcmQ+PHJlYy1udW1iZXI+NDU8L3JlYy1udW1iZXI+PGZvcmVpZ24ta2V5cz48a2V5IGFwcD0iRU4iIGRiLWlkPSI3ZTc4YjE1Yi04NjMzLTVlYzAtYTBiNC1jZThiZGE0OGMyNjYiIHRpbWVzdGFtcD0iMTc5MzI4MzY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[V16-45]</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132">
        <w:r>
          <w:rPr>
            <w:color w:val="77230C"/>
            <w:sz w:val="20"/>
            <w:u w:val="single"/>
          </w:rPr>
          <w:t>Meeting record: ALLOC-B1</w:t>
        </w:r>
      </w:hyperlink>
      <w:r>
        <w:t xml:space="preserve">  |  </w:t>
      </w:r>
      <w:hyperlink r:id="rId13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Ni00NV08L0Rpc3BsYXlUZXh0PjxyZWNvcmQ+PHJlYy1udW1iZXI+NDU8L3JlYy1udW1iZXI+PGZvcmVpZ24ta2V5cz48a2V5IGFwcD0iRU4iIGRiLWlkPSI3ZTc4YjE1Yi04NjMzLTVlYzAtYTBiNC1jZThiZGE0OGMyNjYiIHRpbWVzdGFtcD0iMTc5MzI4MzY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[V16-45]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Ni0xM108L0Rpc3BsYXlUZXh0PjxyZWNvcmQ+PHJlYy1udW1iZXI+MTM8L3JlYy1udW1iZXI+PGZvcmVpZ24ta2V5cz48a2V5IGFwcD0iRU4iIGRiLWlkPSI3ZTc4YjE1Yi04NjMzLTVlYzAtYTBiNC1jZThiZGE0OGMyNjYiIHRpbWVzdGFtcD0iMTc5MzI4MzY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Q2PC9SZWNOdW0+PERpc3BsYXlUZXh0PltWMTYtNDZdPC9EaXNwbGF5VGV4dD48cmVjb3JkPjxyZWMtbnVtYmVyPjQ2PC9yZWMtbnVtYmVyPjxmb3JlaWduLWtleXM+PGtleSBhcHA9IkVOIiBkYi1pZD0iN2U3OGIxNWItODYzMy01ZWMwLWEwYjQtY2U4YmRhNDhjMjY2IiB0aW1lc3RhbXA9IjE3OTMyODM2ODMiPjQ2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[V16-46]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2LTQ3XTwvRGlzcGxheVRleHQ+PHJlY29yZD48cmVjLW51bWJlcj40NzwvcmVjLW51bWJlcj48Zm9yZWlnbi1rZXlzPjxrZXkgYXBwPSJFTiIgZGItaWQ9IjdlNzhiMTViLTg2MzMtNWVjMC1hMGI0LWNlOGJkYTQ4YzI2NiIgdGltZXN0YW1wPSIxNzkzMjgzNj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[V16-47]</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Q2PC9SZWNOdW0+PERpc3BsYXlUZXh0PltWMTYtNDZdPC9EaXNwbGF5VGV4dD48cmVjb3JkPjxyZWMtbnVtYmVyPjQ2PC9yZWMtbnVtYmVyPjxmb3JlaWduLWtleXM+PGtleSBhcHA9IkVOIiBkYi1pZD0iN2U3OGIxNWItODYzMy01ZWMwLWEwYjQtY2U4YmRhNDhjMjY2IiB0aW1lc3RhbXA9IjE3OTMyODM2ODMiPjQ2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[V16-46]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Ni00NV08L0Rpc3BsYXlUZXh0PjxyZWNvcmQ+PHJlYy1udW1iZXI+NDU8L3JlYy1udW1iZXI+PGZvcmVpZ24ta2V5cz48a2V5IGFwcD0iRU4iIGRiLWlkPSI3ZTc4YjE1Yi04NjMzLTVlYzAtYTBiNC1jZThiZGE0OGMyNjYiIHRpbWVzdGFtcD0iMTc5MzI4MzY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[V16-45]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Ni0xM108L0Rpc3BsYXlUZXh0PjxyZWNvcmQ+PHJlYy1udW1iZXI+MTM8L3JlYy1udW1iZXI+PGZvcmVpZ24ta2V5cz48a2V5IGFwcD0iRU4iIGRiLWlkPSI3ZTc4YjE1Yi04NjMzLTVlYzAtYTBiNC1jZThiZGE0OGMyNjYiIHRpbWVzdGFtcD0iMTc5MzI4MzY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2LTQ3XTwvRGlzcGxheVRleHQ+PHJlY29yZD48cmVjLW51bWJlcj40NzwvcmVjLW51bWJlcj48Zm9yZWlnbi1rZXlzPjxrZXkgYXBwPSJFTiIgZGItaWQ9IjdlNzhiMTViLTg2MzMtNWVjMC1hMGI0LWNlOGJkYTQ4YzI2NiIgdGltZXN0YW1wPSIxNzkzMjgzNj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[V16-47]</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134">
        <w:r>
          <w:rPr>
            <w:color w:val="77230C"/>
            <w:sz w:val="20"/>
            <w:u w:val="single"/>
          </w:rPr>
          <w:t>Meeting record: ALLOC-B2</w:t>
        </w:r>
      </w:hyperlink>
      <w:r>
        <w:t xml:space="preserve">  |  </w:t>
      </w:r>
      <w:hyperlink r:id="rId13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NDg8L1JlY051bT48RGlzcGxheVRleHQ+W1YxNi00OF08L0Rpc3BsYXlUZXh0PjxyZWNvcmQ+PHJlYy1udW1iZXI+NDg8L3JlYy1udW1iZXI+PGZvcmVpZ24ta2V5cz48a2V5IGFwcD0iRU4iIGRiLWlkPSI3ZTc4YjE1Yi04NjMzLTVlYzAtYTBiNC1jZThiZGE0OGMyNjYiIHRpbWVzdGFtcD0iMTc5MzI4MzY4MyI+NDg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[V16-48]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NDk8L1JlY051bT48RGlzcGxheVRleHQ+W1YxNi00OV08L0Rpc3BsYXlUZXh0PjxyZWNvcmQ+PHJlYy1udW1iZXI+NDk8L3JlYy1udW1iZXI+PGZvcmVpZ24ta2V5cz48a2V5IGFwcD0iRU4iIGRiLWlkPSI3ZTc4YjE1Yi04NjMzLTVlYzAtYTBiNC1jZThiZGE0OGMyNjYiIHRpbWVzdGFtcD0iMTc5MzI4MzY4MyI+NDk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[V16-49]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UwPC9SZWNOdW0+PERpc3BsYXlUZXh0PltWMTYtNTBdPC9EaXNwbGF5VGV4dD48cmVjb3JkPjxyZWMtbnVtYmVyPjUwPC9yZWMtbnVtYmVyPjxmb3JlaWduLWtleXM+PGtleSBhcHA9IkVOIiBkYi1pZD0iN2U3OGIxNWItODYzMy01ZWMwLWEwYjQtY2U4YmRhNDhjMjY2IiB0aW1lc3RhbXA9IjE3OTMyODM2ODMiPjUw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[V16-50]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NDg8L1JlY051bT48RGlzcGxheVRleHQ+W1YxNi00OF08L0Rpc3BsYXlUZXh0PjxyZWNvcmQ+PHJlYy1udW1iZXI+NDg8L3JlYy1udW1iZXI+PGZvcmVpZ24ta2V5cz48a2V5IGFwcD0iRU4iIGRiLWlkPSI3ZTc4YjE1Yi04NjMzLTVlYzAtYTBiNC1jZThiZGE0OGMyNjYiIHRpbWVzdGFtcD0iMTc5MzI4MzY4MyI+NDg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[V16-48]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NDk8L1JlY051bT48RGlzcGxheVRleHQ+W1YxNi00OV08L0Rpc3BsYXlUZXh0PjxyZWNvcmQ+PHJlYy1udW1iZXI+NDk8L3JlYy1udW1iZXI+PGZvcmVpZ24ta2V5cz48a2V5IGFwcD0iRU4iIGRiLWlkPSI3ZTc4YjE1Yi04NjMzLTVlYzAtYTBiNC1jZThiZGE0OGMyNjYiIHRpbWVzdGFtcD0iMTc5MzI4MzY4MyI+NDk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[V16-49]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UwPC9SZWNOdW0+PERpc3BsYXlUZXh0PltWMTYtNTBdPC9EaXNwbGF5VGV4dD48cmVjb3JkPjxyZWMtbnVtYmVyPjUwPC9yZWMtbnVtYmVyPjxmb3JlaWduLWtleXM+PGtleSBhcHA9IkVOIiBkYi1pZD0iN2U3OGIxNWItODYzMy01ZWMwLWEwYjQtY2U4YmRhNDhjMjY2IiB0aW1lc3RhbXA9IjE3OTMyODM2ODMiPjUw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[V16-50]</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136">
        <w:r>
          <w:rPr>
            <w:color w:val="77230C"/>
            <w:sz w:val="20"/>
            <w:u w:val="single"/>
          </w:rPr>
          <w:t>Meeting record: ALLOC-B3</w:t>
        </w:r>
      </w:hyperlink>
      <w:r>
        <w:t xml:space="preserve">  |  </w:t>
      </w:r>
      <w:hyperlink r:id="rId13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6 Post transplant immunosuppression and graft monitoring</w:t>
      </w:r>
    </w:p>
    <w:p>
      <w:pPr>
        <w:pStyle w:val="Normal"/>
        <w:widowControl/>
        <w:numPr>
          <w:ilvl w:val="0"/>
          <w:numId w:val="3"/>
        </w:numPr>
      </w:pPr>
      <w:r>
        <w:t xml:space="preserve">Use the approved institutional induction and maintenance regimen with individualized renal, rejection, infection and drug-interaction review. Do not mandate ATG, tacrolimus 12–15 ng/mL, accelerated steroid withdrawal or routine protocol biopsies solely because an ICI was previously given.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2U3OGIxNWItODYzMy01ZWMwLWEwYjQtY2U4YmRhNDhjMjY2IiB0aW1lc3RhbXA9IjE3OTMyODM2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p>
    <w:p>
      <w:pPr>
        <w:pStyle w:val="Normal"/>
        <w:widowControl/>
        <w:numPr>
          <w:ilvl w:val="0"/>
          <w:numId w:val="3"/>
        </w:numPr>
      </w:pPr>
      <w:r>
        <w:t xml:space="preserve">Monitor liver tests, graft vascular patency, drug exposure and infection according to early LT practice; promptly investigate unexplained graft dysfunction and obtain for-cause biopsy when appropriate. Continue rejection vigilance beyond the first month: later events occur, and an early 7–10-day window is inadequate.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2LTM4XTwvRGlzcGxheVRleHQ+PHJlY29yZD48cmVjLW51bWJlcj4zODwvcmVjLW51bWJlcj48Zm9yZWlnbi1rZXlzPjxrZXkgYXBwPSJFTiIgZGItaWQ9IjdlNzhiMTViLTg2MzMtNWVjMC1hMGI0LWNlOGJkYTQ4YzI2NiIgdGltZXN0YW1wPSIxNzkzMjgzNj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p>
    <w:p>
      <w:pPr>
        <w:pStyle w:val="Normal"/>
        <w:widowControl/>
        <w:numPr>
          <w:ilvl w:val="0"/>
          <w:numId w:val="3"/>
        </w:numPr>
      </w:pPr>
      <w:r>
        <w:t xml:space="preserve">Consider mTOR-based modification only after appropriate healing and vascular assessment, using the current product label and transplant-pharmacy plan. Do not promise recurrence prevention: the SiLVER trial did not demonstrate a significant long-term primary recurrence-free-survival benefit.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</w:fldData>
        </w:fldChar>
      </w:r>
      <w:r>
        <w:instrText xml:space="preserve"> ADDIN EN.CITE.DATA </w:instrText>
      </w:r>
      <w:r>
        <w:fldChar w:fldCharType="end"/>
      </w:r>
      <w:r>
        <w:fldChar w:fldCharType="separate"/>
      </w:r>
      <w:r>
        <w:t xml:space="preserve">[V16-51]</w:t>
      </w:r>
      <w:r>
        <w:fldChar w:fldCharType="end"/>
      </w:r>
    </w:p>
    <w:p>
      <w:pPr>
        <w:pStyle w:val="Normal"/>
        <w:widowControl/>
        <w:numPr>
          <w:ilvl w:val="0"/>
          <w:numId w:val="3"/>
        </w:numPr>
      </w:pPr>
      <w:r>
        <w:t xml:space="preserve">PD-L1, lymphocyte subsets and other immune markers remain optional research correlates, not validated clearance tests.</w:t>
      </w:r>
    </w:p>
    <w:p>
      <w:pPr>
        <w:pStyle w:val="Heading2"/>
        <w:keepNext/>
        <w:widowControl/>
      </w:pPr>
      <w:r>
        <w:t xml:space="preserve">7 Post transplant oncologic surveillance</w:t>
      </w:r>
    </w:p>
    <w:p>
      <w:pPr>
        <w:pStyle w:val="Normal"/>
        <w:widowControl/>
        <w:numPr>
          <w:ilvl w:val="0"/>
          <w:numId w:val="3"/>
        </w:numPr>
      </w:pPr>
      <w:r>
        <w:t xml:space="preserve">Proposed local schedule for approval: chest CT and contrast liver CT/MRI with AFP every three months for the first two years, then every six months through year five; subsequent surveillance is individualized. Adjust modality to renal function and MRI/CT suitability. This is an operational proposal, not a proven optimal schedule.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Use explant risk assessment, including RETREAT where applicable, to inform discussion. RETREAT was not validated as a prospective eligibility rule for treated PVTT. Investigate a sustained AFP rise or suspicious lesion; ctDNA alone neither diagnoses recurrence nor authorizes treatment.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Heading2"/>
        <w:keepNext/>
        <w:widowControl/>
      </w:pPr>
      <w:r>
        <w:t xml:space="preserve">8 Management of recurrence</w:t>
      </w:r>
    </w:p>
    <w:p>
      <w:pPr>
        <w:pStyle w:val="Normal"/>
        <w:widowControl/>
        <w:numPr>
          <w:ilvl w:val="0"/>
          <w:numId w:val="3"/>
        </w:numPr>
      </w:pPr>
      <w:r>
        <w:t xml:space="preserve">Confirm recurrence and restage in the transplant-oncology MDT. Consider resection, ablation or radiation for selected limited disease and systemic therapy for disseminated disease, accounting for graft function, drug interactions and patient priorities.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Post-LT ICI administration is a different risk setting from pre-LT exposure. It is not routine care and may cause rejection, graft loss and death. Any exceptional use requires a documented transplant-oncology risk assessment and monitoring plan; do not quote pre-LT rejection rates as its risk estimate.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NTI8L1JlY051bT48RGlzcGxheVRleHQ+W1YxNi01Ml08L0Rpc3BsYXlUZXh0PjxyZWNvcmQ+PHJlYy1udW1iZXI+NTI8L3JlYy1udW1iZXI+PGZvcmVpZ24ta2V5cz48a2V5IGFwcD0iRU4iIGRiLWlkPSI3ZTc4YjE1Yi04NjMzLTVlYzAtYTBiNC1jZThiZGE0OGMyNjYiIHRpbWVzdGFtcD0iMTc5MzI4MzY4MyI+NTI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[V16-52]</w:t>
      </w:r>
      <w:r>
        <w:fldChar w:fldCharType="end"/>
      </w:r>
    </w:p>
    <w:p>
      <w:pPr>
        <w:pStyle w:val="Normal"/>
        <w:widowControl/>
        <w:numPr>
          <w:ilvl w:val="0"/>
          <w:numId w:val="3"/>
        </w:numPr>
      </w:pPr>
      <w:r>
        <w:t xml:space="preserve">Individualize immunosuppression reduction with hepatology; do not sacrifice graft safety for an unproven anticancer effect.</w:t>
      </w:r>
    </w:p>
    <w:p>
      <w:pPr>
        <w:pStyle w:val="Heading2"/>
        <w:keepNext/>
        <w:widowControl/>
      </w:pPr>
      <w:r>
        <w:t xml:space="preserve">9 Data collection and safety oversight</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Ni0xM108L0Rpc3BsYXlUZXh0PjxyZWNvcmQ+PHJlYy1udW1iZXI+MTM8L3JlYy1udW1iZXI+PGZvcmVpZ24ta2V5cz48a2V5IGFwcD0iRU4iIGRiLWlkPSI3ZTc4YjE1Yi04NjMzLTVlYzAtYTBiNC1jZThiZGE0OGMyNjYiIHRpbWVzdGFtcD0iMTc5MzI4MzY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41MzwvUmVjTnVtPjxEaXNwbGF5VGV4dD5bVjE2LTUzXTwvRGlzcGxheVRleHQ+PHJlY29yZD48cmVjLW51bWJlcj41MzwvcmVjLW51bWJlcj48Zm9yZWlnbi1rZXlzPjxrZXkgYXBwPSJFTiIgZGItaWQ9IjdlNzhiMTViLTg2MzMtNWVjMC1hMGI0LWNlOGJkYTQ4YzI2NiIgdGltZXN0YW1wPSIxNzkzMjgzNjgzIj41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[V16-53]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Ni00NF08L0Rpc3BsYXlUZXh0PjxyZWNvcmQ+PHJlYy1udW1iZXI+NDQ8L3JlYy1udW1iZXI+PGZvcmVpZ24ta2V5cz48a2V5IGFwcD0iRU4iIGRiLWlkPSI3ZTc4YjE1Yi04NjMzLTVlYzAtYTBiNC1jZThiZGE0OGMyNjYiIHRpbWVzdGFtcD0iMTc5MzI4MzY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[V16-44]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U0PC9SZWNOdW0+PERpc3BsYXlUZXh0PltWMTYtNTRdPC9EaXNwbGF5VGV4dD48cmVjb3JkPjxyZWMtbnVtYmVyPjU0PC9yZWMtbnVtYmVyPjxmb3JlaWduLWtleXM+PGtleSBhcHA9IkVOIiBkYi1pZD0iN2U3OGIxNWItODYzMy01ZWMwLWEwYjQtY2U4YmRhNDhjMjY2IiB0aW1lc3RhbXA9IjE3OTMyODM2ODMiPjU0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[V16-54]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41NTwvUmVjTnVtPjxEaXNwbGF5VGV4dD5bVjE2LTU1XTwvRGlzcGxheVRleHQ+PHJlY29yZD48cmVjLW51bWJlcj41NTwvcmVjLW51bWJlcj48Zm9yZWlnbi1rZXlzPjxrZXkgYXBwPSJFTiIgZGItaWQ9IjdlNzhiMTViLTg2MzMtNWVjMC1hMGI0LWNlOGJkYTQ4YzI2NiIgdGltZXN0YW1wPSIxNzkzMjgzNjgzIj41N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[V16-55]</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Ni0xM108L0Rpc3BsYXlUZXh0PjxyZWNvcmQ+PHJlYy1udW1iZXI+MTM8L3JlYy1udW1iZXI+PGZvcmVpZ24ta2V5cz48a2V5IGFwcD0iRU4iIGRiLWlkPSI3ZTc4YjE1Yi04NjMzLTVlYzAtYTBiNC1jZThiZGE0OGMyNjYiIHRpbWVzdGFtcD0iMTc5MzI4MzY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41MzwvUmVjTnVtPjxEaXNwbGF5VGV4dD5bVjE2LTUzXTwvRGlzcGxheVRleHQ+PHJlY29yZD48cmVjLW51bWJlcj41MzwvcmVjLW51bWJlcj48Zm9yZWlnbi1rZXlzPjxrZXkgYXBwPSJFTiIgZGItaWQ9IjdlNzhiMTViLTg2MzMtNWVjMC1hMGI0LWNlOGJkYTQ4YzI2NiIgdGltZXN0YW1wPSIxNzkzMjgzNjgzIj41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[V16-53]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Ni00NF08L0Rpc3BsYXlUZXh0PjxyZWNvcmQ+PHJlYy1udW1iZXI+NDQ8L3JlYy1udW1iZXI+PGZvcmVpZ24ta2V5cz48a2V5IGFwcD0iRU4iIGRiLWlkPSI3ZTc4YjE1Yi04NjMzLTVlYzAtYTBiNC1jZThiZGE0OGMyNjYiIHRpbWVzdGFtcD0iMTc5MzI4MzY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[V16-44]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U0PC9SZWNOdW0+PERpc3BsYXlUZXh0PltWMTYtNTRdPC9EaXNwbGF5VGV4dD48cmVjb3JkPjxyZWMtbnVtYmVyPjU0PC9yZWMtbnVtYmVyPjxmb3JlaWduLWtleXM+PGtleSBhcHA9IkVOIiBkYi1pZD0iN2U3OGIxNWItODYzMy01ZWMwLWEwYjQtY2U4YmRhNDhjMjY2IiB0aW1lc3RhbXA9IjE3OTMyODM2ODMiPjU0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[V16-54]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41NTwvUmVjTnVtPjxEaXNwbGF5VGV4dD5bVjE2LTU1XTwvRGlzcGxheVRleHQ+PHJlY29yZD48cmVjLW51bWJlcj41NTwvcmVjLW51bWJlcj48Zm9yZWlnbi1rZXlzPjxrZXkgYXBwPSJFTiIgZGItaWQ9IjdlNzhiMTViLTg2MzMtNWVjMC1hMGI0LWNlOGJkYTQ4YzI2NiIgdGltZXN0YW1wPSIxNzkzMjgzNjgzIj41N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[V16-55]</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138">
        <w:r>
          <w:rPr>
            <w:color w:val="77230C"/>
            <w:sz w:val="20"/>
            <w:u w:val="single"/>
          </w:rPr>
          <w:t>Meeting record: ALLOC-B4</w:t>
        </w:r>
      </w:hyperlink>
      <w:r>
        <w:t xml:space="preserve">  |  </w:t>
      </w:r>
      <w:hyperlink r:id="rId13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10 Remaining decisions before expansion</w:t>
      </w:r>
    </w:p>
    <w:p>
      <w:pPr>
        <w:pStyle w:val="Heading3"/>
        <w:keepNext/>
        <w:widowControl/>
      </w:pPr>
      <w:bookmarkStart w:id="8" w:name="HCC_B4"/>
      <w:r>
        <w:t xml:space="preserve">HCC-B4 — Can a survival-benefit score influence organ priority?</w:t>
      </w:r>
      <w:bookmarkEnd w:id="8"/>
    </w:p>
    <w:p>
      <w:pPr>
        <w:pStyle w:val="Heading3"/>
        <w:keepNext/>
        <w:widowControl/>
      </w:pPr>
      <w:r>
        <w:t xml:space="preserve">Question and comparison</w:t>
      </w:r>
    </w:p>
    <w:p>
      <w:pPr>
        <w:pStyle w:val="Normal"/>
        <w:widowControl/>
        <w:spacing w:before="60" w:after="20"/>
      </w:pPr>
      <w:r>
        <w:t xml:space="preserve">HCC candidates under existing US allocation pathways, including whether results can transport to expanded-risk or LDLT cohorts; compare model-informed eligibility/priority with current policy. Evaluate calibration, causal estimand, treatment timing, clinical utility, equity and prospective impact—not only discrimination or correlation.</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Ni01Nl08L0Rpc3BsYXlUZXh0PjxyZWNvcmQ+PHJlYy1udW1iZXI+NTY8L3JlYy1udW1iZXI+PGZvcmVpZ24ta2V5cz48a2V5IGFwcD0iRU4iIGRiLWlkPSI3ZTc4YjE1Yi04NjMzLTVlYzAtYTBiNC1jZThiZGE0OGMyNjYiIHRpbWVzdGFtcD0iMTc5MzI4MzY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[V16-56]</w:t>
            </w:r>
            <w:r>
              <w:fldChar w:fldCharType="end"/>
            </w:r>
          </w:p>
          <w:p>
            <w:pPr>
              <w:pStyle w:val="Normal"/>
              <w:widowControl/>
              <w:spacing w:before="60" w:after="20"/>
            </w:pPr>
            <w:r>
              <w:t xml:space="preserve">SRTR 2002–2022 HCC cohort restricted to Milan: 30,565 candidates, randomly split into development 15,282 and internal validation 15,283. Table 1 records 19,997 LT and 8,249 dropout events.</w:t>
            </w:r>
          </w:p>
          <w:p>
            <w:pPr>
              <w:pStyle w:val="Normal"/>
              <w:widowControl/>
              <w:spacing w:before="60" w:after="20"/>
            </w:pPr>
            <w:hyperlink r:id="rId140">
              <w:r>
                <w:rPr>
                  <w:color w:val="77230C"/>
                  <w:sz w:val="20"/>
                  <w:u w:val="single"/>
                </w:rPr>
                <w:t>Primary source</w:t>
              </w:r>
            </w:hyperlink>
            <w:r>
              <w:t xml:space="preserve"> | </w:t>
            </w:r>
            <w:hyperlink r:id="rId141">
              <w:r>
                <w:rPr>
                  <w:color w:val="77230C"/>
                  <w:sz w:val="20"/>
                  <w:u w:val="single"/>
                </w:rPr>
                <w:t>Full-text PDF</w:t>
              </w:r>
            </w:hyperlink>
          </w:p>
          <w:p>
            <w:pPr>
              <w:pStyle w:val="Normal"/>
              <w:widowControl/>
              <w:spacing w:before="60" w:after="20"/>
            </w:pPr>
            <w:r>
              <w:t xml:space="preserve">Locator: Complete local PDF pp2–5, §§1.3, 1.6, 1.8 and 2.3, Table 1.</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Proposed score: 0.65×(C-MELD−6)+1.99×(TBS−2.25)+0.68×log2(AFP). Reported internal correlation .93, R² .87 and C-index .91.</w:t>
            </w:r>
          </w:p>
          <w:p>
            <w:pPr>
              <w:pStyle w:val="Normal"/>
              <w:widowControl/>
              <w:spacing w:before="60" w:after="20"/>
            </w:pPr>
            <w:r>
              <w:rPr>
                <w:b/>
              </w:rPr>
              <w:t xml:space="preserve">Do not infer: </w:t>
            </w:r>
            <w:r>
              <w:t xml:space="preserve">Internal split is not external validation. Abstract refers to MELD 3.0 while Methods §1.6 gives an original-MELD formulation; authors/code clarification is needed. Listing versus post-LT time origins, benefit units and model implementation require reproducibility audit. These are audit questions, not proof of a specific bias. No validated transport to PVTT, LDLT or other cancers.</w:t>
            </w:r>
          </w:p>
        </w:tc>
      </w:tr>
      <w:tr>
        <w:trPr/>
        <w:tc>
          <w:tcPr>
            <w:tcW w:w="3400" w:type="dxa"/>
            <w:tcMar>
              <w:top w:w="90" w:type="dxa"/>
              <w:left w:w="90" w:type="dxa"/>
              <w:bottom w:w="90" w:type="dxa"/>
              <w:right w:w="90" w:type="dxa"/>
            </w:tcMar>
          </w:tcPr>
          <w:p>
            <w:pPr>
              <w:pStyle w:val="Normal"/>
              <w:widowControl/>
              <w:spacing w:before="60" w:after="20"/>
            </w:pPr>
            <w:r>
              <w:rPr>
                <w:b/>
              </w:rPr>
              <w:t xml:space="preserve">Liu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NTc8L1JlY051bT48RGlzcGxheVRleHQ+W1YxNi01N108L0Rpc3BsYXlUZXh0PjxyZWNvcmQ+PHJlYy1udW1iZXI+NTc8L3JlYy1udW1iZXI+PGZvcmVpZ24ta2V5cz48a2V5IGFwcD0iRU4iIGRiLWlkPSI3ZTc4YjE1Yi04NjMzLTVlYzAtYTBiNC1jZThiZGE0OGMyNjYiIHRpbWVzdGFtcD0iMTc5MzI4MzY4MyI+NTc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[V16-57]</w:t>
            </w:r>
            <w:r>
              <w:fldChar w:fldCharType="end"/>
            </w:r>
          </w:p>
          <w:p>
            <w:pPr>
              <w:pStyle w:val="Normal"/>
              <w:widowControl/>
              <w:spacing w:before="60" w:after="20"/>
            </w:pPr>
            <w:r>
              <w:t xml:space="preserve">SRTR cohort of 36,634 adult HCC exception applicants listed during 2002–2019, followed through December 2023. TBS = sqrt (largest diameter squared + lesion count squared) at first exception; groups ≤3 (19,403), &gt;3 to ≤5 (14,689), and &gt;5 (2,542). Of all candidates, 91.0% were within Milan, 5.3% beyond Milan but within UCSF, and 3.6% beyond UCSF.</w:t>
            </w:r>
          </w:p>
          <w:p>
            <w:pPr>
              <w:pStyle w:val="Normal"/>
              <w:widowControl/>
              <w:spacing w:before="60" w:after="20"/>
            </w:pPr>
            <w:hyperlink r:id="rId142">
              <w:r>
                <w:rPr>
                  <w:color w:val="77230C"/>
                  <w:sz w:val="20"/>
                  <w:u w:val="single"/>
                </w:rPr>
                <w:t>Primary source</w:t>
              </w:r>
            </w:hyperlink>
            <w:r>
              <w:t xml:space="preserve"> | </w:t>
            </w:r>
            <w:hyperlink r:id="rId143">
              <w:r>
                <w:rPr>
                  <w:color w:val="77230C"/>
                  <w:sz w:val="20"/>
                  <w:u w:val="single"/>
                </w:rPr>
                <w:t>Full-text PDF</w:t>
              </w:r>
            </w:hyperlink>
          </w:p>
          <w:p>
            <w:pPr>
              <w:pStyle w:val="Normal"/>
              <w:widowControl/>
              <w:spacing w:before="60" w:after="20"/>
            </w:pPr>
            <w:r>
              <w:t xml:space="preserve">Locator: PDF pp 4–5 methods/time origins; p 6 Figure 1 and results; p 7 Table 1; pp 8–11 Figures 2–4, Table 2 caption and limitations</w:t>
            </w:r>
          </w:p>
          <w:p>
            <w:pPr>
              <w:pStyle w:val="Normal"/>
              <w:widowControl/>
              <w:spacing w:before="60" w:after="20"/>
            </w:pPr>
            <w:r>
              <w:t xml:space="preserve">Review depth: Complete main-paper full text reviewed; image-based Table 2 also visually inspected;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unadjusted restricted mean differences were 15.7, 22.1 and 25.0 months for low/intermediate/high TBS. Adjusted five-year survival-probability differences were 21.9, 34.5 and 39.4 percentage points. Five-year post-LT OS was 77.2%, 72.9% and 70.9%. Crude dropout counts were 4,585/19,403, 4,178/14,689 and 819/2,542. Time-dependent LT interaction HR 0.68 (95% CI 0.59–0.78); adjusted LT-associated death HRs 0.36, 0.27 and 0.22 by ascending TBS. Safety: Higher tumor burden was associated with higher dropout and modestly worse recipient survival/RFS. This is not an intervention trial and does not quantify harms caused by a new allocation policy.</w:t>
            </w:r>
          </w:p>
          <w:p>
            <w:pPr>
              <w:pStyle w:val="Normal"/>
              <w:widowControl/>
              <w:spacing w:before="60" w:after="20"/>
            </w:pPr>
            <w:r>
              <w:rPr>
                <w:b/>
              </w:rPr>
              <w:t xml:space="preserve">Do not infer: </w:t>
            </w:r>
            <w:r>
              <w:t xml:space="preserve">Registry association with residual selection, changing allocation/treatment eras, missingness and limited tumor-response/pathology data. Unadjusted curve differences do not share a common treatment-decision time origin; the time-dependent interaction analysis should not be misdescribed as ignoring transplant timing. No prospective deployment or validation in prior PVTT/ICI-expanded cohorts. Text reports median follow-up 53.9 months while Figure 1 reports 31.0; the text describes imputation but Figure 1 excludes 706 recipient records. Figure 2 risk-table group counts differ from Table 1 and increase across some times, so do not reuse those risk counts. Figure 4 uncertainty is called IQR in the caption/text but CI within the graphic.</w:t>
            </w:r>
          </w:p>
        </w:tc>
      </w:tr>
      <w:tr>
        <w:trPr/>
        <w:tc>
          <w:tcPr>
            <w:tcW w:w="3400" w:type="dxa"/>
            <w:tcMar>
              <w:top w:w="90" w:type="dxa"/>
              <w:left w:w="90" w:type="dxa"/>
              <w:bottom w:w="90" w:type="dxa"/>
              <w:right w:w="90" w:type="dxa"/>
            </w:tcMar>
          </w:tcPr>
          <w:p>
            <w:pPr>
              <w:pStyle w:val="Normal"/>
              <w:widowControl/>
              <w:spacing w:before="60" w:after="20"/>
            </w:pPr>
            <w:r>
              <w:rPr>
                <w:b/>
              </w:rPr>
              <w:t xml:space="preserve">Lai 2017</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NTg8L1JlY051bT48RGlzcGxheVRleHQ+W1YxNi01OF08L0Rpc3BsYXlUZXh0PjxyZWNvcmQ+PHJlYy1udW1iZXI+NTg8L3JlYy1udW1iZXI+PGZvcmVpZ24ta2V5cz48a2V5IGFwcD0iRU4iIGRiLWlkPSI3ZTc4YjE1Yi04NjMzLTVlYzAtYTBiNC1jZThiZGE0OGMyNjYiIHRpbWVzdGFtcD0iMTc5MzI4MzY4MyI+NTg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[V16-58]</w:t>
            </w:r>
            <w:r>
              <w:fldChar w:fldCharType="end"/>
            </w:r>
          </w:p>
          <w:p>
            <w:pPr>
              <w:pStyle w:val="Normal"/>
              <w:widowControl/>
              <w:spacing w:before="60" w:after="20"/>
            </w:pPr>
            <w:r>
              <w:t xml:space="preserve">Ten-European-center retrospective cohort of 2,103 adults listed during 1987–2015 who had either undergone LT or dropped out during that period. There were 636 initially beyond-Milan patients and 1,754 treated with locoregional therapy; 1,857 underwent LT and 246 dropped out. Center selection remained within UCSF, up-to-seven or Tokyo criteria, with maximal observed target diameter 6.5 cm and 10 nodules.</w:t>
            </w:r>
          </w:p>
          <w:p>
            <w:pPr>
              <w:pStyle w:val="Normal"/>
              <w:widowControl/>
              <w:spacing w:before="60" w:after="20"/>
            </w:pPr>
            <w:hyperlink r:id="rId144">
              <w:r>
                <w:rPr>
                  <w:color w:val="77230C"/>
                  <w:sz w:val="20"/>
                  <w:u w:val="single"/>
                </w:rPr>
                <w:t>Primary source</w:t>
              </w:r>
            </w:hyperlink>
            <w:r>
              <w:t xml:space="preserve"> | </w:t>
            </w:r>
            <w:hyperlink r:id="rId145">
              <w:r>
                <w:rPr>
                  <w:color w:val="77230C"/>
                  <w:sz w:val="20"/>
                  <w:u w:val="single"/>
                </w:rPr>
                <w:t>Full-text PDF</w:t>
              </w:r>
            </w:hyperlink>
          </w:p>
          <w:p>
            <w:pPr>
              <w:pStyle w:val="Normal"/>
              <w:widowControl/>
              <w:spacing w:before="60" w:after="20"/>
            </w:pPr>
            <w:r>
              <w:t xml:space="preserve">Locator: PDF pp 2–4 selection, model construction and Table 1; pp 5–7 Tables 2–3 and benefit strata; pp 8–9 delisting claims and limitations</w:t>
            </w:r>
          </w:p>
          <w:p>
            <w:pPr>
              <w:pStyle w:val="Normal"/>
              <w:widowControl/>
              <w:spacing w:before="60" w:after="20"/>
            </w:pPr>
            <w:r>
              <w:t xml:space="preserve">Review depth: Complete main-paper full text reviewed; separate supporting data/models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derived strata contained 405 patients (19.2%) with rounded estimated benefit 0 months, 897 (42.7%) with 20 months, 693 (33.0%) with 40 months, and 108 (5.1%) with 60 months. The four low-benefit factors were MELD ≤13, within-Milan status, mRECIST progression OR complete response, and AFP ≥1,000 ng/mL. There were 242 recurrences among 1,857 recipients (13.0%); 16.1% uses only 1,504 recipients with &gt;1-year follow-up. Safety: The paper proposes delisting its modelled no-benefit group, including complete responders with low MELD; this was not prospectively tested and could deny benefit to patients with residual occult disease or future decompensation.</w:t>
            </w:r>
          </w:p>
          <w:p>
            <w:pPr>
              <w:pStyle w:val="Normal"/>
              <w:widowControl/>
              <w:spacing w:before="60" w:after="20"/>
            </w:pPr>
            <w:r>
              <w:rPr>
                <w:b/>
              </w:rPr>
              <w:t xml:space="preserve">Do not infer: </w:t>
            </w:r>
            <w:r>
              <w:t xml:space="preserve">Non-LT survival is externally model-imputed rather than directly observed; last-evaluation covariates can encode information unavailable at initial listing. Retrospective 30-year cohort, heterogeneous selection and treatment, and no independent validation of the derived benefit strata or prospective delisting policy. The article alternately calls some subgroup summaries means and medians; avoid false numerical precision. Full coefficients/assumptions are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Goudsmit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41OTwvUmVjTnVtPjxEaXNwbGF5VGV4dD5bVjE2LTU5XTwvRGlzcGxheVRleHQ+PHJlY29yZD48cmVjLW51bWJlcj41OTwvcmVjLW51bWJlcj48Zm9yZWlnbi1rZXlzPjxrZXkgYXBwPSJFTiIgZGItaWQ9IjdlNzhiMTViLTg2MzMtNWVjMC1hMGI0LWNlOGJkYTQ4YzI2NiIgdGltZXN0YW1wPSIxNzkzMjgzNjgzIj41O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[V16-59]</w:t>
            </w:r>
            <w:r>
              <w:fldChar w:fldCharType="end"/>
            </w:r>
          </w:p>
          <w:p>
            <w:pPr>
              <w:pStyle w:val="Normal"/>
              <w:widowControl/>
              <w:spacing w:before="60" w:after="20"/>
            </w:pPr>
            <w:r>
              <w:t xml:space="preserve">US UNOS first-LT candidates, 2010–April 2019; graphical abstract reports 83,395 eligible listed patients. Exclusions included previous LT, acute liver failure, living-donor listings, multiorgan LT, non-HCC malignancy and non-HCC exception indications. Recipient Table 1 reports 24,503 non-HCC, 6,922 T2 HCC and 5,448 HCC initially outside Milan.</w:t>
            </w:r>
          </w:p>
          <w:p>
            <w:pPr>
              <w:pStyle w:val="Normal"/>
              <w:widowControl/>
              <w:spacing w:before="60" w:after="20"/>
            </w:pPr>
            <w:hyperlink r:id="rId146">
              <w:r>
                <w:rPr>
                  <w:color w:val="77230C"/>
                  <w:sz w:val="20"/>
                  <w:u w:val="single"/>
                </w:rPr>
                <w:t>Primary source</w:t>
              </w:r>
            </w:hyperlink>
            <w:r>
              <w:t xml:space="preserve"> | </w:t>
            </w:r>
            <w:hyperlink r:id="rId147">
              <w:r>
                <w:rPr>
                  <w:color w:val="77230C"/>
                  <w:sz w:val="20"/>
                  <w:u w:val="single"/>
                </w:rPr>
                <w:t>Full-text PDF</w:t>
              </w:r>
            </w:hyperlink>
          </w:p>
          <w:p>
            <w:pPr>
              <w:pStyle w:val="Normal"/>
              <w:widowControl/>
              <w:spacing w:before="60" w:after="20"/>
            </w:pPr>
            <w:r>
              <w:t xml:space="preserve">Locator: PDF p 3 methods and exclusions; p 4 calculator restriction/Table 1; pp 5–6 performance and Table 2; pp 7–8 discussion/limitations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Mean five-year estimated benefit was 2.30 years for non-HCC, 1.19 for T2 HCC and 1.45 for initially outside-Milan HCC. At the same MELD (-Na) below 30, HCC patients had more estimated benefit than non-HCC, but HCC recipients generally had lower MELD. Waiting-list AUROC was 0.86; post-LT AUROC approximately 0.619. Simplified calculator optimism-corrected R² was 0.93 against model-generated benefit, not a directly observed individual causal benefit. Safety: Allocation opportunity cost is inferred from the recipient case mix; the study did not implement a new policy or measure harms from model-led allocation. Low liver reserve and high tumor burden can lower recipient outcomes even when estimated no-LT survival is poor.</w:t>
            </w:r>
          </w:p>
          <w:p>
            <w:pPr>
              <w:pStyle w:val="Normal"/>
              <w:widowControl/>
              <w:spacing w:before="60" w:after="20"/>
            </w:pPr>
            <w:r>
              <w:rPr>
                <w:b/>
              </w:rPr>
              <w:t xml:space="preserve">Do not infer: </w:t>
            </w:r>
            <w:r>
              <w:t xml:space="preserve">No prospective or geographically independent deployment validation; excludes living-donor and non-HCC exception populations. Registry limits include incomplete five-year follow-up, policy-era change and inadequate recurrence detail. HCC MELD ≥30 estimates are sparse. Table 2 totals T2 HCC as 6,992 versus Table 1's 6,922, and its HCC strata have duplicated benefit values despite differing overall means; avoid reconstructing a calculator from printed aggregate tables. Model R² measures approximation of model outputs, not calibration of individual causal benefit.</w:t>
            </w:r>
          </w:p>
        </w:tc>
      </w:tr>
      <w:tr>
        <w:trPr/>
        <w:tc>
          <w:tcPr>
            <w:tcW w:w="3400" w:type="dxa"/>
            <w:tcMar>
              <w:top w:w="90" w:type="dxa"/>
              <w:left w:w="90" w:type="dxa"/>
              <w:bottom w:w="90" w:type="dxa"/>
              <w:right w:w="90" w:type="dxa"/>
            </w:tcMar>
          </w:tcPr>
          <w:p>
            <w:pPr>
              <w:pStyle w:val="Normal"/>
              <w:widowControl/>
              <w:spacing w:before="60" w:after="20"/>
            </w:pPr>
            <w:r>
              <w:rPr>
                <w:b/>
              </w:rPr>
              <w:t xml:space="preserve">Allen 2024</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2LTQ3XTwvRGlzcGxheVRleHQ+PHJlY29yZD48cmVjLW51bWJlcj40NzwvcmVjLW51bWJlcj48Zm9yZWlnbi1rZXlzPjxrZXkgYXBwPSJFTiIgZGItaWQ9IjdlNzhiMTViLTg2MzMtNWVjMC1hMGI0LWNlOGJkYTQ4YzI2NiIgdGltZXN0YW1wPSIxNzkzMjgzNj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[V16-47]</w:t>
            </w:r>
            <w:r>
              <w:fldChar w:fldCharType="end"/>
            </w:r>
          </w:p>
          <w:p>
            <w:pPr>
              <w:pStyle w:val="Normal"/>
              <w:widowControl/>
              <w:spacing w:before="60" w:after="20"/>
            </w:pPr>
            <w:r>
              <w:t xml:space="preserve">UK National Liver Offering Scheme development and before/after implementation study. Waiting-list models: 3,859 non-cancer and 660 cancer registrations; post-LT models: 2,495 non-cancer and 430 cancer recipients. The separate 2013 simulation cohort comprised 1,287 registrations and 629 donors.</w:t>
            </w:r>
          </w:p>
          <w:p>
            <w:pPr>
              <w:pStyle w:val="Normal"/>
              <w:widowControl/>
              <w:spacing w:before="60" w:after="20"/>
            </w:pPr>
            <w:hyperlink r:id="rId148">
              <w:r>
                <w:rPr>
                  <w:color w:val="77230C"/>
                  <w:sz w:val="20"/>
                  <w:u w:val="single"/>
                </w:rPr>
                <w:t>Primary source</w:t>
              </w:r>
            </w:hyperlink>
            <w:r>
              <w:t xml:space="preserve"> | </w:t>
            </w:r>
            <w:hyperlink r:id="rId149">
              <w:r>
                <w:rPr>
                  <w:color w:val="77230C"/>
                  <w:sz w:val="20"/>
                  <w:u w:val="single"/>
                </w:rPr>
                <w:t>Full-text PDF</w:t>
              </w:r>
            </w:hyperlink>
          </w:p>
          <w:p>
            <w:pPr>
              <w:pStyle w:val="Normal"/>
              <w:widowControl/>
              <w:spacing w:before="60" w:after="20"/>
            </w:pPr>
            <w:r>
              <w:t xml:space="preserve">Locator: PDF pp 3–5: cohorts, censoring, endpoints and simulation assumptions; p 6 Tables 2–3; p 7 Table 4/Figure 1 and HCC subgroup; pp 8–9 limitations/revision</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Simulation: observed 2013 allocation had 93 deaths/removals and 4,581 patient-years; benefit-based simulation predicted 48 deaths/removals and 5,262 patient-years. Need-based simulation predicted the same 48 deaths/removals and 5,187 patient-years. Actual six-month death/deterioration removals fell from 118/1,395 (8%) to 66/1,480 (4%). Six-month survival from listing rose from 86% to 91% (P = .0049), but the HCC-specific comparison was not statistically significant. In the first two years, 68% of DBD livers were offered using the score. Safety: The model can disadvantage particular groups; the authors describe concerns that transplant-free survival in HCC was overestimated and report subsequent model revision. DBD median cold ischemia increased from 8.6 to 9.0 hours in descriptive monitoring; this is not an isolated causal score effect.</w:t>
            </w:r>
          </w:p>
          <w:p>
            <w:pPr>
              <w:pStyle w:val="Normal"/>
              <w:widowControl/>
              <w:spacing w:before="60" w:after="20"/>
            </w:pPr>
            <w:r>
              <w:rPr>
                <w:b/>
              </w:rPr>
              <w:t xml:space="preserve">Do not infer: </w:t>
            </w:r>
            <w:r>
              <w:t xml:space="preserve">Simulated patient-years are not observed life-years gained. The implementation was a multifaceted national process change without randomization. Figure 1 labels the post cohort 1,489 whereas Table 4 and the 2,875 total imply 1,480. Model cancer groups included several indications; no validation specifically establishes safety for US expanded HCC, treated PVTT, or an individual living donor decision. HCC-specific survival improvement was nonsignificant. Detailed coefficients and subgroup results reside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Prosepe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YwPC9SZWNOdW0+PERpc3BsYXlUZXh0PltWMTYtNjBdPC9EaXNwbGF5VGV4dD48cmVjb3JkPjxyZWMtbnVtYmVyPjYwPC9yZWMtbnVtYmVyPjxmb3JlaWduLWtleXM+PGtleSBhcHA9IkVOIiBkYi1pZD0iN2U3OGIxNWItODYzMy01ZWMwLWEwYjQtY2U4YmRhNDhjMjY2IiB0aW1lc3RhbXA9IjE3OTMyODM2ODMiPjYw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[V16-60]</w:t>
            </w:r>
            <w:r>
              <w:fldChar w:fldCharType="end"/>
            </w:r>
          </w:p>
          <w:p>
            <w:pPr>
              <w:pStyle w:val="Normal"/>
              <w:widowControl/>
              <w:spacing w:before="60" w:after="20"/>
            </w:pPr>
            <w:r>
              <w:t xml:space="preserve">Methodological study with 200 simulations of 2,500 patients and an application to 9,868 Eurotransplant chronic-cirrhosis patients followed during 2007–2019. Of the clinical cohort, 4,998 received LT, 3,013 died before LT, and 1,361 died within three years after LT. Detailed selection criteria are in the separate supplement.</w:t>
            </w:r>
          </w:p>
          <w:p>
            <w:pPr>
              <w:pStyle w:val="Normal"/>
              <w:widowControl/>
              <w:spacing w:before="60" w:after="20"/>
            </w:pPr>
            <w:hyperlink r:id="rId150">
              <w:r>
                <w:rPr>
                  <w:color w:val="77230C"/>
                  <w:sz w:val="20"/>
                  <w:u w:val="single"/>
                </w:rPr>
                <w:t>Primary source</w:t>
              </w:r>
            </w:hyperlink>
            <w:r>
              <w:t xml:space="preserve"> | </w:t>
            </w:r>
            <w:hyperlink r:id="rId151">
              <w:r>
                <w:rPr>
                  <w:color w:val="77230C"/>
                  <w:sz w:val="20"/>
                  <w:u w:val="single"/>
                </w:rPr>
                <w:t>Full-text PDF</w:t>
              </w:r>
            </w:hyperlink>
          </w:p>
          <w:p>
            <w:pPr>
              <w:pStyle w:val="Normal"/>
              <w:widowControl/>
              <w:spacing w:before="60" w:after="20"/>
            </w:pPr>
            <w:r>
              <w:t xml:space="preserve">Locator: PDF pp 3–6 estimand and identifiability assumptions; pp 7–9 simulation; pp 9–11 registry application and projected gain; pp 12–13 limitations and missing oncologic variables</w:t>
            </w:r>
          </w:p>
          <w:p>
            <w:pPr>
              <w:pStyle w:val="Normal"/>
              <w:widowControl/>
              <w:spacing w:before="60" w:after="20"/>
            </w:pPr>
            <w:r>
              <w:t xml:space="preserve">Review depth: Complete main-paper full text reviewed; mathematical proof, selection details and model coefficients in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proposed weighted method reduced simulation bias relative to baseline-only and unweighted cross-section methods. Applying the fitted model back to the same registry data, selecting the highest predicted benefit rather than highest MELD yielded an estimated extra 0.46 life-years per organ over a three-year horizon. The extrapolated approximately 2,300 life-years is a model projection over roughly 5,000 transplants, not observed benefit. Safety: The model does not directly establish the opportunity costs or population dynamics of changing allocation across future dates. Maximizing benefit at each current offer is not necessarily the optimal longitudinal national policy.</w:t>
            </w:r>
          </w:p>
          <w:p>
            <w:pPr>
              <w:pStyle w:val="Normal"/>
              <w:widowControl/>
              <w:spacing w:before="60" w:after="20"/>
            </w:pPr>
            <w:r>
              <w:rPr>
                <w:b/>
              </w:rPr>
              <w:t xml:space="preserve">Do not infer: </w:t>
            </w:r>
            <w:r>
              <w:t xml:space="preserve">Causal interpretation requires consistency, positivity, conditional exchangeability and correct treatment/outcome models. Performance was not externally validated; real-data predictions were applied to the same patients/dates. Oncologic parameters, sodium and albumin were not routinely collected and omitted. There is no demonstrated calibration in HCC-expanded/PVTT or post-ICI candidates. Full application selection and coefficients remain in the unread supplement. Scarcity dynamics, future organ availability and quality-of-life indications need separate modeling.</w:t>
            </w:r>
          </w:p>
        </w:tc>
      </w:tr>
    </w:tbl>
    <w:p>
      <w:pPr>
        <w:pStyle w:val="Heading3"/>
        <w:keepNext/>
        <w:widowControl/>
      </w:pPr>
      <w:r>
        <w:t xml:space="preserve">Synthesis and evidence that challenges the proposal</w:t>
      </w:r>
    </w:p>
    <w:p>
      <w:pPr>
        <w:pStyle w:val="Normal"/>
        <w:widowControl/>
        <w:spacing w:before="60" w:after="20"/>
      </w:pPr>
      <w:r>
        <w:t xml:space="preserve">Benefit estimands differ: Liu reports both restricted-mean months and adjusted survival-probability percentage points; Lai uses MESIAH-imputed no-LT median survival; Goudsmit estimates recipient-conditioned five-year life-years at LT; Prosepe estimates three-year conditional benefit at donor availability. Allen provides real national implementation monitoring but no significant HCC-specific survival improvement and no validation in US expanded HCC/PVTT. These are not interchangeable scores.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Ni01Nl08L0Rpc3BsYXlUZXh0PjxyZWNvcmQ+PHJlYy1udW1iZXI+NTY8L3JlYy1udW1iZXI+PGZvcmVpZ24ta2V5cz48a2V5IGFwcD0iRU4iIGRiLWlkPSI3ZTc4YjE1Yi04NjMzLTVlYzAtYTBiNC1jZThiZGE0OGMyNjYiIHRpbWVzdGFtcD0iMTc5MzI4MzY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[V16-56]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NTc8L1JlY051bT48RGlzcGxheVRleHQ+W1YxNi01N108L0Rpc3BsYXlUZXh0PjxyZWNvcmQ+PHJlYy1udW1iZXI+NTc8L3JlYy1udW1iZXI+PGZvcmVpZ24ta2V5cz48a2V5IGFwcD0iRU4iIGRiLWlkPSI3ZTc4YjE1Yi04NjMzLTVlYzAtYTBiNC1jZThiZGE0OGMyNjYiIHRpbWVzdGFtcD0iMTc5MzI4MzY4MyI+NTc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[V16-57]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NTg8L1JlY051bT48RGlzcGxheVRleHQ+W1YxNi01OF08L0Rpc3BsYXlUZXh0PjxyZWNvcmQ+PHJlYy1udW1iZXI+NTg8L3JlYy1udW1iZXI+PGZvcmVpZ24ta2V5cz48a2V5IGFwcD0iRU4iIGRiLWlkPSI3ZTc4YjE1Yi04NjMzLTVlYzAtYTBiNC1jZThiZGE0OGMyNjYiIHRpbWVzdGFtcD0iMTc5MzI4MzY4MyI+NTg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[V16-58]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41OTwvUmVjTnVtPjxEaXNwbGF5VGV4dD5bVjE2LTU5XTwvRGlzcGxheVRleHQ+PHJlY29yZD48cmVjLW51bWJlcj41OTwvcmVjLW51bWJlcj48Zm9yZWlnbi1rZXlzPjxrZXkgYXBwPSJFTiIgZGItaWQ9IjdlNzhiMTViLTg2MzMtNWVjMC1hMGI0LWNlOGJkYTQ4YzI2NiIgdGltZXN0YW1wPSIxNzkzMjgzNjgzIj41O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[V16-59]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2LTQ3XTwvRGlzcGxheVRleHQ+PHJlY29yZD48cmVjLW51bWJlcj40NzwvcmVjLW51bWJlcj48Zm9yZWlnbi1rZXlzPjxrZXkgYXBwPSJFTiIgZGItaWQ9IjdlNzhiMTViLTg2MzMtNWVjMC1hMGI0LWNlOGJkYTQ4YzI2NiIgdGltZXN0YW1wPSIxNzkzMjgzNj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[V16-47]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YwPC9SZWNOdW0+PERpc3BsYXlUZXh0PltWMTYtNjBdPC9EaXNwbGF5VGV4dD48cmVjb3JkPjxyZWMtbnVtYmVyPjYwPC9yZWMtbnVtYmVyPjxmb3JlaWduLWtleXM+PGtleSBhcHA9IkVOIiBkYi1pZD0iN2U3OGIxNWItODYzMy01ZWMwLWEwYjQtY2U4YmRhNDhjMjY2IiB0aW1lc3RhbXA9IjE3OTMyODM2ODMiPjYw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[V16-60]</w:t>
      </w:r>
      <w:r>
        <w:fldChar w:fldCharType="end"/>
      </w:r>
    </w:p>
    <w:p>
      <w:pPr>
        <w:pStyle w:val="Normal"/>
        <w:widowControl/>
        <w:numPr>
          <w:ilvl w:val="0"/>
          <w:numId w:val="3"/>
        </w:numPr>
        <w:spacing w:before="60" w:after="20"/>
      </w:pPr>
      <w:r>
        <w:t xml:space="preserve">The UK implementation and longitudinal causal methods show that benefit-based allocation need not remain hypothetical. Favorable internal performance and the larger-benefit signal at higher tumor burden justify further evaluation, not automatic adoption. Conversely, an imputed nontransplant counterfactual, recipient-only scope or overlapping registry sample cannot serve as independent validation. The proper critique is specific to estimand, calibration and transport—not a blanket claim that observational modeling is invalid or that time-dependent LT was never considered.</w:t>
      </w:r>
    </w:p>
    <w:p>
      <w:pPr>
        <w:pStyle w:val="Normal"/>
        <w:widowControl/>
        <w:spacing w:before="60" w:after="20"/>
      </w:pPr>
      <w:r>
        <w:rPr>
          <w:b/>
        </w:rPr>
        <w:t xml:space="preserve">Certainty / applicability: </w:t>
      </w:r>
      <w:r>
        <w:t xml:space="preserve">Moderate that benefit-based allocation is feasible within an established national governance system; low that any particular observational score improves individual HCC decisions; very low for deployment of the 2026 Liu score in expanded-risk/PVTT/LDLT patients. No independent prospective impact or external high-risk calibration study of that exact score was identified in this bounded search.</w:t>
      </w:r>
    </w:p>
    <w:p>
      <w:pPr>
        <w:pStyle w:val="Heading3"/>
        <w:keepNext/>
        <w:widowControl/>
      </w:pPr>
      <w:r>
        <w:t xml:space="preserve">Where each proposed threshold comes from</w:t>
      </w:r>
    </w:p>
    <w:p>
      <w:pPr>
        <w:pStyle w:val="Normal"/>
        <w:widowControl/>
        <w:numPr>
          <w:ilvl w:val="0"/>
          <w:numId w:val="3"/>
        </w:numPr>
        <w:spacing w:before="60" w:after="20"/>
      </w:pPr>
      <w:r>
        <w:t xml:space="preserve">Zero current decision weight is a proposed governance rule, not a published numerical efficacy threshold. No arbitrary calibration/C-index cutoff is endorsed here. Acceptance criteria should be prespecified with biostatistics and allocation stakeholders using clinically meaningful calibration error, decision consequences and equity, then independently tested. Findings in within-Milan DDLT cannot simply be extrapolated to PVTT or LDLT.</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Ni01Nl08L0Rpc3BsYXlUZXh0PjxyZWNvcmQ+PHJlYy1udW1iZXI+NTY8L3JlYy1udW1iZXI+PGZvcmVpZ24ta2V5cz48a2V5IGFwcD0iRU4iIGRiLWlkPSI3ZTc4YjE1Yi04NjMzLTVlYzAtYTBiNC1jZThiZGE0OGMyNjYiIHRpbWVzdGFtcD0iMTc5MzI4MzY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[V16-56]</w:t>
            </w:r>
            <w:r>
              <w:fldChar w:fldCharType="end"/>
            </w:r>
          </w:p>
          <w:p>
            <w:pPr>
              <w:pStyle w:val="Normal"/>
              <w:widowControl/>
              <w:spacing w:before="60" w:after="20"/>
            </w:pPr>
            <w:r>
              <w:t xml:space="preserve">“developed and internally validated”</w:t>
            </w:r>
          </w:p>
          <w:p>
            <w:pPr>
              <w:pStyle w:val="Normal"/>
              <w:widowControl/>
              <w:spacing w:before="60" w:after="20"/>
            </w:pPr>
            <w:r>
              <w:t xml:space="preserve">Published PDF p2, introduction</w:t>
            </w:r>
          </w:p>
          <w:p>
            <w:pPr>
              <w:pStyle w:val="Normal"/>
              <w:widowControl/>
              <w:spacing w:before="60" w:after="20"/>
            </w:pPr>
            <w:hyperlink r:id="rId152">
              <w:r>
                <w:rPr>
                  <w:color w:val="77230C"/>
                  <w:sz w:val="20"/>
                  <w:u w:val="single"/>
                </w:rPr>
                <w:t>Source</w:t>
              </w:r>
            </w:hyperlink>
            <w:r>
              <w:t xml:space="preserve"> | </w:t>
            </w:r>
            <w:hyperlink r:id="rId15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split-sample internal assessment is not independent external validation.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Ni01Nl08L0Rpc3BsYXlUZXh0PjxyZWNvcmQ+PHJlYy1udW1iZXI+NTY8L3JlYy1udW1iZXI+PGZvcmVpZ24ta2V5cz48a2V5IGFwcD0iRU4iIGRiLWlkPSI3ZTc4YjE1Yi04NjMzLTVlYzAtYTBiNC1jZThiZGE0OGMyNjYiIHRpbWVzdGFtcD0iMTc5MzI4MzY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[V16-56]</w:t>
            </w:r>
            <w:r>
              <w:fldChar w:fldCharType="end"/>
            </w:r>
          </w:p>
          <w:p>
            <w:pPr>
              <w:pStyle w:val="Normal"/>
              <w:widowControl/>
              <w:spacing w:before="60" w:after="20"/>
            </w:pPr>
            <w:r>
              <w:t xml:space="preserve">“Recipients of living donor liver transplantation (LDLT) were excluded”</w:t>
            </w:r>
          </w:p>
          <w:p>
            <w:pPr>
              <w:pStyle w:val="Normal"/>
              <w:widowControl/>
              <w:spacing w:before="60" w:after="20"/>
            </w:pPr>
            <w:r>
              <w:t xml:space="preserve">Published PDF p2, section 1.3</w:t>
            </w:r>
          </w:p>
          <w:p>
            <w:pPr>
              <w:pStyle w:val="Normal"/>
              <w:widowControl/>
              <w:spacing w:before="60" w:after="20"/>
            </w:pPr>
            <w:hyperlink r:id="rId154">
              <w:r>
                <w:rPr>
                  <w:color w:val="77230C"/>
                  <w:sz w:val="20"/>
                  <w:u w:val="single"/>
                </w:rPr>
                <w:t>Source</w:t>
              </w:r>
            </w:hyperlink>
            <w:r>
              <w:t xml:space="preserve"> | </w:t>
            </w:r>
            <w:hyperlink r:id="rId15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LDLT decisions are outside this model’s evaluated population.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Give the survival-benefit score zero clinical or allocation weight now; evaluate it in shadow mode only.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Ni01Nl08L0Rpc3BsYXlUZXh0PjxyZWNvcmQ+PHJlYy1udW1iZXI+NTY8L3JlYy1udW1iZXI+PGZvcmVpZ24ta2V5cz48a2V5IGFwcD0iRU4iIGRiLWlkPSI3ZTc4YjE1Yi04NjMzLTVlYzAtYTBiNC1jZThiZGE0OGMyNjYiIHRpbWVzdGFtcD0iMTc5MzI4MzY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[V16-56]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NTc8L1JlY051bT48RGlzcGxheVRleHQ+W1YxNi01N108L0Rpc3BsYXlUZXh0PjxyZWNvcmQ+PHJlYy1udW1iZXI+NTc8L3JlYy1udW1iZXI+PGZvcmVpZ24ta2V5cz48a2V5IGFwcD0iRU4iIGRiLWlkPSI3ZTc4YjE1Yi04NjMzLTVlYzAtYTBiNC1jZThiZGE0OGMyNjYiIHRpbWVzdGFtcD0iMTc5MzI4MzY4MyI+NTc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[V16-57]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NTg8L1JlY051bT48RGlzcGxheVRleHQ+W1YxNi01OF08L0Rpc3BsYXlUZXh0PjxyZWNvcmQ+PHJlYy1udW1iZXI+NTg8L3JlYy1udW1iZXI+PGZvcmVpZ24ta2V5cz48a2V5IGFwcD0iRU4iIGRiLWlkPSI3ZTc4YjE1Yi04NjMzLTVlYzAtYTBiNC1jZThiZGE0OGMyNjYiIHRpbWVzdGFtcD0iMTc5MzI4MzY4MyI+NTg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[V16-58]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41OTwvUmVjTnVtPjxEaXNwbGF5VGV4dD5bVjE2LTU5XTwvRGlzcGxheVRleHQ+PHJlY29yZD48cmVjLW51bWJlcj41OTwvcmVjLW51bWJlcj48Zm9yZWlnbi1rZXlzPjxrZXkgYXBwPSJFTiIgZGItaWQ9IjdlNzhiMTViLTg2MzMtNWVjMC1hMGI0LWNlOGJkYTQ4YzI2NiIgdGltZXN0YW1wPSIxNzkzMjgzNjgzIj41O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[V16-59]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2LTQ3XTwvRGlzcGxheVRleHQ+PHJlY29yZD48cmVjLW51bWJlcj40NzwvcmVjLW51bWJlcj48Zm9yZWlnbi1rZXlzPjxrZXkgYXBwPSJFTiIgZGItaWQ9IjdlNzhiMTViLTg2MzMtNWVjMC1hMGI0LWNlOGJkYTQ4YzI2NiIgdGltZXN0YW1wPSIxNzkzMjgzNj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[V16-47]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YwPC9SZWNOdW0+PERpc3BsYXlUZXh0PltWMTYtNjBdPC9EaXNwbGF5VGV4dD48cmVjb3JkPjxyZWMtbnVtYmVyPjYwPC9yZWMtbnVtYmVyPjxmb3JlaWduLWtleXM+PGtleSBhcHA9IkVOIiBkYi1pZD0iN2U3OGIxNWItODYzMy01ZWMwLWEwYjQtY2U4YmRhNDhjMjY2IiB0aW1lc3RhbXA9IjE3OTMyODM2ODMiPjYw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[V16-60]</w:t>
      </w:r>
      <w:r>
        <w:fldChar w:fldCharType="end"/>
      </w:r>
    </w:p>
    <w:p>
      <w:pPr>
        <w:pStyle w:val="Normal"/>
        <w:widowControl/>
        <w:numPr>
          <w:ilvl w:val="0"/>
          <w:numId w:val="3"/>
        </w:numPr>
      </w:pPr>
      <w:r>
        <w:t xml:space="preserve">Proposed decision threshold: no score-driven listing, exclusion, exception priority, organ acceptance, LDLT selection or treatment change before external validation and prospective impact review.</w:t>
      </w:r>
    </w:p>
    <w:p>
      <w:pPr>
        <w:pStyle w:val="Normal"/>
        <w:widowControl/>
        <w:numPr>
          <w:ilvl w:val="0"/>
          <w:numId w:val="3"/>
        </w:numPr>
      </w:pPr>
      <w:r>
        <w:t xml:space="preserve">Require a locked reproducible formula and data dictionary, clarification of the MELD/AFP definitions and time zero, independent external calibration and utility testing against current care, equity assessment, and appropriate policy authorization before deployment.</w:t>
      </w:r>
    </w:p>
    <w:p>
      <w:pPr>
        <w:pStyle w:val="Normal"/>
        <w:widowControl/>
        <w:numPr>
          <w:ilvl w:val="0"/>
          <w:numId w:val="3"/>
        </w:numPr>
      </w:pPr>
      <w:r>
        <w:t xml:space="preserve">Do not extrapolate the within-Milan, non-LDLT model to PVTT, LDLT or other cancers.</w:t>
      </w:r>
    </w:p>
    <w:p>
      <w:pPr>
        <w:pStyle w:val="Normal"/>
        <w:widowControl/>
        <w:numPr>
          <w:ilvl w:val="1"/>
          <w:numId w:val="3"/>
        </w:numPr>
        <w:spacing w:before="60" w:after="20"/>
      </w:pPr>
      <w:r>
        <w:t xml:space="preserve">No numerical score cutoff is proposed because its clinical use is not yet justified.</w:t>
      </w:r>
    </w:p>
    <w:p>
      <w:pPr>
        <w:pStyle w:val="Normal"/>
        <w:widowControl/>
        <w:spacing w:before="60" w:after="20"/>
      </w:pPr>
      <w:r>
        <w:rPr>
          <w:b/>
        </w:rPr>
        <w:t xml:space="preserve">Why retain or change it: </w:t>
      </w:r>
      <w:r>
        <w:t xml:space="preserve">Retain zero direct clinical/allocation weight in a shadow registry. Lock the exact model, units, decision time, donor assumptions and intended population. Before deployment require independent calibration, missing-data handling, decision-utility and equity analyses, prospective monitoring and institutional/allocation approval. No current model result overrides OPTN policy, donor protection or the biological eligibility gates.</w:t>
      </w:r>
    </w:p>
    <w:p>
      <w:pPr>
        <w:pStyle w:val="Heading3"/>
        <w:keepNext/>
        <w:widowControl/>
      </w:pPr>
      <w:r>
        <w:t xml:space="preserve">Information required before the decision</w:t>
      </w:r>
    </w:p>
    <w:p>
      <w:pPr>
        <w:pStyle w:val="Normal"/>
        <w:widowControl/>
        <w:spacing w:before="60" w:after="20"/>
      </w:pPr>
      <w:r>
        <w:t xml:space="preserve">Reproducible model code; independent cohort; time-dependent transplant analysis; competing-event definitions; calibration, utility and subgroup audit.</w:t>
      </w:r>
    </w:p>
    <w:p>
      <w:pPr>
        <w:pStyle w:val="Normal"/>
        <w:widowControl/>
        <w:spacing w:before="60" w:after="20"/>
      </w:pPr>
      <w:r>
        <w:rPr>
          <w:b/>
        </w:rPr>
        <w:t xml:space="preserve">Clinical versus allocation: </w:t>
      </w:r>
      <w:r>
        <w:t xml:space="preserve">Neither a model estimate nor an internal committee can independently rewrite national allocation priority.</w:t>
      </w:r>
    </w:p>
    <w:p>
      <w:pPr>
        <w:pStyle w:val="Normal"/>
        <w:widowControl/>
        <w:spacing w:before="60" w:after="20"/>
      </w:pPr>
      <w:r>
        <w:rPr>
          <w:b/>
        </w:rPr>
        <w:t xml:space="preserve">Roadmap / protocol reconciliation: </w:t>
      </w:r>
      <w:r>
        <w:t xml:space="preserve">Use the score only as a research output; the current clinical roadmap remains the decision authority.</w:t>
      </w:r>
    </w:p>
    <w:p>
      <w:pPr>
        <w:pStyle w:val="Normal"/>
        <w:widowControl/>
        <w:spacing w:before="60" w:after="20"/>
      </w:pPr>
      <w:hyperlink r:id="rId156">
        <w:r>
          <w:rPr>
            <w:color w:val="77230C"/>
            <w:sz w:val="20"/>
            <w:u w:val="single"/>
          </w:rPr>
          <w:t>Meeting record: HCC-B4</w:t>
        </w:r>
      </w:hyperlink>
      <w:r>
        <w:t xml:space="preserve">  |  </w:t>
      </w:r>
      <w:hyperlink r:id="rId15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pPr>
      <w:r>
        <w:t xml:space="preserve">The group must record its final wording, owner, date and approvals for HCC-B1–B4 and ALLOC-B1–B4. This edition implements evidence corrections and makes the unresolved choices visible; it does not record a committee decision that has not occurred.</w:t>
      </w:r>
    </w:p>
    <w:p>
      <w:pPr>
        <w:pStyle w:val="Normal"/>
        <w:widowControl/>
      </w:pPr>
      <w:r>
        <w:t xml:space="preserve">Evidence review record: </w:t>
      </w:r>
      <w:hyperlink r:id="rId158">
        <w:r>
          <w:rPr>
            <w:color w:val="77230C"/>
            <w:sz w:val="20"/>
            <w:u w:val="single"/>
          </w:rPr>
          <w:t>Five analyst comments and reconciliation</w:t>
        </w:r>
      </w:hyperlink>
      <w:r>
        <w:t xml:space="preserve">  |  </w:t>
      </w:r>
      <w:hyperlink r:id="rId159">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High-risk and expanded-cohort clarification. Previously treated extrahepatic disease is not admitted by any cohort in this protocol unless a stratum below says otherwise; every such stratum is proposed, not active.</w:t>
      </w:r>
    </w:p>
    <w:p>
      <w:pPr>
        <w:pStyle w:val="Heading2"/>
        <w:widowControl/>
        <w:keepNext/>
      </w:pPr>
      <w:bookmarkStart w:id="16010" w:name="HCC_B5"/>
      <w:r>
        <w:t xml:space="preserve">HCC-B5 — Previously treated extrahepatic disease</w:t>
      </w:r>
      <w:bookmarkEnd w:id="16010"/>
    </w:p>
    <w:p>
      <w:pPr>
        <w:pStyle w:val="Normal"/>
        <w:widowControl/>
        <w:spacing w:after="120"/>
      </w:pPr>
      <w:r>
        <w:t xml:space="preserve">Status: Closed; registry only. OPEN proposal for multidisciplinary review; not activated.</w:t>
      </w:r>
    </w:p>
    <w:p>
      <w:pPr>
        <w:pStyle w:val="Normal"/>
        <w:widowControl/>
        <w:spacing w:after="120"/>
      </w:pPr>
      <w:r>
        <w:t xml:space="preserve">Question: May a patient whose extrahepatic HCC (including proven lymph-node metastasis) was treated and has responded completely ever enter a transplant route, or does this history close transplantation?</w:t>
      </w:r>
    </w:p>
    <w:p>
      <w:pPr>
        <w:pStyle w:val="Normal"/>
        <w:widowControl/>
        <w:spacing w:after="120"/>
      </w:pPr>
      <w:r>
        <w:t xml:space="preserve">Proposed position (OPEN): Keep closed. A history of extrahepatic metastasis or proven nodal metastasis excludes the standard OPTN route and every HCC high-risk cohort, even after resection, ablation, radiotherapy or a complete response to immunotherapy. Record durable complete responders in a prospective registry; this edition offers no transplant route.</w:t>
      </w:r>
    </w:p>
    <w:p>
      <w:pPr>
        <w:pStyle w:val="Heading3"/>
        <w:widowControl/>
        <w:keepNext/>
      </w:pPr>
      <w:r>
        <w:t xml:space="preserve">Proposed rules</w:t>
      </w:r>
    </w:p>
    <w:p>
      <w:pPr>
        <w:pStyle w:val="Normal"/>
        <w:widowControl/>
        <w:spacing w:after="120"/>
        <w:numPr>
          <w:ilvl w:val="0"/>
          <w:numId w:val="7"/>
        </w:numPr>
      </w:pPr>
      <w:r>
        <w:t xml:space="preserve">“No extrahepatic disease” in HCC-B1 and HCC-B2 means no current or previous extrahepatic metastasis. Resection, ablation, radiotherapy or a complete radiological response does not clear this history.</w:t>
      </w:r>
    </w:p>
    <w:p>
      <w:pPr>
        <w:pStyle w:val="Normal"/>
        <w:widowControl/>
        <w:spacing w:after="120"/>
        <w:numPr>
          <w:ilvl w:val="0"/>
          <w:numId w:val="7"/>
        </w:numPr>
      </w:pPr>
      <w:r>
        <w:t xml:space="preserve">Count proven lymph-node metastasis, including hilar or hepatoduodenal nodes, as extrahepatic disease. Enlarged hilar nodes without proof are HOLD for characterization. A lesion later proven benign is not prior extrahepatic disease; record how it was resolved.</w:t>
      </w:r>
    </w:p>
    <w:p>
      <w:pPr>
        <w:pStyle w:val="Normal"/>
        <w:widowControl/>
        <w:spacing w:after="120"/>
        <w:numPr>
          <w:ilvl w:val="0"/>
          <w:numId w:val="7"/>
        </w:numPr>
      </w:pPr>
      <w:r>
        <w:t xml:space="preserve">Registry, not listing: enter durable complete responders with dated imaging, AFP and treatment history. Starting points for any future study (not active): ≥12 months without evidence of disease off systemic therapy; PET or tissue confirmation that every extrahepatic site is cleared; current whole-body staging including bone; an immunotherapy washout of ≥90 days and the HCC-B3 safety review.</w:t>
      </w:r>
    </w:p>
    <w:p>
      <w:pPr>
        <w:pStyle w:val="Normal"/>
        <w:widowControl/>
        <w:spacing w:after="120"/>
        <w:numPr>
          <w:ilvl w:val="0"/>
          <w:numId w:val="7"/>
        </w:numPr>
      </w:pPr>
      <w:r>
        <w:t xml:space="preserve">Do not combine with the expanded-burden (HCC-B1) or portal-vein invasion (HCC-B2) cohorts.</w:t>
      </w:r>
    </w:p>
    <w:p>
      <w:pPr>
        <w:pStyle w:val="Normal"/>
        <w:widowControl/>
        <w:spacing w:after="120"/>
      </w:pPr>
      <w:r>
        <w:t xml:space="preserve">Why: The guidelines describe current extrahepatic disease only. Excluding previously treated disease is this program’s inference, stated as such: no series reports outcomes of transplantation after treated extrahepatic HCC (cohorts that contain such recipients exclude them or do not report them separately), nodal disease at transplantation strongly predicts recurrence, and a complete response to immunotherapy is not cure.</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ILTS–ILCA 2024 consensus (Kodali 2026)</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2024 ILTS–ILCA consensus, 54 statements. Every extrahepatic-disease statement is in the present tense (downstaging, immunotherapy for downstaging, LDLT with vascular invasion). Lymph nodes are not mentioned.</w:t>
            </w:r>
          </w:p>
        </w:tc>
        <w:tc>
          <w:tcPr>
            <w:tcW w:w="3743" w:type="dxa"/>
            <w:vAlign w:val="top"/>
            <w:shd w:fill="F1F5F8"/>
          </w:tcPr>
          <w:p>
            <w:pPr>
              <w:pStyle w:val="Normal"/>
              <w:widowControl/>
              <w:spacing w:after="55" w:line="240" w:lineRule="auto"/>
              <w:keepNext w:val="0"/>
              <w:keepLines/>
            </w:pPr>
            <w:r>
              <w:rPr>
                <w:sz w:val="21"/>
                <w:szCs w:val="21"/>
              </w:rPr>
              <w:t xml:space="preserve">Results: No recommendation on how long to observe after a response to immunotherapy; the only long interval specified is ≥12 months after downstaging of Vp1–2 invasion.</w:t>
            </w:r>
          </w:p>
          <w:p>
            <w:pPr>
              <w:pStyle w:val="Normal"/>
              <w:widowControl/>
              <w:spacing w:after="55" w:line="240" w:lineRule="auto"/>
              <w:keepNext w:val="0"/>
              <w:keepLines/>
            </w:pPr>
            <w:r>
              <w:rPr>
                <w:sz w:val="21"/>
                <w:szCs w:val="21"/>
              </w:rPr>
              <w:t xml:space="preserve">Limits: Consensus; silent on previously treated extrahepatic disease and on nodes.</w:t>
            </w:r>
          </w:p>
          <w:p>
            <w:pPr>
              <w:pStyle w:val="Normal"/>
              <w:widowControl/>
              <w:spacing w:after="55" w:line="240" w:lineRule="auto"/>
              <w:keepNext w:val="0"/>
              <w:keepLines/>
            </w:pPr>
            <w:r>
              <w:rPr>
                <w:sz w:val="21"/>
                <w:szCs w:val="21"/>
              </w:rPr>
              <w:t xml:space="preserve">Liver Cancer 2026; Table 1, Working Groups B–C.</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</w:fldData>
              </w:fldChar>
            </w:r>
            <w:r>
              <w:instrText xml:space="preserve"> ADDIN EN.CITE.DATA </w:instrText>
            </w:r>
            <w:r>
              <w:fldChar w:fldCharType="end"/>
            </w:r>
            <w:r>
              <w:fldChar w:fldCharType="separate"/>
            </w:r>
            <w:r>
              <w:t xml:space="preserve">[V16-26]</w:t>
            </w:r>
            <w:r>
              <w:fldChar w:fldCharType="end"/>
            </w:r>
            <w:r>
              <w:br/>
            </w:r>
            <w:hyperlink r:id="rId692">
              <w:r>
                <w:rPr>
                  <w:color w:val="0563C1"/>
                  <w:u w:val="single"/>
                </w:rPr>
                <w:t>Source</w:t>
              </w:r>
            </w:hyperlink>
            <w:r>
              <w:t xml:space="preserve"> · </w:t>
            </w:r>
            <w:hyperlink r:id="rId693">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AASLD 2023 HCC practice guidance</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AASLD 2023 practice guidance. Table 4 lists “lymph node involvement by tumor or extrahepatic spread of tumor” as downstaging failure and exclusion from transplantation.</w:t>
            </w:r>
          </w:p>
        </w:tc>
        <w:tc>
          <w:tcPr>
            <w:tcW w:w="3743" w:type="dxa"/>
            <w:vAlign w:val="top"/>
            <w:shd w:fill="FFFFFF"/>
          </w:tcPr>
          <w:p>
            <w:pPr>
              <w:pStyle w:val="Normal"/>
              <w:widowControl/>
              <w:spacing w:after="55" w:line="240" w:lineRule="auto"/>
              <w:keepNext w:val="0"/>
              <w:keepLines/>
            </w:pPr>
            <w:r>
              <w:rPr>
                <w:sz w:val="21"/>
                <w:szCs w:val="21"/>
              </w:rPr>
              <w:t xml:space="preserve">Results: Recommends stopping immune checkpoint inhibitors at least 3 months before transplantation.</w:t>
            </w:r>
          </w:p>
          <w:p>
            <w:pPr>
              <w:pStyle w:val="Normal"/>
              <w:widowControl/>
              <w:spacing w:after="55" w:line="240" w:lineRule="auto"/>
              <w:keepNext w:val="0"/>
              <w:keepLines/>
            </w:pPr>
            <w:r>
              <w:rPr>
                <w:sz w:val="21"/>
                <w:szCs w:val="21"/>
              </w:rPr>
              <w:t xml:space="preserve">Limits: No section addresses transplantation or resection after treated extrahepatic disease.</w:t>
            </w:r>
          </w:p>
          <w:p>
            <w:pPr>
              <w:pStyle w:val="Normal"/>
              <w:widowControl/>
              <w:spacing w:after="55" w:line="240" w:lineRule="auto"/>
              <w:keepNext w:val="0"/>
              <w:keepLines/>
            </w:pPr>
            <w:r>
              <w:rPr>
                <w:sz w:val="21"/>
                <w:szCs w:val="21"/>
              </w:rPr>
              <w:t xml:space="preserve">Hepatology 2023; Table 4 and transplant section (relevant sections read).</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694">
              <w:r>
                <w:rPr>
                  <w:color w:val="0563C1"/>
                  <w:u w:val="single"/>
                </w:rPr>
                <w:t>Source</w:t>
              </w:r>
            </w:hyperlink>
            <w:r>
              <w:t xml:space="preserve"> · </w:t>
            </w:r>
            <w:hyperlink r:id="rId695">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Pirozzi 2025 · case report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 case: nodal, lung, mediastinal and bone metastases treated with nivolumab. Only reported transplant after distant HCC.</w:t>
            </w:r>
          </w:p>
        </w:tc>
        <w:tc>
          <w:tcPr>
            <w:tcW w:w="3743" w:type="dxa"/>
            <w:vAlign w:val="top"/>
            <w:shd w:fill="F1F5F8"/>
          </w:tcPr>
          <w:p>
            <w:pPr>
              <w:pStyle w:val="Normal"/>
              <w:widowControl/>
              <w:spacing w:after="55" w:line="240" w:lineRule="auto"/>
              <w:keepNext w:val="0"/>
              <w:keepLines/>
            </w:pPr>
            <w:r>
              <w:rPr>
                <w:sz w:val="21"/>
                <w:szCs w:val="21"/>
              </w:rPr>
              <w:t xml:space="preserve">Results: Best response to nivolumab was partial (RECIST 1.1); the authors’ later “complete response” is not documented by RECIST, PET or biopsy; bone lesions did not clearly regress; liver disease recurred off nivolumab and was ablated; transplanted about 15 months after the last dose; cancer-free 1 year later.</w:t>
            </w:r>
          </w:p>
          <w:p>
            <w:pPr>
              <w:pStyle w:val="Normal"/>
              <w:widowControl/>
              <w:spacing w:after="55" w:line="240" w:lineRule="auto"/>
              <w:keepNext w:val="0"/>
              <w:keepLines/>
            </w:pPr>
            <w:r>
              <w:rPr>
                <w:sz w:val="21"/>
                <w:szCs w:val="21"/>
              </w:rPr>
              <w:t xml:space="preserve">Limits: Extrahepatic clearance never confirmed by biopsy or PET; no nodes examined in the explant; one case with 1-year follow-up.</w:t>
            </w:r>
          </w:p>
          <w:p>
            <w:pPr>
              <w:pStyle w:val="Normal"/>
              <w:widowControl/>
              <w:spacing w:after="55" w:line="240" w:lineRule="auto"/>
              <w:keepNext w:val="0"/>
              <w:keepLines/>
            </w:pPr>
            <w:r>
              <w:rPr>
                <w:sz w:val="21"/>
                <w:szCs w:val="21"/>
              </w:rPr>
              <w:t xml:space="preserve">J Gastrointest Oncol 2025; case presentation.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jEwMzcvamdvLTI0LTc2NDwvdXJsPjwvcmVsYXRlZC11cmxzPjwvdXJscz48L3JlY29yZD48L0NpdGU+PC9FbmROb3RlPg==</w:fldData>
              </w:fldChar>
            </w:r>
            <w:r>
              <w:instrText xml:space="preserve"> ADDIN EN.CITE.DATA </w:instrText>
            </w:r>
            <w:r>
              <w:fldChar w:fldCharType="end"/>
            </w:r>
            <w:r>
              <w:fldChar w:fldCharType="separate"/>
            </w:r>
            <w:r>
              <w:t xml:space="preserve">[V16-61]</w:t>
            </w:r>
            <w:r>
              <w:fldChar w:fldCharType="end"/>
            </w:r>
            <w:r>
              <w:br/>
            </w:r>
            <w:hyperlink r:id="rId696">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Shao 2026 · complete responders to ICI</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Four-centre cohort of 160 complete responders to immunotherapy-based therapy. 58 (36%) had extrahepatic metastases when immunotherapy started.</w:t>
            </w:r>
          </w:p>
        </w:tc>
        <w:tc>
          <w:tcPr>
            <w:tcW w:w="3743" w:type="dxa"/>
            <w:vAlign w:val="top"/>
            <w:shd w:fill="FFFFFF"/>
          </w:tcPr>
          <w:p>
            <w:pPr>
              <w:pStyle w:val="Normal"/>
              <w:widowControl/>
              <w:spacing w:after="55" w:line="240" w:lineRule="auto"/>
              <w:keepNext w:val="0"/>
              <w:keepLines/>
            </w:pPr>
            <w:r>
              <w:rPr>
                <w:sz w:val="21"/>
                <w:szCs w:val="21"/>
              </w:rPr>
              <w:t xml:space="preserve">Results: Prior extrahepatic metastasis doubled recurrence risk after complete response (adjusted HR 2.00, 95% CI 1.43–6.38); 5-year recurrence-free survival 18% in the whole cohort.</w:t>
            </w:r>
          </w:p>
          <w:p>
            <w:pPr>
              <w:pStyle w:val="Normal"/>
              <w:widowControl/>
              <w:spacing w:after="55" w:line="240" w:lineRule="auto"/>
              <w:keepNext w:val="0"/>
              <w:keepLines/>
            </w:pPr>
            <w:r>
              <w:rPr>
                <w:sz w:val="21"/>
                <w:szCs w:val="21"/>
              </w:rPr>
              <w:t xml:space="preserve">Limits: Retrospective; conversion subgroup of 11 not split by extrahepatic status; internal numeric inconsistencies.</w:t>
            </w:r>
          </w:p>
          <w:p>
            <w:pPr>
              <w:pStyle w:val="Normal"/>
              <w:widowControl/>
              <w:spacing w:after="55" w:line="240" w:lineRule="auto"/>
              <w:keepNext w:val="0"/>
              <w:keepLines/>
            </w:pPr>
            <w:r>
              <w:rPr>
                <w:sz w:val="21"/>
                <w:szCs w:val="21"/>
              </w:rPr>
              <w:t xml:space="preserve">Front Oncol 2026; Tables 2–3.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4OS9mb25jLjIwMjUuMTY4NzQ0OTwvdXJsPjwvcmVsYXRlZC11cmxzPjwvdXJscz48L3JlY29yZD48L0NpdGU+PC9FbmROb3RlPg==</w:fldData>
              </w:fldChar>
            </w:r>
            <w:r>
              <w:instrText xml:space="preserve"> ADDIN EN.CITE.DATA </w:instrText>
            </w:r>
            <w:r>
              <w:fldChar w:fldCharType="end"/>
            </w:r>
            <w:r>
              <w:fldChar w:fldCharType="separate"/>
            </w:r>
            <w:r>
              <w:t xml:space="preserve">[V16-62]</w:t>
            </w:r>
            <w:r>
              <w:fldChar w:fldCharType="end"/>
            </w:r>
            <w:r>
              <w:br/>
            </w:r>
            <w:hyperlink r:id="rId697">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Ong 2026 · ICI before LT, matched cohort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Eight-centre matched cohort, 416 recipients beyond Milan. Extrahepatic metastasis was an exclusion (9 transplanted patients left out).</w:t>
            </w:r>
          </w:p>
        </w:tc>
        <w:tc>
          <w:tcPr>
            <w:tcW w:w="3743" w:type="dxa"/>
            <w:vAlign w:val="top"/>
            <w:shd w:fill="F1F5F8"/>
          </w:tcPr>
          <w:p>
            <w:pPr>
              <w:pStyle w:val="Normal"/>
              <w:widowControl/>
              <w:spacing w:after="55" w:line="240" w:lineRule="auto"/>
              <w:keepNext w:val="0"/>
              <w:keepLines/>
            </w:pPr>
            <w:r>
              <w:rPr>
                <w:sz w:val="21"/>
                <w:szCs w:val="21"/>
              </w:rPr>
              <w:t xml:space="preserve">Results: Immunotherapy-based downstaging associated with better survival (HR 0.63); acute rejection 16.3% vs 8.2%, clustered with washout ≤90 days.</w:t>
            </w:r>
          </w:p>
          <w:p>
            <w:pPr>
              <w:pStyle w:val="Normal"/>
              <w:widowControl/>
              <w:spacing w:after="55" w:line="240" w:lineRule="auto"/>
              <w:keepNext w:val="0"/>
              <w:keepLines/>
            </w:pPr>
            <w:r>
              <w:rPr>
                <w:sz w:val="21"/>
                <w:szCs w:val="21"/>
              </w:rPr>
              <w:t xml:space="preserve">Limits: Not evidence for treated extrahepatic disease; transplanted-only cohort.</w:t>
            </w:r>
          </w:p>
          <w:p>
            <w:pPr>
              <w:pStyle w:val="Normal"/>
              <w:widowControl/>
              <w:spacing w:after="55" w:line="240" w:lineRule="auto"/>
              <w:keepNext w:val="0"/>
              <w:keepLines/>
            </w:pPr>
            <w:r>
              <w:rPr>
                <w:sz w:val="21"/>
                <w:szCs w:val="21"/>
              </w:rPr>
              <w:t xml:space="preserve">JAMA Oncol 2026; Figure 1 and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bmc8L0F1dGhvcj48WWVhcj4yMDI2PC9ZZWFyPjxSZWNOdW0+NDA8L1JlY051bT48RGlzcGxheVRleHQ+W1YxNi00MF08L0Rpc3BsYXlUZXh0PjxyZWNvcmQ+PHJlYy1udW1iZXI+NDA8L3JlYy1udW1iZXI+PGZvcmVpZ24ta2V5cz48a2V5IGFwcD0iRU4iIGRiLWlkPSI3ZTc4YjE1Yi04NjMzLTVlYzAtYTBiNC1jZThiZGE0OGMyNjYiIHRpbWVzdGFtcD0iMTc5MzI4MzY4MyI+NDA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r>
              <w:br/>
            </w:r>
            <w:hyperlink r:id="rId698">
              <w:r>
                <w:rPr>
                  <w:color w:val="0563C1"/>
                  <w:u w:val="single"/>
                </w:rPr>
                <w:t>Source</w:t>
              </w:r>
            </w:hyperlink>
            <w:r>
              <w:t xml:space="preserve"> · </w:t>
            </w:r>
            <w:hyperlink r:id="rId699">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Sotiropoulos 2007 · hilar nodes at LT, meta-analysis</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FFFFF"/>
          </w:tcPr>
          <w:p>
            <w:pPr>
              <w:pStyle w:val="Normal"/>
              <w:widowControl/>
              <w:spacing w:after="55" w:line="240" w:lineRule="auto"/>
              <w:keepNext w:val="0"/>
              <w:keepLines/>
            </w:pPr>
            <w:r>
              <w:rPr>
                <w:sz w:val="21"/>
                <w:szCs w:val="21"/>
              </w:rPr>
              <w:t xml:space="preserve">Meta-analysis of transplant series: five on recurrence and five more on survival. Hilar nodes examined at transplantation.</w:t>
            </w:r>
          </w:p>
        </w:tc>
        <w:tc>
          <w:tcPr>
            <w:tcW w:w="3743" w:type="dxa"/>
            <w:vAlign w:val="top"/>
            <w:shd w:fill="FFFFFF"/>
          </w:tcPr>
          <w:p>
            <w:pPr>
              <w:pStyle w:val="Normal"/>
              <w:widowControl/>
              <w:spacing w:after="55" w:line="240" w:lineRule="auto"/>
              <w:keepNext w:val="0"/>
              <w:keepLines/>
            </w:pPr>
            <w:r>
              <w:rPr>
                <w:sz w:val="21"/>
                <w:szCs w:val="21"/>
              </w:rPr>
              <w:t xml:space="preserve">Results: Tumor-positive nodes associated with recurrence (common odds ratio 10.44, 95% CI 3.43–38.59).</w:t>
            </w:r>
          </w:p>
          <w:p>
            <w:pPr>
              <w:pStyle w:val="Normal"/>
              <w:widowControl/>
              <w:spacing w:after="55" w:line="240" w:lineRule="auto"/>
              <w:keepNext w:val="0"/>
              <w:keepLines/>
            </w:pPr>
            <w:r>
              <w:rPr>
                <w:sz w:val="21"/>
                <w:szCs w:val="21"/>
              </w:rPr>
              <w:t xml:space="preserve">Limits: Small, older series; nodes mostly found at transplantation.</w:t>
            </w:r>
          </w:p>
          <w:p>
            <w:pPr>
              <w:pStyle w:val="Normal"/>
              <w:widowControl/>
              <w:spacing w:after="55" w:line="240" w:lineRule="auto"/>
              <w:keepNext w:val="0"/>
              <w:keepLines/>
            </w:pPr>
            <w:r>
              <w:rPr>
                <w:sz w:val="21"/>
                <w:szCs w:val="21"/>
              </w:rPr>
              <w:t xml:space="preserve">Transpl Int 2007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</w:fldData>
              </w:fldChar>
            </w:r>
            <w:r>
              <w:instrText xml:space="preserve"> ADDIN EN.CITE.DATA </w:instrText>
            </w:r>
            <w:r>
              <w:fldChar w:fldCharType="end"/>
            </w:r>
            <w:r>
              <w:fldChar w:fldCharType="separate"/>
            </w:r>
            <w:r>
              <w:t xml:space="preserve">[V16-63]</w:t>
            </w:r>
            <w:r>
              <w:fldChar w:fldCharType="end"/>
            </w:r>
            <w:r>
              <w:br/>
            </w:r>
            <w:hyperlink r:id="rId700">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Mergental 2012 · ELTR non-cirrhotic HCC</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European registry, 105 transplants for HCC in non-cirrhotic liver. Nodal status recorded.</w:t>
            </w:r>
          </w:p>
        </w:tc>
        <w:tc>
          <w:tcPr>
            <w:tcW w:w="3743" w:type="dxa"/>
            <w:vAlign w:val="top"/>
            <w:shd w:fill="F1F5F8"/>
          </w:tcPr>
          <w:p>
            <w:pPr>
              <w:pStyle w:val="Normal"/>
              <w:widowControl/>
              <w:spacing w:after="55" w:line="240" w:lineRule="auto"/>
              <w:keepNext w:val="0"/>
              <w:keepLines/>
            </w:pPr>
            <w:r>
              <w:rPr>
                <w:sz w:val="21"/>
                <w:szCs w:val="21"/>
              </w:rPr>
              <w:t xml:space="preserve">Results: Lymph-node involvement associated with death (HR 2.60, 95% CI 1.28–5.28).</w:t>
            </w:r>
          </w:p>
          <w:p>
            <w:pPr>
              <w:pStyle w:val="Normal"/>
              <w:widowControl/>
              <w:spacing w:after="55" w:line="240" w:lineRule="auto"/>
              <w:keepNext w:val="0"/>
              <w:keepLines/>
            </w:pPr>
            <w:r>
              <w:rPr>
                <w:sz w:val="21"/>
                <w:szCs w:val="21"/>
              </w:rPr>
              <w:t xml:space="preserve">Limits: Non-cirrhotic HCC only; timing of nodal disease not stated.</w:t>
            </w:r>
          </w:p>
          <w:p>
            <w:pPr>
              <w:pStyle w:val="Normal"/>
              <w:widowControl/>
              <w:spacing w:after="55" w:line="240" w:lineRule="auto"/>
              <w:keepNext w:val="0"/>
              <w:keepLines/>
            </w:pPr>
            <w:r>
              <w:rPr>
                <w:sz w:val="21"/>
                <w:szCs w:val="21"/>
              </w:rPr>
              <w:t xml:space="preserve">J Hepatol 2012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</w:fldData>
              </w:fldChar>
            </w:r>
            <w:r>
              <w:instrText xml:space="preserve"> ADDIN EN.CITE.DATA </w:instrText>
            </w:r>
            <w:r>
              <w:fldChar w:fldCharType="end"/>
            </w:r>
            <w:r>
              <w:fldChar w:fldCharType="separate"/>
            </w:r>
            <w:r>
              <w:t xml:space="preserve">[V16-64]</w:t>
            </w:r>
            <w:r>
              <w:fldChar w:fldCharType="end"/>
            </w:r>
            <w:r>
              <w:br/>
            </w:r>
            <w:hyperlink r:id="rId701">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Choi 2025 · NCDB curative treatment after ICI</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US national cancer database, 4,329 patients on first-line immunotherapy. Only 15 patients with distant and 10 with nodal metastasis received any curative treatment afterwards; modality not reported.</w:t>
            </w:r>
          </w:p>
        </w:tc>
        <w:tc>
          <w:tcPr>
            <w:tcW w:w="3743" w:type="dxa"/>
            <w:vAlign w:val="top"/>
            <w:shd w:fill="FFFFFF"/>
          </w:tcPr>
          <w:p>
            <w:pPr>
              <w:pStyle w:val="Normal"/>
              <w:widowControl/>
              <w:spacing w:after="55" w:line="240" w:lineRule="auto"/>
              <w:keepNext w:val="0"/>
              <w:keepLines/>
            </w:pPr>
            <w:r>
              <w:rPr>
                <w:sz w:val="21"/>
                <w:szCs w:val="21"/>
              </w:rPr>
              <w:t xml:space="preserve">Results: Curative treatment after immunotherapy associated with longer survival (propensity-matched HR 0.22 in the main text).</w:t>
            </w:r>
          </w:p>
          <w:p>
            <w:pPr>
              <w:pStyle w:val="Normal"/>
              <w:widowControl/>
              <w:spacing w:after="55" w:line="240" w:lineRule="auto"/>
              <w:keepNext w:val="0"/>
              <w:keepLines/>
            </w:pPr>
            <w:r>
              <w:rPr>
                <w:sz w:val="21"/>
                <w:szCs w:val="21"/>
              </w:rPr>
              <w:t xml:space="preserve">Limits: Immortal-time and indication bias; no response or recurrence data; cannot inform transplantation after treated extrahepatic disease.</w:t>
            </w:r>
          </w:p>
          <w:p>
            <w:pPr>
              <w:pStyle w:val="Normal"/>
              <w:widowControl/>
              <w:spacing w:after="55" w:line="240" w:lineRule="auto"/>
              <w:keepNext w:val="0"/>
              <w:keepLines/>
            </w:pPr>
            <w:r>
              <w:rPr>
                <w:sz w:val="21"/>
                <w:szCs w:val="21"/>
              </w:rPr>
              <w:t xml:space="preserve">Liver Cancer 2025; Tables 1–3.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TU5LzAwMDU0NzIzMDwvdXJsPjwvcmVsYXRlZC11cmxzPjwvdXJscz48L3JlY29yZD48L0NpdGU+PC9FbmROb3RlPg==</w:fldData>
              </w:fldChar>
            </w:r>
            <w:r>
              <w:instrText xml:space="preserve"> ADDIN EN.CITE.DATA </w:instrText>
            </w:r>
            <w:r>
              <w:fldChar w:fldCharType="end"/>
            </w:r>
            <w:r>
              <w:fldChar w:fldCharType="separate"/>
            </w:r>
            <w:r>
              <w:t xml:space="preserve">[V16-65]</w:t>
            </w:r>
            <w:r>
              <w:fldChar w:fldCharType="end"/>
            </w:r>
            <w:r>
              <w:br/>
            </w:r>
            <w:hyperlink r:id="rId702">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Durable complete responses to immunotherapy now occur, and the single case shows transplantation is feasible. ILTS–ILCA states there is not enough evidence on whether complete responders still need transplantation or how long to observe them, so a permanent bar is a policy choice rather than a proven boundary.</w:t>
      </w:r>
    </w:p>
    <w:p>
      <w:pPr>
        <w:pStyle w:val="Normal"/>
        <w:widowControl/>
        <w:spacing w:after="120"/>
      </w:pPr>
      <w:r>
        <w:t xml:space="preserve">Certainty: Very low for transplantation after treated or completely responded extrahepatic HCC (one case). Moderate that current nodal or extrahepatic disease predicts poor post-transplant outcome.</w:t>
      </w:r>
    </w:p>
    <w:p>
      <w:pPr>
        <w:pStyle w:val="Normal"/>
        <w:widowControl/>
        <w:spacing w:after="120"/>
      </w:pPr>
      <w:r>
        <w:t xml:space="preserve">What would change the answer: A prospective series with ≥3-year post-transplant recurrence-free survival in patients whose extrahepatic disease was cleared and confirmed by PET or pathology, or an explicit ILTS/OPTN statement on previously treated disease.</w:t>
      </w:r>
    </w:p>
    <w:p>
      <w:pPr>
        <w:pStyle w:val="Normal"/>
        <w:widowControl/>
        <w:spacing w:after="120"/>
      </w:pPr>
      <w:r>
        <w:t xml:space="preserve">Meeting question HCC-B5,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14:05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Several summaries mixed baseline and ever-beyond-Milan populations, selected-recipient and entry outcomes, or excluded early deaths. </w:t>
      </w:r>
      <w:r>
        <w:rPr>
          <w:b/>
        </w:rPr>
        <w:t xml:space="preserve">Correction and reason: </w:t>
      </w:r>
      <w:r>
        <w:t xml:space="preserve">Corrected VITALITY, ImmunoXXL and PVTT denominators, time origins, rejection/retransplant harms and Soin all-recipient outcomes. Cutoffs remain OPEN local proposals, not validated safety thresholds.</w:t>
      </w:r>
    </w:p>
    <w:p>
      <w:pPr>
        <w:pStyle w:val="Normal"/>
        <w:keepNext/>
        <w:widowControl/>
        <w:keepLines/>
      </w:pPr>
      <w:r>
        <w:rPr>
          <w:b/>
        </w:rPr>
        <w:t xml:space="preserve">Problem: </w:t>
      </w:r>
      <w:r>
        <w:t xml:space="preserve">Sposito 2026 was cited from the abstract and its PDF was listed as missing; death handling, pathway attrition, surgical harms and nonuniform selection were unresolved. </w:t>
      </w:r>
      <w:r>
        <w:rPr>
          <w:b/>
        </w:rPr>
        <w:t xml:space="preserve">Correction and reason: </w:t>
      </w:r>
      <w:r>
        <w:t xml:space="preserve">Added and reviewed the 94457 full PDF. Separated 240 treated, 61 downstaged and 37 transplanted; clarified death-censored RFS, six recurrences, four perioperative deaths and 13 major complications; qualified observation/anatomy thresholds and removed the missing-PDF claim. Standard eligibility is unchanged and HCC-B2 remains OPEN.</w:t>
      </w:r>
    </w:p>
    <w:p>
      <w:pPr>
        <w:pStyle w:val="Normal"/>
        <w:keepNext/>
        <w:widowControl/>
        <w:keepLines/>
      </w:pPr>
      <w:r>
        <w:rPr>
          <w:b/>
        </w:rPr>
        <w:t xml:space="preserve">Problem: </w:t>
      </w:r>
      <w:r>
        <w:t xml:space="preserve">Full-text evidence needed to precede clinical proposals. </w:t>
      </w:r>
      <w:r>
        <w:rPr>
          <w:b/>
        </w:rPr>
        <w:t xml:space="preserve">Correction and reason: </w:t>
      </w:r>
      <w:r>
        <w:t xml:space="preserve">Retained the existing evidence-first review and blank OPEN decisions; this revision changes the Sposito/Y90 extraction, not the other HCC evidence or approved eligibility.</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Normal"/>
        <w:widowControl/>
        <w:spacing w:after="120"/>
        <w:keepLines/>
      </w:pPr>
      <w:r>
        <w:t xml:space="preserve">Revision note — balanced treatment content. 2026-10-24 18:49 CDT. Problem: duplicated general treatment review. Correction: keep transplant-specific actions and link regimen comparisons to the roadmap. Why: balanced coverage without repetition. Eligibility, allocation rules and B-decision cutoffs are unchanged.</w:t>
      </w:r>
    </w:p>
    <w:p>
      <w:pPr>
        <w:pStyle w:val="Heading1"/>
        <w:widowControl/>
        <w:keepNext/>
      </w:pPr>
      <w:r>
        <w:t xml:space="preserve">Revision history</w:t>
      </w:r>
    </w:p>
    <w:p>
      <w:pPr>
        <w:pStyle w:val="Normal"/>
        <w:widowControl/>
        <w:spacing w:after="120"/>
      </w:pPr>
      <w:r>
        <w:t xml:space="preserve">2026-10-25 04:38 CDT. Problem and correction: Integrate HCC full-text findings at the treatment/selection interface. Separate systemic cancer control from transplant eligibility and allocation. Add HCC B1.1 AFP-only review with unapproved clinical cutoffs explicitly OPEN.</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703">
        <w:r>
          <w:rPr>
            <w:color w:val="0563C1"/>
            <w:u w:val="single"/>
          </w:rPr>
          <w:t>Source</w:t>
        </w:r>
      </w:hyperlink>
      <w:r>
        <w:t xml:space="preserve"> | </w:t>
      </w:r>
      <w:hyperlink r:id="rId704">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705">
        <w:r>
          <w:rPr>
            <w:color w:val="0563C1"/>
            <w:u w:val="single"/>
          </w:rPr>
          <w:t>Source</w:t>
        </w:r>
      </w:hyperlink>
      <w:r>
        <w:t xml:space="preserve"> | </w:t>
      </w:r>
      <w:hyperlink r:id="rId706">
        <w:r>
          <w:rPr>
            <w:color w:val="0563C1"/>
            <w:u w:val="single"/>
          </w:rPr>
          <w:t>Full-text access</w:t>
        </w:r>
      </w:hyperlink>
    </w:p>
    <w:p>
      <w:pPr>
        <w:pStyle w:val="Normal"/>
        <w:widowControl/>
        <w:spacing w:after="120"/>
      </w:pPr>
      <w:r>
        <w:t xml:space="preserve"/>
      </w:r>
      <w:r>
        <w:t xml:space="preserve">[V16-3] Singal, Amit G; Llovet, Josep M; Yarchoan, Mark; et al. AASLD Practice Guidance on prevention, diagnosis, and treatment of hepatocellular carcinoma. Hepatology (Baltimore, Md.). 2023; 78(6):1922-1965. </w:t>
      </w:r>
      <w:hyperlink r:id="rId707">
        <w:r>
          <w:rPr>
            <w:color w:val="0563C1"/>
            <w:u w:val="single"/>
          </w:rPr>
          <w:t>Source</w:t>
        </w:r>
      </w:hyperlink>
      <w:r>
        <w:t xml:space="preserve"> | </w:t>
      </w:r>
      <w:hyperlink r:id="rId708">
        <w:r>
          <w:rPr>
            <w:color w:val="0563C1"/>
            <w:u w:val="single"/>
          </w:rPr>
          <w:t>Full-text access</w:t>
        </w:r>
      </w:hyperlink>
    </w:p>
    <w:p>
      <w:pPr>
        <w:pStyle w:val="Normal"/>
        <w:widowControl/>
        <w:spacing w:after="120"/>
      </w:pPr>
      <w:r>
        <w:t xml:space="preserve"/>
      </w:r>
      <w:r>
        <w:t xml:space="preserve">[V16-4] Xu, Edison; Tabrizian, Parissa; Gutierrez, Julio; et al. Downstaging of hepatocellular carcinoma before liver transplantation: Results from a national multicenter prospective cohort study. Hepatology (Baltimore, Md.). 2025; 82(3):612-625. </w:t>
      </w:r>
      <w:hyperlink r:id="rId709">
        <w:r>
          <w:rPr>
            <w:color w:val="0563C1"/>
            <w:u w:val="single"/>
          </w:rPr>
          <w:t>Source</w:t>
        </w:r>
      </w:hyperlink>
      <w:r>
        <w:t xml:space="preserve"> | </w:t>
      </w:r>
      <w:hyperlink r:id="rId710">
        <w:r>
          <w:rPr>
            <w:color w:val="0563C1"/>
            <w:u w:val="single"/>
          </w:rPr>
          <w:t>Full-text access</w:t>
        </w:r>
      </w:hyperlink>
    </w:p>
    <w:p>
      <w:pPr>
        <w:pStyle w:val="Normal"/>
        <w:widowControl/>
        <w:spacing w:after="120"/>
      </w:pPr>
      <w:r>
        <w:t xml:space="preserve"/>
      </w:r>
      <w:r>
        <w:t xml:space="preserve">[V16-5] Mazzaferro, Vincenzo; Citterio, Davide; Bhoori, Sherrie; et al. Liver transplantation in hepatocellular carcinoma after tumour downstaging (XXL): a randomised, controlled, phase 2b/3 trial. The Lancet Oncology. 2020; 21(7):947-956. </w:t>
      </w:r>
      <w:hyperlink r:id="rId711">
        <w:r>
          <w:rPr>
            <w:color w:val="0563C1"/>
            <w:u w:val="single"/>
          </w:rPr>
          <w:t>Source</w:t>
        </w:r>
      </w:hyperlink>
      <w:r>
        <w:t xml:space="preserve"> | </w:t>
      </w:r>
      <w:hyperlink r:id="rId712">
        <w:r>
          <w:rPr>
            <w:color w:val="0563C1"/>
            <w:u w:val="single"/>
          </w:rPr>
          <w:t>Full-text access</w:t>
        </w:r>
      </w:hyperlink>
    </w:p>
    <w:p>
      <w:pPr>
        <w:pStyle w:val="Normal"/>
        <w:widowControl/>
        <w:spacing w:after="120"/>
      </w:pPr>
      <w:r>
        <w:t xml:space="preserve"/>
      </w:r>
      <w:r>
        <w:t xml:space="preserve">[V16-6] Dove, Lorna; Chadha, Ryan M.; Lai, Jennifer C.; et al. AASLD AST Practice Guideline on adult liver transplantation: Candidate evaluation. Hepatology. 2026; 83(6):1609-1645. </w:t>
      </w:r>
      <w:hyperlink r:id="rId713">
        <w:r>
          <w:rPr>
            <w:color w:val="0563C1"/>
            <w:u w:val="single"/>
          </w:rPr>
          <w:t>Source</w:t>
        </w:r>
      </w:hyperlink>
      <w:r>
        <w:t xml:space="preserve"> | </w:t>
      </w:r>
      <w:hyperlink r:id="rId714">
        <w:r>
          <w:rPr>
            <w:color w:val="0563C1"/>
            <w:u w:val="single"/>
          </w:rPr>
          <w:t>Full-text access</w:t>
        </w:r>
      </w:hyperlink>
    </w:p>
    <w:p>
      <w:pPr>
        <w:pStyle w:val="Normal"/>
        <w:widowControl/>
        <w:spacing w:after="120"/>
      </w:pPr>
      <w:r>
        <w:t xml:space="preserve"/>
      </w:r>
      <w:r>
        <w:t xml:space="preserve">[V16-7] Yao, Francis Y.; Mehta, Neil; Flemming, Jennifer; et al. Downstaging of hepatocellular cancer before liver transplant: Long‐term outcome compared to tumors within Milan criteria. Hepatology. 2015; 61(6):1968-1977. </w:t>
      </w:r>
      <w:hyperlink r:id="rId715">
        <w:r>
          <w:rPr>
            <w:color w:val="0563C1"/>
            <w:u w:val="single"/>
          </w:rPr>
          <w:t>Source</w:t>
        </w:r>
      </w:hyperlink>
      <w:r>
        <w:t xml:space="preserve"> | </w:t>
      </w:r>
      <w:hyperlink r:id="rId716">
        <w:r>
          <w:rPr>
            <w:color w:val="0563C1"/>
            <w:u w:val="single"/>
          </w:rPr>
          <w:t>Full-text access</w:t>
        </w:r>
      </w:hyperlink>
    </w:p>
    <w:p>
      <w:pPr>
        <w:pStyle w:val="Normal"/>
        <w:widowControl/>
        <w:spacing w:after="120"/>
      </w:pPr>
      <w:r>
        <w:t xml:space="preserve"/>
      </w:r>
      <w:r>
        <w:t xml:space="preserve">[V16-8] Mehta, Neil; Frenette, Catherine; Tabrizian, Parissa; et al. Downstaging Outcomes for Hepatocellular Carcinoma: Results From the Multicenter Evaluation of Reduction in Tumor Size before Liver Transplantation (MERITS-LT) Consortium. Gastroenterology. 2021; 161(5):1502-1512. </w:t>
      </w:r>
      <w:hyperlink r:id="rId717">
        <w:r>
          <w:rPr>
            <w:color w:val="0563C1"/>
            <w:u w:val="single"/>
          </w:rPr>
          <w:t>Source</w:t>
        </w:r>
      </w:hyperlink>
      <w:r>
        <w:t xml:space="preserve"> | </w:t>
      </w:r>
      <w:hyperlink r:id="rId718">
        <w:r>
          <w:rPr>
            <w:color w:val="0563C1"/>
            <w:u w:val="single"/>
          </w:rPr>
          <w:t>Full-text access</w:t>
        </w:r>
      </w:hyperlink>
    </w:p>
    <w:p>
      <w:pPr>
        <w:pStyle w:val="Normal"/>
        <w:widowControl/>
        <w:spacing w:after="120"/>
      </w:pPr>
      <w:r>
        <w:t xml:space="preserve"/>
      </w:r>
      <w:r>
        <w:t xml:space="preserve">[V16-9] Sinha, Jasmine; Mehta, Neil; Dodge, Jennifer L.; et al. Are There Upper Limits in Tumor Burden for Down‐Staging of Hepatocellular Carcinoma to Liver Transplant? Analysis of the All‐Comers Protocol. Hepatology. 2019; 70(4):1185-1196. </w:t>
      </w:r>
      <w:hyperlink r:id="rId719">
        <w:r>
          <w:rPr>
            <w:color w:val="0563C1"/>
            <w:u w:val="single"/>
          </w:rPr>
          <w:t>Source</w:t>
        </w:r>
      </w:hyperlink>
      <w:r>
        <w:t xml:space="preserve"> | </w:t>
      </w:r>
      <w:hyperlink r:id="rId720">
        <w:r>
          <w:rPr>
            <w:color w:val="0563C1"/>
            <w:u w:val="single"/>
          </w:rPr>
          <w:t>Full-text access</w:t>
        </w:r>
      </w:hyperlink>
    </w:p>
    <w:p>
      <w:pPr>
        <w:pStyle w:val="Normal"/>
        <w:widowControl/>
        <w:spacing w:after="120"/>
      </w:pPr>
      <w:r>
        <w:t xml:space="preserve"/>
      </w:r>
      <w:r>
        <w:t xml:space="preserve">[V16-10] Natarajan, Brahma; Tabrizian, Parissa; Hoteit, Maarouf; et al. Downstaging hepatocellular carcinoma before liver transplantation: A multicenter analysis of the “all-comers” protocol in the Multicenter Evaluation of Reduction in Tumor Size before Liver Transplantation (MERITS-LT) consortium. American Journal of Transplantation. 2023; 23(11):1771-1780. </w:t>
      </w:r>
      <w:hyperlink r:id="rId721">
        <w:r>
          <w:rPr>
            <w:color w:val="0563C1"/>
            <w:u w:val="single"/>
          </w:rPr>
          <w:t>Source</w:t>
        </w:r>
      </w:hyperlink>
      <w:r>
        <w:t xml:space="preserve"> | </w:t>
      </w:r>
      <w:hyperlink r:id="rId722">
        <w:r>
          <w:rPr>
            <w:color w:val="0563C1"/>
            <w:u w:val="single"/>
          </w:rPr>
          <w:t>Full-text access</w:t>
        </w:r>
      </w:hyperlink>
    </w:p>
    <w:p>
      <w:pPr>
        <w:pStyle w:val="Normal"/>
        <w:widowControl/>
        <w:spacing w:after="120"/>
      </w:pPr>
      <w:r>
        <w:t xml:space="preserve"/>
      </w:r>
      <w:r>
        <w:t xml:space="preserve">[V16-11] Huang, Annsa C.; Dodge, Jennifer L.; Yao, Francis Y.; et al. National Experience on Waitlist Outcomes for Down-Staging of Hepatocellular Carcinoma: High Dropout Rate in All-Comers. Clinical Gastroenterology and Hepatology. 2023; 21(6):1581-1589. </w:t>
      </w:r>
      <w:hyperlink r:id="rId723">
        <w:r>
          <w:rPr>
            <w:color w:val="0563C1"/>
            <w:u w:val="single"/>
          </w:rPr>
          <w:t>Source</w:t>
        </w:r>
      </w:hyperlink>
      <w:r>
        <w:t xml:space="preserve"> | </w:t>
      </w:r>
      <w:hyperlink r:id="rId724">
        <w:r>
          <w:rPr>
            <w:color w:val="0563C1"/>
            <w:u w:val="single"/>
          </w:rPr>
          <w:t>Full-text access</w:t>
        </w:r>
      </w:hyperlink>
    </w:p>
    <w:p>
      <w:pPr>
        <w:pStyle w:val="Normal"/>
        <w:widowControl/>
        <w:spacing w:after="120"/>
      </w:pPr>
      <w:r>
        <w:t xml:space="preserve"/>
      </w:r>
      <w:r>
        <w:t xml:space="preserve">[V16-12] Tabrizian, Parissa; Holzner, Matthew L.; Mehta, Neil; et al. Ten-Year Outcomes of Liver Transplant and Downstaging for Hepatocellular Carcinoma. JAMA Surgery. 2022; 157(9):779-788. </w:t>
      </w:r>
      <w:hyperlink r:id="rId725">
        <w:r>
          <w:rPr>
            <w:color w:val="0563C1"/>
            <w:u w:val="single"/>
          </w:rPr>
          <w:t>Source</w:t>
        </w:r>
      </w:hyperlink>
      <w:r>
        <w:t xml:space="preserve"> | </w:t>
      </w:r>
      <w:hyperlink r:id="rId726">
        <w:r>
          <w:rPr>
            <w:color w:val="0563C1"/>
            <w:u w:val="single"/>
          </w:rPr>
          <w:t>Full-text access</w:t>
        </w:r>
      </w:hyperlink>
    </w:p>
    <w:p>
      <w:pPr>
        <w:pStyle w:val="Normal"/>
        <w:widowControl/>
        <w:spacing w:after="120"/>
      </w:pPr>
      <w:r>
        <w:t xml:space="preserve"/>
      </w:r>
      <w:r>
        <w:t xml:space="preserve">[V16-13] Llovet, Josep M; Mauro, Ezequiel; Rimassa, Lorenza; et al. Trial design and end points in hepatocellular carcinoma: an EASL-AASLD-ILCA consensus statement. Nature reviews. Clinical oncology. 2026; 23(8):619-647. </w:t>
      </w:r>
      <w:hyperlink r:id="rId727">
        <w:r>
          <w:rPr>
            <w:color w:val="0563C1"/>
            <w:u w:val="single"/>
          </w:rPr>
          <w:t>Source</w:t>
        </w:r>
      </w:hyperlink>
      <w:r>
        <w:t xml:space="preserve"> | </w:t>
      </w:r>
      <w:hyperlink r:id="rId728">
        <w:r>
          <w:rPr>
            <w:color w:val="0563C1"/>
            <w:u w:val="single"/>
          </w:rPr>
          <w:t>Full-text access</w:t>
        </w:r>
      </w:hyperlink>
    </w:p>
    <w:p>
      <w:pPr>
        <w:pStyle w:val="Normal"/>
        <w:widowControl/>
        <w:spacing w:after="120"/>
      </w:pPr>
      <w:r>
        <w:t xml:space="preserve"/>
      </w:r>
      <w:r>
        <w:t xml:space="preserve">[V16-14] Mehta N; Dodge JL; Roberts JP; et al. Alpha-Fetoprotein Decrease from &gt; 1,000 to &lt; 500 ng/mL in Patients with Hepatocellular Carcinoma Leads to Improved Posttransplant Outcomes.. Hepatology (Baltimore, Md.). 2019; 69(3):1193-1205. </w:t>
      </w:r>
      <w:hyperlink r:id="rId729">
        <w:r>
          <w:rPr>
            <w:color w:val="0563C1"/>
            <w:u w:val="single"/>
          </w:rPr>
          <w:t>Source</w:t>
        </w:r>
      </w:hyperlink>
      <w:r>
        <w:t xml:space="preserve"> | </w:t>
      </w:r>
      <w:hyperlink r:id="rId730">
        <w:r>
          <w:rPr>
            <w:color w:val="0563C1"/>
            <w:u w:val="single"/>
          </w:rPr>
          <w:t>Full-text access</w:t>
        </w:r>
      </w:hyperlink>
    </w:p>
    <w:p>
      <w:pPr>
        <w:pStyle w:val="Normal"/>
        <w:widowControl/>
        <w:spacing w:after="120"/>
      </w:pPr>
      <w:r>
        <w:t xml:space="preserve"/>
      </w:r>
      <w:r>
        <w:t xml:space="preserve">[V16-15] Halazun KJ; Rosenblatt RE; Mehta N; et al. Dynamic α-Fetoprotein Response and Outcomes After Liver Transplant for Hepatocellular Carcinoma.. JAMA surgery. 2021; 156(6):559-567. </w:t>
      </w:r>
      <w:hyperlink r:id="rId731">
        <w:r>
          <w:rPr>
            <w:color w:val="0563C1"/>
            <w:u w:val="single"/>
          </w:rPr>
          <w:t>Source</w:t>
        </w:r>
      </w:hyperlink>
      <w:r>
        <w:t xml:space="preserve"> | </w:t>
      </w:r>
      <w:hyperlink r:id="rId732">
        <w:r>
          <w:rPr>
            <w:color w:val="0563C1"/>
            <w:u w:val="single"/>
          </w:rPr>
          <w:t>Full-text access</w:t>
        </w:r>
      </w:hyperlink>
    </w:p>
    <w:p>
      <w:pPr>
        <w:pStyle w:val="Normal"/>
        <w:widowControl/>
        <w:spacing w:after="120"/>
      </w:pPr>
      <w:r>
        <w:t xml:space="preserve"/>
      </w:r>
      <w:r>
        <w:t xml:space="preserve">[V16-16] Moriyama M; Tateishi R; Matsushita Y; et al. Management and Prognosis of HCC Patients With Elevated Tumor Markers but no Imaging Recurrence After Radiofrequency Ablation.. Cancer medicine. 2026; 15(4):e71812. </w:t>
      </w:r>
      <w:hyperlink r:id="rId733">
        <w:r>
          <w:rPr>
            <w:color w:val="0563C1"/>
            <w:u w:val="single"/>
          </w:rPr>
          <w:t>Source</w:t>
        </w:r>
      </w:hyperlink>
      <w:r>
        <w:t xml:space="preserve"> | </w:t>
      </w:r>
      <w:hyperlink r:id="rId734">
        <w:r>
          <w:rPr>
            <w:color w:val="0563C1"/>
            <w:u w:val="single"/>
          </w:rPr>
          <w:t>Full-text access</w:t>
        </w:r>
      </w:hyperlink>
    </w:p>
    <w:p>
      <w:pPr>
        <w:pStyle w:val="Normal"/>
        <w:widowControl/>
        <w:spacing w:after="120"/>
      </w:pPr>
      <w:r>
        <w:t xml:space="preserve"/>
      </w:r>
      <w:r>
        <w:t xml:space="preserve">[V16-17] Goldman ML; Zhou K; Dodge JL; et al. Lower Alpha-Fetoprotein Threshold of 500 ng/mL for Liver Transplantation May Improve Posttransplant Outcomes in Patients With Hepatocellular Carcinoma.. Liver transplantation : official publication of the American Association for the Study of Liver Diseases and the International Liver Transplantation Society. 2022; 28(5):763-773. </w:t>
      </w:r>
      <w:hyperlink r:id="rId735">
        <w:r>
          <w:rPr>
            <w:color w:val="0563C1"/>
            <w:u w:val="single"/>
          </w:rPr>
          <w:t>Source</w:t>
        </w:r>
      </w:hyperlink>
      <w:r>
        <w:t xml:space="preserve"> | </w:t>
      </w:r>
      <w:hyperlink r:id="rId736">
        <w:r>
          <w:rPr>
            <w:color w:val="0563C1"/>
            <w:u w:val="single"/>
          </w:rPr>
          <w:t>Full-text access</w:t>
        </w:r>
      </w:hyperlink>
    </w:p>
    <w:p>
      <w:pPr>
        <w:pStyle w:val="Normal"/>
        <w:widowControl/>
        <w:spacing w:after="120"/>
      </w:pPr>
      <w:r>
        <w:t xml:space="preserve"/>
      </w:r>
      <w:r>
        <w:t xml:space="preserve">[V16-18] Giard JM; Mehta N; Dodge JL; et al. Alpha-Fetoprotein Slope &gt;7.5 ng/mL per Month Predicts Microvascular Invasion and Tumor Recurrence After Liver Transplantation for Hepatocellular Carcinoma.. Transplantation. 2018; 102(5):816-822. </w:t>
      </w:r>
      <w:hyperlink r:id="rId737">
        <w:r>
          <w:rPr>
            <w:color w:val="0563C1"/>
            <w:u w:val="single"/>
          </w:rPr>
          <w:t>Source</w:t>
        </w:r>
      </w:hyperlink>
      <w:r>
        <w:t xml:space="preserve"> | </w:t>
      </w:r>
      <w:hyperlink r:id="rId738">
        <w:r>
          <w:rPr>
            <w:color w:val="0563C1"/>
            <w:u w:val="single"/>
          </w:rPr>
          <w:t>Full-text access</w:t>
        </w:r>
      </w:hyperlink>
    </w:p>
    <w:p>
      <w:pPr>
        <w:pStyle w:val="Normal"/>
        <w:widowControl/>
        <w:spacing w:after="120"/>
      </w:pPr>
      <w:r>
        <w:t xml:space="preserve"/>
      </w:r>
      <w:r>
        <w:t xml:space="preserve">[V16-19] Yoon, Young-In; Moon, Deok-Bog; Lee, Sung-Gyu; et al. Living-donor liver transplantation in hepatocellular carcinoma with portal-vein tumor thrombosis. International Journal of Surgery. 2026; 112(3):7259-7270. </w:t>
      </w:r>
      <w:hyperlink r:id="rId739">
        <w:r>
          <w:rPr>
            <w:color w:val="0563C1"/>
            <w:u w:val="single"/>
          </w:rPr>
          <w:t>Source</w:t>
        </w:r>
      </w:hyperlink>
      <w:r>
        <w:t xml:space="preserve"> | </w:t>
      </w:r>
      <w:hyperlink r:id="rId740">
        <w:r>
          <w:rPr>
            <w:color w:val="0563C1"/>
            <w:u w:val="single"/>
          </w:rPr>
          <w:t>Full-text access</w:t>
        </w:r>
      </w:hyperlink>
    </w:p>
    <w:p>
      <w:pPr>
        <w:pStyle w:val="Normal"/>
        <w:widowControl/>
        <w:spacing w:after="120"/>
      </w:pPr>
      <w:r>
        <w:t xml:space="preserve"/>
      </w:r>
      <w:r>
        <w:t xml:space="preserve">[V16-20] Choi, Ho Joong; Kim, Dong Goo; Na, Gun Hyung; et al. The clinical outcomes of patients with portal vein tumor thrombi after living donor liver transplantation. Liver Transplantation. 2017; 23(8):1023-1031. </w:t>
      </w:r>
      <w:hyperlink r:id="rId741">
        <w:r>
          <w:rPr>
            <w:color w:val="0563C1"/>
            <w:u w:val="single"/>
          </w:rPr>
          <w:t>Source</w:t>
        </w:r>
      </w:hyperlink>
      <w:r>
        <w:t xml:space="preserve"> | </w:t>
      </w:r>
      <w:hyperlink r:id="rId742">
        <w:r>
          <w:rPr>
            <w:color w:val="0563C1"/>
            <w:u w:val="single"/>
          </w:rPr>
          <w:t>Full-text access</w:t>
        </w:r>
      </w:hyperlink>
    </w:p>
    <w:p>
      <w:pPr>
        <w:pStyle w:val="Normal"/>
        <w:widowControl/>
        <w:spacing w:after="120"/>
      </w:pPr>
      <w:r>
        <w:t xml:space="preserve"/>
      </w:r>
      <w:r>
        <w:t xml:space="preserve">[V16-21] Yang, Z; Luo, FZ; Wang, S; et al. Alpha-fetoprotein and 18F-FDG standard uptake value predict tumor recurrence after liver transplantation for hepatocellular carcinoma with portal vein tumor thrombosis: Preliminary experience. Hepatobiliary &amp; Pancreatic Diseases International. 2020; 19(3):229-234. </w:t>
      </w:r>
      <w:hyperlink r:id="rId743">
        <w:r>
          <w:rPr>
            <w:color w:val="0563C1"/>
            <w:u w:val="single"/>
          </w:rPr>
          <w:t>Source</w:t>
        </w:r>
      </w:hyperlink>
      <w:r>
        <w:t xml:space="preserve"> | </w:t>
      </w:r>
      <w:hyperlink r:id="rId744">
        <w:r>
          <w:rPr>
            <w:color w:val="0563C1"/>
            <w:u w:val="single"/>
          </w:rPr>
          <w:t>Full-text access</w:t>
        </w:r>
      </w:hyperlink>
    </w:p>
    <w:p>
      <w:pPr>
        <w:pStyle w:val="Normal"/>
        <w:widowControl/>
        <w:spacing w:after="120"/>
      </w:pPr>
      <w:r>
        <w:t xml:space="preserve"/>
      </w:r>
      <w:r>
        <w:t xml:space="preserve">[V16-22] Ye, Zhaodan; Zhuang, Li; Liu, Xiangyan; et al. The clinical outcomes of patients with vascular invasion after deceased donor liver transplantation. Journal of Gastrointestinal Oncology. 2024; 15(4). </w:t>
      </w:r>
      <w:hyperlink r:id="rId745">
        <w:r>
          <w:rPr>
            <w:color w:val="0563C1"/>
            <w:u w:val="single"/>
          </w:rPr>
          <w:t>Source</w:t>
        </w:r>
      </w:hyperlink>
      <w:r>
        <w:t xml:space="preserve"> | </w:t>
      </w:r>
      <w:hyperlink r:id="rId746">
        <w:r>
          <w:rPr>
            <w:color w:val="0563C1"/>
            <w:u w:val="single"/>
          </w:rPr>
          <w:t>Full-text access</w:t>
        </w:r>
      </w:hyperlink>
    </w:p>
    <w:p>
      <w:pPr>
        <w:pStyle w:val="Normal"/>
        <w:widowControl/>
        <w:spacing w:after="120"/>
      </w:pPr>
      <w:r>
        <w:t xml:space="preserve"/>
      </w:r>
      <w:r>
        <w:t xml:space="preserve">[V16-23] Soin, Arvinder S; Bhangui, Prashant; Kataria, Tejinder; et al. Experience With LDLT in Patients With Hepatocellular Carcinoma and Portal Vein Tumor Thrombosis Postdownstaging. Transplantation. 2020; 104(11):2334-2345. </w:t>
      </w:r>
      <w:hyperlink r:id="rId747">
        <w:r>
          <w:rPr>
            <w:color w:val="0563C1"/>
            <w:u w:val="single"/>
          </w:rPr>
          <w:t>Source</w:t>
        </w:r>
      </w:hyperlink>
      <w:r>
        <w:t xml:space="preserve"> | </w:t>
      </w:r>
      <w:hyperlink r:id="rId748">
        <w:r>
          <w:rPr>
            <w:color w:val="0563C1"/>
            <w:u w:val="single"/>
          </w:rPr>
          <w:t>Full-text access</w:t>
        </w:r>
      </w:hyperlink>
    </w:p>
    <w:p>
      <w:pPr>
        <w:pStyle w:val="Normal"/>
        <w:widowControl/>
        <w:spacing w:after="120"/>
      </w:pPr>
      <w:r>
        <w:t xml:space="preserve"/>
      </w:r>
      <w:r>
        <w:t xml:space="preserve">[V16-24] Assalino, Michela; Terraz, Sylvain; Grat, Michal; et al. Liver transplantation for hepatocellular carcinoma after successful treatment of macrovascular invasion – a multi‐center retrospective cohort study. Transplant International. 2020; 33(5):567-575. </w:t>
      </w:r>
      <w:hyperlink r:id="rId749">
        <w:r>
          <w:rPr>
            <w:color w:val="0563C1"/>
            <w:u w:val="single"/>
          </w:rPr>
          <w:t>Source</w:t>
        </w:r>
      </w:hyperlink>
      <w:r>
        <w:t xml:space="preserve"> | </w:t>
      </w:r>
      <w:hyperlink r:id="rId750">
        <w:r>
          <w:rPr>
            <w:color w:val="0563C1"/>
            <w:u w:val="single"/>
          </w:rPr>
          <w:t>Full-text access</w:t>
        </w:r>
      </w:hyperlink>
    </w:p>
    <w:p>
      <w:pPr>
        <w:pStyle w:val="Normal"/>
        <w:widowControl/>
        <w:spacing w:after="120"/>
      </w:pPr>
      <w:r>
        <w:t xml:space="preserve"/>
      </w:r>
      <w:r>
        <w:t xml:space="preserve">[V16-25] Sposito, Carlo; Berardi, Giammauro; Viganò, Mauro; et al. Outcomes of Y90-radioembolization as downstaging to liver transplantation in patients with hepatocellular carcinoma and tumoral portal vein thrombosis. Hepatology. 2026. </w:t>
      </w:r>
      <w:hyperlink r:id="rId751">
        <w:r>
          <w:rPr>
            <w:color w:val="0563C1"/>
            <w:u w:val="single"/>
          </w:rPr>
          <w:t>Source</w:t>
        </w:r>
      </w:hyperlink>
      <w:r>
        <w:t xml:space="preserve"> | </w:t>
      </w:r>
      <w:hyperlink r:id="rId752">
        <w:r>
          <w:rPr>
            <w:color w:val="0563C1"/>
            <w:u w:val="single"/>
          </w:rPr>
          <w:t>Full-text access</w:t>
        </w:r>
      </w:hyperlink>
    </w:p>
    <w:p>
      <w:pPr>
        <w:pStyle w:val="Normal"/>
        <w:widowControl/>
        <w:spacing w:after="120"/>
      </w:pPr>
      <w:r>
        <w:t xml:space="preserve"/>
      </w:r>
      <w:r>
        <w:t xml:space="preserve">[V16-26]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 31(6):815-831. </w:t>
      </w:r>
      <w:hyperlink r:id="rId753">
        <w:r>
          <w:rPr>
            <w:color w:val="0563C1"/>
            <w:u w:val="single"/>
          </w:rPr>
          <w:t>Source</w:t>
        </w:r>
      </w:hyperlink>
      <w:r>
        <w:t xml:space="preserve"> | </w:t>
      </w:r>
      <w:hyperlink r:id="rId754">
        <w:r>
          <w:rPr>
            <w:color w:val="0563C1"/>
            <w:u w:val="single"/>
          </w:rPr>
          <w:t>Full-text access</w:t>
        </w:r>
      </w:hyperlink>
    </w:p>
    <w:p>
      <w:pPr>
        <w:pStyle w:val="Normal"/>
        <w:widowControl/>
        <w:spacing w:after="120"/>
      </w:pPr>
      <w:r>
        <w:t xml:space="preserve"/>
      </w:r>
      <w:r>
        <w:t xml:space="preserve">[V16-27] Sangro, Bruno; Argemi, Josepmaria; Ronot, Maxime; et al. EASL Clinical Practice Guidelines on the management of hepatocellular carcinoma. Journal of Hepatology. 2025; 82(2):315-374. </w:t>
      </w:r>
      <w:hyperlink r:id="rId755">
        <w:r>
          <w:rPr>
            <w:color w:val="0563C1"/>
            <w:u w:val="single"/>
          </w:rPr>
          <w:t>Source</w:t>
        </w:r>
      </w:hyperlink>
      <w:r>
        <w:t xml:space="preserve"> | </w:t>
      </w:r>
      <w:hyperlink r:id="rId756">
        <w:r>
          <w:rPr>
            <w:color w:val="0563C1"/>
            <w:u w:val="single"/>
          </w:rPr>
          <w:t>Full-text access</w:t>
        </w:r>
      </w:hyperlink>
    </w:p>
    <w:p>
      <w:pPr>
        <w:pStyle w:val="Normal"/>
        <w:widowControl/>
        <w:spacing w:after="120"/>
      </w:pPr>
      <w:r>
        <w:t xml:space="preserve"/>
      </w:r>
      <w:r>
        <w:t xml:space="preserve">[V16-28] Apisarnthanarax, Smith; Barry, Aisling; Cao, Minsong; et al. External Beam Radiation Therapy for Primary Liver Cancers: An ASTRO Clinical Practice Guideline. Practical Radiation Oncology. 2022; 12(1):28-51. </w:t>
      </w:r>
      <w:hyperlink r:id="rId757">
        <w:r>
          <w:rPr>
            <w:color w:val="0563C1"/>
            <w:u w:val="single"/>
          </w:rPr>
          <w:t>Source</w:t>
        </w:r>
      </w:hyperlink>
      <w:r>
        <w:t xml:space="preserve"> | </w:t>
      </w:r>
      <w:hyperlink r:id="rId758">
        <w:r>
          <w:rPr>
            <w:color w:val="0563C1"/>
            <w:u w:val="single"/>
          </w:rPr>
          <w:t>Full-text access</w:t>
        </w:r>
      </w:hyperlink>
    </w:p>
    <w:p>
      <w:pPr>
        <w:pStyle w:val="Normal"/>
        <w:widowControl/>
        <w:spacing w:after="120"/>
      </w:pPr>
      <w:r>
        <w:t xml:space="preserve"/>
      </w:r>
      <w:r>
        <w:t xml:space="preserve">[V16-29] National Comprehensive Cancer Network. NCCN Clinical Practice Guidelines in Oncology: Hepatocellular Carcinoma, Version 2.2026 (14 August 2026). . 2026. </w:t>
      </w:r>
      <w:hyperlink r:id="rId759">
        <w:r>
          <w:rPr>
            <w:color w:val="0563C1"/>
            <w:u w:val="single"/>
          </w:rPr>
          <w:t>Source</w:t>
        </w:r>
      </w:hyperlink>
      <w:r>
        <w:t xml:space="preserve"> | </w:t>
      </w:r>
      <w:hyperlink r:id="rId760">
        <w:r>
          <w:rPr>
            <w:color w:val="0563C1"/>
            <w:u w:val="single"/>
          </w:rPr>
          <w:t>Full-text access</w:t>
        </w:r>
      </w:hyperlink>
    </w:p>
    <w:p>
      <w:pPr>
        <w:pStyle w:val="Normal"/>
        <w:widowControl/>
        <w:spacing w:after="120"/>
      </w:pPr>
      <w:r>
        <w:t xml:space="preserve"/>
      </w:r>
      <w:r>
        <w:t xml:space="preserve">[V16-30] American College of Radiology. LI RADS CT MRI Radiation Treatment Response Assessment version 2024 Core. ACR. 2024. </w:t>
      </w:r>
      <w:hyperlink r:id="rId761">
        <w:r>
          <w:rPr>
            <w:color w:val="0563C1"/>
            <w:u w:val="single"/>
          </w:rPr>
          <w:t>Source</w:t>
        </w:r>
      </w:hyperlink>
      <w:r>
        <w:t xml:space="preserve"> | </w:t>
      </w:r>
      <w:hyperlink r:id="rId762">
        <w:r>
          <w:rPr>
            <w:color w:val="0563C1"/>
            <w:u w:val="single"/>
          </w:rPr>
          <w:t>Full-text access</w:t>
        </w:r>
      </w:hyperlink>
    </w:p>
    <w:p>
      <w:pPr>
        <w:pStyle w:val="Normal"/>
        <w:widowControl/>
        <w:spacing w:after="120"/>
      </w:pPr>
      <w:r>
        <w:t xml:space="preserve"/>
      </w:r>
      <w:r>
        <w:t xml:space="preserve">[V16-31] Moeckli, Beat; Wassmer, Charles-Henri; El Hajji, Sofia; et al. Determining safe washout period for immune checkpoint inhibitors prior to liver transplantation: An international retrospective cohort study. Hepatology. 2025; 82(5):1122-1137. </w:t>
      </w:r>
      <w:hyperlink r:id="rId763">
        <w:r>
          <w:rPr>
            <w:color w:val="0563C1"/>
            <w:u w:val="single"/>
          </w:rPr>
          <w:t>Source</w:t>
        </w:r>
      </w:hyperlink>
      <w:r>
        <w:t xml:space="preserve"> | </w:t>
      </w:r>
      <w:hyperlink r:id="rId764">
        <w:r>
          <w:rPr>
            <w:color w:val="0563C1"/>
            <w:u w:val="single"/>
          </w:rPr>
          <w:t>Full-text access</w:t>
        </w:r>
      </w:hyperlink>
    </w:p>
    <w:p>
      <w:pPr>
        <w:pStyle w:val="Normal"/>
        <w:widowControl/>
        <w:spacing w:after="120"/>
      </w:pPr>
      <w:r>
        <w:t xml:space="preserve"/>
      </w:r>
      <w:r>
        <w:t xml:space="preserve">[V16-32] Tabrizian, Parissa; Holzner, Matthew L.; Ajmera, Veeral; et al. Intention-to-treat outcomes of patients with hepatocellular carcinoma receiving immunotherapy before liver transplant: The multicenter VITALITY study. Journal of Hepatology. 2025; 82(3):512-522. </w:t>
      </w:r>
      <w:hyperlink r:id="rId765">
        <w:r>
          <w:rPr>
            <w:color w:val="0563C1"/>
            <w:u w:val="single"/>
          </w:rPr>
          <w:t>Source</w:t>
        </w:r>
      </w:hyperlink>
      <w:r>
        <w:t xml:space="preserve"> | </w:t>
      </w:r>
      <w:hyperlink r:id="rId766">
        <w:r>
          <w:rPr>
            <w:color w:val="0563C1"/>
            <w:u w:val="single"/>
          </w:rPr>
          <w:t>Full-text access</w:t>
        </w:r>
      </w:hyperlink>
    </w:p>
    <w:p>
      <w:pPr>
        <w:pStyle w:val="Normal"/>
        <w:widowControl/>
        <w:spacing w:after="120"/>
      </w:pPr>
      <w:r>
        <w:t xml:space="preserve"/>
      </w:r>
      <w:r>
        <w:t xml:space="preserve">[V16-33] Genentech. Avastin bevacizumab US prescribing information. US prescribing information. 2022. </w:t>
      </w:r>
      <w:hyperlink r:id="rId767">
        <w:r>
          <w:rPr>
            <w:color w:val="0563C1"/>
            <w:u w:val="single"/>
          </w:rPr>
          <w:t>Source</w:t>
        </w:r>
      </w:hyperlink>
      <w:r>
        <w:t xml:space="preserve"> | </w:t>
      </w:r>
      <w:hyperlink r:id="rId768">
        <w:r>
          <w:rPr>
            <w:color w:val="0563C1"/>
            <w:u w:val="single"/>
          </w:rPr>
          <w:t>Full-text access</w:t>
        </w:r>
      </w:hyperlink>
    </w:p>
    <w:p>
      <w:pPr>
        <w:pStyle w:val="Normal"/>
        <w:widowControl/>
        <w:spacing w:after="120"/>
      </w:pPr>
      <w:r>
        <w:t xml:space="preserve"/>
      </w:r>
      <w:r>
        <w:t xml:space="preserve">[V16-34] Wassmer, Charles-Henri; El Hajji, Sofia; Papazarkadas, Xenofon; et al. Immunotherapy and Liver Transplantation: A Narrative Review of Basic and Clinical Data. Cancers. 2023; 15(18):4574. </w:t>
      </w:r>
      <w:hyperlink r:id="rId769">
        <w:r>
          <w:rPr>
            <w:color w:val="0563C1"/>
            <w:u w:val="single"/>
          </w:rPr>
          <w:t>Source</w:t>
        </w:r>
      </w:hyperlink>
      <w:r>
        <w:t xml:space="preserve"> | </w:t>
      </w:r>
      <w:hyperlink r:id="rId770">
        <w:r>
          <w:rPr>
            <w:color w:val="0563C1"/>
            <w:u w:val="single"/>
          </w:rPr>
          <w:t>Full-text access</w:t>
        </w:r>
      </w:hyperlink>
    </w:p>
    <w:p>
      <w:pPr>
        <w:pStyle w:val="Normal"/>
        <w:widowControl/>
        <w:spacing w:after="120"/>
      </w:pPr>
      <w:r>
        <w:t xml:space="preserve"/>
      </w:r>
      <w:r>
        <w:t xml:space="preserve">[V16-35] Bhoori, Sherrie; Rivoltini, Licia; Pinato, David J.; et al. Efficacy of liver transplantation after response to atezolizumab-bevacizumab downstaging of intermediate and advanced hepatocellular carcinoma (ImmunoXXL). Journal of Hepatology. 2026; 85(1):117-129. </w:t>
      </w:r>
      <w:hyperlink r:id="rId771">
        <w:r>
          <w:rPr>
            <w:color w:val="0563C1"/>
            <w:u w:val="single"/>
          </w:rPr>
          <w:t>Source</w:t>
        </w:r>
      </w:hyperlink>
      <w:r>
        <w:t xml:space="preserve"> | </w:t>
      </w:r>
      <w:hyperlink r:id="rId772">
        <w:r>
          <w:rPr>
            <w:color w:val="0563C1"/>
            <w:u w:val="single"/>
          </w:rPr>
          <w:t>Full-text access</w:t>
        </w:r>
      </w:hyperlink>
    </w:p>
    <w:p>
      <w:pPr>
        <w:pStyle w:val="Normal"/>
        <w:widowControl/>
        <w:spacing w:after="120"/>
      </w:pPr>
      <w:r>
        <w:t xml:space="preserve"/>
      </w:r>
      <w:r>
        <w:t xml:space="preserve">[V16-36] Rezaee-Zavareh, Mohammad Saeid; Yeo, Yee Hui; Wang, Tielong; et al. Impact of pre-transplant immune checkpoint inhibitor use on post-transplant outcomes in HCC: A systematic review and individual patient data meta-analysis. Journal of Hepatology. 2025; 82(1):107-119. </w:t>
      </w:r>
      <w:hyperlink r:id="rId773">
        <w:r>
          <w:rPr>
            <w:color w:val="0563C1"/>
            <w:u w:val="single"/>
          </w:rPr>
          <w:t>Source</w:t>
        </w:r>
      </w:hyperlink>
      <w:r>
        <w:t xml:space="preserve"> | </w:t>
      </w:r>
      <w:hyperlink r:id="rId774">
        <w:r>
          <w:rPr>
            <w:color w:val="0563C1"/>
            <w:u w:val="single"/>
          </w:rPr>
          <w:t>Full-text access</w:t>
        </w:r>
      </w:hyperlink>
    </w:p>
    <w:p>
      <w:pPr>
        <w:pStyle w:val="Normal"/>
        <w:widowControl/>
        <w:spacing w:after="120"/>
      </w:pPr>
      <w:r>
        <w:t xml:space="preserve"/>
      </w:r>
      <w:r>
        <w:t xml:space="preserve">[V16-37] Fang, Jun; Zhong, Siyi; Wang, Tielong; et al. Immune-related adverse events are a potent predictor of post-transplant rejection in HCC: a multicentre retrospective cohort study. Gut. 2026; 75(6):1201-1210. </w:t>
      </w:r>
      <w:hyperlink r:id="rId775">
        <w:r>
          <w:rPr>
            <w:color w:val="0563C1"/>
            <w:u w:val="single"/>
          </w:rPr>
          <w:t>Source</w:t>
        </w:r>
      </w:hyperlink>
      <w:r>
        <w:t xml:space="preserve"> | </w:t>
      </w:r>
      <w:hyperlink r:id="rId776">
        <w:r>
          <w:rPr>
            <w:color w:val="0563C1"/>
            <w:u w:val="single"/>
          </w:rPr>
          <w:t>Full-text access</w:t>
        </w:r>
      </w:hyperlink>
    </w:p>
    <w:p>
      <w:pPr>
        <w:pStyle w:val="Normal"/>
        <w:widowControl/>
        <w:spacing w:after="120"/>
      </w:pPr>
      <w:r>
        <w:t xml:space="preserve"/>
      </w:r>
      <w:r>
        <w:t xml:space="preserve">[V16-38] Aceituno, L.; Magyar, C.; Tabrizian, P.; et al. Safety of Immune Checkpoint Inhibitors Prior to Liver Transplantation in Hepatocellular Carcinoma. Alimentary Pharmacology &amp; Therapeutics. 2026; 63(10):1369-1379. </w:t>
      </w:r>
      <w:hyperlink r:id="rId777">
        <w:r>
          <w:rPr>
            <w:color w:val="0563C1"/>
            <w:u w:val="single"/>
          </w:rPr>
          <w:t>Source</w:t>
        </w:r>
      </w:hyperlink>
      <w:r>
        <w:t xml:space="preserve"> | </w:t>
      </w:r>
      <w:hyperlink r:id="rId778">
        <w:r>
          <w:rPr>
            <w:color w:val="0563C1"/>
            <w:u w:val="single"/>
          </w:rPr>
          <w:t>Full-text access</w:t>
        </w:r>
      </w:hyperlink>
    </w:p>
    <w:p>
      <w:pPr>
        <w:pStyle w:val="Normal"/>
        <w:widowControl/>
        <w:spacing w:after="120"/>
      </w:pPr>
      <w:r>
        <w:t xml:space="preserve"/>
      </w:r>
      <w:r>
        <w:t xml:space="preserve">[V16-39] Bauer, Ulrike; Troppmair, Maria R; Khaled, Najib Ben; et al. Liver Transplantation After Immune Checkpoint Inhibition in Hepatocellular Carcinoma-Data From the Multinational LITCHI Registry. Liver international : official journal of the International Association for the Study of the Liver. 2026; 46(6):e70692. </w:t>
      </w:r>
      <w:hyperlink r:id="rId779">
        <w:r>
          <w:rPr>
            <w:color w:val="0563C1"/>
            <w:u w:val="single"/>
          </w:rPr>
          <w:t>Source</w:t>
        </w:r>
      </w:hyperlink>
      <w:r>
        <w:t xml:space="preserve"> | </w:t>
      </w:r>
      <w:hyperlink r:id="rId780">
        <w:r>
          <w:rPr>
            <w:color w:val="0563C1"/>
            <w:u w:val="single"/>
          </w:rPr>
          <w:t>Full-text access</w:t>
        </w:r>
      </w:hyperlink>
    </w:p>
    <w:p>
      <w:pPr>
        <w:pStyle w:val="Normal"/>
        <w:widowControl/>
        <w:spacing w:after="120"/>
      </w:pPr>
      <w:r>
        <w:t xml:space="preserve"/>
      </w:r>
      <w:r>
        <w:t xml:space="preserve">[V16-40] Ong, Meiching; He, Kang; Wang, Feng; et al. Immune Checkpoint Inhibitor–Based Downstaging Therapy for Hepatocellular Carcinoma. JAMA Oncology. 2026. </w:t>
      </w:r>
      <w:hyperlink r:id="rId781">
        <w:r>
          <w:rPr>
            <w:color w:val="0563C1"/>
            <w:u w:val="single"/>
          </w:rPr>
          <w:t>Source</w:t>
        </w:r>
      </w:hyperlink>
      <w:r>
        <w:t xml:space="preserve"> | </w:t>
      </w:r>
      <w:hyperlink r:id="rId782">
        <w:r>
          <w:rPr>
            <w:color w:val="0563C1"/>
            <w:u w:val="single"/>
          </w:rPr>
          <w:t>Full-text access</w:t>
        </w:r>
      </w:hyperlink>
    </w:p>
    <w:p>
      <w:pPr>
        <w:pStyle w:val="Normal"/>
        <w:widowControl/>
        <w:spacing w:after="120"/>
      </w:pPr>
      <w:r>
        <w:t xml:space="preserve"/>
      </w:r>
      <w:r>
        <w:t xml:space="preserve">[V16-41] Kulkarni, Anand V.; Singal, Amit G.; Reddy, K. Rajender. Review Article: Liver Transplantation for Hepatocellular Carcinoma in the Era of Immune Checkpoint Inhibitors. Alimentary Pharmacology &amp; Therapeutics. 2025; 62(6):585-601. </w:t>
      </w:r>
      <w:hyperlink r:id="rId783">
        <w:r>
          <w:rPr>
            <w:color w:val="0563C1"/>
            <w:u w:val="single"/>
          </w:rPr>
          <w:t>Source</w:t>
        </w:r>
      </w:hyperlink>
      <w:r>
        <w:t xml:space="preserve"> | </w:t>
      </w:r>
      <w:hyperlink r:id="rId784">
        <w:r>
          <w:rPr>
            <w:color w:val="0563C1"/>
            <w:u w:val="single"/>
          </w:rPr>
          <w:t>Full-text access</w:t>
        </w:r>
      </w:hyperlink>
    </w:p>
    <w:p>
      <w:pPr>
        <w:pStyle w:val="Normal"/>
        <w:widowControl/>
        <w:spacing w:after="120"/>
      </w:pPr>
      <w:r>
        <w:t xml:space="preserve"/>
      </w:r>
      <w:r>
        <w:t xml:space="preserve">[V16-42] Demirors, Berkay; Lin, Matthew Yu-Sheng; Spitz, Francis J.; et al. Balancing Tumor Response and Rejection Risk After Pre-Transplant Immunotherapy: A Scoping Review. Cancers. 2026; 18(8):1284. </w:t>
      </w:r>
      <w:hyperlink r:id="rId785">
        <w:r>
          <w:rPr>
            <w:color w:val="0563C1"/>
            <w:u w:val="single"/>
          </w:rPr>
          <w:t>Source</w:t>
        </w:r>
      </w:hyperlink>
      <w:r>
        <w:t xml:space="preserve"> | </w:t>
      </w:r>
      <w:hyperlink r:id="rId786">
        <w:r>
          <w:rPr>
            <w:color w:val="0563C1"/>
            <w:u w:val="single"/>
          </w:rPr>
          <w:t>Full-text access</w:t>
        </w:r>
      </w:hyperlink>
    </w:p>
    <w:p>
      <w:pPr>
        <w:pStyle w:val="Normal"/>
        <w:widowControl/>
        <w:spacing w:after="120"/>
      </w:pPr>
      <w:r>
        <w:t xml:space="preserve"/>
      </w:r>
      <w:r>
        <w:t xml:space="preserve">[V16-43] Kelly, Morgan E.; Truby, Tianna M.; Lai, Jennifer C.; et al. Three Decades of Living Liver Donor Outcomes: A National Cohort Analysis of Patterns in Mortality and Recovery. Journal of Transplantation. 2026; 2026(1):2545887. </w:t>
      </w:r>
      <w:hyperlink r:id="rId787">
        <w:r>
          <w:rPr>
            <w:color w:val="0563C1"/>
            <w:u w:val="single"/>
          </w:rPr>
          <w:t>Source</w:t>
        </w:r>
      </w:hyperlink>
      <w:r>
        <w:t xml:space="preserve"> | </w:t>
      </w:r>
      <w:hyperlink r:id="rId788">
        <w:r>
          <w:rPr>
            <w:color w:val="0563C1"/>
            <w:u w:val="single"/>
          </w:rPr>
          <w:t>Full-text access</w:t>
        </w:r>
      </w:hyperlink>
    </w:p>
    <w:p>
      <w:pPr>
        <w:pStyle w:val="Normal"/>
        <w:widowControl/>
        <w:spacing w:after="120"/>
      </w:pPr>
      <w:r>
        <w:t xml:space="preserve"/>
      </w:r>
      <w:r>
        <w:t xml:space="preserve">[V16-44] US Department of Health and Human Services. 45 CFR 46.111: Criteria for IRB approval of research. . 2018. </w:t>
      </w:r>
      <w:hyperlink r:id="rId789">
        <w:r>
          <w:rPr>
            <w:color w:val="0563C1"/>
            <w:u w:val="single"/>
          </w:rPr>
          <w:t>Source</w:t>
        </w:r>
      </w:hyperlink>
      <w:r>
        <w:t xml:space="preserve"> | Local PDF not available in this update</w:t>
      </w:r>
    </w:p>
    <w:p>
      <w:pPr>
        <w:pStyle w:val="Normal"/>
        <w:widowControl/>
        <w:spacing w:after="120"/>
      </w:pPr>
      <w:r>
        <w:t xml:space="preserve"/>
      </w:r>
      <w:r>
        <w:t xml:space="preserve">[V16-45] OPTN Ethics Committee. Ethical Principles in the Allocation of Human Organs. . 2015. </w:t>
      </w:r>
      <w:hyperlink r:id="rId790">
        <w:r>
          <w:rPr>
            <w:color w:val="0563C1"/>
            <w:u w:val="single"/>
          </w:rPr>
          <w:t>Source</w:t>
        </w:r>
      </w:hyperlink>
      <w:r>
        <w:t xml:space="preserve"> | Local PDF not available in this update</w:t>
      </w:r>
    </w:p>
    <w:p>
      <w:pPr>
        <w:pStyle w:val="Normal"/>
        <w:widowControl/>
        <w:spacing w:after="120"/>
      </w:pPr>
      <w:r>
        <w:t xml:space="preserve"/>
      </w:r>
      <w:r>
        <w:t xml:space="preserve">[V16-46]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791">
        <w:r>
          <w:rPr>
            <w:color w:val="0563C1"/>
            <w:u w:val="single"/>
          </w:rPr>
          <w:t>Source</w:t>
        </w:r>
      </w:hyperlink>
      <w:r>
        <w:t xml:space="preserve"> | </w:t>
      </w:r>
      <w:hyperlink r:id="rId792">
        <w:r>
          <w:rPr>
            <w:color w:val="0563C1"/>
            <w:u w:val="single"/>
          </w:rPr>
          <w:t>Full-text access</w:t>
        </w:r>
      </w:hyperlink>
    </w:p>
    <w:p>
      <w:pPr>
        <w:pStyle w:val="Normal"/>
        <w:widowControl/>
        <w:spacing w:after="120"/>
      </w:pPr>
      <w:r>
        <w:t xml:space="preserve"/>
      </w:r>
      <w:r>
        <w:t xml:space="preserve">[V16-47] Allen, Elisa; Taylor, Rhiannon; Gimson, Alexander; et al. Transplant benefit-based offering of deceased donor livers in the United Kingdom. Journal of Hepatology. 2024; 81(3):471-478. </w:t>
      </w:r>
      <w:hyperlink r:id="rId793">
        <w:r>
          <w:rPr>
            <w:color w:val="0563C1"/>
            <w:u w:val="single"/>
          </w:rPr>
          <w:t>Source</w:t>
        </w:r>
      </w:hyperlink>
      <w:r>
        <w:t xml:space="preserve"> | </w:t>
      </w:r>
      <w:hyperlink r:id="rId794">
        <w:r>
          <w:rPr>
            <w:color w:val="0563C1"/>
            <w:u w:val="single"/>
          </w:rPr>
          <w:t>Full-text access</w:t>
        </w:r>
      </w:hyperlink>
    </w:p>
    <w:p>
      <w:pPr>
        <w:pStyle w:val="Normal"/>
        <w:widowControl/>
        <w:spacing w:after="120"/>
      </w:pPr>
      <w:r>
        <w:t xml:space="preserve"/>
      </w:r>
      <w:r>
        <w:t xml:space="preserve">[V16-48] Abecassis, M.M.; Fisher, R.A.; Olthoff, K.M.; et al. Complications of Living Donor Hepatic Lobectomy—A Comprehensive Report. American Journal of Transplantation. 2012; 12(5):1208-1217. </w:t>
      </w:r>
      <w:hyperlink r:id="rId795">
        <w:r>
          <w:rPr>
            <w:color w:val="0563C1"/>
            <w:u w:val="single"/>
          </w:rPr>
          <w:t>Source</w:t>
        </w:r>
      </w:hyperlink>
      <w:r>
        <w:t xml:space="preserve"> | </w:t>
      </w:r>
      <w:hyperlink r:id="rId796">
        <w:r>
          <w:rPr>
            <w:color w:val="0563C1"/>
            <w:u w:val="single"/>
          </w:rPr>
          <w:t>Full-text access</w:t>
        </w:r>
      </w:hyperlink>
    </w:p>
    <w:p>
      <w:pPr>
        <w:pStyle w:val="Normal"/>
        <w:widowControl/>
        <w:spacing w:after="120"/>
      </w:pPr>
      <w:r>
        <w:t xml:space="preserve"/>
      </w:r>
      <w:r>
        <w:t xml:space="preserve">[V16-49] DiMartini, A.; Dew, M.A.; Liu, Q.; et al. Social and Financial Outcomes of Living Liver Donation: A Prospective Investigation Within the Adult-to-Adult Living Donor Liver Transplantation Cohort Study 2 (A2ALL-2). American Journal of Transplantation. 2017; 17(4):1081-1096. </w:t>
      </w:r>
      <w:hyperlink r:id="rId797">
        <w:r>
          <w:rPr>
            <w:color w:val="0563C1"/>
            <w:u w:val="single"/>
          </w:rPr>
          <w:t>Source</w:t>
        </w:r>
      </w:hyperlink>
      <w:r>
        <w:t xml:space="preserve"> | </w:t>
      </w:r>
      <w:hyperlink r:id="rId798">
        <w:r>
          <w:rPr>
            <w:color w:val="0563C1"/>
            <w:u w:val="single"/>
          </w:rPr>
          <w:t>Full-text access</w:t>
        </w:r>
      </w:hyperlink>
    </w:p>
    <w:p>
      <w:pPr>
        <w:pStyle w:val="Normal"/>
        <w:widowControl/>
        <w:spacing w:after="120"/>
      </w:pPr>
      <w:r>
        <w:t xml:space="preserve"/>
      </w:r>
      <w:r>
        <w:t xml:space="preserve">[V16-50] Xiao, Jieling; Zeng, Rebecca Wenling; Lim, Wen Hui; et al. The incidence of adverse outcome in donors after living donor liver transplantation: A meta-analysis of 60,829 donors. Liver Transplantation. 2024; 30(5):493-504. </w:t>
      </w:r>
      <w:hyperlink r:id="rId799">
        <w:r>
          <w:rPr>
            <w:color w:val="0563C1"/>
            <w:u w:val="single"/>
          </w:rPr>
          <w:t>Source</w:t>
        </w:r>
      </w:hyperlink>
      <w:r>
        <w:t xml:space="preserve"> | </w:t>
      </w:r>
      <w:hyperlink r:id="rId800">
        <w:r>
          <w:rPr>
            <w:color w:val="0563C1"/>
            <w:u w:val="single"/>
          </w:rPr>
          <w:t>Full-text access</w:t>
        </w:r>
      </w:hyperlink>
    </w:p>
    <w:p>
      <w:pPr>
        <w:pStyle w:val="Normal"/>
        <w:widowControl/>
        <w:spacing w:after="120"/>
      </w:pPr>
      <w:r>
        <w:t xml:space="preserve"/>
      </w:r>
      <w:r>
        <w:t xml:space="preserve">[V16-51] Geissler, Edward K; Schnitzbauer, Andreas A; Zülke, Carl; et al. Sirolimus Use in Liver Transplant Recipients With Hepatocellular Carcinoma: A Randomized, Multicenter, Open-Label Phase 3 Trial. Transplantation. 2016; 100(1):116-25. </w:t>
      </w:r>
      <w:hyperlink r:id="rId801">
        <w:r>
          <w:rPr>
            <w:color w:val="0563C1"/>
            <w:u w:val="single"/>
          </w:rPr>
          <w:t>Source</w:t>
        </w:r>
      </w:hyperlink>
      <w:r>
        <w:t xml:space="preserve"> | </w:t>
      </w:r>
      <w:hyperlink r:id="rId802">
        <w:r>
          <w:rPr>
            <w:color w:val="0563C1"/>
            <w:u w:val="single"/>
          </w:rPr>
          <w:t>Full-text access</w:t>
        </w:r>
      </w:hyperlink>
    </w:p>
    <w:p>
      <w:pPr>
        <w:pStyle w:val="Normal"/>
        <w:widowControl/>
        <w:spacing w:after="120"/>
      </w:pPr>
      <w:r>
        <w:t xml:space="preserve"/>
      </w:r>
      <w:r>
        <w:t xml:space="preserve">[V16-52] De Martin, Eleonora; Antonini, Teresa Maria; Uguen, Thomas; et al. Immune checkpoint inhibitors after liver transplantation: The role of immunosuppressive management. American Journal of Transplantation. 2026; 26(8):1958-1971. </w:t>
      </w:r>
      <w:hyperlink r:id="rId803">
        <w:r>
          <w:rPr>
            <w:color w:val="0563C1"/>
            <w:u w:val="single"/>
          </w:rPr>
          <w:t>Source</w:t>
        </w:r>
      </w:hyperlink>
      <w:r>
        <w:t xml:space="preserve"> | </w:t>
      </w:r>
      <w:hyperlink r:id="rId804">
        <w:r>
          <w:rPr>
            <w:color w:val="0563C1"/>
            <w:u w:val="single"/>
          </w:rPr>
          <w:t>Full-text access</w:t>
        </w:r>
      </w:hyperlink>
    </w:p>
    <w:p>
      <w:pPr>
        <w:pStyle w:val="Normal"/>
        <w:widowControl/>
        <w:spacing w:after="120"/>
      </w:pPr>
      <w:r>
        <w:t xml:space="preserve"/>
      </w:r>
      <w:r>
        <w:t xml:space="preserve">[V16-53] Eldridge, Sandra M; Chan, Claire L; Campbell, Michael J; et al. CONSORT 2010 statement: extension to randomised pilot and feasibility trials. BMJ. 2016; :i5239. </w:t>
      </w:r>
      <w:hyperlink r:id="rId805">
        <w:r>
          <w:rPr>
            <w:color w:val="0563C1"/>
            <w:u w:val="single"/>
          </w:rPr>
          <w:t>Source</w:t>
        </w:r>
      </w:hyperlink>
      <w:r>
        <w:t xml:space="preserve"> | </w:t>
      </w:r>
      <w:hyperlink r:id="rId806">
        <w:r>
          <w:rPr>
            <w:color w:val="0563C1"/>
            <w:u w:val="single"/>
          </w:rPr>
          <w:t>Full-text access</w:t>
        </w:r>
      </w:hyperlink>
    </w:p>
    <w:p>
      <w:pPr>
        <w:pStyle w:val="Normal"/>
        <w:widowControl/>
        <w:spacing w:after="120"/>
      </w:pPr>
      <w:r>
        <w:t xml:space="preserve"/>
      </w:r>
      <w:r>
        <w:t xml:space="preserve">[V16-54]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807">
        <w:r>
          <w:rPr>
            <w:color w:val="0563C1"/>
            <w:u w:val="single"/>
          </w:rPr>
          <w:t>Source</w:t>
        </w:r>
      </w:hyperlink>
      <w:r>
        <w:t xml:space="preserve"> | </w:t>
      </w:r>
      <w:hyperlink r:id="rId808">
        <w:r>
          <w:rPr>
            <w:color w:val="0563C1"/>
            <w:u w:val="single"/>
          </w:rPr>
          <w:t>Full-text access</w:t>
        </w:r>
      </w:hyperlink>
    </w:p>
    <w:p>
      <w:pPr>
        <w:pStyle w:val="Normal"/>
        <w:widowControl/>
        <w:spacing w:after="120"/>
      </w:pPr>
      <w:r>
        <w:t xml:space="preserve"/>
      </w:r>
      <w:r>
        <w:t xml:space="preserve">[V16-55] Yaqub, Sheraz; Busund, Sondre; Smedman, Tor Magnus; et al. Liver transplantation for locally advanced non-resectable intrahepatic cholangiocarcinoma treated with neoadjuvant therapy: early results from the TESLA trial. British Journal of Surgery. 2025. </w:t>
      </w:r>
      <w:hyperlink r:id="rId809">
        <w:r>
          <w:rPr>
            <w:color w:val="0563C1"/>
            <w:u w:val="single"/>
          </w:rPr>
          <w:t>Source</w:t>
        </w:r>
      </w:hyperlink>
      <w:r>
        <w:t xml:space="preserve"> | </w:t>
      </w:r>
      <w:hyperlink r:id="rId810">
        <w:r>
          <w:rPr>
            <w:color w:val="0563C1"/>
            <w:u w:val="single"/>
          </w:rPr>
          <w:t>Full-text access</w:t>
        </w:r>
      </w:hyperlink>
    </w:p>
    <w:p>
      <w:pPr>
        <w:pStyle w:val="Normal"/>
        <w:widowControl/>
        <w:spacing w:after="120"/>
      </w:pPr>
      <w:r>
        <w:t xml:space="preserve"/>
      </w:r>
      <w:r>
        <w:t xml:space="preserve">[V16-56] Liu, Hao; Neckermann, Isabel; Mial‐Anthony, Jason; et al. Optimizing Liver Transplant Allocation for Hepatocellular Carcinoma: Development and Validation of a Survival Benefit‐Based Model. Clinical Transplantation. 2026; 40(3):e70488. </w:t>
      </w:r>
      <w:hyperlink r:id="rId811">
        <w:r>
          <w:rPr>
            <w:color w:val="0563C1"/>
            <w:u w:val="single"/>
          </w:rPr>
          <w:t>Source</w:t>
        </w:r>
      </w:hyperlink>
      <w:r>
        <w:t xml:space="preserve"> | </w:t>
      </w:r>
      <w:hyperlink r:id="rId812">
        <w:r>
          <w:rPr>
            <w:color w:val="0563C1"/>
            <w:u w:val="single"/>
          </w:rPr>
          <w:t>Full-text access</w:t>
        </w:r>
      </w:hyperlink>
    </w:p>
    <w:p>
      <w:pPr>
        <w:pStyle w:val="Normal"/>
        <w:widowControl/>
        <w:spacing w:after="120"/>
      </w:pPr>
      <w:r>
        <w:t xml:space="preserve"/>
      </w:r>
      <w:r>
        <w:t xml:space="preserve">[V16-57] Liu, Hao; Zhang, Wei; Di, Mengyang; et al. Survival benefit associated with liver transplantation for hepatocellular carcinoma based on tumor burden scores at listing. Hepatology Communications. 2025; 9(1):e0619. </w:t>
      </w:r>
      <w:hyperlink r:id="rId813">
        <w:r>
          <w:rPr>
            <w:color w:val="0563C1"/>
            <w:u w:val="single"/>
          </w:rPr>
          <w:t>Source</w:t>
        </w:r>
      </w:hyperlink>
      <w:r>
        <w:t xml:space="preserve"> | </w:t>
      </w:r>
      <w:hyperlink r:id="rId814">
        <w:r>
          <w:rPr>
            <w:color w:val="0563C1"/>
            <w:u w:val="single"/>
          </w:rPr>
          <w:t>Full-text access</w:t>
        </w:r>
      </w:hyperlink>
    </w:p>
    <w:p>
      <w:pPr>
        <w:pStyle w:val="Normal"/>
        <w:widowControl/>
        <w:spacing w:after="120"/>
      </w:pPr>
      <w:r>
        <w:t xml:space="preserve"/>
      </w:r>
      <w:r>
        <w:t xml:space="preserve">[V16-58] Lai, Quirino; Vitale, Alessandro; Iesari, Samuele; et al. Intention-to-Treat Survival Benefit of Liver Transplantation in Patients With Hepatocellular Cancer. Hepatology. 2017; 66(6):1910-1919. </w:t>
      </w:r>
      <w:hyperlink r:id="rId815">
        <w:r>
          <w:rPr>
            <w:color w:val="0563C1"/>
            <w:u w:val="single"/>
          </w:rPr>
          <w:t>Source</w:t>
        </w:r>
      </w:hyperlink>
      <w:r>
        <w:t xml:space="preserve"> | </w:t>
      </w:r>
      <w:hyperlink r:id="rId816">
        <w:r>
          <w:rPr>
            <w:color w:val="0563C1"/>
            <w:u w:val="single"/>
          </w:rPr>
          <w:t>Full-text access</w:t>
        </w:r>
      </w:hyperlink>
    </w:p>
    <w:p>
      <w:pPr>
        <w:pStyle w:val="Normal"/>
        <w:widowControl/>
        <w:spacing w:after="120"/>
      </w:pPr>
      <w:r>
        <w:t xml:space="preserve"/>
      </w:r>
      <w:r>
        <w:t xml:space="preserve">[V16-59] Goudsmit, Ben F.J.; Ilaria Prosepe, ; Tushuizen, Maarten E.; et al. Survival benefit from liver transplantation for patients with and without hepatocellular carcinoma. JHEP Reports. 2023; 5(12):100907. </w:t>
      </w:r>
      <w:hyperlink r:id="rId817">
        <w:r>
          <w:rPr>
            <w:color w:val="0563C1"/>
            <w:u w:val="single"/>
          </w:rPr>
          <w:t>Source</w:t>
        </w:r>
      </w:hyperlink>
      <w:r>
        <w:t xml:space="preserve"> | </w:t>
      </w:r>
      <w:hyperlink r:id="rId818">
        <w:r>
          <w:rPr>
            <w:color w:val="0563C1"/>
            <w:u w:val="single"/>
          </w:rPr>
          <w:t>Full-text access</w:t>
        </w:r>
      </w:hyperlink>
    </w:p>
    <w:p>
      <w:pPr>
        <w:pStyle w:val="Normal"/>
        <w:widowControl/>
        <w:spacing w:after="120"/>
      </w:pPr>
      <w:r>
        <w:t xml:space="preserve"/>
      </w:r>
      <w:r>
        <w:t xml:space="preserve">[V16-60] Prosepe, Ilaria; van Geloven, Nan; de Ferrante, Hans; et al. Estimating conditional survival benefit for the allocation of scarce resources. Statistical Methods in Medical Research. 2026; 35(4):812-826. </w:t>
      </w:r>
      <w:hyperlink r:id="rId819">
        <w:r>
          <w:rPr>
            <w:color w:val="0563C1"/>
            <w:u w:val="single"/>
          </w:rPr>
          <w:t>Source</w:t>
        </w:r>
      </w:hyperlink>
      <w:r>
        <w:t xml:space="preserve"> | </w:t>
      </w:r>
      <w:hyperlink r:id="rId820">
        <w:r>
          <w:rPr>
            <w:color w:val="0563C1"/>
            <w:u w:val="single"/>
          </w:rPr>
          <w:t>Full-text access</w:t>
        </w:r>
      </w:hyperlink>
    </w:p>
    <w:p>
      <w:pPr>
        <w:pStyle w:val="Normal"/>
        <w:widowControl/>
        <w:spacing w:after="120"/>
      </w:pPr>
      <w:r>
        <w:t xml:space="preserve"/>
      </w:r>
      <w:r>
        <w:t xml:space="preserve">[V16-61] Pirozzi, Angelo; Hoyek, Celine; Abidoye, Oluseyi; et al. Liver transplantation in a patient with metastatic hepatocellular carcinoma after downstaging with single-agent immunotherapy: the first case report. Journal of gastrointestinal oncology. 2025; 16(3):1321-1330. </w:t>
      </w:r>
      <w:hyperlink r:id="rId821">
        <w:r>
          <w:rPr>
            <w:color w:val="0563C1"/>
            <w:u w:val="single"/>
          </w:rPr>
          <w:t>Source</w:t>
        </w:r>
      </w:hyperlink>
      <w:r>
        <w:t xml:space="preserve"> | Local PDF not available in this update</w:t>
      </w:r>
    </w:p>
    <w:p>
      <w:pPr>
        <w:pStyle w:val="Normal"/>
        <w:widowControl/>
        <w:spacing w:after="120"/>
      </w:pPr>
      <w:r>
        <w:t xml:space="preserve"/>
      </w:r>
      <w:r>
        <w:t xml:space="preserve">[V16-62] Shao, Yongjie; Yuan, Junhui; Liu, Yanwei; et al. Imaging-defined complete response to immune checkpoint inhibitors predicts durable survival in advanced hepatocellular carcinoma. Frontiers in oncology. 2026; 15:1687449. </w:t>
      </w:r>
      <w:hyperlink r:id="rId822">
        <w:r>
          <w:rPr>
            <w:color w:val="0563C1"/>
            <w:u w:val="single"/>
          </w:rPr>
          <w:t>Source</w:t>
        </w:r>
      </w:hyperlink>
      <w:r>
        <w:t xml:space="preserve"> | Local PDF not available in this update</w:t>
      </w:r>
    </w:p>
    <w:p>
      <w:pPr>
        <w:pStyle w:val="Normal"/>
        <w:widowControl/>
        <w:spacing w:after="120"/>
      </w:pPr>
      <w:r>
        <w:t xml:space="preserve"/>
      </w:r>
      <w:r>
        <w:t xml:space="preserve">[V16-63] Sotiropoulos, Georgios C; Malagó, Massimo; Molmenti, Ernesto P; et al. Hilar lymph nodes sampling at the time of liver transplantation for hepatocellular carcinoma: to do or not to do? Meta-analysis to determine the impact of hilar lymph nodes metastases on tumor recurrence and survival in patients with hepatocellular carcinoma undergoing liver transplantation. Transplant international : official journal of the European Society for Organ Transplantation. 2007; 20(2):141-6. </w:t>
      </w:r>
      <w:hyperlink r:id="rId823">
        <w:r>
          <w:rPr>
            <w:color w:val="0563C1"/>
            <w:u w:val="single"/>
          </w:rPr>
          <w:t>Source</w:t>
        </w:r>
      </w:hyperlink>
      <w:r>
        <w:t xml:space="preserve"> | Local PDF not available in this update</w:t>
      </w:r>
    </w:p>
    <w:p>
      <w:pPr>
        <w:pStyle w:val="Normal"/>
        <w:widowControl/>
        <w:spacing w:after="120"/>
      </w:pPr>
      <w:r>
        <w:t xml:space="preserve"/>
      </w:r>
      <w:r>
        <w:t xml:space="preserve">[V16-64] Mergental, Hynek; Adam, Rene; Ericzon, Bo-Goran; et al. Liver transplantation for unresectable hepatocellular carcinoma in normal livers. Journal of hepatology. 2012; 57(2):297-305. </w:t>
      </w:r>
      <w:hyperlink r:id="rId824">
        <w:r>
          <w:rPr>
            <w:color w:val="0563C1"/>
            <w:u w:val="single"/>
          </w:rPr>
          <w:t>Source</w:t>
        </w:r>
      </w:hyperlink>
      <w:r>
        <w:t xml:space="preserve"> | Local PDF not available in this update</w:t>
      </w:r>
    </w:p>
    <w:p>
      <w:pPr>
        <w:pStyle w:val="Normal"/>
        <w:widowControl/>
        <w:spacing w:after="120"/>
      </w:pPr>
      <w:r>
        <w:t xml:space="preserve"/>
      </w:r>
      <w:r>
        <w:t xml:space="preserve">[V16-65] Choi, Gwang Hyeon; Kim, Hyun-Seok; Luu, Michael; et al. Curative Treatment after Immunotherapy Leads to Excellent Outcomes in Patients with Hepatocellular Carcinoma. Liver cancer. 2025; 15(2):193-204. </w:t>
      </w:r>
      <w:hyperlink r:id="rId825">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HCC-B5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6">
    <w:abstractNumId w:val="6"/>
  </w:num>
  <w:abstractNum w:abstractNumId="7">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7">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bgbdklqbwdpu6srlaphp" Type="http://schemas.openxmlformats.org/officeDocument/2006/relationships/hyperlink" Target="https://pubmed.ncbi.nlm.nih.gov/38831488" TargetMode="External"/><Relationship Id="rIdvqiopdj-dlpf_wuew6sma" Type="http://schemas.openxmlformats.org/officeDocument/2006/relationships/hyperlink" Target="https://onlinelibrary.wiley.com/doi/10.1111/apt.70333" TargetMode="External"/><Relationship Id="rIdsgvtca97b5xentfxnbxwg" Type="http://schemas.openxmlformats.org/officeDocument/2006/relationships/hyperlink" Target="https://pubmed.ncbi.nlm.nih.gov/39808828" TargetMode="External"/><Relationship Id="rId51_v2-vvx5blwv4riwy4l" Type="http://schemas.openxmlformats.org/officeDocument/2006/relationships/hyperlink" Target="https://pubmed.ncbi.nlm.nih.gov/42294332" TargetMode="External"/><Relationship Id="rIduzsxgw8kypuxhw6yrny6c" Type="http://schemas.openxmlformats.org/officeDocument/2006/relationships/hyperlink" Target="https://www.ncbi.nlm.nih.gov/pmc/articles/PMC10663390/" TargetMode="External"/><Relationship Id="rIdjqh792dqvekp8tfse981a" Type="http://schemas.openxmlformats.org/officeDocument/2006/relationships/hyperlink" Target="https://pubmed.ncbi.nlm.nih.gov/39993401" TargetMode="External"/><Relationship Id="rIdqikuaj7ic8ydl5r_ltc8h" Type="http://schemas.openxmlformats.org/officeDocument/2006/relationships/hyperlink" Target="https://doi.org/10.1097/HEP.0000000000001644" TargetMode="External"/><Relationship Id="rId7kp3ps1xdujb6act9y8nu" Type="http://schemas.openxmlformats.org/officeDocument/2006/relationships/hyperlink" Target="https://www.nccn.org/professionals/physician_gls/pdf/hcc.pdf#page=23" TargetMode="External"/><Relationship Id="rId_xaxgzxuvccejmhbxwmdn" Type="http://schemas.openxmlformats.org/officeDocument/2006/relationships/hyperlink" Target="https://pubmed.ncbi.nlm.nih.gov/41490475" TargetMode="External"/><Relationship Id="rId23b4a3igkc_5hbkr63vol" Type="http://schemas.openxmlformats.org/officeDocument/2006/relationships/hyperlink" Target="https://meetings.asco.org/abstracts-presentations/249709" TargetMode="External"/><Relationship Id="rIdmg_eyoyiojukfxknuoio9" Type="http://schemas.openxmlformats.org/officeDocument/2006/relationships/hyperlink" Target="https://pubmed.ncbi.nlm.nih.gov/42073607" TargetMode="External"/><Relationship Id="rIdhr5wllefnif2_6by1e6j2" Type="http://schemas.openxmlformats.org/officeDocument/2006/relationships/hyperlink" Target="https://www.fda.gov/drugs/drug-approvals-and-databases/approved-drug-products-therapeutic-equivalence-evaluations-orange-book" TargetMode="External"/><Relationship Id="rIdzkqorrjwgzr4cgmfgq3j7" Type="http://schemas.openxmlformats.org/officeDocument/2006/relationships/hyperlink" Target="https://pubmed.ncbi.nlm.nih.gov/38996924" TargetMode="External"/><Relationship Id="rIdsje1ai0t758rlttuqqcgv" Type="http://schemas.openxmlformats.org/officeDocument/2006/relationships/hyperlink" Target="https://pubmed.ncbi.nlm.nih.gov/41855385" TargetMode="External"/><Relationship Id="rIdrer_whzoq7ihici8g5kja" Type="http://schemas.openxmlformats.org/officeDocument/2006/relationships/hyperlink" Target="https://pubmed.ncbi.nlm.nih.gov/41193174" TargetMode="External"/><Relationship Id="rIddbrlhyagrkgmbfflldyuc" Type="http://schemas.openxmlformats.org/officeDocument/2006/relationships/hyperlink" Target="https://pubmed.ncbi.nlm.nih.gov/38253289" TargetMode="External"/><Relationship Id="rIdxl57ukzeuicog554_kmok" Type="http://schemas.openxmlformats.org/officeDocument/2006/relationships/hyperlink" Target="https://onlinelibrary.wiley.com/doi/10.1111/apt.70528" TargetMode="External"/><Relationship Id="rIdernyecji2ykbls1cfotvh" Type="http://schemas.openxmlformats.org/officeDocument/2006/relationships/hyperlink" Target="https://doi.org/10.1097/LVT.0000000000000715" TargetMode="External"/><Relationship Id="rIdfblbaisctpslptrrqxqoi" Type="http://schemas.openxmlformats.org/officeDocument/2006/relationships/hyperlink" Target="https://pubmed.ncbi.nlm.nih.gov/41622628" TargetMode="External"/><Relationship Id="rIdpetrdyo4wmnge9u_ch6jo" Type="http://schemas.openxmlformats.org/officeDocument/2006/relationships/hyperlink" Target="https://pubmed.ncbi.nlm.nih.gov/30568386" TargetMode="External"/><Relationship Id="rIdcodunqyocaipzgbzse7i8" Type="http://schemas.openxmlformats.org/officeDocument/2006/relationships/hyperlink" Target="https://pubmed.ncbi.nlm.nih.gov/36160651" TargetMode="External"/><Relationship Id="rIdvtp-3y5ihff9zrxhzwnil" Type="http://schemas.openxmlformats.org/officeDocument/2006/relationships/hyperlink" Target="https://pubmed.ncbi.nlm.nih.gov/42073605" TargetMode="External"/><Relationship Id="rIdkex91tmzz_vlvwq1bv-7u" Type="http://schemas.openxmlformats.org/officeDocument/2006/relationships/hyperlink" Target="https://pubmed.ncbi.nlm.nih.gov/22047762" TargetMode="External"/><Relationship Id="rId29" Type="http://schemas.openxmlformats.org/officeDocument/2006/relationships/fontTable" Target="fontTable.xml"/><Relationship Id="rId30" Type="http://schemas.openxmlformats.org/officeDocument/2006/relationships/hyperlink" Target="https://doi.org/10.1002/hep.27752"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doi.org/10.1053/j.gastro.2021.07.033"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doi.org/10.1002/hep.30570"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16/j.ajt.2023.07.021"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oi.org/10.1097/HEP.0000000000001231"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oi.org/10.1016/S1470-2045(20)30224-2"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oi.org/10.1016/j.cgh.2022.08.023"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001/jamasurg.2022.2800"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097/HEP.0000000000001231"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97/HEP.0000000000001231"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97/HEP.0000000000000466"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doi.org/10.1097/JS9.0000000000004077"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doi.org/10.1002/lt.24782"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016/j.hbpd.2020.03.009"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21037/jgo-24-328"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97/TP.0000000000003162"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111/tri.13586"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97/HEP.0000000000001801"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97/JS9.0000000000004077"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02/lt.24782"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16/j.hbpd.2020.03.009"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21037/jgo-24-328"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doi.org/10.1097/TP.0000000000003162"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oi.org/10.1097/JS9.0000000000004077"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doi.org/10.1097/JS9.0000000000004077"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doi.org/10.21037/jgo-24-328"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002/lt.24782"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016/j.hbpd.2020.03.009"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oi.org/10.1097/TP.0000000000003162"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doi.org/10.1097/HEP.0000000000001801"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doi.org/10.1097/JS9.0000000000004077"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oi.org/10.1097/JS9.0000000000004077"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21037/jgo-24-328"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www.hrsa.gov/sites/default/files/hrsa/optn/adult-meld-exception-transplant-oncology-review-guidance.pdf"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oi.org/10.1097/HEP.0000000000001801"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doi.org/10.1097/HEP.0000000000001801"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doi.org/10.1016/j.jhep.2024.09.003"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16/j.jhep.2026.02.019"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97/HEP.0000000000001289"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16/j.jhep.2024.06.042"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136/gutjnl-2025-336719"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111/apt.70528"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111/liv.70692"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01/jamaoncol.2026.3901"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onlinelibrary.wiley.com/doi/10.1111/apt.70333"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pubmed.ncbi.nlm.nih.gov/42073607"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doi.org/10.1016/j.jhep.2024.06.042"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doi.org/10.1136/gutjnl-2025-336719"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drliuhao.github.io/mh-liver-pathways/evidence-libraries/"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111/ctr.70488"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doi.org/10.1097/HC9.0000000000000619"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1002/hep.29342"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doi.org/10.1016/j.jhepr.2023.100907"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1016/j.jhep.2024.03.020"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doi.org/10.1177/09622802261420699"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doi.org/10.1111/ctr.70488" TargetMode="External"/><Relationship Id="rId153" Type="http://schemas.openxmlformats.org/officeDocument/2006/relationships/hyperlink" Target="https://drliuhao.github.io/mh-liver-pathways/evidence-libraries/" TargetMode="External"/><Relationship Id="rId154" Type="http://schemas.openxmlformats.org/officeDocument/2006/relationships/hyperlink" Target="https://doi.org/10.1111/ctr.70488" TargetMode="External"/><Relationship Id="rId155" Type="http://schemas.openxmlformats.org/officeDocument/2006/relationships/hyperlink" Target="https://drliuhao.github.io/mh-liver-pathways/evidence-libraries/"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rliuhao.github.io/mh-liver-pathways/evidence-libraries/"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drliuhao.github.io/mh-liver-pathways/evidence-libraries/" TargetMode="External"/><Relationship Id="rId160" Type="http://schemas.openxmlformats.org/officeDocument/2006/relationships/hyperlink" Target="https://www.hrsa.gov/sites/default/files/hrsa/optn/optn_policies.pdf" TargetMode="External"/><Relationship Id="rId161" Type="http://schemas.openxmlformats.org/officeDocument/2006/relationships/hyperlink" Target="https://drliuhao.github.io/mh-liver-pathways/evidence-libraries/" TargetMode="External"/><Relationship Id="rId162" Type="http://schemas.openxmlformats.org/officeDocument/2006/relationships/hyperlink" Target="https://www.hrsa.gov/sites/default/files/hrsa/optn/adult-meld-exception-transplant-oncology-review-guidance.pdf" TargetMode="External"/><Relationship Id="rId163" Type="http://schemas.openxmlformats.org/officeDocument/2006/relationships/hyperlink" Target="https://drliuhao.github.io/mh-liver-pathways/evidence-libraries/" TargetMode="External"/><Relationship Id="rId164" Type="http://schemas.openxmlformats.org/officeDocument/2006/relationships/hyperlink" Target="https://doi.org/10.1097/HEP.0000000000000466" TargetMode="External"/><Relationship Id="rId165" Type="http://schemas.openxmlformats.org/officeDocument/2006/relationships/hyperlink" Target="https://drliuhao.github.io/mh-liver-pathways/evidence-libraries/" TargetMode="External"/><Relationship Id="rId166" Type="http://schemas.openxmlformats.org/officeDocument/2006/relationships/hyperlink" Target="https://doi.org/10.1097/HEP.0000000000001231" TargetMode="External"/><Relationship Id="rId167" Type="http://schemas.openxmlformats.org/officeDocument/2006/relationships/hyperlink" Target="https://drliuhao.github.io/mh-liver-pathways/evidence-libraries/" TargetMode="External"/><Relationship Id="rId168" Type="http://schemas.openxmlformats.org/officeDocument/2006/relationships/hyperlink" Target="https://doi.org/10.1016/S1470-2045(20)30224-2" TargetMode="External"/><Relationship Id="rId169" Type="http://schemas.openxmlformats.org/officeDocument/2006/relationships/hyperlink" Target="https://drliuhao.github.io/mh-liver-pathways/evidence-libraries/" TargetMode="External"/><Relationship Id="rId170" Type="http://schemas.openxmlformats.org/officeDocument/2006/relationships/hyperlink" Target="https://doi.org/10.1097/HEP.0000000000001644"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doi.org/10.1002/hep.27752" TargetMode="External"/><Relationship Id="rId173" Type="http://schemas.openxmlformats.org/officeDocument/2006/relationships/hyperlink" Target="https://drliuhao.github.io/mh-liver-pathways/evidence-libraries/" TargetMode="External"/><Relationship Id="rId174" Type="http://schemas.openxmlformats.org/officeDocument/2006/relationships/hyperlink" Target="https://doi.org/10.1053/j.gastro.2021.07.033"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doi.org/10.1002/hep.30570" TargetMode="External"/><Relationship Id="rId177" Type="http://schemas.openxmlformats.org/officeDocument/2006/relationships/hyperlink" Target="https://drliuhao.github.io/mh-liver-pathways/evidence-libraries/" TargetMode="External"/><Relationship Id="rId178" Type="http://schemas.openxmlformats.org/officeDocument/2006/relationships/hyperlink" Target="https://doi.org/10.1016/j.ajt.2023.07.021" TargetMode="External"/><Relationship Id="rId179" Type="http://schemas.openxmlformats.org/officeDocument/2006/relationships/hyperlink" Target="https://drliuhao.github.io/mh-liver-pathways/evidence-libraries/" TargetMode="External"/><Relationship Id="rId180" Type="http://schemas.openxmlformats.org/officeDocument/2006/relationships/hyperlink" Target="https://doi.org/10.1016/j.cgh.2022.08.023" TargetMode="External"/><Relationship Id="rId181" Type="http://schemas.openxmlformats.org/officeDocument/2006/relationships/hyperlink" Target="https://drliuhao.github.io/mh-liver-pathways/evidence-libraries/" TargetMode="External"/><Relationship Id="rId182" Type="http://schemas.openxmlformats.org/officeDocument/2006/relationships/hyperlink" Target="https://doi.org/10.1001/jamasurg.2022.2800" TargetMode="External"/><Relationship Id="rId183" Type="http://schemas.openxmlformats.org/officeDocument/2006/relationships/hyperlink" Target="https://drliuhao.github.io/mh-liver-pathways/evidence-libraries/" TargetMode="External"/><Relationship Id="rId184" Type="http://schemas.openxmlformats.org/officeDocument/2006/relationships/hyperlink" Target="https://doi.org/10.1038/s41571-026-01160-z" TargetMode="External"/><Relationship Id="rId185" Type="http://schemas.openxmlformats.org/officeDocument/2006/relationships/hyperlink" Target="https://drliuhao.github.io/mh-liver-pathways/evidence-libraries/" TargetMode="External"/><Relationship Id="rId186" Type="http://schemas.openxmlformats.org/officeDocument/2006/relationships/hyperlink" Target="https://doi.org/10.1097/JS9.0000000000004077" TargetMode="External"/><Relationship Id="rId187" Type="http://schemas.openxmlformats.org/officeDocument/2006/relationships/hyperlink" Target="https://drliuhao.github.io/mh-liver-pathways/evidence-libraries/" TargetMode="External"/><Relationship Id="rId188" Type="http://schemas.openxmlformats.org/officeDocument/2006/relationships/hyperlink" Target="https://doi.org/10.1002/lt.24782" TargetMode="External"/><Relationship Id="rId189" Type="http://schemas.openxmlformats.org/officeDocument/2006/relationships/hyperlink" Target="https://drliuhao.github.io/mh-liver-pathways/evidence-libraries/" TargetMode="External"/><Relationship Id="rId190" Type="http://schemas.openxmlformats.org/officeDocument/2006/relationships/hyperlink" Target="https://doi.org/10.1016/j.hbpd.2020.03.009" TargetMode="External"/><Relationship Id="rId191" Type="http://schemas.openxmlformats.org/officeDocument/2006/relationships/hyperlink" Target="https://drliuhao.github.io/mh-liver-pathways/evidence-libraries/" TargetMode="External"/><Relationship Id="rId192" Type="http://schemas.openxmlformats.org/officeDocument/2006/relationships/hyperlink" Target="https://doi.org/10.21037/jgo-24-328" TargetMode="External"/><Relationship Id="rId193" Type="http://schemas.openxmlformats.org/officeDocument/2006/relationships/hyperlink" Target="https://drliuhao.github.io/mh-liver-pathways/evidence-libraries/" TargetMode="External"/><Relationship Id="rId194" Type="http://schemas.openxmlformats.org/officeDocument/2006/relationships/hyperlink" Target="https://doi.org/10.1097/TP.0000000000003162" TargetMode="External"/><Relationship Id="rId195" Type="http://schemas.openxmlformats.org/officeDocument/2006/relationships/hyperlink" Target="https://drliuhao.github.io/mh-liver-pathways/evidence-libraries/" TargetMode="External"/><Relationship Id="rId196" Type="http://schemas.openxmlformats.org/officeDocument/2006/relationships/hyperlink" Target="https://doi.org/10.1111/tri.13586" TargetMode="External"/><Relationship Id="rId197" Type="http://schemas.openxmlformats.org/officeDocument/2006/relationships/hyperlink" Target="https://drliuhao.github.io/mh-liver-pathways/evidence-libraries/" TargetMode="External"/><Relationship Id="rId198" Type="http://schemas.openxmlformats.org/officeDocument/2006/relationships/hyperlink" Target="https://doi.org/10.1097/HEP.0000000000001801" TargetMode="External"/><Relationship Id="rId199" Type="http://schemas.openxmlformats.org/officeDocument/2006/relationships/hyperlink" Target="https://drliuhao.github.io/mh-liver-pathways/evidence-libraries/" TargetMode="External"/><Relationship Id="rId200" Type="http://schemas.openxmlformats.org/officeDocument/2006/relationships/hyperlink" Target="https://doi.org/10.1097/LVT.0000000000000589"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doi.org/10.1016/j.jhep.2024.09.003"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doi.org/10.1016/j.jhep.2026.02.019"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doi.org/10.1097/HEP.0000000000001289"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doi.org/10.1016/j.jhep.2024.06.042"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doi.org/10.1136/gutjnl-2025-336719"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doi.org/10.1111/apt.70528" TargetMode="External"/><Relationship Id="rId213" Type="http://schemas.openxmlformats.org/officeDocument/2006/relationships/hyperlink" Target="https://drliuhao.github.io/mh-liver-pathways/evidence-libraries/" TargetMode="External"/><Relationship Id="rId214" Type="http://schemas.openxmlformats.org/officeDocument/2006/relationships/hyperlink" Target="https://doi.org/10.1111/liv.70692" TargetMode="External"/><Relationship Id="rId215" Type="http://schemas.openxmlformats.org/officeDocument/2006/relationships/hyperlink" Target="https://drliuhao.github.io/mh-liver-pathways/evidence-libraries/" TargetMode="External"/><Relationship Id="rId216" Type="http://schemas.openxmlformats.org/officeDocument/2006/relationships/hyperlink" Target="https://doi.org/10.1001/jamaoncol.2026.3901" TargetMode="External"/><Relationship Id="rId217" Type="http://schemas.openxmlformats.org/officeDocument/2006/relationships/hyperlink" Target="https://drliuhao.github.io/mh-liver-pathways/evidence-libraries/" TargetMode="External"/><Relationship Id="rId218" Type="http://schemas.openxmlformats.org/officeDocument/2006/relationships/hyperlink" Target="https://onlinelibrary.wiley.com/doi/10.1111/apt.70333" TargetMode="External"/><Relationship Id="rId219" Type="http://schemas.openxmlformats.org/officeDocument/2006/relationships/hyperlink" Target="https://drliuhao.github.io/mh-liver-pathways/evidence-libraries/" TargetMode="External"/><Relationship Id="rId220" Type="http://schemas.openxmlformats.org/officeDocument/2006/relationships/hyperlink" Target="https://pubmed.ncbi.nlm.nih.gov/42073607" TargetMode="External"/><Relationship Id="rId221" Type="http://schemas.openxmlformats.org/officeDocument/2006/relationships/hyperlink" Target="https://drliuhao.github.io/mh-liver-pathways/evidence-libraries/" TargetMode="External"/><Relationship Id="rId222" Type="http://schemas.openxmlformats.org/officeDocument/2006/relationships/hyperlink" Target="https://doi.org/10.1155/joot/2545887" TargetMode="External"/><Relationship Id="rId223" Type="http://schemas.openxmlformats.org/officeDocument/2006/relationships/hyperlink" Target="https://drliuhao.github.io/mh-liver-pathways/evidence-libraries/" TargetMode="External"/><Relationship Id="rId224" Type="http://schemas.openxmlformats.org/officeDocument/2006/relationships/hyperlink" Target="https://www.ecfr.gov/current/title-45/subtitle-A/subchapter-A/part-46/subpart-A/section-46.111" TargetMode="External"/><Relationship Id="rId225" Type="http://schemas.openxmlformats.org/officeDocument/2006/relationships/hyperlink" Target="https://www.hrsa.gov/optn/professionals/resources/ethical-considerations/ethical-principles-in-the-allocation-of-human-organs" TargetMode="External"/><Relationship Id="rId226" Type="http://schemas.openxmlformats.org/officeDocument/2006/relationships/hyperlink" Target="https://doi.org/10.1016/S0140-6736(24)01595-2" TargetMode="External"/><Relationship Id="rId227" Type="http://schemas.openxmlformats.org/officeDocument/2006/relationships/hyperlink" Target="https://drliuhao.github.io/mh-liver-pathways/evidence-libraries/" TargetMode="External"/><Relationship Id="rId228" Type="http://schemas.openxmlformats.org/officeDocument/2006/relationships/hyperlink" Target="https://doi.org/10.1016/j.jhep.2024.03.020" TargetMode="External"/><Relationship Id="rId229" Type="http://schemas.openxmlformats.org/officeDocument/2006/relationships/hyperlink" Target="https://drliuhao.github.io/mh-liver-pathways/evidence-libraries/" TargetMode="External"/><Relationship Id="rId230" Type="http://schemas.openxmlformats.org/officeDocument/2006/relationships/hyperlink" Target="https://doi.org/10.1111/j.1600-6143.2011.03972.x" TargetMode="External"/><Relationship Id="rId231" Type="http://schemas.openxmlformats.org/officeDocument/2006/relationships/hyperlink" Target="https://drliuhao.github.io/mh-liver-pathways/evidence-libraries/" TargetMode="External"/><Relationship Id="rId232" Type="http://schemas.openxmlformats.org/officeDocument/2006/relationships/hyperlink" Target="https://doi.org/10.1111/ajt.14055" TargetMode="External"/><Relationship Id="rId233" Type="http://schemas.openxmlformats.org/officeDocument/2006/relationships/hyperlink" Target="https://drliuhao.github.io/mh-liver-pathways/evidence-libraries/" TargetMode="External"/><Relationship Id="rId234" Type="http://schemas.openxmlformats.org/officeDocument/2006/relationships/hyperlink" Target="https://doi.org/10.1097/LVT.0000000000000303" TargetMode="External"/><Relationship Id="rId235" Type="http://schemas.openxmlformats.org/officeDocument/2006/relationships/hyperlink" Target="https://drliuhao.github.io/mh-liver-pathways/evidence-libraries/" TargetMode="External"/><Relationship Id="rId236" Type="http://schemas.openxmlformats.org/officeDocument/2006/relationships/hyperlink" Target="https://doi.org/10.1097/TP.0000000000000965" TargetMode="External"/><Relationship Id="rId237" Type="http://schemas.openxmlformats.org/officeDocument/2006/relationships/hyperlink" Target="https://drliuhao.github.io/mh-liver-pathways/evidence-libraries/" TargetMode="External"/><Relationship Id="rId238" Type="http://schemas.openxmlformats.org/officeDocument/2006/relationships/hyperlink" Target="https://doi.org/10.1016/j.ajt.2026.02.010" TargetMode="External"/><Relationship Id="rId239" Type="http://schemas.openxmlformats.org/officeDocument/2006/relationships/hyperlink" Target="https://drliuhao.github.io/mh-liver-pathways/evidence-libraries/" TargetMode="External"/><Relationship Id="rId240" Type="http://schemas.openxmlformats.org/officeDocument/2006/relationships/hyperlink" Target="https://doi.org/10.1136/bmj.i5239" TargetMode="External"/><Relationship Id="rId241" Type="http://schemas.openxmlformats.org/officeDocument/2006/relationships/hyperlink" Target="https://drliuhao.github.io/mh-liver-pathways/evidence-libraries/" TargetMode="External"/><Relationship Id="rId242" Type="http://schemas.openxmlformats.org/officeDocument/2006/relationships/hyperlink" Target="https://doi.org/10.3389/ti.2024.13641" TargetMode="External"/><Relationship Id="rId243" Type="http://schemas.openxmlformats.org/officeDocument/2006/relationships/hyperlink" Target="https://drliuhao.github.io/mh-liver-pathways/evidence-libraries/" TargetMode="External"/><Relationship Id="rId244" Type="http://schemas.openxmlformats.org/officeDocument/2006/relationships/hyperlink" Target="https://academic.oup.com/bjs/article/112/3/znaf054/8083032" TargetMode="External"/><Relationship Id="rId245" Type="http://schemas.openxmlformats.org/officeDocument/2006/relationships/hyperlink" Target="https://drliuhao.github.io/mh-liver-pathways/evidence-libraries/" TargetMode="External"/><Relationship Id="rId246" Type="http://schemas.openxmlformats.org/officeDocument/2006/relationships/hyperlink" Target="https://doi.org/10.1111/ctr.70488" TargetMode="External"/><Relationship Id="rId247" Type="http://schemas.openxmlformats.org/officeDocument/2006/relationships/hyperlink" Target="https://drliuhao.github.io/mh-liver-pathways/evidence-libraries/" TargetMode="External"/><Relationship Id="rId248" Type="http://schemas.openxmlformats.org/officeDocument/2006/relationships/hyperlink" Target="https://doi.org/10.1097/HC9.0000000000000619" TargetMode="External"/><Relationship Id="rId249" Type="http://schemas.openxmlformats.org/officeDocument/2006/relationships/hyperlink" Target="https://drliuhao.github.io/mh-liver-pathways/evidence-libraries/" TargetMode="External"/><Relationship Id="rId250" Type="http://schemas.openxmlformats.org/officeDocument/2006/relationships/hyperlink" Target="https://doi.org/10.1002/hep.29342" TargetMode="External"/><Relationship Id="rId251" Type="http://schemas.openxmlformats.org/officeDocument/2006/relationships/hyperlink" Target="https://drliuhao.github.io/mh-liver-pathways/evidence-libraries/" TargetMode="External"/><Relationship Id="rId252" Type="http://schemas.openxmlformats.org/officeDocument/2006/relationships/hyperlink" Target="https://doi.org/10.1016/j.jhepr.2023.100907" TargetMode="External"/><Relationship Id="rId253" Type="http://schemas.openxmlformats.org/officeDocument/2006/relationships/hyperlink" Target="https://drliuhao.github.io/mh-liver-pathways/evidence-libraries/" TargetMode="External"/><Relationship Id="rId254" Type="http://schemas.openxmlformats.org/officeDocument/2006/relationships/hyperlink" Target="https://doi.org/10.1177/09622802261420699" TargetMode="External"/><Relationship Id="rId255" Type="http://schemas.openxmlformats.org/officeDocument/2006/relationships/hyperlink" Target="https://drliuhao.github.io/mh-liver-pathways/evidence-libraries/" TargetMode="External"/><Relationship Id="rId256" Type="http://schemas.openxmlformats.org/officeDocument/2006/relationships/hyperlink" Target="https://www.hrsa.gov/sites/default/files/hrsa/optn/optn_policies.pdf" TargetMode="External"/><Relationship Id="rId257" Type="http://schemas.openxmlformats.org/officeDocument/2006/relationships/hyperlink" Target="https://drliuhao.github.io/mh-liver-pathways/evidence-libraries/" TargetMode="External"/><Relationship Id="rId258" Type="http://schemas.openxmlformats.org/officeDocument/2006/relationships/hyperlink" Target="https://www.hrsa.gov/sites/default/files/hrsa/optn/adult-meld-exception-transplant-oncology-review-guidance.pdf" TargetMode="External"/><Relationship Id="rId259" Type="http://schemas.openxmlformats.org/officeDocument/2006/relationships/hyperlink" Target="https://drliuhao.github.io/mh-liver-pathways/evidence-libraries/" TargetMode="External"/><Relationship Id="rId260" Type="http://schemas.openxmlformats.org/officeDocument/2006/relationships/hyperlink" Target="https://doi.org/10.1097/HEP.0000000000000466" TargetMode="External"/><Relationship Id="rId261" Type="http://schemas.openxmlformats.org/officeDocument/2006/relationships/hyperlink" Target="https://drliuhao.github.io/mh-liver-pathways/evidence-libraries/" TargetMode="External"/><Relationship Id="rId262" Type="http://schemas.openxmlformats.org/officeDocument/2006/relationships/hyperlink" Target="https://doi.org/10.1097/HEP.0000000000001231" TargetMode="External"/><Relationship Id="rId263" Type="http://schemas.openxmlformats.org/officeDocument/2006/relationships/hyperlink" Target="https://drliuhao.github.io/mh-liver-pathways/evidence-libraries/" TargetMode="External"/><Relationship Id="rId264" Type="http://schemas.openxmlformats.org/officeDocument/2006/relationships/hyperlink" Target="https://doi.org/10.1016/S1470-2045(20)30224-2" TargetMode="External"/><Relationship Id="rId265" Type="http://schemas.openxmlformats.org/officeDocument/2006/relationships/hyperlink" Target="https://drliuhao.github.io/mh-liver-pathways/evidence-libraries/" TargetMode="External"/><Relationship Id="rId266" Type="http://schemas.openxmlformats.org/officeDocument/2006/relationships/hyperlink" Target="https://doi.org/10.1097/HEP.0000000000001644" TargetMode="External"/><Relationship Id="rId267" Type="http://schemas.openxmlformats.org/officeDocument/2006/relationships/hyperlink" Target="https://drliuhao.github.io/mh-liver-pathways/evidence-libraries/" TargetMode="External"/><Relationship Id="rId268" Type="http://schemas.openxmlformats.org/officeDocument/2006/relationships/hyperlink" Target="https://doi.org/10.1002/hep.27752" TargetMode="External"/><Relationship Id="rId269" Type="http://schemas.openxmlformats.org/officeDocument/2006/relationships/hyperlink" Target="https://drliuhao.github.io/mh-liver-pathways/evidence-libraries/" TargetMode="External"/><Relationship Id="rId270" Type="http://schemas.openxmlformats.org/officeDocument/2006/relationships/hyperlink" Target="https://doi.org/10.1053/j.gastro.2021.07.033" TargetMode="External"/><Relationship Id="rId271" Type="http://schemas.openxmlformats.org/officeDocument/2006/relationships/hyperlink" Target="https://drliuhao.github.io/mh-liver-pathways/evidence-libraries/" TargetMode="External"/><Relationship Id="rId272" Type="http://schemas.openxmlformats.org/officeDocument/2006/relationships/hyperlink" Target="https://doi.org/10.1002/hep.30570" TargetMode="External"/><Relationship Id="rId273" Type="http://schemas.openxmlformats.org/officeDocument/2006/relationships/hyperlink" Target="https://drliuhao.github.io/mh-liver-pathways/evidence-libraries/" TargetMode="External"/><Relationship Id="rId274" Type="http://schemas.openxmlformats.org/officeDocument/2006/relationships/hyperlink" Target="https://doi.org/10.1016/j.ajt.2023.07.021" TargetMode="External"/><Relationship Id="rId275" Type="http://schemas.openxmlformats.org/officeDocument/2006/relationships/hyperlink" Target="https://drliuhao.github.io/mh-liver-pathways/evidence-libraries/" TargetMode="External"/><Relationship Id="rId276" Type="http://schemas.openxmlformats.org/officeDocument/2006/relationships/hyperlink" Target="https://doi.org/10.1016/j.cgh.2022.08.023" TargetMode="External"/><Relationship Id="rId277" Type="http://schemas.openxmlformats.org/officeDocument/2006/relationships/hyperlink" Target="https://drliuhao.github.io/mh-liver-pathways/evidence-libraries/" TargetMode="External"/><Relationship Id="rId278" Type="http://schemas.openxmlformats.org/officeDocument/2006/relationships/hyperlink" Target="https://doi.org/10.1001/jamasurg.2022.2800" TargetMode="External"/><Relationship Id="rId279" Type="http://schemas.openxmlformats.org/officeDocument/2006/relationships/hyperlink" Target="https://drliuhao.github.io/mh-liver-pathways/evidence-libraries/" TargetMode="External"/><Relationship Id="rId280" Type="http://schemas.openxmlformats.org/officeDocument/2006/relationships/hyperlink" Target="https://doi.org/10.1038/s41571-026-01160-z" TargetMode="External"/><Relationship Id="rId281" Type="http://schemas.openxmlformats.org/officeDocument/2006/relationships/hyperlink" Target="https://drliuhao.github.io/mh-liver-pathways/evidence-libraries/" TargetMode="External"/><Relationship Id="rId282" Type="http://schemas.openxmlformats.org/officeDocument/2006/relationships/hyperlink" Target="https://doi.org/10.1097/JS9.0000000000004077" TargetMode="External"/><Relationship Id="rId283" Type="http://schemas.openxmlformats.org/officeDocument/2006/relationships/hyperlink" Target="https://drliuhao.github.io/mh-liver-pathways/evidence-libraries/" TargetMode="External"/><Relationship Id="rId284" Type="http://schemas.openxmlformats.org/officeDocument/2006/relationships/hyperlink" Target="https://doi.org/10.1002/lt.24782" TargetMode="External"/><Relationship Id="rId285" Type="http://schemas.openxmlformats.org/officeDocument/2006/relationships/hyperlink" Target="https://drliuhao.github.io/mh-liver-pathways/evidence-libraries/" TargetMode="External"/><Relationship Id="rId286" Type="http://schemas.openxmlformats.org/officeDocument/2006/relationships/hyperlink" Target="https://doi.org/10.1016/j.hbpd.2020.03.009" TargetMode="External"/><Relationship Id="rId287" Type="http://schemas.openxmlformats.org/officeDocument/2006/relationships/hyperlink" Target="https://drliuhao.github.io/mh-liver-pathways/evidence-libraries/" TargetMode="External"/><Relationship Id="rId288" Type="http://schemas.openxmlformats.org/officeDocument/2006/relationships/hyperlink" Target="https://doi.org/10.21037/jgo-24-328" TargetMode="External"/><Relationship Id="rId289" Type="http://schemas.openxmlformats.org/officeDocument/2006/relationships/hyperlink" Target="https://drliuhao.github.io/mh-liver-pathways/evidence-libraries/" TargetMode="External"/><Relationship Id="rId290" Type="http://schemas.openxmlformats.org/officeDocument/2006/relationships/hyperlink" Target="https://doi.org/10.1097/TP.0000000000003162" TargetMode="External"/><Relationship Id="rId291" Type="http://schemas.openxmlformats.org/officeDocument/2006/relationships/hyperlink" Target="https://drliuhao.github.io/mh-liver-pathways/evidence-libraries/" TargetMode="External"/><Relationship Id="rId292" Type="http://schemas.openxmlformats.org/officeDocument/2006/relationships/hyperlink" Target="https://doi.org/10.1111/tri.13586" TargetMode="External"/><Relationship Id="rId293" Type="http://schemas.openxmlformats.org/officeDocument/2006/relationships/hyperlink" Target="https://drliuhao.github.io/mh-liver-pathways/evidence-libraries/" TargetMode="External"/><Relationship Id="rId294" Type="http://schemas.openxmlformats.org/officeDocument/2006/relationships/hyperlink" Target="https://doi.org/10.1097/HEP.0000000000001801" TargetMode="External"/><Relationship Id="rId295" Type="http://schemas.openxmlformats.org/officeDocument/2006/relationships/hyperlink" Target="https://drliuhao.github.io/mh-liver-pathways/evidence-libraries/" TargetMode="External"/><Relationship Id="rId296" Type="http://schemas.openxmlformats.org/officeDocument/2006/relationships/hyperlink" Target="https://doi.org/10.1097/LVT.0000000000000589" TargetMode="External"/><Relationship Id="rId297" Type="http://schemas.openxmlformats.org/officeDocument/2006/relationships/hyperlink" Target="https://drliuhao.github.io/mh-liver-pathways/evidence-libraries/" TargetMode="External"/><Relationship Id="rId298" Type="http://schemas.openxmlformats.org/officeDocument/2006/relationships/hyperlink" Target="https://doi.org/10.1016/j.jhep.2024.08.028" TargetMode="External"/><Relationship Id="rId299" Type="http://schemas.openxmlformats.org/officeDocument/2006/relationships/hyperlink" Target="https://drliuhao.github.io/mh-liver-pathways/evidence-libraries/" TargetMode="External"/><Relationship Id="rId300" Type="http://schemas.openxmlformats.org/officeDocument/2006/relationships/hyperlink" Target="https://www.nccn.org/professionals/physician_gls/pdf/hcc.pdf#page=10" TargetMode="External"/><Relationship Id="rId301" Type="http://schemas.openxmlformats.org/officeDocument/2006/relationships/hyperlink" Target="https://drliuhao.github.io/mh-liver-pathways/evidence-libraries/" TargetMode="External"/><Relationship Id="rId302" Type="http://schemas.openxmlformats.org/officeDocument/2006/relationships/hyperlink" Target="https://doi.org/10.1016/S2468-1253(22)00091-7" TargetMode="External"/><Relationship Id="rId303" Type="http://schemas.openxmlformats.org/officeDocument/2006/relationships/hyperlink" Target="https://drliuhao.github.io/mh-liver-pathways/evidence-libraries/" TargetMode="External"/><Relationship Id="rId304" Type="http://schemas.openxmlformats.org/officeDocument/2006/relationships/hyperlink" Target="https://doi.org/10.1002/hep.31819" TargetMode="External"/><Relationship Id="rId305" Type="http://schemas.openxmlformats.org/officeDocument/2006/relationships/hyperlink" Target="https://drliuhao.github.io/mh-liver-pathways/evidence-libraries/" TargetMode="External"/><Relationship Id="rId306" Type="http://schemas.openxmlformats.org/officeDocument/2006/relationships/hyperlink" Target="https://doi.org/10.1016/j.prro.2021.09.004" TargetMode="External"/><Relationship Id="rId307" Type="http://schemas.openxmlformats.org/officeDocument/2006/relationships/hyperlink" Target="https://drliuhao.github.io/mh-liver-pathways/evidence-libraries/" TargetMode="External"/><Relationship Id="rId308" Type="http://schemas.openxmlformats.org/officeDocument/2006/relationships/hyperlink" Target="https://doi.org/10.1200/JCO.21.01963" TargetMode="External"/><Relationship Id="rId309" Type="http://schemas.openxmlformats.org/officeDocument/2006/relationships/hyperlink" Target="https://drliuhao.github.io/mh-liver-pathways/evidence-libraries/" TargetMode="External"/><Relationship Id="rId310" Type="http://schemas.openxmlformats.org/officeDocument/2006/relationships/hyperlink" Target="https://doi.org/10.1148/radiol.233051" TargetMode="External"/><Relationship Id="rId311" Type="http://schemas.openxmlformats.org/officeDocument/2006/relationships/hyperlink" Target="https://drliuhao.github.io/mh-liver-pathways/evidence-libraries/" TargetMode="External"/><Relationship Id="rId312" Type="http://schemas.openxmlformats.org/officeDocument/2006/relationships/hyperlink" Target="https://edge.sitecorecloud.io/americancoldf5f-acrorgf92a-productioncb02-3650/media/ACR/Files/RADS/LI-RADS/LI-RADS-CTMR-Radiation-TRA-v2024-Core.pdf" TargetMode="External"/><Relationship Id="rId313" Type="http://schemas.openxmlformats.org/officeDocument/2006/relationships/hyperlink" Target="https://drliuhao.github.io/mh-liver-pathways/evidence-libraries/" TargetMode="External"/><Relationship Id="rId314" Type="http://schemas.openxmlformats.org/officeDocument/2006/relationships/hyperlink" Target="https://www.gene.com/download/pdf/avastin_prescribing.pdf" TargetMode="External"/><Relationship Id="rId315" Type="http://schemas.openxmlformats.org/officeDocument/2006/relationships/hyperlink" Target="https://drliuhao.github.io/mh-liver-pathways/evidence-libraries/" TargetMode="External"/><Relationship Id="rId316" Type="http://schemas.openxmlformats.org/officeDocument/2006/relationships/hyperlink" Target="https://www.accessdata.fda.gov/drugsatfda_docs/label/2025/125554s129lbl.pdf" TargetMode="External"/><Relationship Id="rId317" Type="http://schemas.openxmlformats.org/officeDocument/2006/relationships/hyperlink" Target="https://drliuhao.github.io/mh-liver-pathways/evidence-libraries/" TargetMode="External"/><Relationship Id="rId318" Type="http://schemas.openxmlformats.org/officeDocument/2006/relationships/hyperlink" Target="https://doi.org/10.1056/NEJMoa1915745" TargetMode="External"/><Relationship Id="rId319" Type="http://schemas.openxmlformats.org/officeDocument/2006/relationships/hyperlink" Target="https://drliuhao.github.io/mh-liver-pathways/evidence-libraries/" TargetMode="External"/><Relationship Id="rId320" Type="http://schemas.openxmlformats.org/officeDocument/2006/relationships/hyperlink" Target="https://doi.org/10.1016/j.jhep.2021.11.030" TargetMode="External"/><Relationship Id="rId321" Type="http://schemas.openxmlformats.org/officeDocument/2006/relationships/hyperlink" Target="https://drliuhao.github.io/mh-liver-pathways/evidence-libraries/" TargetMode="External"/><Relationship Id="rId322" Type="http://schemas.openxmlformats.org/officeDocument/2006/relationships/hyperlink" Target="https://doi.org/10.1056/EVIDoa2100070" TargetMode="External"/><Relationship Id="rId323" Type="http://schemas.openxmlformats.org/officeDocument/2006/relationships/hyperlink" Target="https://drliuhao.github.io/mh-liver-pathways/evidence-libraries/" TargetMode="External"/><Relationship Id="rId324" Type="http://schemas.openxmlformats.org/officeDocument/2006/relationships/hyperlink" Target="https://doi.org/10.1016/S0140-6736(25)00403-9" TargetMode="External"/><Relationship Id="rId325" Type="http://schemas.openxmlformats.org/officeDocument/2006/relationships/hyperlink" Target="https://drliuhao.github.io/mh-liver-pathways/evidence-libraries/" TargetMode="External"/><Relationship Id="rId326" Type="http://schemas.openxmlformats.org/officeDocument/2006/relationships/hyperlink" Target="https://www.accessdata.fda.gov/drugsatfda_docs/label/2026/761232s018lbl.pdf" TargetMode="External"/><Relationship Id="rId327" Type="http://schemas.openxmlformats.org/officeDocument/2006/relationships/hyperlink" Target="https://drliuhao.github.io/mh-liver-pathways/evidence-libraries/" TargetMode="External"/><Relationship Id="rId328" Type="http://schemas.openxmlformats.org/officeDocument/2006/relationships/hyperlink" Target="https://www.accessdata.fda.gov/drugsatfda_docs/label/2025/125514s178lbl.pdf" TargetMode="External"/><Relationship Id="rId329" Type="http://schemas.openxmlformats.org/officeDocument/2006/relationships/hyperlink" Target="https://drliuhao.github.io/mh-liver-pathways/evidence-libraries/" TargetMode="External"/><Relationship Id="rId330" Type="http://schemas.openxmlformats.org/officeDocument/2006/relationships/hyperlink" Target="https://doi.org/10.1056/NEJMoa1717002" TargetMode="External"/><Relationship Id="rId331" Type="http://schemas.openxmlformats.org/officeDocument/2006/relationships/hyperlink" Target="https://drliuhao.github.io/mh-liver-pathways/evidence-libraries/" TargetMode="External"/><Relationship Id="rId332" Type="http://schemas.openxmlformats.org/officeDocument/2006/relationships/hyperlink" Target="https://doi.org/10.1016/S0140-6736(16)32453-9" TargetMode="External"/><Relationship Id="rId333" Type="http://schemas.openxmlformats.org/officeDocument/2006/relationships/hyperlink" Target="https://drliuhao.github.io/mh-liver-pathways/evidence-libraries/" TargetMode="External"/><Relationship Id="rId334" Type="http://schemas.openxmlformats.org/officeDocument/2006/relationships/hyperlink" Target="https://doi.org/10.1016/S1470-2045(18)30937-9" TargetMode="External"/><Relationship Id="rId335" Type="http://schemas.openxmlformats.org/officeDocument/2006/relationships/hyperlink" Target="https://drliuhao.github.io/mh-liver-pathways/evidence-libraries/" TargetMode="External"/><Relationship Id="rId336" Type="http://schemas.openxmlformats.org/officeDocument/2006/relationships/hyperlink" Target="https://doi.org/10.1200/JCO.22.00620" TargetMode="External"/><Relationship Id="rId337" Type="http://schemas.openxmlformats.org/officeDocument/2006/relationships/hyperlink" Target="https://drliuhao.github.io/mh-liver-pathways/evidence-libraries/" TargetMode="External"/><Relationship Id="rId338" Type="http://schemas.openxmlformats.org/officeDocument/2006/relationships/hyperlink" Target="https://doi.org/10.1016/S0140-6736(24)02575-3" TargetMode="External"/><Relationship Id="rId339" Type="http://schemas.openxmlformats.org/officeDocument/2006/relationships/hyperlink" Target="https://drliuhao.github.io/mh-liver-pathways/evidence-libraries/" TargetMode="External"/><Relationship Id="rId340" Type="http://schemas.openxmlformats.org/officeDocument/2006/relationships/hyperlink" Target="https://doi.org/10.1016/S0140-6736(24)02551-0" TargetMode="External"/><Relationship Id="rId341" Type="http://schemas.openxmlformats.org/officeDocument/2006/relationships/hyperlink" Target="https://drliuhao.github.io/mh-liver-pathways/evidence-libraries/" TargetMode="External"/><Relationship Id="rId342" Type="http://schemas.openxmlformats.org/officeDocument/2006/relationships/hyperlink" Target="https://doi.org/10.1016/S1470-2045(26)00278-0" TargetMode="External"/><Relationship Id="rId343" Type="http://schemas.openxmlformats.org/officeDocument/2006/relationships/hyperlink" Target="https://drliuhao.github.io/mh-liver-pathways/evidence-libraries/" TargetMode="External"/><Relationship Id="rId344" Type="http://schemas.openxmlformats.org/officeDocument/2006/relationships/hyperlink" Target="https://doi.org/10.1097/HEP.0000000000001269" TargetMode="External"/><Relationship Id="rId345" Type="http://schemas.openxmlformats.org/officeDocument/2006/relationships/hyperlink" Target="https://drliuhao.github.io/mh-liver-pathways/evidence-libraries/" TargetMode="External"/><Relationship Id="rId346" Type="http://schemas.openxmlformats.org/officeDocument/2006/relationships/hyperlink" Target="https://doi.org/10.1016/j.jhep.2026.01.006" TargetMode="External"/><Relationship Id="rId347" Type="http://schemas.openxmlformats.org/officeDocument/2006/relationships/hyperlink" Target="https://drliuhao.github.io/mh-liver-pathways/evidence-libraries/" TargetMode="External"/><Relationship Id="rId348" Type="http://schemas.openxmlformats.org/officeDocument/2006/relationships/hyperlink" Target="https://doi.org/10.1016/j.jhep.2024.06.042" TargetMode="External"/><Relationship Id="rId349" Type="http://schemas.openxmlformats.org/officeDocument/2006/relationships/hyperlink" Target="https://drliuhao.github.io/mh-liver-pathways/evidence-libraries/" TargetMode="External"/><Relationship Id="rId350" Type="http://schemas.openxmlformats.org/officeDocument/2006/relationships/hyperlink" Target="https://doi.org/10.1097/HEP.0000000000001289" TargetMode="External"/><Relationship Id="rId351" Type="http://schemas.openxmlformats.org/officeDocument/2006/relationships/hyperlink" Target="https://drliuhao.github.io/mh-liver-pathways/evidence-libraries/" TargetMode="External"/><Relationship Id="rId352" Type="http://schemas.openxmlformats.org/officeDocument/2006/relationships/hyperlink" Target="https://doi.org/10.1016/j.jhep.2024.09.003" TargetMode="External"/><Relationship Id="rId353" Type="http://schemas.openxmlformats.org/officeDocument/2006/relationships/hyperlink" Target="https://drliuhao.github.io/mh-liver-pathways/evidence-libraries/" TargetMode="External"/><Relationship Id="rId354" Type="http://schemas.openxmlformats.org/officeDocument/2006/relationships/hyperlink" Target="https://doi.org/10.1016/j.jhep.2026.02.019" TargetMode="External"/><Relationship Id="rId355" Type="http://schemas.openxmlformats.org/officeDocument/2006/relationships/hyperlink" Target="https://drliuhao.github.io/mh-liver-pathways/evidence-libraries/" TargetMode="External"/><Relationship Id="rId356" Type="http://schemas.openxmlformats.org/officeDocument/2006/relationships/hyperlink" Target="https://doi.org/10.1136/gutjnl-2025-336719" TargetMode="External"/><Relationship Id="rId357" Type="http://schemas.openxmlformats.org/officeDocument/2006/relationships/hyperlink" Target="https://drliuhao.github.io/mh-liver-pathways/evidence-libraries/" TargetMode="External"/><Relationship Id="rId358" Type="http://schemas.openxmlformats.org/officeDocument/2006/relationships/hyperlink" Target="https://doi.org/10.1111/apt.70528" TargetMode="External"/><Relationship Id="rId359" Type="http://schemas.openxmlformats.org/officeDocument/2006/relationships/hyperlink" Target="https://drliuhao.github.io/mh-liver-pathways/evidence-libraries/" TargetMode="External"/><Relationship Id="rId360" Type="http://schemas.openxmlformats.org/officeDocument/2006/relationships/hyperlink" Target="https://doi.org/10.1111/liv.70692" TargetMode="External"/><Relationship Id="rId361" Type="http://schemas.openxmlformats.org/officeDocument/2006/relationships/hyperlink" Target="https://drliuhao.github.io/mh-liver-pathways/evidence-libraries/" TargetMode="External"/><Relationship Id="rId362" Type="http://schemas.openxmlformats.org/officeDocument/2006/relationships/hyperlink" Target="https://doi.org/10.1001/jamaoncol.2026.3901" TargetMode="External"/><Relationship Id="rId363" Type="http://schemas.openxmlformats.org/officeDocument/2006/relationships/hyperlink" Target="https://drliuhao.github.io/mh-liver-pathways/evidence-libraries/" TargetMode="External"/><Relationship Id="rId364" Type="http://schemas.openxmlformats.org/officeDocument/2006/relationships/hyperlink" Target="https://onlinelibrary.wiley.com/doi/10.1111/apt.70333" TargetMode="External"/><Relationship Id="rId365" Type="http://schemas.openxmlformats.org/officeDocument/2006/relationships/hyperlink" Target="https://drliuhao.github.io/mh-liver-pathways/evidence-libraries/" TargetMode="External"/><Relationship Id="rId366" Type="http://schemas.openxmlformats.org/officeDocument/2006/relationships/hyperlink" Target="https://pubmed.ncbi.nlm.nih.gov/42073607" TargetMode="External"/><Relationship Id="rId367" Type="http://schemas.openxmlformats.org/officeDocument/2006/relationships/hyperlink" Target="https://drliuhao.github.io/mh-liver-pathways/evidence-libraries/" TargetMode="External"/><Relationship Id="rId368" Type="http://schemas.openxmlformats.org/officeDocument/2006/relationships/hyperlink" Target="https://doi.org/10.1155/joot/2545887" TargetMode="External"/><Relationship Id="rId369" Type="http://schemas.openxmlformats.org/officeDocument/2006/relationships/hyperlink" Target="https://drliuhao.github.io/mh-liver-pathways/evidence-libraries/" TargetMode="External"/><Relationship Id="rId370" Type="http://schemas.openxmlformats.org/officeDocument/2006/relationships/hyperlink" Target="https://www.ecfr.gov/current/title-45/subtitle-A/subchapter-A/part-46/subpart-A/section-46.111" TargetMode="External"/><Relationship Id="rId371" Type="http://schemas.openxmlformats.org/officeDocument/2006/relationships/hyperlink" Target="https://www.hrsa.gov/optn/professionals/resources/ethical-considerations/ethical-principles-in-the-allocation-of-human-organs" TargetMode="External"/><Relationship Id="rId372" Type="http://schemas.openxmlformats.org/officeDocument/2006/relationships/hyperlink" Target="https://doi.org/10.1016/S0140-6736(24)01595-2" TargetMode="External"/><Relationship Id="rId373" Type="http://schemas.openxmlformats.org/officeDocument/2006/relationships/hyperlink" Target="https://drliuhao.github.io/mh-liver-pathways/evidence-libraries/" TargetMode="External"/><Relationship Id="rId374" Type="http://schemas.openxmlformats.org/officeDocument/2006/relationships/hyperlink" Target="https://doi.org/10.1016/j.jhep.2024.03.020" TargetMode="External"/><Relationship Id="rId375" Type="http://schemas.openxmlformats.org/officeDocument/2006/relationships/hyperlink" Target="https://drliuhao.github.io/mh-liver-pathways/evidence-libraries/" TargetMode="External"/><Relationship Id="rId376" Type="http://schemas.openxmlformats.org/officeDocument/2006/relationships/hyperlink" Target="https://doi.org/10.1111/j.1600-6143.2011.03972.x" TargetMode="External"/><Relationship Id="rId377" Type="http://schemas.openxmlformats.org/officeDocument/2006/relationships/hyperlink" Target="https://drliuhao.github.io/mh-liver-pathways/evidence-libraries/" TargetMode="External"/><Relationship Id="rId378" Type="http://schemas.openxmlformats.org/officeDocument/2006/relationships/hyperlink" Target="https://doi.org/10.1111/ajt.14055" TargetMode="External"/><Relationship Id="rId379" Type="http://schemas.openxmlformats.org/officeDocument/2006/relationships/hyperlink" Target="https://drliuhao.github.io/mh-liver-pathways/evidence-libraries/" TargetMode="External"/><Relationship Id="rId380" Type="http://schemas.openxmlformats.org/officeDocument/2006/relationships/hyperlink" Target="https://doi.org/10.1097/LVT.0000000000000303" TargetMode="External"/><Relationship Id="rId381" Type="http://schemas.openxmlformats.org/officeDocument/2006/relationships/hyperlink" Target="https://drliuhao.github.io/mh-liver-pathways/evidence-libraries/" TargetMode="External"/><Relationship Id="rId382" Type="http://schemas.openxmlformats.org/officeDocument/2006/relationships/hyperlink" Target="https://doi.org/10.1097/TP.0000000000000965" TargetMode="External"/><Relationship Id="rId383" Type="http://schemas.openxmlformats.org/officeDocument/2006/relationships/hyperlink" Target="https://drliuhao.github.io/mh-liver-pathways/evidence-libraries/" TargetMode="External"/><Relationship Id="rId384" Type="http://schemas.openxmlformats.org/officeDocument/2006/relationships/hyperlink" Target="https://doi.org/10.1016/j.ajt.2026.02.010" TargetMode="External"/><Relationship Id="rId385" Type="http://schemas.openxmlformats.org/officeDocument/2006/relationships/hyperlink" Target="https://drliuhao.github.io/mh-liver-pathways/evidence-libraries/" TargetMode="External"/><Relationship Id="rId386" Type="http://schemas.openxmlformats.org/officeDocument/2006/relationships/hyperlink" Target="https://doi.org/10.1136/bmj.i5239" TargetMode="External"/><Relationship Id="rId387" Type="http://schemas.openxmlformats.org/officeDocument/2006/relationships/hyperlink" Target="https://drliuhao.github.io/mh-liver-pathways/evidence-libraries/" TargetMode="External"/><Relationship Id="rId388" Type="http://schemas.openxmlformats.org/officeDocument/2006/relationships/hyperlink" Target="https://doi.org/10.3389/ti.2024.13641" TargetMode="External"/><Relationship Id="rId389" Type="http://schemas.openxmlformats.org/officeDocument/2006/relationships/hyperlink" Target="https://drliuhao.github.io/mh-liver-pathways/evidence-libraries/" TargetMode="External"/><Relationship Id="rId390" Type="http://schemas.openxmlformats.org/officeDocument/2006/relationships/hyperlink" Target="https://academic.oup.com/bjs/article/112/3/znaf054/8083032" TargetMode="External"/><Relationship Id="rId391" Type="http://schemas.openxmlformats.org/officeDocument/2006/relationships/hyperlink" Target="https://drliuhao.github.io/mh-liver-pathways/evidence-libraries/" TargetMode="External"/><Relationship Id="rId392" Type="http://schemas.openxmlformats.org/officeDocument/2006/relationships/hyperlink" Target="https://doi.org/10.1111/ctr.70488" TargetMode="External"/><Relationship Id="rId393" Type="http://schemas.openxmlformats.org/officeDocument/2006/relationships/hyperlink" Target="https://drliuhao.github.io/mh-liver-pathways/evidence-libraries/" TargetMode="External"/><Relationship Id="rId394" Type="http://schemas.openxmlformats.org/officeDocument/2006/relationships/hyperlink" Target="https://doi.org/10.1097/HC9.0000000000000619" TargetMode="External"/><Relationship Id="rId395" Type="http://schemas.openxmlformats.org/officeDocument/2006/relationships/hyperlink" Target="https://drliuhao.github.io/mh-liver-pathways/evidence-libraries/" TargetMode="External"/><Relationship Id="rId396" Type="http://schemas.openxmlformats.org/officeDocument/2006/relationships/hyperlink" Target="https://doi.org/10.1002/hep.29342" TargetMode="External"/><Relationship Id="rId397" Type="http://schemas.openxmlformats.org/officeDocument/2006/relationships/hyperlink" Target="https://drliuhao.github.io/mh-liver-pathways/evidence-libraries/" TargetMode="External"/><Relationship Id="rId398" Type="http://schemas.openxmlformats.org/officeDocument/2006/relationships/hyperlink" Target="https://doi.org/10.1016/j.jhepr.2023.100907" TargetMode="External"/><Relationship Id="rId399" Type="http://schemas.openxmlformats.org/officeDocument/2006/relationships/hyperlink" Target="https://drliuhao.github.io/mh-liver-pathways/evidence-libraries/" TargetMode="External"/><Relationship Id="rId400" Type="http://schemas.openxmlformats.org/officeDocument/2006/relationships/hyperlink" Target="https://doi.org/10.1177/09622802261420699" TargetMode="External"/><Relationship Id="rId401" Type="http://schemas.openxmlformats.org/officeDocument/2006/relationships/hyperlink" Target="https://drliuhao.github.io/mh-liver-pathways/evidence-libraries/" TargetMode="External"/><Relationship Id="rId402" Type="http://schemas.openxmlformats.org/officeDocument/2006/relationships/hyperlink" Target="https://drliuhao.github.io/mh-liver-pathways/evidence-libraries/" TargetMode="External"/><Relationship Id="rId403" Type="http://schemas.openxmlformats.org/officeDocument/2006/relationships/hyperlink" Target="https://drliuhao.github.io/mh-liver-pathways/evidence-libraries/" TargetMode="External"/><Relationship Id="rId404" Type="http://schemas.openxmlformats.org/officeDocument/2006/relationships/hyperlink" Target="https://www.hrsa.gov/sites/default/files/hrsa/optn/optn_policies.pdf" TargetMode="External"/><Relationship Id="rId405" Type="http://schemas.openxmlformats.org/officeDocument/2006/relationships/hyperlink" Target="https://drliuhao.github.io/mh-liver-pathways/evidence-libraries/" TargetMode="External"/><Relationship Id="rId406" Type="http://schemas.openxmlformats.org/officeDocument/2006/relationships/hyperlink" Target="https://www.hrsa.gov/sites/default/files/hrsa/optn/adult-meld-exception-transplant-oncology-review-guidance.pdf" TargetMode="External"/><Relationship Id="rId407" Type="http://schemas.openxmlformats.org/officeDocument/2006/relationships/hyperlink" Target="https://drliuhao.github.io/mh-liver-pathways/evidence-libraries/" TargetMode="External"/><Relationship Id="rId408" Type="http://schemas.openxmlformats.org/officeDocument/2006/relationships/hyperlink" Target="https://doi.org/10.1097/HEP.0000000000000466" TargetMode="External"/><Relationship Id="rId409" Type="http://schemas.openxmlformats.org/officeDocument/2006/relationships/hyperlink" Target="https://drliuhao.github.io/mh-liver-pathways/evidence-libraries/" TargetMode="External"/><Relationship Id="rId410" Type="http://schemas.openxmlformats.org/officeDocument/2006/relationships/hyperlink" Target="https://doi.org/10.1097/HEP.0000000000001231" TargetMode="External"/><Relationship Id="rId411" Type="http://schemas.openxmlformats.org/officeDocument/2006/relationships/hyperlink" Target="https://drliuhao.github.io/mh-liver-pathways/evidence-libraries/" TargetMode="External"/><Relationship Id="rId412" Type="http://schemas.openxmlformats.org/officeDocument/2006/relationships/hyperlink" Target="https://doi.org/10.1016/S1470-2045(20)30224-2" TargetMode="External"/><Relationship Id="rId413" Type="http://schemas.openxmlformats.org/officeDocument/2006/relationships/hyperlink" Target="https://drliuhao.github.io/mh-liver-pathways/evidence-libraries/" TargetMode="External"/><Relationship Id="rId414" Type="http://schemas.openxmlformats.org/officeDocument/2006/relationships/hyperlink" Target="https://doi.org/10.1097/HEP.0000000000001644" TargetMode="External"/><Relationship Id="rId415" Type="http://schemas.openxmlformats.org/officeDocument/2006/relationships/hyperlink" Target="https://drliuhao.github.io/mh-liver-pathways/evidence-libraries/" TargetMode="External"/><Relationship Id="rId416" Type="http://schemas.openxmlformats.org/officeDocument/2006/relationships/hyperlink" Target="https://doi.org/10.1002/hep.27752" TargetMode="External"/><Relationship Id="rId417" Type="http://schemas.openxmlformats.org/officeDocument/2006/relationships/hyperlink" Target="https://drliuhao.github.io/mh-liver-pathways/evidence-libraries/" TargetMode="External"/><Relationship Id="rId418" Type="http://schemas.openxmlformats.org/officeDocument/2006/relationships/hyperlink" Target="https://doi.org/10.1053/j.gastro.2021.07.033" TargetMode="External"/><Relationship Id="rId419" Type="http://schemas.openxmlformats.org/officeDocument/2006/relationships/hyperlink" Target="https://drliuhao.github.io/mh-liver-pathways/evidence-libraries/" TargetMode="External"/><Relationship Id="rId420" Type="http://schemas.openxmlformats.org/officeDocument/2006/relationships/hyperlink" Target="https://doi.org/10.1002/hep.30570" TargetMode="External"/><Relationship Id="rId421" Type="http://schemas.openxmlformats.org/officeDocument/2006/relationships/hyperlink" Target="https://drliuhao.github.io/mh-liver-pathways/evidence-libraries/" TargetMode="External"/><Relationship Id="rId422" Type="http://schemas.openxmlformats.org/officeDocument/2006/relationships/hyperlink" Target="https://doi.org/10.1016/j.ajt.2023.07.021" TargetMode="External"/><Relationship Id="rId423" Type="http://schemas.openxmlformats.org/officeDocument/2006/relationships/hyperlink" Target="https://drliuhao.github.io/mh-liver-pathways/evidence-libraries/" TargetMode="External"/><Relationship Id="rId424" Type="http://schemas.openxmlformats.org/officeDocument/2006/relationships/hyperlink" Target="https://doi.org/10.1016/j.cgh.2022.08.023" TargetMode="External"/><Relationship Id="rId425" Type="http://schemas.openxmlformats.org/officeDocument/2006/relationships/hyperlink" Target="https://drliuhao.github.io/mh-liver-pathways/evidence-libraries/" TargetMode="External"/><Relationship Id="rId426" Type="http://schemas.openxmlformats.org/officeDocument/2006/relationships/hyperlink" Target="https://doi.org/10.1001/jamasurg.2022.2800" TargetMode="External"/><Relationship Id="rId427" Type="http://schemas.openxmlformats.org/officeDocument/2006/relationships/hyperlink" Target="https://drliuhao.github.io/mh-liver-pathways/evidence-libraries/" TargetMode="External"/><Relationship Id="rId428" Type="http://schemas.openxmlformats.org/officeDocument/2006/relationships/hyperlink" Target="https://doi.org/10.1038/s41571-026-01160-z" TargetMode="External"/><Relationship Id="rId429" Type="http://schemas.openxmlformats.org/officeDocument/2006/relationships/hyperlink" Target="https://drliuhao.github.io/mh-liver-pathways/evidence-libraries/" TargetMode="External"/><Relationship Id="rId430" Type="http://schemas.openxmlformats.org/officeDocument/2006/relationships/hyperlink" Target="https://doi.org/10.1097/JS9.0000000000004077" TargetMode="External"/><Relationship Id="rId431" Type="http://schemas.openxmlformats.org/officeDocument/2006/relationships/hyperlink" Target="https://drliuhao.github.io/mh-liver-pathways/evidence-libraries/" TargetMode="External"/><Relationship Id="rId432" Type="http://schemas.openxmlformats.org/officeDocument/2006/relationships/hyperlink" Target="https://doi.org/10.1002/lt.24782" TargetMode="External"/><Relationship Id="rId433" Type="http://schemas.openxmlformats.org/officeDocument/2006/relationships/hyperlink" Target="https://drliuhao.github.io/mh-liver-pathways/evidence-libraries/" TargetMode="External"/><Relationship Id="rId434" Type="http://schemas.openxmlformats.org/officeDocument/2006/relationships/hyperlink" Target="https://doi.org/10.1016/j.hbpd.2020.03.009" TargetMode="External"/><Relationship Id="rId435" Type="http://schemas.openxmlformats.org/officeDocument/2006/relationships/hyperlink" Target="https://drliuhao.github.io/mh-liver-pathways/evidence-libraries/" TargetMode="External"/><Relationship Id="rId436" Type="http://schemas.openxmlformats.org/officeDocument/2006/relationships/hyperlink" Target="https://doi.org/10.21037/jgo-24-328" TargetMode="External"/><Relationship Id="rId437" Type="http://schemas.openxmlformats.org/officeDocument/2006/relationships/hyperlink" Target="https://drliuhao.github.io/mh-liver-pathways/evidence-libraries/" TargetMode="External"/><Relationship Id="rId438" Type="http://schemas.openxmlformats.org/officeDocument/2006/relationships/hyperlink" Target="https://doi.org/10.1097/TP.0000000000003162" TargetMode="External"/><Relationship Id="rId439" Type="http://schemas.openxmlformats.org/officeDocument/2006/relationships/hyperlink" Target="https://drliuhao.github.io/mh-liver-pathways/evidence-libraries/" TargetMode="External"/><Relationship Id="rId440" Type="http://schemas.openxmlformats.org/officeDocument/2006/relationships/hyperlink" Target="https://doi.org/10.1111/tri.13586" TargetMode="External"/><Relationship Id="rId441" Type="http://schemas.openxmlformats.org/officeDocument/2006/relationships/hyperlink" Target="https://drliuhao.github.io/mh-liver-pathways/evidence-libraries/" TargetMode="External"/><Relationship Id="rId442" Type="http://schemas.openxmlformats.org/officeDocument/2006/relationships/hyperlink" Target="https://doi.org/10.1097/HEP.0000000000001801" TargetMode="External"/><Relationship Id="rId443" Type="http://schemas.openxmlformats.org/officeDocument/2006/relationships/hyperlink" Target="https://drliuhao.github.io/mh-liver-pathways/evidence-libraries/" TargetMode="External"/><Relationship Id="rId444" Type="http://schemas.openxmlformats.org/officeDocument/2006/relationships/hyperlink" Target="https://doi.org/10.1097/LVT.0000000000000589" TargetMode="External"/><Relationship Id="rId445" Type="http://schemas.openxmlformats.org/officeDocument/2006/relationships/hyperlink" Target="https://drliuhao.github.io/mh-liver-pathways/evidence-libraries/" TargetMode="External"/><Relationship Id="rId446" Type="http://schemas.openxmlformats.org/officeDocument/2006/relationships/hyperlink" Target="https://doi.org/10.1016/j.jhep.2024.08.028" TargetMode="External"/><Relationship Id="rId447" Type="http://schemas.openxmlformats.org/officeDocument/2006/relationships/hyperlink" Target="https://drliuhao.github.io/mh-liver-pathways/evidence-libraries/" TargetMode="External"/><Relationship Id="rId448" Type="http://schemas.openxmlformats.org/officeDocument/2006/relationships/hyperlink" Target="https://doi.org/10.1016/j.prro.2021.09.004" TargetMode="External"/><Relationship Id="rId449" Type="http://schemas.openxmlformats.org/officeDocument/2006/relationships/hyperlink" Target="https://drliuhao.github.io/mh-liver-pathways/evidence-libraries/" TargetMode="External"/><Relationship Id="rId450" Type="http://schemas.openxmlformats.org/officeDocument/2006/relationships/hyperlink" Target="https://www.nccn.org/professionals/physician_gls/pdf/hcc.pdf#page=10" TargetMode="External"/><Relationship Id="rId451" Type="http://schemas.openxmlformats.org/officeDocument/2006/relationships/hyperlink" Target="https://drliuhao.github.io/mh-liver-pathways/evidence-libraries/" TargetMode="External"/><Relationship Id="rId452" Type="http://schemas.openxmlformats.org/officeDocument/2006/relationships/hyperlink" Target="https://edge.sitecorecloud.io/americancoldf5f-acrorgf92a-productioncb02-3650/media/ACR/Files/RADS/LI-RADS/LI-RADS-CTMR-Radiation-TRA-v2024-Core.pdf" TargetMode="External"/><Relationship Id="rId453" Type="http://schemas.openxmlformats.org/officeDocument/2006/relationships/hyperlink" Target="https://drliuhao.github.io/mh-liver-pathways/evidence-libraries/" TargetMode="External"/><Relationship Id="rId454" Type="http://schemas.openxmlformats.org/officeDocument/2006/relationships/hyperlink" Target="https://doi.org/10.1097/HEP.0000000000001289" TargetMode="External"/><Relationship Id="rId455" Type="http://schemas.openxmlformats.org/officeDocument/2006/relationships/hyperlink" Target="https://drliuhao.github.io/mh-liver-pathways/evidence-libraries/" TargetMode="External"/><Relationship Id="rId456" Type="http://schemas.openxmlformats.org/officeDocument/2006/relationships/hyperlink" Target="https://doi.org/10.1016/j.jhep.2024.09.003" TargetMode="External"/><Relationship Id="rId457" Type="http://schemas.openxmlformats.org/officeDocument/2006/relationships/hyperlink" Target="https://drliuhao.github.io/mh-liver-pathways/evidence-libraries/" TargetMode="External"/><Relationship Id="rId458" Type="http://schemas.openxmlformats.org/officeDocument/2006/relationships/hyperlink" Target="https://www.gene.com/download/pdf/avastin_prescribing.pdf" TargetMode="External"/><Relationship Id="rId459" Type="http://schemas.openxmlformats.org/officeDocument/2006/relationships/hyperlink" Target="https://drliuhao.github.io/mh-liver-pathways/evidence-libraries/" TargetMode="External"/><Relationship Id="rId460" Type="http://schemas.openxmlformats.org/officeDocument/2006/relationships/hyperlink" Target="https://pubmed.ncbi.nlm.nih.gov/37760542" TargetMode="External"/><Relationship Id="rId461" Type="http://schemas.openxmlformats.org/officeDocument/2006/relationships/hyperlink" Target="https://drliuhao.github.io/mh-liver-pathways/evidence-libraries/" TargetMode="External"/><Relationship Id="rId462" Type="http://schemas.openxmlformats.org/officeDocument/2006/relationships/hyperlink" Target="https://doi.org/10.1016/j.jhep.2026.02.019" TargetMode="External"/><Relationship Id="rId463" Type="http://schemas.openxmlformats.org/officeDocument/2006/relationships/hyperlink" Target="https://drliuhao.github.io/mh-liver-pathways/evidence-libraries/" TargetMode="External"/><Relationship Id="rId464" Type="http://schemas.openxmlformats.org/officeDocument/2006/relationships/hyperlink" Target="https://doi.org/10.1016/j.jhep.2024.06.042" TargetMode="External"/><Relationship Id="rId465" Type="http://schemas.openxmlformats.org/officeDocument/2006/relationships/hyperlink" Target="https://drliuhao.github.io/mh-liver-pathways/evidence-libraries/" TargetMode="External"/><Relationship Id="rId466" Type="http://schemas.openxmlformats.org/officeDocument/2006/relationships/hyperlink" Target="https://doi.org/10.1136/gutjnl-2025-336719" TargetMode="External"/><Relationship Id="rId467" Type="http://schemas.openxmlformats.org/officeDocument/2006/relationships/hyperlink" Target="https://drliuhao.github.io/mh-liver-pathways/evidence-libraries/" TargetMode="External"/><Relationship Id="rId468" Type="http://schemas.openxmlformats.org/officeDocument/2006/relationships/hyperlink" Target="https://doi.org/10.1111/apt.70528" TargetMode="External"/><Relationship Id="rId469" Type="http://schemas.openxmlformats.org/officeDocument/2006/relationships/hyperlink" Target="https://drliuhao.github.io/mh-liver-pathways/evidence-libraries/" TargetMode="External"/><Relationship Id="rId470" Type="http://schemas.openxmlformats.org/officeDocument/2006/relationships/hyperlink" Target="https://doi.org/10.1111/liv.70692" TargetMode="External"/><Relationship Id="rId471" Type="http://schemas.openxmlformats.org/officeDocument/2006/relationships/hyperlink" Target="https://drliuhao.github.io/mh-liver-pathways/evidence-libraries/" TargetMode="External"/><Relationship Id="rId472" Type="http://schemas.openxmlformats.org/officeDocument/2006/relationships/hyperlink" Target="https://doi.org/10.1001/jamaoncol.2026.3901" TargetMode="External"/><Relationship Id="rId473" Type="http://schemas.openxmlformats.org/officeDocument/2006/relationships/hyperlink" Target="https://drliuhao.github.io/mh-liver-pathways/evidence-libraries/" TargetMode="External"/><Relationship Id="rId474" Type="http://schemas.openxmlformats.org/officeDocument/2006/relationships/hyperlink" Target="https://onlinelibrary.wiley.com/doi/10.1111/apt.70333" TargetMode="External"/><Relationship Id="rId475" Type="http://schemas.openxmlformats.org/officeDocument/2006/relationships/hyperlink" Target="https://drliuhao.github.io/mh-liver-pathways/evidence-libraries/" TargetMode="External"/><Relationship Id="rId476" Type="http://schemas.openxmlformats.org/officeDocument/2006/relationships/hyperlink" Target="https://pubmed.ncbi.nlm.nih.gov/42073607" TargetMode="External"/><Relationship Id="rId477" Type="http://schemas.openxmlformats.org/officeDocument/2006/relationships/hyperlink" Target="https://drliuhao.github.io/mh-liver-pathways/evidence-libraries/" TargetMode="External"/><Relationship Id="rId478" Type="http://schemas.openxmlformats.org/officeDocument/2006/relationships/hyperlink" Target="https://doi.org/10.1155/joot/2545887" TargetMode="External"/><Relationship Id="rId479" Type="http://schemas.openxmlformats.org/officeDocument/2006/relationships/hyperlink" Target="https://drliuhao.github.io/mh-liver-pathways/evidence-libraries/" TargetMode="External"/><Relationship Id="rId480" Type="http://schemas.openxmlformats.org/officeDocument/2006/relationships/hyperlink" Target="https://www.ecfr.gov/current/title-45/subtitle-A/subchapter-A/part-46/subpart-A/section-46.111" TargetMode="External"/><Relationship Id="rId481" Type="http://schemas.openxmlformats.org/officeDocument/2006/relationships/hyperlink" Target="https://www.hrsa.gov/optn/professionals/resources/ethical-considerations/ethical-principles-in-the-allocation-of-human-organs" TargetMode="External"/><Relationship Id="rId482" Type="http://schemas.openxmlformats.org/officeDocument/2006/relationships/hyperlink" Target="https://doi.org/10.1016/S0140-6736(24)01595-2" TargetMode="External"/><Relationship Id="rId483" Type="http://schemas.openxmlformats.org/officeDocument/2006/relationships/hyperlink" Target="https://drliuhao.github.io/mh-liver-pathways/evidence-libraries/" TargetMode="External"/><Relationship Id="rId484" Type="http://schemas.openxmlformats.org/officeDocument/2006/relationships/hyperlink" Target="https://doi.org/10.1016/j.jhep.2024.03.020" TargetMode="External"/><Relationship Id="rId485" Type="http://schemas.openxmlformats.org/officeDocument/2006/relationships/hyperlink" Target="https://drliuhao.github.io/mh-liver-pathways/evidence-libraries/" TargetMode="External"/><Relationship Id="rId486" Type="http://schemas.openxmlformats.org/officeDocument/2006/relationships/hyperlink" Target="https://doi.org/10.1111/j.1600-6143.2011.03972.x" TargetMode="External"/><Relationship Id="rId487" Type="http://schemas.openxmlformats.org/officeDocument/2006/relationships/hyperlink" Target="https://drliuhao.github.io/mh-liver-pathways/evidence-libraries/" TargetMode="External"/><Relationship Id="rId488" Type="http://schemas.openxmlformats.org/officeDocument/2006/relationships/hyperlink" Target="https://doi.org/10.1111/ajt.14055" TargetMode="External"/><Relationship Id="rId489" Type="http://schemas.openxmlformats.org/officeDocument/2006/relationships/hyperlink" Target="https://drliuhao.github.io/mh-liver-pathways/evidence-libraries/" TargetMode="External"/><Relationship Id="rId490" Type="http://schemas.openxmlformats.org/officeDocument/2006/relationships/hyperlink" Target="https://doi.org/10.1097/LVT.0000000000000303" TargetMode="External"/><Relationship Id="rId491" Type="http://schemas.openxmlformats.org/officeDocument/2006/relationships/hyperlink" Target="https://drliuhao.github.io/mh-liver-pathways/evidence-libraries/" TargetMode="External"/><Relationship Id="rId492" Type="http://schemas.openxmlformats.org/officeDocument/2006/relationships/hyperlink" Target="https://doi.org/10.1097/TP.0000000000000965" TargetMode="External"/><Relationship Id="rId493" Type="http://schemas.openxmlformats.org/officeDocument/2006/relationships/hyperlink" Target="https://drliuhao.github.io/mh-liver-pathways/evidence-libraries/" TargetMode="External"/><Relationship Id="rId494" Type="http://schemas.openxmlformats.org/officeDocument/2006/relationships/hyperlink" Target="https://doi.org/10.1016/j.ajt.2026.02.010" TargetMode="External"/><Relationship Id="rId495" Type="http://schemas.openxmlformats.org/officeDocument/2006/relationships/hyperlink" Target="https://drliuhao.github.io/mh-liver-pathways/evidence-libraries/" TargetMode="External"/><Relationship Id="rId496" Type="http://schemas.openxmlformats.org/officeDocument/2006/relationships/hyperlink" Target="https://doi.org/10.1136/bmj.i5239" TargetMode="External"/><Relationship Id="rId497" Type="http://schemas.openxmlformats.org/officeDocument/2006/relationships/hyperlink" Target="https://drliuhao.github.io/mh-liver-pathways/evidence-libraries/" TargetMode="External"/><Relationship Id="rId498" Type="http://schemas.openxmlformats.org/officeDocument/2006/relationships/hyperlink" Target="https://doi.org/10.3389/ti.2024.13641" TargetMode="External"/><Relationship Id="rId499" Type="http://schemas.openxmlformats.org/officeDocument/2006/relationships/hyperlink" Target="https://drliuhao.github.io/mh-liver-pathways/evidence-libraries/" TargetMode="External"/><Relationship Id="rId500" Type="http://schemas.openxmlformats.org/officeDocument/2006/relationships/hyperlink" Target="https://academic.oup.com/bjs/article/112/3/znaf054/8083032" TargetMode="External"/><Relationship Id="rId501" Type="http://schemas.openxmlformats.org/officeDocument/2006/relationships/hyperlink" Target="https://drliuhao.github.io/mh-liver-pathways/evidence-libraries/" TargetMode="External"/><Relationship Id="rId502" Type="http://schemas.openxmlformats.org/officeDocument/2006/relationships/hyperlink" Target="https://doi.org/10.1111/ctr.70488" TargetMode="External"/><Relationship Id="rId503" Type="http://schemas.openxmlformats.org/officeDocument/2006/relationships/hyperlink" Target="https://drliuhao.github.io/mh-liver-pathways/evidence-libraries/" TargetMode="External"/><Relationship Id="rId504" Type="http://schemas.openxmlformats.org/officeDocument/2006/relationships/hyperlink" Target="https://doi.org/10.1097/HC9.0000000000000619" TargetMode="External"/><Relationship Id="rId505" Type="http://schemas.openxmlformats.org/officeDocument/2006/relationships/hyperlink" Target="https://drliuhao.github.io/mh-liver-pathways/evidence-libraries/" TargetMode="External"/><Relationship Id="rId506" Type="http://schemas.openxmlformats.org/officeDocument/2006/relationships/hyperlink" Target="https://doi.org/10.1002/hep.29342" TargetMode="External"/><Relationship Id="rId507" Type="http://schemas.openxmlformats.org/officeDocument/2006/relationships/hyperlink" Target="https://drliuhao.github.io/mh-liver-pathways/evidence-libraries/" TargetMode="External"/><Relationship Id="rId508" Type="http://schemas.openxmlformats.org/officeDocument/2006/relationships/hyperlink" Target="https://doi.org/10.1016/j.jhepr.2023.100907" TargetMode="External"/><Relationship Id="rId509" Type="http://schemas.openxmlformats.org/officeDocument/2006/relationships/hyperlink" Target="https://drliuhao.github.io/mh-liver-pathways/evidence-libraries/" TargetMode="External"/><Relationship Id="rId510" Type="http://schemas.openxmlformats.org/officeDocument/2006/relationships/hyperlink" Target="https://doi.org/10.1177/09622802261420699" TargetMode="External"/><Relationship Id="rId511" Type="http://schemas.openxmlformats.org/officeDocument/2006/relationships/hyperlink" Target="https://drliuhao.github.io/mh-liver-pathways/evidence-libraries/" TargetMode="External"/><Relationship Id="rId512" Type="http://schemas.openxmlformats.org/officeDocument/2006/relationships/hyperlink" Target="https://drliuhao.github.io/mh-liver-pathways/evidence-libraries/" TargetMode="External"/><Relationship Id="rId513" Type="http://schemas.openxmlformats.org/officeDocument/2006/relationships/hyperlink" Target="https://drliuhao.github.io/mh-liver-pathways/evidence-libraries/" TargetMode="External"/><Relationship Id="rId514" Type="http://schemas.openxmlformats.org/officeDocument/2006/relationships/hyperlink" Target="https://www.hrsa.gov/sites/default/files/hrsa/optn/optn_policies.pdf" TargetMode="External"/><Relationship Id="rId515" Type="http://schemas.openxmlformats.org/officeDocument/2006/relationships/hyperlink" Target="https://drliuhao.github.io/mh-liver-pathways/evidence-libraries/" TargetMode="External"/><Relationship Id="rId516" Type="http://schemas.openxmlformats.org/officeDocument/2006/relationships/hyperlink" Target="https://www.hrsa.gov/sites/default/files/hrsa/optn/adult-meld-exception-transplant-oncology-review-guidance.pdf" TargetMode="External"/><Relationship Id="rId517" Type="http://schemas.openxmlformats.org/officeDocument/2006/relationships/hyperlink" Target="https://drliuhao.github.io/mh-liver-pathways/evidence-libraries/" TargetMode="External"/><Relationship Id="rId518" Type="http://schemas.openxmlformats.org/officeDocument/2006/relationships/hyperlink" Target="https://doi.org/10.1002/hep.30413" TargetMode="External"/><Relationship Id="rId519" Type="http://schemas.openxmlformats.org/officeDocument/2006/relationships/hyperlink" Target="https://drliuhao.github.io/mh-liver-pathways/evidence-libraries/" TargetMode="External"/><Relationship Id="rId520" Type="http://schemas.openxmlformats.org/officeDocument/2006/relationships/hyperlink" Target="https://doi.org/10.1001/jamasurg.2021.0954" TargetMode="External"/><Relationship Id="rId521" Type="http://schemas.openxmlformats.org/officeDocument/2006/relationships/hyperlink" Target="https://drliuhao.github.io/mh-liver-pathways/evidence-libraries/" TargetMode="External"/><Relationship Id="rId522" Type="http://schemas.openxmlformats.org/officeDocument/2006/relationships/hyperlink" Target="https://doi.org/10.1097/HEP.0000000000000466" TargetMode="External"/><Relationship Id="rId523" Type="http://schemas.openxmlformats.org/officeDocument/2006/relationships/hyperlink" Target="https://drliuhao.github.io/mh-liver-pathways/evidence-libraries/" TargetMode="External"/><Relationship Id="rId524" Type="http://schemas.openxmlformats.org/officeDocument/2006/relationships/hyperlink" Target="https://doi.org/10.1002/cam4.71812" TargetMode="External"/><Relationship Id="rId525" Type="http://schemas.openxmlformats.org/officeDocument/2006/relationships/hyperlink" Target="https://drliuhao.github.io/mh-liver-pathways/evidence-libraries/" TargetMode="External"/><Relationship Id="rId526" Type="http://schemas.openxmlformats.org/officeDocument/2006/relationships/hyperlink" Target="https://www.hrsa.gov/sites/default/files/hrsa/optn/optn_policies.pdf" TargetMode="External"/><Relationship Id="rId527" Type="http://schemas.openxmlformats.org/officeDocument/2006/relationships/hyperlink" Target="https://drliuhao.github.io/mh-liver-pathways/evidence-libraries/" TargetMode="External"/><Relationship Id="rId528" Type="http://schemas.openxmlformats.org/officeDocument/2006/relationships/hyperlink" Target="https://www.hrsa.gov/sites/default/files/hrsa/optn/adult-meld-exception-transplant-oncology-review-guidance.pdf" TargetMode="External"/><Relationship Id="rId529" Type="http://schemas.openxmlformats.org/officeDocument/2006/relationships/hyperlink" Target="https://drliuhao.github.io/mh-liver-pathways/evidence-libraries/" TargetMode="External"/><Relationship Id="rId530" Type="http://schemas.openxmlformats.org/officeDocument/2006/relationships/hyperlink" Target="https://doi.org/10.1002/hep.30413" TargetMode="External"/><Relationship Id="rId531" Type="http://schemas.openxmlformats.org/officeDocument/2006/relationships/hyperlink" Target="https://drliuhao.github.io/mh-liver-pathways/evidence-libraries/" TargetMode="External"/><Relationship Id="rId532" Type="http://schemas.openxmlformats.org/officeDocument/2006/relationships/hyperlink" Target="https://doi.org/10.1002/lt.26392" TargetMode="External"/><Relationship Id="rId533" Type="http://schemas.openxmlformats.org/officeDocument/2006/relationships/hyperlink" Target="https://drliuhao.github.io/mh-liver-pathways/evidence-libraries/" TargetMode="External"/><Relationship Id="rId534" Type="http://schemas.openxmlformats.org/officeDocument/2006/relationships/hyperlink" Target="https://doi.org/10.1097/TP.0000000000002094" TargetMode="External"/><Relationship Id="rId535" Type="http://schemas.openxmlformats.org/officeDocument/2006/relationships/hyperlink" Target="https://drliuhao.github.io/mh-liver-pathways/evidence-libraries/" TargetMode="External"/><Relationship Id="rId536" Type="http://schemas.openxmlformats.org/officeDocument/2006/relationships/hyperlink" Target="https://doi.org/10.1001/jamasurg.2021.0954" TargetMode="External"/><Relationship Id="rId537" Type="http://schemas.openxmlformats.org/officeDocument/2006/relationships/hyperlink" Target="https://drliuhao.github.io/mh-liver-pathways/evidence-libraries/" TargetMode="External"/><Relationship Id="rId538" Type="http://schemas.openxmlformats.org/officeDocument/2006/relationships/hyperlink" Target="https://doi.org/10.1002/cam4.71812" TargetMode="External"/><Relationship Id="rId539" Type="http://schemas.openxmlformats.org/officeDocument/2006/relationships/hyperlink" Target="https://drliuhao.github.io/mh-liver-pathways/evidence-libraries/" TargetMode="External"/><Relationship Id="rId540" Type="http://schemas.openxmlformats.org/officeDocument/2006/relationships/hyperlink" Target="https://www.hrsa.gov/sites/default/files/hrsa/optn/optn_policies.pdf" TargetMode="External"/><Relationship Id="rId541" Type="http://schemas.openxmlformats.org/officeDocument/2006/relationships/hyperlink" Target="https://drliuhao.github.io/mh-liver-pathways/evidence-libraries/" TargetMode="External"/><Relationship Id="rId542" Type="http://schemas.openxmlformats.org/officeDocument/2006/relationships/hyperlink" Target="https://www.hrsa.gov/sites/default/files/hrsa/optn/adult-meld-exception-transplant-oncology-review-guidance.pdf" TargetMode="External"/><Relationship Id="rId543" Type="http://schemas.openxmlformats.org/officeDocument/2006/relationships/hyperlink" Target="https://drliuhao.github.io/mh-liver-pathways/evidence-libraries/" TargetMode="External"/><Relationship Id="rId544" Type="http://schemas.openxmlformats.org/officeDocument/2006/relationships/hyperlink" Target="https://doi.org/10.1097/TP.0000000000002094" TargetMode="External"/><Relationship Id="rId545" Type="http://schemas.openxmlformats.org/officeDocument/2006/relationships/hyperlink" Target="https://drliuhao.github.io/mh-liver-pathways/evidence-libraries/" TargetMode="External"/><Relationship Id="rId546" Type="http://schemas.openxmlformats.org/officeDocument/2006/relationships/hyperlink" Target="https://doi.org/10.1097/HEP.0000000000000466" TargetMode="External"/><Relationship Id="rId547" Type="http://schemas.openxmlformats.org/officeDocument/2006/relationships/hyperlink" Target="https://drliuhao.github.io/mh-liver-pathways/evidence-libraries/" TargetMode="External"/><Relationship Id="rId548" Type="http://schemas.openxmlformats.org/officeDocument/2006/relationships/hyperlink" Target="https://doi.org/10.1097/HEP.0000000000000466" TargetMode="External"/><Relationship Id="rId549" Type="http://schemas.openxmlformats.org/officeDocument/2006/relationships/hyperlink" Target="https://drliuhao.github.io/mh-liver-pathways/evidence-libraries/" TargetMode="External"/><Relationship Id="rId550" Type="http://schemas.openxmlformats.org/officeDocument/2006/relationships/hyperlink" Target="https://doi.org/10.1097/HEP.0000000000000466" TargetMode="External"/><Relationship Id="rId551" Type="http://schemas.openxmlformats.org/officeDocument/2006/relationships/hyperlink" Target="https://drliuhao.github.io/mh-liver-pathways/evidence-libraries/" TargetMode="External"/><Relationship Id="rId552" Type="http://schemas.openxmlformats.org/officeDocument/2006/relationships/hyperlink" Target="https://www.hrsa.gov/sites/default/files/hrsa/optn/optn_policies.pdf" TargetMode="External"/><Relationship Id="rId553" Type="http://schemas.openxmlformats.org/officeDocument/2006/relationships/hyperlink" Target="https://drliuhao.github.io/mh-liver-pathways/evidence-libraries/" TargetMode="External"/><Relationship Id="rId554" Type="http://schemas.openxmlformats.org/officeDocument/2006/relationships/hyperlink" Target="https://www.hrsa.gov/sites/default/files/hrsa/optn/adult-meld-exception-transplant-oncology-review-guidance.pdf" TargetMode="External"/><Relationship Id="rId555" Type="http://schemas.openxmlformats.org/officeDocument/2006/relationships/hyperlink" Target="https://drliuhao.github.io/mh-liver-pathways/evidence-libraries/" TargetMode="External"/><Relationship Id="rId556" Type="http://schemas.openxmlformats.org/officeDocument/2006/relationships/hyperlink" Target="https://www.hrsa.gov/sites/default/files/hrsa/optn/optn_policies.pdf" TargetMode="External"/><Relationship Id="rId557" Type="http://schemas.openxmlformats.org/officeDocument/2006/relationships/hyperlink" Target="https://drliuhao.github.io/mh-liver-pathways/evidence-libraries/" TargetMode="External"/><Relationship Id="rId558" Type="http://schemas.openxmlformats.org/officeDocument/2006/relationships/hyperlink" Target="https://www.hrsa.gov/sites/default/files/hrsa/optn/adult-meld-exception-transplant-oncology-review-guidance.pdf" TargetMode="External"/><Relationship Id="rId559" Type="http://schemas.openxmlformats.org/officeDocument/2006/relationships/hyperlink" Target="https://drliuhao.github.io/mh-liver-pathways/evidence-libraries/" TargetMode="External"/><Relationship Id="rId560" Type="http://schemas.openxmlformats.org/officeDocument/2006/relationships/hyperlink" Target="https://doi.org/10.1002/lt.26392" TargetMode="External"/><Relationship Id="rId561" Type="http://schemas.openxmlformats.org/officeDocument/2006/relationships/hyperlink" Target="https://drliuhao.github.io/mh-liver-pathways/evidence-libraries/" TargetMode="External"/><Relationship Id="rId562" Type="http://schemas.openxmlformats.org/officeDocument/2006/relationships/hyperlink" Target="https://doi.org/10.1097/HEP.0000000000000466" TargetMode="External"/><Relationship Id="rId563" Type="http://schemas.openxmlformats.org/officeDocument/2006/relationships/hyperlink" Target="https://drliuhao.github.io/mh-liver-pathways/evidence-libraries/" TargetMode="External"/><Relationship Id="rId564" Type="http://schemas.openxmlformats.org/officeDocument/2006/relationships/hyperlink" Target="https://doi.org/10.1097/TP.0000000000002094" TargetMode="External"/><Relationship Id="rId565" Type="http://schemas.openxmlformats.org/officeDocument/2006/relationships/hyperlink" Target="https://drliuhao.github.io/mh-liver-pathways/evidence-libraries/" TargetMode="External"/><Relationship Id="rId566" Type="http://schemas.openxmlformats.org/officeDocument/2006/relationships/hyperlink" Target="https://doi.org/10.1097/TP.0000000000002094" TargetMode="External"/><Relationship Id="rId567" Type="http://schemas.openxmlformats.org/officeDocument/2006/relationships/hyperlink" Target="https://drliuhao.github.io/mh-liver-pathways/evidence-libraries/" TargetMode="External"/><Relationship Id="rId568" Type="http://schemas.openxmlformats.org/officeDocument/2006/relationships/hyperlink" Target="https://doi.org/10.1002/hep.30413" TargetMode="External"/><Relationship Id="rId569" Type="http://schemas.openxmlformats.org/officeDocument/2006/relationships/hyperlink" Target="https://drliuhao.github.io/mh-liver-pathways/evidence-libraries/" TargetMode="External"/><Relationship Id="rId570" Type="http://schemas.openxmlformats.org/officeDocument/2006/relationships/hyperlink" Target="https://doi.org/10.1002/lt.26392" TargetMode="External"/><Relationship Id="rId571" Type="http://schemas.openxmlformats.org/officeDocument/2006/relationships/hyperlink" Target="https://drliuhao.github.io/mh-liver-pathways/evidence-libraries/" TargetMode="External"/><Relationship Id="rId572" Type="http://schemas.openxmlformats.org/officeDocument/2006/relationships/hyperlink" Target="https://doi.org/10.1097/HEP.0000000000000466" TargetMode="External"/><Relationship Id="rId573" Type="http://schemas.openxmlformats.org/officeDocument/2006/relationships/hyperlink" Target="https://drliuhao.github.io/mh-liver-pathways/evidence-libraries/" TargetMode="External"/><Relationship Id="rId574" Type="http://schemas.openxmlformats.org/officeDocument/2006/relationships/hyperlink" Target="https://www.hrsa.gov/sites/default/files/hrsa/optn/optn_policies.pdf" TargetMode="External"/><Relationship Id="rId575" Type="http://schemas.openxmlformats.org/officeDocument/2006/relationships/hyperlink" Target="https://drliuhao.github.io/mh-liver-pathways/evidence-libraries/" TargetMode="External"/><Relationship Id="rId576" Type="http://schemas.openxmlformats.org/officeDocument/2006/relationships/hyperlink" Target="https://www.hrsa.gov/sites/default/files/hrsa/optn/adult-meld-exception-transplant-oncology-review-guidance.pdf" TargetMode="External"/><Relationship Id="rId577" Type="http://schemas.openxmlformats.org/officeDocument/2006/relationships/hyperlink" Target="https://drliuhao.github.io/mh-liver-pathways/evidence-libraries/" TargetMode="External"/><Relationship Id="rId578" Type="http://schemas.openxmlformats.org/officeDocument/2006/relationships/hyperlink" Target="https://doi.org/10.1097/HEP.0000000000000466" TargetMode="External"/><Relationship Id="rId579" Type="http://schemas.openxmlformats.org/officeDocument/2006/relationships/hyperlink" Target="https://drliuhao.github.io/mh-liver-pathways/evidence-libraries/" TargetMode="External"/><Relationship Id="rId580" Type="http://schemas.openxmlformats.org/officeDocument/2006/relationships/hyperlink" Target="https://doi.org/10.1097/HEP.0000000000001231" TargetMode="External"/><Relationship Id="rId581" Type="http://schemas.openxmlformats.org/officeDocument/2006/relationships/hyperlink" Target="https://drliuhao.github.io/mh-liver-pathways/evidence-libraries/" TargetMode="External"/><Relationship Id="rId582" Type="http://schemas.openxmlformats.org/officeDocument/2006/relationships/hyperlink" Target="https://doi.org/10.1016/S1470-2045(20)30224-2" TargetMode="External"/><Relationship Id="rId583" Type="http://schemas.openxmlformats.org/officeDocument/2006/relationships/hyperlink" Target="https://drliuhao.github.io/mh-liver-pathways/evidence-libraries/" TargetMode="External"/><Relationship Id="rId584" Type="http://schemas.openxmlformats.org/officeDocument/2006/relationships/hyperlink" Target="https://doi.org/10.1097/HEP.0000000000001644" TargetMode="External"/><Relationship Id="rId585" Type="http://schemas.openxmlformats.org/officeDocument/2006/relationships/hyperlink" Target="https://drliuhao.github.io/mh-liver-pathways/evidence-libraries/" TargetMode="External"/><Relationship Id="rId586" Type="http://schemas.openxmlformats.org/officeDocument/2006/relationships/hyperlink" Target="https://doi.org/10.1002/hep.27752" TargetMode="External"/><Relationship Id="rId587" Type="http://schemas.openxmlformats.org/officeDocument/2006/relationships/hyperlink" Target="https://drliuhao.github.io/mh-liver-pathways/evidence-libraries/" TargetMode="External"/><Relationship Id="rId588" Type="http://schemas.openxmlformats.org/officeDocument/2006/relationships/hyperlink" Target="https://doi.org/10.1053/j.gastro.2021.07.033" TargetMode="External"/><Relationship Id="rId589" Type="http://schemas.openxmlformats.org/officeDocument/2006/relationships/hyperlink" Target="https://drliuhao.github.io/mh-liver-pathways/evidence-libraries/" TargetMode="External"/><Relationship Id="rId590" Type="http://schemas.openxmlformats.org/officeDocument/2006/relationships/hyperlink" Target="https://doi.org/10.1002/hep.30570" TargetMode="External"/><Relationship Id="rId591" Type="http://schemas.openxmlformats.org/officeDocument/2006/relationships/hyperlink" Target="https://drliuhao.github.io/mh-liver-pathways/evidence-libraries/" TargetMode="External"/><Relationship Id="rId592" Type="http://schemas.openxmlformats.org/officeDocument/2006/relationships/hyperlink" Target="https://doi.org/10.1016/j.ajt.2023.07.021" TargetMode="External"/><Relationship Id="rId593" Type="http://schemas.openxmlformats.org/officeDocument/2006/relationships/hyperlink" Target="https://drliuhao.github.io/mh-liver-pathways/evidence-libraries/" TargetMode="External"/><Relationship Id="rId594" Type="http://schemas.openxmlformats.org/officeDocument/2006/relationships/hyperlink" Target="https://doi.org/10.1016/j.cgh.2022.08.023" TargetMode="External"/><Relationship Id="rId595" Type="http://schemas.openxmlformats.org/officeDocument/2006/relationships/hyperlink" Target="https://drliuhao.github.io/mh-liver-pathways/evidence-libraries/" TargetMode="External"/><Relationship Id="rId596" Type="http://schemas.openxmlformats.org/officeDocument/2006/relationships/hyperlink" Target="https://doi.org/10.1001/jamasurg.2022.2800" TargetMode="External"/><Relationship Id="rId597" Type="http://schemas.openxmlformats.org/officeDocument/2006/relationships/hyperlink" Target="https://drliuhao.github.io/mh-liver-pathways/evidence-libraries/" TargetMode="External"/><Relationship Id="rId598" Type="http://schemas.openxmlformats.org/officeDocument/2006/relationships/hyperlink" Target="https://doi.org/10.1038/s41571-026-01160-z" TargetMode="External"/><Relationship Id="rId599" Type="http://schemas.openxmlformats.org/officeDocument/2006/relationships/hyperlink" Target="https://drliuhao.github.io/mh-liver-pathways/evidence-libraries/" TargetMode="External"/><Relationship Id="rId600" Type="http://schemas.openxmlformats.org/officeDocument/2006/relationships/hyperlink" Target="https://doi.org/10.1097/JS9.0000000000004077" TargetMode="External"/><Relationship Id="rId601" Type="http://schemas.openxmlformats.org/officeDocument/2006/relationships/hyperlink" Target="https://drliuhao.github.io/mh-liver-pathways/evidence-libraries/" TargetMode="External"/><Relationship Id="rId602" Type="http://schemas.openxmlformats.org/officeDocument/2006/relationships/hyperlink" Target="https://doi.org/10.1002/lt.24782" TargetMode="External"/><Relationship Id="rId603" Type="http://schemas.openxmlformats.org/officeDocument/2006/relationships/hyperlink" Target="https://drliuhao.github.io/mh-liver-pathways/evidence-libraries/" TargetMode="External"/><Relationship Id="rId604" Type="http://schemas.openxmlformats.org/officeDocument/2006/relationships/hyperlink" Target="https://doi.org/10.1016/j.hbpd.2020.03.009" TargetMode="External"/><Relationship Id="rId605" Type="http://schemas.openxmlformats.org/officeDocument/2006/relationships/hyperlink" Target="https://drliuhao.github.io/mh-liver-pathways/evidence-libraries/" TargetMode="External"/><Relationship Id="rId606" Type="http://schemas.openxmlformats.org/officeDocument/2006/relationships/hyperlink" Target="https://doi.org/10.21037/jgo-24-328" TargetMode="External"/><Relationship Id="rId607" Type="http://schemas.openxmlformats.org/officeDocument/2006/relationships/hyperlink" Target="https://drliuhao.github.io/mh-liver-pathways/evidence-libraries/" TargetMode="External"/><Relationship Id="rId608" Type="http://schemas.openxmlformats.org/officeDocument/2006/relationships/hyperlink" Target="https://doi.org/10.1097/TP.0000000000003162" TargetMode="External"/><Relationship Id="rId609" Type="http://schemas.openxmlformats.org/officeDocument/2006/relationships/hyperlink" Target="https://drliuhao.github.io/mh-liver-pathways/evidence-libraries/" TargetMode="External"/><Relationship Id="rId610" Type="http://schemas.openxmlformats.org/officeDocument/2006/relationships/hyperlink" Target="https://doi.org/10.1111/tri.13586" TargetMode="External"/><Relationship Id="rId611" Type="http://schemas.openxmlformats.org/officeDocument/2006/relationships/hyperlink" Target="https://drliuhao.github.io/mh-liver-pathways/evidence-libraries/" TargetMode="External"/><Relationship Id="rId612" Type="http://schemas.openxmlformats.org/officeDocument/2006/relationships/hyperlink" Target="https://doi.org/10.1097/HEP.0000000000001801" TargetMode="External"/><Relationship Id="rId613" Type="http://schemas.openxmlformats.org/officeDocument/2006/relationships/hyperlink" Target="https://drliuhao.github.io/mh-liver-pathways/evidence-libraries/" TargetMode="External"/><Relationship Id="rId614" Type="http://schemas.openxmlformats.org/officeDocument/2006/relationships/hyperlink" Target="https://doi.org/10.1097/LVT.0000000000000589" TargetMode="External"/><Relationship Id="rId615" Type="http://schemas.openxmlformats.org/officeDocument/2006/relationships/hyperlink" Target="https://drliuhao.github.io/mh-liver-pathways/evidence-libraries/" TargetMode="External"/><Relationship Id="rId616" Type="http://schemas.openxmlformats.org/officeDocument/2006/relationships/hyperlink" Target="https://doi.org/10.1002/hep.30413" TargetMode="External"/><Relationship Id="rId617" Type="http://schemas.openxmlformats.org/officeDocument/2006/relationships/hyperlink" Target="https://drliuhao.github.io/mh-liver-pathways/evidence-libraries/" TargetMode="External"/><Relationship Id="rId618" Type="http://schemas.openxmlformats.org/officeDocument/2006/relationships/hyperlink" Target="https://doi.org/10.1001/jamasurg.2021.0954" TargetMode="External"/><Relationship Id="rId619" Type="http://schemas.openxmlformats.org/officeDocument/2006/relationships/hyperlink" Target="https://drliuhao.github.io/mh-liver-pathways/evidence-libraries/" TargetMode="External"/><Relationship Id="rId620" Type="http://schemas.openxmlformats.org/officeDocument/2006/relationships/hyperlink" Target="https://doi.org/10.1002/cam4.71812" TargetMode="External"/><Relationship Id="rId621" Type="http://schemas.openxmlformats.org/officeDocument/2006/relationships/hyperlink" Target="https://drliuhao.github.io/mh-liver-pathways/evidence-libraries/" TargetMode="External"/><Relationship Id="rId622" Type="http://schemas.openxmlformats.org/officeDocument/2006/relationships/hyperlink" Target="https://doi.org/10.1002/lt.26392" TargetMode="External"/><Relationship Id="rId623" Type="http://schemas.openxmlformats.org/officeDocument/2006/relationships/hyperlink" Target="https://drliuhao.github.io/mh-liver-pathways/evidence-libraries/" TargetMode="External"/><Relationship Id="rId624" Type="http://schemas.openxmlformats.org/officeDocument/2006/relationships/hyperlink" Target="https://doi.org/10.1097/TP.0000000000002094" TargetMode="External"/><Relationship Id="rId625" Type="http://schemas.openxmlformats.org/officeDocument/2006/relationships/hyperlink" Target="https://drliuhao.github.io/mh-liver-pathways/evidence-libraries/" TargetMode="External"/><Relationship Id="rId626" Type="http://schemas.openxmlformats.org/officeDocument/2006/relationships/hyperlink" Target="https://doi.org/10.1016/j.jhep.2024.08.028" TargetMode="External"/><Relationship Id="rId627" Type="http://schemas.openxmlformats.org/officeDocument/2006/relationships/hyperlink" Target="https://drliuhao.github.io/mh-liver-pathways/evidence-libraries/" TargetMode="External"/><Relationship Id="rId628" Type="http://schemas.openxmlformats.org/officeDocument/2006/relationships/hyperlink" Target="https://doi.org/10.1016/j.prro.2021.09.004" TargetMode="External"/><Relationship Id="rId629" Type="http://schemas.openxmlformats.org/officeDocument/2006/relationships/hyperlink" Target="https://drliuhao.github.io/mh-liver-pathways/evidence-libraries/" TargetMode="External"/><Relationship Id="rId630" Type="http://schemas.openxmlformats.org/officeDocument/2006/relationships/hyperlink" Target="https://www.nccn.org/professionals/physician_gls/pdf/hcc.pdf#page=10" TargetMode="External"/><Relationship Id="rId631" Type="http://schemas.openxmlformats.org/officeDocument/2006/relationships/hyperlink" Target="https://drliuhao.github.io/mh-liver-pathways/evidence-libraries/" TargetMode="External"/><Relationship Id="rId632" Type="http://schemas.openxmlformats.org/officeDocument/2006/relationships/hyperlink" Target="https://edge.sitecorecloud.io/americancoldf5f-acrorgf92a-productioncb02-3650/media/ACR/Files/RADS/LI-RADS/LI-RADS-CTMR-Radiation-TRA-v2024-Core.pdf" TargetMode="External"/><Relationship Id="rId633" Type="http://schemas.openxmlformats.org/officeDocument/2006/relationships/hyperlink" Target="https://drliuhao.github.io/mh-liver-pathways/evidence-libraries/" TargetMode="External"/><Relationship Id="rId634" Type="http://schemas.openxmlformats.org/officeDocument/2006/relationships/hyperlink" Target="https://doi.org/10.1097/HEP.0000000000001289" TargetMode="External"/><Relationship Id="rId635" Type="http://schemas.openxmlformats.org/officeDocument/2006/relationships/hyperlink" Target="https://drliuhao.github.io/mh-liver-pathways/evidence-libraries/" TargetMode="External"/><Relationship Id="rId636" Type="http://schemas.openxmlformats.org/officeDocument/2006/relationships/hyperlink" Target="https://doi.org/10.1016/j.jhep.2024.09.003" TargetMode="External"/><Relationship Id="rId637" Type="http://schemas.openxmlformats.org/officeDocument/2006/relationships/hyperlink" Target="https://drliuhao.github.io/mh-liver-pathways/evidence-libraries/" TargetMode="External"/><Relationship Id="rId638" Type="http://schemas.openxmlformats.org/officeDocument/2006/relationships/hyperlink" Target="https://www.gene.com/download/pdf/avastin_prescribing.pdf" TargetMode="External"/><Relationship Id="rId639" Type="http://schemas.openxmlformats.org/officeDocument/2006/relationships/hyperlink" Target="https://drliuhao.github.io/mh-liver-pathways/evidence-libraries/" TargetMode="External"/><Relationship Id="rId640" Type="http://schemas.openxmlformats.org/officeDocument/2006/relationships/hyperlink" Target="https://pubmed.ncbi.nlm.nih.gov/37760542" TargetMode="External"/><Relationship Id="rId641" Type="http://schemas.openxmlformats.org/officeDocument/2006/relationships/hyperlink" Target="https://drliuhao.github.io/mh-liver-pathways/evidence-libraries/" TargetMode="External"/><Relationship Id="rId642" Type="http://schemas.openxmlformats.org/officeDocument/2006/relationships/hyperlink" Target="https://doi.org/10.1016/j.jhep.2026.02.019" TargetMode="External"/><Relationship Id="rId643" Type="http://schemas.openxmlformats.org/officeDocument/2006/relationships/hyperlink" Target="https://drliuhao.github.io/mh-liver-pathways/evidence-libraries/" TargetMode="External"/><Relationship Id="rId644" Type="http://schemas.openxmlformats.org/officeDocument/2006/relationships/hyperlink" Target="https://doi.org/10.1016/j.jhep.2024.06.042" TargetMode="External"/><Relationship Id="rId645" Type="http://schemas.openxmlformats.org/officeDocument/2006/relationships/hyperlink" Target="https://drliuhao.github.io/mh-liver-pathways/evidence-libraries/" TargetMode="External"/><Relationship Id="rId646" Type="http://schemas.openxmlformats.org/officeDocument/2006/relationships/hyperlink" Target="https://doi.org/10.1136/gutjnl-2025-336719" TargetMode="External"/><Relationship Id="rId647" Type="http://schemas.openxmlformats.org/officeDocument/2006/relationships/hyperlink" Target="https://drliuhao.github.io/mh-liver-pathways/evidence-libraries/" TargetMode="External"/><Relationship Id="rId648" Type="http://schemas.openxmlformats.org/officeDocument/2006/relationships/hyperlink" Target="https://doi.org/10.1111/apt.70528" TargetMode="External"/><Relationship Id="rId649" Type="http://schemas.openxmlformats.org/officeDocument/2006/relationships/hyperlink" Target="https://drliuhao.github.io/mh-liver-pathways/evidence-libraries/" TargetMode="External"/><Relationship Id="rId650" Type="http://schemas.openxmlformats.org/officeDocument/2006/relationships/hyperlink" Target="https://doi.org/10.1111/liv.70692" TargetMode="External"/><Relationship Id="rId651" Type="http://schemas.openxmlformats.org/officeDocument/2006/relationships/hyperlink" Target="https://drliuhao.github.io/mh-liver-pathways/evidence-libraries/" TargetMode="External"/><Relationship Id="rId652" Type="http://schemas.openxmlformats.org/officeDocument/2006/relationships/hyperlink" Target="https://doi.org/10.1001/jamaoncol.2026.3901" TargetMode="External"/><Relationship Id="rId653" Type="http://schemas.openxmlformats.org/officeDocument/2006/relationships/hyperlink" Target="https://drliuhao.github.io/mh-liver-pathways/evidence-libraries/" TargetMode="External"/><Relationship Id="rId654" Type="http://schemas.openxmlformats.org/officeDocument/2006/relationships/hyperlink" Target="https://onlinelibrary.wiley.com/doi/10.1111/apt.70333" TargetMode="External"/><Relationship Id="rId655" Type="http://schemas.openxmlformats.org/officeDocument/2006/relationships/hyperlink" Target="https://drliuhao.github.io/mh-liver-pathways/evidence-libraries/" TargetMode="External"/><Relationship Id="rId656" Type="http://schemas.openxmlformats.org/officeDocument/2006/relationships/hyperlink" Target="https://pubmed.ncbi.nlm.nih.gov/42073607" TargetMode="External"/><Relationship Id="rId657" Type="http://schemas.openxmlformats.org/officeDocument/2006/relationships/hyperlink" Target="https://drliuhao.github.io/mh-liver-pathways/evidence-libraries/" TargetMode="External"/><Relationship Id="rId658" Type="http://schemas.openxmlformats.org/officeDocument/2006/relationships/hyperlink" Target="https://doi.org/10.1155/joot/2545887" TargetMode="External"/><Relationship Id="rId659" Type="http://schemas.openxmlformats.org/officeDocument/2006/relationships/hyperlink" Target="https://drliuhao.github.io/mh-liver-pathways/evidence-libraries/" TargetMode="External"/><Relationship Id="rId660" Type="http://schemas.openxmlformats.org/officeDocument/2006/relationships/hyperlink" Target="https://www.ecfr.gov/current/title-45/subtitle-A/subchapter-A/part-46/subpart-A/section-46.111" TargetMode="External"/><Relationship Id="rId661" Type="http://schemas.openxmlformats.org/officeDocument/2006/relationships/hyperlink" Target="https://www.hrsa.gov/optn/professionals/resources/ethical-considerations/ethical-principles-in-the-allocation-of-human-organs" TargetMode="External"/><Relationship Id="rId662" Type="http://schemas.openxmlformats.org/officeDocument/2006/relationships/hyperlink" Target="https://doi.org/10.1016/S0140-6736(24)01595-2" TargetMode="External"/><Relationship Id="rId663" Type="http://schemas.openxmlformats.org/officeDocument/2006/relationships/hyperlink" Target="https://drliuhao.github.io/mh-liver-pathways/evidence-libraries/" TargetMode="External"/><Relationship Id="rId664" Type="http://schemas.openxmlformats.org/officeDocument/2006/relationships/hyperlink" Target="https://doi.org/10.1016/j.jhep.2024.03.020" TargetMode="External"/><Relationship Id="rId665" Type="http://schemas.openxmlformats.org/officeDocument/2006/relationships/hyperlink" Target="https://drliuhao.github.io/mh-liver-pathways/evidence-libraries/" TargetMode="External"/><Relationship Id="rId666" Type="http://schemas.openxmlformats.org/officeDocument/2006/relationships/hyperlink" Target="https://doi.org/10.1111/j.1600-6143.2011.03972.x" TargetMode="External"/><Relationship Id="rId667" Type="http://schemas.openxmlformats.org/officeDocument/2006/relationships/hyperlink" Target="https://drliuhao.github.io/mh-liver-pathways/evidence-libraries/" TargetMode="External"/><Relationship Id="rId668" Type="http://schemas.openxmlformats.org/officeDocument/2006/relationships/hyperlink" Target="https://doi.org/10.1111/ajt.14055" TargetMode="External"/><Relationship Id="rId669" Type="http://schemas.openxmlformats.org/officeDocument/2006/relationships/hyperlink" Target="https://drliuhao.github.io/mh-liver-pathways/evidence-libraries/" TargetMode="External"/><Relationship Id="rId670" Type="http://schemas.openxmlformats.org/officeDocument/2006/relationships/hyperlink" Target="https://doi.org/10.1097/LVT.0000000000000303" TargetMode="External"/><Relationship Id="rId671" Type="http://schemas.openxmlformats.org/officeDocument/2006/relationships/hyperlink" Target="https://drliuhao.github.io/mh-liver-pathways/evidence-libraries/" TargetMode="External"/><Relationship Id="rId672" Type="http://schemas.openxmlformats.org/officeDocument/2006/relationships/hyperlink" Target="https://doi.org/10.1097/TP.0000000000000965" TargetMode="External"/><Relationship Id="rId673" Type="http://schemas.openxmlformats.org/officeDocument/2006/relationships/hyperlink" Target="https://drliuhao.github.io/mh-liver-pathways/evidence-libraries/" TargetMode="External"/><Relationship Id="rId674" Type="http://schemas.openxmlformats.org/officeDocument/2006/relationships/hyperlink" Target="https://doi.org/10.1016/j.ajt.2026.02.010" TargetMode="External"/><Relationship Id="rId675" Type="http://schemas.openxmlformats.org/officeDocument/2006/relationships/hyperlink" Target="https://drliuhao.github.io/mh-liver-pathways/evidence-libraries/" TargetMode="External"/><Relationship Id="rId676" Type="http://schemas.openxmlformats.org/officeDocument/2006/relationships/hyperlink" Target="https://doi.org/10.1136/bmj.i5239" TargetMode="External"/><Relationship Id="rId677" Type="http://schemas.openxmlformats.org/officeDocument/2006/relationships/hyperlink" Target="https://drliuhao.github.io/mh-liver-pathways/evidence-libraries/" TargetMode="External"/><Relationship Id="rId678" Type="http://schemas.openxmlformats.org/officeDocument/2006/relationships/hyperlink" Target="https://doi.org/10.3389/ti.2024.13641" TargetMode="External"/><Relationship Id="rId679" Type="http://schemas.openxmlformats.org/officeDocument/2006/relationships/hyperlink" Target="https://drliuhao.github.io/mh-liver-pathways/evidence-libraries/" TargetMode="External"/><Relationship Id="rId680" Type="http://schemas.openxmlformats.org/officeDocument/2006/relationships/hyperlink" Target="https://academic.oup.com/bjs/article/112/3/znaf054/8083032" TargetMode="External"/><Relationship Id="rId681" Type="http://schemas.openxmlformats.org/officeDocument/2006/relationships/hyperlink" Target="https://drliuhao.github.io/mh-liver-pathways/evidence-libraries/" TargetMode="External"/><Relationship Id="rId682" Type="http://schemas.openxmlformats.org/officeDocument/2006/relationships/hyperlink" Target="https://doi.org/10.1111/ctr.70488" TargetMode="External"/><Relationship Id="rId683" Type="http://schemas.openxmlformats.org/officeDocument/2006/relationships/hyperlink" Target="https://drliuhao.github.io/mh-liver-pathways/evidence-libraries/" TargetMode="External"/><Relationship Id="rId684" Type="http://schemas.openxmlformats.org/officeDocument/2006/relationships/hyperlink" Target="https://doi.org/10.1097/HC9.0000000000000619" TargetMode="External"/><Relationship Id="rId685" Type="http://schemas.openxmlformats.org/officeDocument/2006/relationships/hyperlink" Target="https://drliuhao.github.io/mh-liver-pathways/evidence-libraries/" TargetMode="External"/><Relationship Id="rId686" Type="http://schemas.openxmlformats.org/officeDocument/2006/relationships/hyperlink" Target="https://doi.org/10.1002/hep.29342" TargetMode="External"/><Relationship Id="rId687" Type="http://schemas.openxmlformats.org/officeDocument/2006/relationships/hyperlink" Target="https://drliuhao.github.io/mh-liver-pathways/evidence-libraries/" TargetMode="External"/><Relationship Id="rId688" Type="http://schemas.openxmlformats.org/officeDocument/2006/relationships/hyperlink" Target="https://doi.org/10.1016/j.jhepr.2023.100907" TargetMode="External"/><Relationship Id="rId689" Type="http://schemas.openxmlformats.org/officeDocument/2006/relationships/hyperlink" Target="https://drliuhao.github.io/mh-liver-pathways/evidence-libraries/" TargetMode="External"/><Relationship Id="rId690" Type="http://schemas.openxmlformats.org/officeDocument/2006/relationships/hyperlink" Target="https://doi.org/10.1177/09622802261420699" TargetMode="External"/><Relationship Id="rId691" Type="http://schemas.openxmlformats.org/officeDocument/2006/relationships/hyperlink" Target="https://drliuhao.github.io/mh-liver-pathways/evidence-libraries/" TargetMode="External"/><Relationship Id="rId692" Type="http://schemas.openxmlformats.org/officeDocument/2006/relationships/hyperlink" Target="https://doi.org/10.1097/LVT.0000000000000589" TargetMode="External"/><Relationship Id="rId693" Type="http://schemas.openxmlformats.org/officeDocument/2006/relationships/hyperlink" Target="https://drliuhao.github.io/mh-liver-pathways/evidence-libraries/" TargetMode="External"/><Relationship Id="rId694" Type="http://schemas.openxmlformats.org/officeDocument/2006/relationships/hyperlink" Target="https://doi.org/10.1097/HEP.0000000000000466" TargetMode="External"/><Relationship Id="rId695" Type="http://schemas.openxmlformats.org/officeDocument/2006/relationships/hyperlink" Target="https://drliuhao.github.io/mh-liver-pathways/evidence-libraries/" TargetMode="External"/><Relationship Id="rId696" Type="http://schemas.openxmlformats.org/officeDocument/2006/relationships/hyperlink" Target="https://doi.org/10.21037/jgo-24-764" TargetMode="External"/><Relationship Id="rId697" Type="http://schemas.openxmlformats.org/officeDocument/2006/relationships/hyperlink" Target="https://doi.org/10.3389/fonc.2025.1687449" TargetMode="External"/><Relationship Id="rId698" Type="http://schemas.openxmlformats.org/officeDocument/2006/relationships/hyperlink" Target="https://doi.org/10.1001/jamaoncol.2026.3901" TargetMode="External"/><Relationship Id="rId699" Type="http://schemas.openxmlformats.org/officeDocument/2006/relationships/hyperlink" Target="https://drliuhao.github.io/mh-liver-pathways/evidence-libraries/" TargetMode="External"/><Relationship Id="rId700" Type="http://schemas.openxmlformats.org/officeDocument/2006/relationships/hyperlink" Target="https://doi.org/10.1111/j.1432-2277.2006.00412.x" TargetMode="External"/><Relationship Id="rId701" Type="http://schemas.openxmlformats.org/officeDocument/2006/relationships/hyperlink" Target="https://doi.org/10.1016/j.jhep.2012.03.022" TargetMode="External"/><Relationship Id="rId702" Type="http://schemas.openxmlformats.org/officeDocument/2006/relationships/hyperlink" Target="https://doi.org/10.1159/000547230" TargetMode="External"/><Relationship Id="rId703" Type="http://schemas.openxmlformats.org/officeDocument/2006/relationships/hyperlink" Target="https://www.hrsa.gov/sites/default/files/hrsa/optn/optn_policies.pdf" TargetMode="External"/><Relationship Id="rId704" Type="http://schemas.openxmlformats.org/officeDocument/2006/relationships/hyperlink" Target="https://drliuhao.github.io/mh-liver-pathways/evidence-libraries/" TargetMode="External"/><Relationship Id="rId705" Type="http://schemas.openxmlformats.org/officeDocument/2006/relationships/hyperlink" Target="https://www.hrsa.gov/sites/default/files/hrsa/optn/adult-meld-exception-transplant-oncology-review-guidance.pdf" TargetMode="External"/><Relationship Id="rId706" Type="http://schemas.openxmlformats.org/officeDocument/2006/relationships/hyperlink" Target="https://drliuhao.github.io/mh-liver-pathways/evidence-libraries/" TargetMode="External"/><Relationship Id="rId707" Type="http://schemas.openxmlformats.org/officeDocument/2006/relationships/hyperlink" Target="https://doi.org/10.1097/HEP.0000000000000466" TargetMode="External"/><Relationship Id="rId708" Type="http://schemas.openxmlformats.org/officeDocument/2006/relationships/hyperlink" Target="https://drliuhao.github.io/mh-liver-pathways/evidence-libraries/" TargetMode="External"/><Relationship Id="rId709" Type="http://schemas.openxmlformats.org/officeDocument/2006/relationships/hyperlink" Target="https://doi.org/10.1097/HEP.0000000000001231" TargetMode="External"/><Relationship Id="rId710" Type="http://schemas.openxmlformats.org/officeDocument/2006/relationships/hyperlink" Target="https://drliuhao.github.io/mh-liver-pathways/evidence-libraries/" TargetMode="External"/><Relationship Id="rId711" Type="http://schemas.openxmlformats.org/officeDocument/2006/relationships/hyperlink" Target="https://doi.org/10.1016/S1470-2045(20)30224-2" TargetMode="External"/><Relationship Id="rId712" Type="http://schemas.openxmlformats.org/officeDocument/2006/relationships/hyperlink" Target="https://drliuhao.github.io/mh-liver-pathways/evidence-libraries/" TargetMode="External"/><Relationship Id="rId713" Type="http://schemas.openxmlformats.org/officeDocument/2006/relationships/hyperlink" Target="https://doi.org/10.1097/HEP.0000000000001644" TargetMode="External"/><Relationship Id="rId714" Type="http://schemas.openxmlformats.org/officeDocument/2006/relationships/hyperlink" Target="https://drliuhao.github.io/mh-liver-pathways/evidence-libraries/" TargetMode="External"/><Relationship Id="rId715" Type="http://schemas.openxmlformats.org/officeDocument/2006/relationships/hyperlink" Target="https://doi.org/10.1002/hep.27752" TargetMode="External"/><Relationship Id="rId716" Type="http://schemas.openxmlformats.org/officeDocument/2006/relationships/hyperlink" Target="https://drliuhao.github.io/mh-liver-pathways/evidence-libraries/" TargetMode="External"/><Relationship Id="rId717" Type="http://schemas.openxmlformats.org/officeDocument/2006/relationships/hyperlink" Target="https://doi.org/10.1053/j.gastro.2021.07.033" TargetMode="External"/><Relationship Id="rId718" Type="http://schemas.openxmlformats.org/officeDocument/2006/relationships/hyperlink" Target="https://drliuhao.github.io/mh-liver-pathways/evidence-libraries/" TargetMode="External"/><Relationship Id="rId719" Type="http://schemas.openxmlformats.org/officeDocument/2006/relationships/hyperlink" Target="https://doi.org/10.1002/hep.30570" TargetMode="External"/><Relationship Id="rId720" Type="http://schemas.openxmlformats.org/officeDocument/2006/relationships/hyperlink" Target="https://drliuhao.github.io/mh-liver-pathways/evidence-libraries/" TargetMode="External"/><Relationship Id="rId721" Type="http://schemas.openxmlformats.org/officeDocument/2006/relationships/hyperlink" Target="https://doi.org/10.1016/j.ajt.2023.07.021" TargetMode="External"/><Relationship Id="rId722" Type="http://schemas.openxmlformats.org/officeDocument/2006/relationships/hyperlink" Target="https://drliuhao.github.io/mh-liver-pathways/evidence-libraries/" TargetMode="External"/><Relationship Id="rId723" Type="http://schemas.openxmlformats.org/officeDocument/2006/relationships/hyperlink" Target="https://doi.org/10.1016/j.cgh.2022.08.023" TargetMode="External"/><Relationship Id="rId724" Type="http://schemas.openxmlformats.org/officeDocument/2006/relationships/hyperlink" Target="https://drliuhao.github.io/mh-liver-pathways/evidence-libraries/" TargetMode="External"/><Relationship Id="rId725" Type="http://schemas.openxmlformats.org/officeDocument/2006/relationships/hyperlink" Target="https://doi.org/10.1001/jamasurg.2022.2800" TargetMode="External"/><Relationship Id="rId726" Type="http://schemas.openxmlformats.org/officeDocument/2006/relationships/hyperlink" Target="https://drliuhao.github.io/mh-liver-pathways/evidence-libraries/" TargetMode="External"/><Relationship Id="rId727" Type="http://schemas.openxmlformats.org/officeDocument/2006/relationships/hyperlink" Target="https://doi.org/10.1038/s41571-026-01160-z" TargetMode="External"/><Relationship Id="rId728" Type="http://schemas.openxmlformats.org/officeDocument/2006/relationships/hyperlink" Target="https://drliuhao.github.io/mh-liver-pathways/evidence-libraries/" TargetMode="External"/><Relationship Id="rId729" Type="http://schemas.openxmlformats.org/officeDocument/2006/relationships/hyperlink" Target="https://doi.org/10.1002/hep.30413" TargetMode="External"/><Relationship Id="rId730" Type="http://schemas.openxmlformats.org/officeDocument/2006/relationships/hyperlink" Target="https://drliuhao.github.io/mh-liver-pathways/evidence-libraries/" TargetMode="External"/><Relationship Id="rId731" Type="http://schemas.openxmlformats.org/officeDocument/2006/relationships/hyperlink" Target="https://doi.org/10.1001/jamasurg.2021.0954" TargetMode="External"/><Relationship Id="rId732" Type="http://schemas.openxmlformats.org/officeDocument/2006/relationships/hyperlink" Target="https://drliuhao.github.io/mh-liver-pathways/evidence-libraries/" TargetMode="External"/><Relationship Id="rId733" Type="http://schemas.openxmlformats.org/officeDocument/2006/relationships/hyperlink" Target="https://doi.org/10.1002/cam4.71812" TargetMode="External"/><Relationship Id="rId734" Type="http://schemas.openxmlformats.org/officeDocument/2006/relationships/hyperlink" Target="https://drliuhao.github.io/mh-liver-pathways/evidence-libraries/" TargetMode="External"/><Relationship Id="rId735" Type="http://schemas.openxmlformats.org/officeDocument/2006/relationships/hyperlink" Target="https://doi.org/10.1002/lt.26392" TargetMode="External"/><Relationship Id="rId736" Type="http://schemas.openxmlformats.org/officeDocument/2006/relationships/hyperlink" Target="https://drliuhao.github.io/mh-liver-pathways/evidence-libraries/" TargetMode="External"/><Relationship Id="rId737" Type="http://schemas.openxmlformats.org/officeDocument/2006/relationships/hyperlink" Target="https://doi.org/10.1097/TP.0000000000002094" TargetMode="External"/><Relationship Id="rId738" Type="http://schemas.openxmlformats.org/officeDocument/2006/relationships/hyperlink" Target="https://drliuhao.github.io/mh-liver-pathways/evidence-libraries/" TargetMode="External"/><Relationship Id="rId739" Type="http://schemas.openxmlformats.org/officeDocument/2006/relationships/hyperlink" Target="https://doi.org/10.1097/JS9.0000000000004077" TargetMode="External"/><Relationship Id="rId740" Type="http://schemas.openxmlformats.org/officeDocument/2006/relationships/hyperlink" Target="https://drliuhao.github.io/mh-liver-pathways/evidence-libraries/" TargetMode="External"/><Relationship Id="rId741" Type="http://schemas.openxmlformats.org/officeDocument/2006/relationships/hyperlink" Target="https://doi.org/10.1002/lt.24782" TargetMode="External"/><Relationship Id="rId742" Type="http://schemas.openxmlformats.org/officeDocument/2006/relationships/hyperlink" Target="https://drliuhao.github.io/mh-liver-pathways/evidence-libraries/" TargetMode="External"/><Relationship Id="rId743" Type="http://schemas.openxmlformats.org/officeDocument/2006/relationships/hyperlink" Target="https://doi.org/10.1016/j.hbpd.2020.03.009" TargetMode="External"/><Relationship Id="rId744" Type="http://schemas.openxmlformats.org/officeDocument/2006/relationships/hyperlink" Target="https://drliuhao.github.io/mh-liver-pathways/evidence-libraries/" TargetMode="External"/><Relationship Id="rId745" Type="http://schemas.openxmlformats.org/officeDocument/2006/relationships/hyperlink" Target="https://doi.org/10.21037/jgo-24-328" TargetMode="External"/><Relationship Id="rId746" Type="http://schemas.openxmlformats.org/officeDocument/2006/relationships/hyperlink" Target="https://drliuhao.github.io/mh-liver-pathways/evidence-libraries/" TargetMode="External"/><Relationship Id="rId747" Type="http://schemas.openxmlformats.org/officeDocument/2006/relationships/hyperlink" Target="https://doi.org/10.1097/TP.0000000000003162" TargetMode="External"/><Relationship Id="rId748" Type="http://schemas.openxmlformats.org/officeDocument/2006/relationships/hyperlink" Target="https://drliuhao.github.io/mh-liver-pathways/evidence-libraries/" TargetMode="External"/><Relationship Id="rId749" Type="http://schemas.openxmlformats.org/officeDocument/2006/relationships/hyperlink" Target="https://doi.org/10.1111/tri.13586" TargetMode="External"/><Relationship Id="rId750" Type="http://schemas.openxmlformats.org/officeDocument/2006/relationships/hyperlink" Target="https://drliuhao.github.io/mh-liver-pathways/evidence-libraries/" TargetMode="External"/><Relationship Id="rId751" Type="http://schemas.openxmlformats.org/officeDocument/2006/relationships/hyperlink" Target="https://doi.org/10.1097/HEP.0000000000001801" TargetMode="External"/><Relationship Id="rId752" Type="http://schemas.openxmlformats.org/officeDocument/2006/relationships/hyperlink" Target="https://drliuhao.github.io/mh-liver-pathways/evidence-libraries/" TargetMode="External"/><Relationship Id="rId753" Type="http://schemas.openxmlformats.org/officeDocument/2006/relationships/hyperlink" Target="https://doi.org/10.1097/LVT.0000000000000589" TargetMode="External"/><Relationship Id="rId754" Type="http://schemas.openxmlformats.org/officeDocument/2006/relationships/hyperlink" Target="https://drliuhao.github.io/mh-liver-pathways/evidence-libraries/" TargetMode="External"/><Relationship Id="rId755" Type="http://schemas.openxmlformats.org/officeDocument/2006/relationships/hyperlink" Target="https://doi.org/10.1016/j.jhep.2024.08.028" TargetMode="External"/><Relationship Id="rId756" Type="http://schemas.openxmlformats.org/officeDocument/2006/relationships/hyperlink" Target="https://drliuhao.github.io/mh-liver-pathways/evidence-libraries/" TargetMode="External"/><Relationship Id="rId757" Type="http://schemas.openxmlformats.org/officeDocument/2006/relationships/hyperlink" Target="https://doi.org/10.1016/j.prro.2021.09.004" TargetMode="External"/><Relationship Id="rId758" Type="http://schemas.openxmlformats.org/officeDocument/2006/relationships/hyperlink" Target="https://drliuhao.github.io/mh-liver-pathways/evidence-libraries/" TargetMode="External"/><Relationship Id="rId759" Type="http://schemas.openxmlformats.org/officeDocument/2006/relationships/hyperlink" Target="https://www.nccn.org/professionals/physician_gls/pdf/hcc.pdf#page=10" TargetMode="External"/><Relationship Id="rId760" Type="http://schemas.openxmlformats.org/officeDocument/2006/relationships/hyperlink" Target="https://drliuhao.github.io/mh-liver-pathways/evidence-libraries/" TargetMode="External"/><Relationship Id="rId761" Type="http://schemas.openxmlformats.org/officeDocument/2006/relationships/hyperlink" Target="https://edge.sitecorecloud.io/americancoldf5f-acrorgf92a-productioncb02-3650/media/ACR/Files/RADS/LI-RADS/LI-RADS-CTMR-Radiation-TRA-v2024-Core.pdf" TargetMode="External"/><Relationship Id="rId762" Type="http://schemas.openxmlformats.org/officeDocument/2006/relationships/hyperlink" Target="https://drliuhao.github.io/mh-liver-pathways/evidence-libraries/" TargetMode="External"/><Relationship Id="rId763" Type="http://schemas.openxmlformats.org/officeDocument/2006/relationships/hyperlink" Target="https://doi.org/10.1097/HEP.0000000000001289" TargetMode="External"/><Relationship Id="rId764" Type="http://schemas.openxmlformats.org/officeDocument/2006/relationships/hyperlink" Target="https://drliuhao.github.io/mh-liver-pathways/evidence-libraries/" TargetMode="External"/><Relationship Id="rId765" Type="http://schemas.openxmlformats.org/officeDocument/2006/relationships/hyperlink" Target="https://doi.org/10.1016/j.jhep.2024.09.003" TargetMode="External"/><Relationship Id="rId766" Type="http://schemas.openxmlformats.org/officeDocument/2006/relationships/hyperlink" Target="https://drliuhao.github.io/mh-liver-pathways/evidence-libraries/" TargetMode="External"/><Relationship Id="rId767" Type="http://schemas.openxmlformats.org/officeDocument/2006/relationships/hyperlink" Target="https://www.gene.com/download/pdf/avastin_prescribing.pdf" TargetMode="External"/><Relationship Id="rId768" Type="http://schemas.openxmlformats.org/officeDocument/2006/relationships/hyperlink" Target="https://drliuhao.github.io/mh-liver-pathways/evidence-libraries/" TargetMode="External"/><Relationship Id="rId769" Type="http://schemas.openxmlformats.org/officeDocument/2006/relationships/hyperlink" Target="https://pubmed.ncbi.nlm.nih.gov/37760542" TargetMode="External"/><Relationship Id="rId770" Type="http://schemas.openxmlformats.org/officeDocument/2006/relationships/hyperlink" Target="https://drliuhao.github.io/mh-liver-pathways/evidence-libraries/" TargetMode="External"/><Relationship Id="rId771" Type="http://schemas.openxmlformats.org/officeDocument/2006/relationships/hyperlink" Target="https://doi.org/10.1016/j.jhep.2026.02.019" TargetMode="External"/><Relationship Id="rId772" Type="http://schemas.openxmlformats.org/officeDocument/2006/relationships/hyperlink" Target="https://drliuhao.github.io/mh-liver-pathways/evidence-libraries/" TargetMode="External"/><Relationship Id="rId773" Type="http://schemas.openxmlformats.org/officeDocument/2006/relationships/hyperlink" Target="https://doi.org/10.1016/j.jhep.2024.06.042" TargetMode="External"/><Relationship Id="rId774" Type="http://schemas.openxmlformats.org/officeDocument/2006/relationships/hyperlink" Target="https://drliuhao.github.io/mh-liver-pathways/evidence-libraries/" TargetMode="External"/><Relationship Id="rId775" Type="http://schemas.openxmlformats.org/officeDocument/2006/relationships/hyperlink" Target="https://doi.org/10.1136/gutjnl-2025-336719" TargetMode="External"/><Relationship Id="rId776" Type="http://schemas.openxmlformats.org/officeDocument/2006/relationships/hyperlink" Target="https://drliuhao.github.io/mh-liver-pathways/evidence-libraries/" TargetMode="External"/><Relationship Id="rId777" Type="http://schemas.openxmlformats.org/officeDocument/2006/relationships/hyperlink" Target="https://doi.org/10.1111/apt.70528" TargetMode="External"/><Relationship Id="rId778" Type="http://schemas.openxmlformats.org/officeDocument/2006/relationships/hyperlink" Target="https://drliuhao.github.io/mh-liver-pathways/evidence-libraries/" TargetMode="External"/><Relationship Id="rId779" Type="http://schemas.openxmlformats.org/officeDocument/2006/relationships/hyperlink" Target="https://doi.org/10.1111/liv.70692" TargetMode="External"/><Relationship Id="rId780" Type="http://schemas.openxmlformats.org/officeDocument/2006/relationships/hyperlink" Target="https://drliuhao.github.io/mh-liver-pathways/evidence-libraries/" TargetMode="External"/><Relationship Id="rId781" Type="http://schemas.openxmlformats.org/officeDocument/2006/relationships/hyperlink" Target="https://doi.org/10.1001/jamaoncol.2026.3901" TargetMode="External"/><Relationship Id="rId782" Type="http://schemas.openxmlformats.org/officeDocument/2006/relationships/hyperlink" Target="https://drliuhao.github.io/mh-liver-pathways/evidence-libraries/" TargetMode="External"/><Relationship Id="rId783" Type="http://schemas.openxmlformats.org/officeDocument/2006/relationships/hyperlink" Target="https://onlinelibrary.wiley.com/doi/10.1111/apt.70333" TargetMode="External"/><Relationship Id="rId784" Type="http://schemas.openxmlformats.org/officeDocument/2006/relationships/hyperlink" Target="https://drliuhao.github.io/mh-liver-pathways/evidence-libraries/" TargetMode="External"/><Relationship Id="rId785" Type="http://schemas.openxmlformats.org/officeDocument/2006/relationships/hyperlink" Target="https://pubmed.ncbi.nlm.nih.gov/42073607" TargetMode="External"/><Relationship Id="rId786" Type="http://schemas.openxmlformats.org/officeDocument/2006/relationships/hyperlink" Target="https://drliuhao.github.io/mh-liver-pathways/evidence-libraries/" TargetMode="External"/><Relationship Id="rId787" Type="http://schemas.openxmlformats.org/officeDocument/2006/relationships/hyperlink" Target="https://doi.org/10.1155/joot/2545887" TargetMode="External"/><Relationship Id="rId788" Type="http://schemas.openxmlformats.org/officeDocument/2006/relationships/hyperlink" Target="https://drliuhao.github.io/mh-liver-pathways/evidence-libraries/" TargetMode="External"/><Relationship Id="rId789" Type="http://schemas.openxmlformats.org/officeDocument/2006/relationships/hyperlink" Target="https://www.ecfr.gov/current/title-45/subtitle-A/subchapter-A/part-46/subpart-A/section-46.111" TargetMode="External"/><Relationship Id="rId790" Type="http://schemas.openxmlformats.org/officeDocument/2006/relationships/hyperlink" Target="https://www.hrsa.gov/optn/professionals/resources/ethical-considerations/ethical-principles-in-the-allocation-of-human-organs" TargetMode="External"/><Relationship Id="rId791" Type="http://schemas.openxmlformats.org/officeDocument/2006/relationships/hyperlink" Target="https://doi.org/10.1016/S0140-6736(24)01595-2" TargetMode="External"/><Relationship Id="rId792" Type="http://schemas.openxmlformats.org/officeDocument/2006/relationships/hyperlink" Target="https://drliuhao.github.io/mh-liver-pathways/evidence-libraries/" TargetMode="External"/><Relationship Id="rId793" Type="http://schemas.openxmlformats.org/officeDocument/2006/relationships/hyperlink" Target="https://doi.org/10.1016/j.jhep.2024.03.020" TargetMode="External"/><Relationship Id="rId794" Type="http://schemas.openxmlformats.org/officeDocument/2006/relationships/hyperlink" Target="https://drliuhao.github.io/mh-liver-pathways/evidence-libraries/" TargetMode="External"/><Relationship Id="rId795" Type="http://schemas.openxmlformats.org/officeDocument/2006/relationships/hyperlink" Target="https://doi.org/10.1111/j.1600-6143.2011.03972.x" TargetMode="External"/><Relationship Id="rId796" Type="http://schemas.openxmlformats.org/officeDocument/2006/relationships/hyperlink" Target="https://drliuhao.github.io/mh-liver-pathways/evidence-libraries/" TargetMode="External"/><Relationship Id="rId797" Type="http://schemas.openxmlformats.org/officeDocument/2006/relationships/hyperlink" Target="https://doi.org/10.1111/ajt.14055" TargetMode="External"/><Relationship Id="rId798" Type="http://schemas.openxmlformats.org/officeDocument/2006/relationships/hyperlink" Target="https://drliuhao.github.io/mh-liver-pathways/evidence-libraries/" TargetMode="External"/><Relationship Id="rId799" Type="http://schemas.openxmlformats.org/officeDocument/2006/relationships/hyperlink" Target="https://doi.org/10.1097/LVT.0000000000000303" TargetMode="External"/><Relationship Id="rId800" Type="http://schemas.openxmlformats.org/officeDocument/2006/relationships/hyperlink" Target="https://drliuhao.github.io/mh-liver-pathways/evidence-libraries/" TargetMode="External"/><Relationship Id="rId801" Type="http://schemas.openxmlformats.org/officeDocument/2006/relationships/hyperlink" Target="https://doi.org/10.1097/TP.0000000000000965" TargetMode="External"/><Relationship Id="rId802" Type="http://schemas.openxmlformats.org/officeDocument/2006/relationships/hyperlink" Target="https://drliuhao.github.io/mh-liver-pathways/evidence-libraries/" TargetMode="External"/><Relationship Id="rId803" Type="http://schemas.openxmlformats.org/officeDocument/2006/relationships/hyperlink" Target="https://doi.org/10.1016/j.ajt.2026.02.010" TargetMode="External"/><Relationship Id="rId804" Type="http://schemas.openxmlformats.org/officeDocument/2006/relationships/hyperlink" Target="https://drliuhao.github.io/mh-liver-pathways/evidence-libraries/" TargetMode="External"/><Relationship Id="rId805" Type="http://schemas.openxmlformats.org/officeDocument/2006/relationships/hyperlink" Target="https://doi.org/10.1136/bmj.i5239" TargetMode="External"/><Relationship Id="rId806" Type="http://schemas.openxmlformats.org/officeDocument/2006/relationships/hyperlink" Target="https://drliuhao.github.io/mh-liver-pathways/evidence-libraries/" TargetMode="External"/><Relationship Id="rId807" Type="http://schemas.openxmlformats.org/officeDocument/2006/relationships/hyperlink" Target="https://doi.org/10.3389/ti.2024.13641" TargetMode="External"/><Relationship Id="rId808" Type="http://schemas.openxmlformats.org/officeDocument/2006/relationships/hyperlink" Target="https://drliuhao.github.io/mh-liver-pathways/evidence-libraries/" TargetMode="External"/><Relationship Id="rId809" Type="http://schemas.openxmlformats.org/officeDocument/2006/relationships/hyperlink" Target="https://academic.oup.com/bjs/article/112/3/znaf054/8083032" TargetMode="External"/><Relationship Id="rId810" Type="http://schemas.openxmlformats.org/officeDocument/2006/relationships/hyperlink" Target="https://drliuhao.github.io/mh-liver-pathways/evidence-libraries/" TargetMode="External"/><Relationship Id="rId811" Type="http://schemas.openxmlformats.org/officeDocument/2006/relationships/hyperlink" Target="https://doi.org/10.1111/ctr.70488" TargetMode="External"/><Relationship Id="rId812" Type="http://schemas.openxmlformats.org/officeDocument/2006/relationships/hyperlink" Target="https://drliuhao.github.io/mh-liver-pathways/evidence-libraries/" TargetMode="External"/><Relationship Id="rId813" Type="http://schemas.openxmlformats.org/officeDocument/2006/relationships/hyperlink" Target="https://doi.org/10.1097/HC9.0000000000000619" TargetMode="External"/><Relationship Id="rId814" Type="http://schemas.openxmlformats.org/officeDocument/2006/relationships/hyperlink" Target="https://drliuhao.github.io/mh-liver-pathways/evidence-libraries/" TargetMode="External"/><Relationship Id="rId815" Type="http://schemas.openxmlformats.org/officeDocument/2006/relationships/hyperlink" Target="https://doi.org/10.1002/hep.29342" TargetMode="External"/><Relationship Id="rId816" Type="http://schemas.openxmlformats.org/officeDocument/2006/relationships/hyperlink" Target="https://drliuhao.github.io/mh-liver-pathways/evidence-libraries/" TargetMode="External"/><Relationship Id="rId817" Type="http://schemas.openxmlformats.org/officeDocument/2006/relationships/hyperlink" Target="https://doi.org/10.1016/j.jhepr.2023.100907" TargetMode="External"/><Relationship Id="rId818" Type="http://schemas.openxmlformats.org/officeDocument/2006/relationships/hyperlink" Target="https://drliuhao.github.io/mh-liver-pathways/evidence-libraries/" TargetMode="External"/><Relationship Id="rId819" Type="http://schemas.openxmlformats.org/officeDocument/2006/relationships/hyperlink" Target="https://doi.org/10.1177/09622802261420699" TargetMode="External"/><Relationship Id="rId820" Type="http://schemas.openxmlformats.org/officeDocument/2006/relationships/hyperlink" Target="https://drliuhao.github.io/mh-liver-pathways/evidence-libraries/" TargetMode="External"/><Relationship Id="rId821" Type="http://schemas.openxmlformats.org/officeDocument/2006/relationships/hyperlink" Target="https://doi.org/10.21037/jgo-24-764" TargetMode="External"/><Relationship Id="rId822" Type="http://schemas.openxmlformats.org/officeDocument/2006/relationships/hyperlink" Target="https://doi.org/10.3389/fonc.2025.1687449" TargetMode="External"/><Relationship Id="rId823" Type="http://schemas.openxmlformats.org/officeDocument/2006/relationships/hyperlink" Target="https://doi.org/10.1111/j.1432-2277.2006.00412.x" TargetMode="External"/><Relationship Id="rId824" Type="http://schemas.openxmlformats.org/officeDocument/2006/relationships/hyperlink" Target="https://doi.org/10.1016/j.jhep.2012.03.022" TargetMode="External"/><Relationship Id="rId825" Type="http://schemas.openxmlformats.org/officeDocument/2006/relationships/hyperlink" Target="https://doi.org/10.1159/000547230"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2026-07-15T23:23:12.542Z</dcterms:created>
  <dcterms:modified xsi:type="dcterms:W3CDTF">2026-10-29T14:21:23Z</dcterms:modified>
  <dc:title>UTHealth Houston and Memorial Hermann High Risk Liver Transplant Protocol for Hepatocellular Carcinoma V8</dc:title>
  <dc:subject>Investigational HCC pathway outside standardized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