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carcinoma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standard transplant pathway, high-risk transplant protocol.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HCC_1_Cancer_Roadmap.docx</w:t>
      </w:r>
      <w:r>
        <w:rPr>
          <w:b w:val="0"/>
          <w:i w:val="0"/>
          <w:sz w:val="20"/>
        </w:rPr>
        <w:t xml:space="preserve"> · Standard transplant pathway (full content): </w:t>
      </w:r>
      <w:r>
        <w:rPr>
          <w:b w:val="0"/>
          <w:i/>
        </w:rPr>
        <w:t>HCC_3_Standard_Transplant_Protocol.docx</w:t>
      </w:r>
      <w:r>
        <w:rPr>
          <w:b w:val="0"/>
          <w:i w:val="0"/>
          <w:sz w:val="20"/>
        </w:rPr>
        <w:t xml:space="preserve"> · High-risk transplant protocol (full content): </w:t>
      </w:r>
      <w:r>
        <w:rPr>
          <w:b w:val="0"/>
          <w:i/>
        </w:rPr>
        <w:t>HCC_5_High_Risk_Transplant_Protocol.docx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HCC-R1</w:t>
            </w:r>
          </w:p>
        </w:tc>
        <w:tc>
          <w:tcPr>
            <w:tcW w:type="dxa" w:w="2016"/>
            <w:tcW w:w="2900" w:type="dxa"/>
            <w:shd w:val="clear" w:color="auto" w:fill="F1F5F8"/>
          </w:tcPr>
          <w:p>
            <w:pPr>
              <w:spacing w:after="0"/>
            </w:pPr>
            <w:r>
              <w:rPr>
                <w:b w:val="0"/>
                <w:i w:val="0"/>
                <w:sz w:val="19"/>
              </w:rPr>
              <w:t>After extrahepatic HCC responds to systemic therapy or is treated locally, when should resection or ablation of the liver tumor be offered?</w:t>
            </w:r>
          </w:p>
        </w:tc>
        <w:tc>
          <w:tcPr>
            <w:tcW w:type="dxa" w:w="2016"/>
            <w:tcW w:w="3080" w:type="dxa"/>
            <w:shd w:val="clear" w:color="auto" w:fill="F1F5F8"/>
          </w:tcPr>
          <w:p>
            <w:pPr>
              <w:spacing w:after="0"/>
            </w:pPr>
            <w:r>
              <w:rPr>
                <w:b w:val="0"/>
                <w:i w:val="0"/>
                <w:sz w:val="19"/>
              </w:rPr>
              <w:t>Offer curative-intent liver resection or ablation, with treatment of every residual extrahepatic site, only to selected patients after MDT review, and present it as life-prolonging multimodal therapy, not cure. Use…</w:t>
            </w:r>
          </w:p>
        </w:tc>
        <w:tc>
          <w:tcPr>
            <w:tcW w:type="dxa" w:w="2016"/>
            <w:tcW w:w="1500" w:type="dxa"/>
            <w:shd w:val="clear" w:color="auto" w:fill="F1F5F8"/>
          </w:tcPr>
          <w:p>
            <w:pPr>
              <w:spacing w:after="0"/>
            </w:pPr>
            <w:r>
              <w:rPr>
                <w:b w:val="0"/>
                <w:i w:val="0"/>
                <w:color w:val="5A6069"/>
                <w:sz w:val="18"/>
              </w:rPr>
              <w:t>Proposed; MDT selection · OPEN proposal</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w:t>
            </w:r>
          </w:p>
        </w:tc>
        <w:tc>
          <w:tcPr>
            <w:tcW w:type="dxa" w:w="2016"/>
            <w:tcW w:w="2900" w:type="dxa"/>
            <w:shd w:val="clear" w:color="auto" w:fill="FFFFFF"/>
          </w:tcPr>
          <w:p>
            <w:pPr>
              <w:spacing w:after="0"/>
            </w:pPr>
            <w:r>
              <w:rPr>
                <w:b w:val="0"/>
                <w:i w:val="0"/>
                <w:sz w:val="19"/>
              </w:rPr>
              <w:t>Name the accountable system HCC pathway owner and the neutral tumour-board chair.</w:t>
            </w:r>
          </w:p>
        </w:tc>
        <w:tc>
          <w:tcPr>
            <w:tcW w:type="dxa" w:w="2016"/>
            <w:tcW w:w="3080" w:type="dxa"/>
            <w:shd w:val="clear" w:color="auto" w:fill="FFFFFF"/>
          </w:tcPr>
          <w:p>
            <w:pPr>
              <w:spacing w:after="0"/>
            </w:pPr>
            <w:r>
              <w:rPr>
                <w:b w:val="0"/>
                <w:i w:val="0"/>
                <w:sz w:val="19"/>
              </w:rPr>
              <w:t>The roadmap names no individuals. It specifies a neutral clinical chair who, after radiology-first presentation and explicit comparison of options, synthesises one recommendation and names any genuine uncertainty with its…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HCC-D2</w:t>
            </w:r>
          </w:p>
        </w:tc>
        <w:tc>
          <w:tcPr>
            <w:tcW w:type="dxa" w:w="2016"/>
            <w:tcW w:w="2900" w:type="dxa"/>
            <w:shd w:val="clear" w:color="auto" w:fill="F1F5F8"/>
          </w:tcPr>
          <w:p>
            <w:pPr>
              <w:spacing w:after="0"/>
            </w:pPr>
            <w:r>
              <w:rPr>
                <w:b w:val="0"/>
                <w:i w:val="0"/>
                <w:sz w:val="19"/>
              </w:rPr>
              <w:t>Approve the Epic submission form, the MDT note template, the registry minimum dataset and the urgent-case rule.</w:t>
            </w:r>
          </w:p>
        </w:tc>
        <w:tc>
          <w:tcPr>
            <w:tcW w:type="dxa" w:w="2016"/>
            <w:tcW w:w="3080" w:type="dxa"/>
            <w:shd w:val="clear" w:color="auto" w:fill="F1F5F8"/>
          </w:tcPr>
          <w:p>
            <w:pPr>
              <w:spacing w:after="0"/>
            </w:pPr>
            <w:r>
              <w:rPr>
                <w:b w:val="0"/>
                <w:i w:val="0"/>
                <w:sz w:val="19"/>
              </w:rPr>
              <w:t>The Epic submission form records diagnosis, clinical question, BCLC stage, AFP, liver scores, imaging availability, prior treatment, transplant status, referring clinician and urgency. The Epic note, due within one business…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HCC-D3</w:t>
            </w:r>
          </w:p>
        </w:tc>
        <w:tc>
          <w:tcPr>
            <w:tcW w:type="dxa" w:w="2016"/>
            <w:tcW w:w="2900" w:type="dxa"/>
            <w:shd w:val="clear" w:color="auto" w:fill="FFFFFF"/>
          </w:tcPr>
          <w:p>
            <w:pPr>
              <w:spacing w:after="0"/>
            </w:pPr>
            <w:r>
              <w:rPr>
                <w:b w:val="0"/>
                <w:i w:val="0"/>
                <w:sz w:val="19"/>
              </w:rPr>
              <w:t>Approve modality-specific liver-function and dosimetry thresholds rather than relying on a single universal bilirubin cut-off.</w:t>
            </w:r>
          </w:p>
        </w:tc>
        <w:tc>
          <w:tcPr>
            <w:tcW w:type="dxa" w:w="2016"/>
            <w:tcW w:w="3080" w:type="dxa"/>
            <w:shd w:val="clear" w:color="auto" w:fill="FFFFFF"/>
          </w:tcPr>
          <w:p>
            <w:pPr>
              <w:spacing w:after="0"/>
            </w:pPr>
            <w:r>
              <w:rPr>
                <w:b w:val="0"/>
                <w:i w:val="0"/>
                <w:sz w:val="19"/>
              </w:rPr>
              <w:t>Thresholds are not yet set: hepatology is to fix Child-Pugh, ALBI and MELD bars per modality, and interventional radiology the dosimetry limits. Current page markers: TACE avoided with decompensation or…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HCC-D4</w:t>
            </w:r>
          </w:p>
        </w:tc>
        <w:tc>
          <w:tcPr>
            <w:tcW w:type="dxa" w:w="2016"/>
            <w:tcW w:w="2900" w:type="dxa"/>
            <w:shd w:val="clear" w:color="auto" w:fill="F1F5F8"/>
          </w:tcPr>
          <w:p>
            <w:pPr>
              <w:spacing w:after="0"/>
            </w:pPr>
            <w:r>
              <w:rPr>
                <w:b w:val="0"/>
                <w:i w:val="0"/>
                <w:sz w:val="19"/>
              </w:rPr>
              <w:t>Ratify the locoregional selector and the stop/switch rules jointly with hepatobiliary and transplant surgery, hepatology, interventional radiology, radiation oncology, diagnostic radiology and medical oncology.</w:t>
            </w:r>
          </w:p>
        </w:tc>
        <w:tc>
          <w:tcPr>
            <w:tcW w:type="dxa" w:w="2016"/>
            <w:tcW w:w="3080" w:type="dxa"/>
            <w:shd w:val="clear" w:color="auto" w:fill="F1F5F8"/>
          </w:tcPr>
          <w:p>
            <w:pPr>
              <w:spacing w:after="0"/>
            </w:pPr>
            <w:r>
              <w:rPr>
                <w:b w:val="0"/>
                <w:i w:val="0"/>
                <w:sz w:val="19"/>
              </w:rPr>
              <w:t>Ratify a non-ranked selector chosen by goal, anatomy and reserve, with no universal ablation-to-histotripsy sequence; device availability and specialty preference are not indications. Stop/switch: reassess after every treatment; move away…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HCC-D5</w:t>
            </w:r>
          </w:p>
        </w:tc>
        <w:tc>
          <w:tcPr>
            <w:tcW w:type="dxa" w:w="2016"/>
            <w:tcW w:w="2900" w:type="dxa"/>
            <w:shd w:val="clear" w:color="auto" w:fill="FFFFFF"/>
          </w:tcPr>
          <w:p>
            <w:pPr>
              <w:spacing w:after="0"/>
            </w:pPr>
            <w:r>
              <w:rPr>
                <w:b w:val="0"/>
                <w:i w:val="0"/>
                <w:sz w:val="19"/>
              </w:rPr>
              <w:t>Adopt one reading of resection in clinically significant portal hypertension and state it on the page, rather than leaving the BCLC position and the Yuan randomised result side by side for each board to choose between.</w:t>
            </w:r>
          </w:p>
        </w:tc>
        <w:tc>
          <w:tcPr>
            <w:tcW w:type="dxa" w:w="2016"/>
            <w:tcW w:w="3080" w:type="dxa"/>
            <w:shd w:val="clear" w:color="auto" w:fill="FFFFFF"/>
          </w:tcPr>
          <w:p>
            <w:pPr>
              <w:spacing w:after="0"/>
            </w:pPr>
            <w:r>
              <w:rPr>
                <w:b w:val="0"/>
                <w:i w:val="0"/>
                <w:sz w:val="19"/>
              </w:rPr>
              <w:t>The roadmap currently adopts neither reading by default: CSPH raises operative risk and should prompt transplant assessment within Milan, but is not an automatic bar where the remnant is adequate,…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HCC-D6</w:t>
            </w:r>
          </w:p>
        </w:tc>
        <w:tc>
          <w:tcPr>
            <w:tcW w:type="dxa" w:w="2016"/>
            <w:tcW w:w="2900" w:type="dxa"/>
            <w:shd w:val="clear" w:color="auto" w:fill="F1F5F8"/>
          </w:tcPr>
          <w:p>
            <w:pPr>
              <w:spacing w:after="0"/>
            </w:pPr>
            <w:r>
              <w:rPr>
                <w:b w:val="0"/>
                <w:i w:val="0"/>
                <w:sz w:val="19"/>
              </w:rPr>
              <w:t>Decide whether a non-invasive Baveno VIII rule-in or rule-out may stand in for HVPG when the resection decision turns on portal pressure, and make recording the criterion used, its value and its date a condition of proposing resection.</w:t>
            </w:r>
          </w:p>
        </w:tc>
        <w:tc>
          <w:tcPr>
            <w:tcW w:type="dxa" w:w="2016"/>
            <w:tcW w:w="3080" w:type="dxa"/>
            <w:shd w:val="clear" w:color="auto" w:fill="F1F5F8"/>
          </w:tcPr>
          <w:p>
            <w:pPr>
              <w:spacing w:after="0"/>
            </w:pPr>
            <w:r>
              <w:rPr>
                <w:b w:val="0"/>
                <w:i w:val="0"/>
                <w:sz w:val="19"/>
              </w:rPr>
              <w:t>Measure HVPG when the resection decision turns on portal pressure; non-invasive rule-in is useful where HVPG is unavailable or declined, and in BCLC 0–A HCC without a &gt;5 cm right-lobe…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HCC-D7</w:t>
            </w:r>
          </w:p>
        </w:tc>
        <w:tc>
          <w:tcPr>
            <w:tcW w:type="dxa" w:w="2016"/>
            <w:tcW w:w="2900" w:type="dxa"/>
            <w:shd w:val="clear" w:color="auto" w:fill="FFFFFF"/>
          </w:tcPr>
          <w:p>
            <w:pPr>
              <w:spacing w:after="0"/>
            </w:pPr>
            <w:r>
              <w:rPr>
                <w:b w:val="0"/>
                <w:i w:val="0"/>
                <w:sz w:val="19"/>
              </w:rPr>
              <w:t>Rule on whether a large spontaneous portosystemic shunt can lower measured HVPG enough to make a sub-10 mmHg value unreliable; this roadmap has not verified that concern against a primary source.</w:t>
            </w:r>
          </w:p>
        </w:tc>
        <w:tc>
          <w:tcPr>
            <w:tcW w:type="dxa" w:w="2016"/>
            <w:tcW w:w="3080" w:type="dxa"/>
            <w:shd w:val="clear" w:color="auto" w:fill="FFFFFF"/>
          </w:tcPr>
          <w:p>
            <w:pPr>
              <w:spacing w:after="0"/>
            </w:pPr>
            <w:r>
              <w:rPr>
                <w:b w:val="0"/>
                <w:i w:val="0"/>
                <w:sz w:val="19"/>
              </w:rPr>
              <w:t>Unresolved: hepatology is to rule before a sub-10 mmHg HVPG is treated as reassuring. Meanwhile a shunt on staging CT is treated as a staging finding, and in three settings…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HCC-D8</w:t>
            </w:r>
          </w:p>
        </w:tc>
        <w:tc>
          <w:tcPr>
            <w:tcW w:type="dxa" w:w="2016"/>
            <w:tcW w:w="2900" w:type="dxa"/>
            <w:shd w:val="clear" w:color="auto" w:fill="F1F5F8"/>
          </w:tcPr>
          <w:p>
            <w:pPr>
              <w:spacing w:after="0"/>
            </w:pPr>
            <w:r>
              <w:rPr>
                <w:b w:val="0"/>
                <w:i w:val="0"/>
                <w:sz w:val="19"/>
              </w:rPr>
              <w:t>Decide whether radiation segmentectomy may be offered as a definitive curative-intent option on single-arm evidence, above what tumour size it may not, and whether personalised dosimetry is required before it is described that way.</w:t>
            </w:r>
          </w:p>
        </w:tc>
        <w:tc>
          <w:tcPr>
            <w:tcW w:type="dxa" w:w="2016"/>
            <w:tcW w:w="3080" w:type="dxa"/>
            <w:shd w:val="clear" w:color="auto" w:fill="F1F5F8"/>
          </w:tcPr>
          <w:p>
            <w:pPr>
              <w:spacing w:after="0"/>
            </w:pPr>
            <w:r>
              <w:rPr>
                <w:b w:val="0"/>
                <w:i w:val="0"/>
                <w:sz w:val="19"/>
              </w:rPr>
              <w:t>Reasonable, grade C (Preferred in the selector for its phenotype): a selected definitive curative-intent option for solitary localized HCC when ablation is unsuitable, with full arterial coverage and ablative dosimetry.…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HCC-D9</w:t>
            </w:r>
          </w:p>
        </w:tc>
        <w:tc>
          <w:tcPr>
            <w:tcW w:type="dxa" w:w="2016"/>
            <w:tcW w:w="2900" w:type="dxa"/>
            <w:shd w:val="clear" w:color="auto" w:fill="FFFFFF"/>
          </w:tcPr>
          <w:p>
            <w:pPr>
              <w:spacing w:after="0"/>
            </w:pPr>
            <w:r>
              <w:rPr>
                <w:b w:val="0"/>
                <w:i w:val="0"/>
                <w:sz w:val="19"/>
              </w:rPr>
              <w:t>Decide whether this roadmap adopts the BCLC 2026 preference for microwave over radiofrequency up to 3 to 4 cm, given that no randomised trial has shown a difference, and whether the preference is stated as operational rather than outcome-based.</w:t>
            </w:r>
          </w:p>
        </w:tc>
        <w:tc>
          <w:tcPr>
            <w:tcW w:type="dxa" w:w="2016"/>
            <w:tcW w:w="3080" w:type="dxa"/>
            <w:shd w:val="clear" w:color="auto" w:fill="FFFFFF"/>
          </w:tcPr>
          <w:p>
            <w:pPr>
              <w:spacing w:after="0"/>
            </w:pPr>
            <w:r>
              <w:rPr>
                <w:b w:val="0"/>
                <w:i w:val="0"/>
                <w:sz w:val="19"/>
              </w:rPr>
              <w:t>Microwave or radiofrequency. The roadmap records the BCLC 2026 preference but states no randomised trial has shown a difference, so the preference is operational (a workflow preference, not outcome-based); the…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HCC-D10</w:t>
            </w:r>
          </w:p>
        </w:tc>
        <w:tc>
          <w:tcPr>
            <w:tcW w:type="dxa" w:w="2016"/>
            <w:tcW w:w="2900" w:type="dxa"/>
            <w:shd w:val="clear" w:color="auto" w:fill="F1F5F8"/>
          </w:tcPr>
          <w:p>
            <w:pPr>
              <w:spacing w:after="0"/>
            </w:pPr>
            <w:r>
              <w:rPr>
                <w:b w:val="0"/>
                <w:i w:val="0"/>
                <w:sz w:val="19"/>
              </w:rPr>
              <w:t>Decide whether this roadmap adopts the BCLC 2026 placement of external beam radiotherapy as an ablative alternative in BCLC 0 and A, given the supporting survival figures come from a retrospective multinational cohort of selected centres with no comparator arm.</w:t>
            </w:r>
          </w:p>
        </w:tc>
        <w:tc>
          <w:tcPr>
            <w:tcW w:type="dxa" w:w="2016"/>
            <w:tcW w:w="3080" w:type="dxa"/>
            <w:shd w:val="clear" w:color="auto" w:fill="F1F5F8"/>
          </w:tcPr>
          <w:p>
            <w:pPr>
              <w:spacing w:after="0"/>
            </w:pPr>
            <w:r>
              <w:rPr>
                <w:b w:val="0"/>
                <w:i w:val="0"/>
                <w:sz w:val="19"/>
              </w:rPr>
              <w:t>SBRT is Reasonable, grade B: a selected definitive alternative when the target is unsuitable for ablation and surgery (difficult access, vessel-adjacent) with adequate uninvolved liver; prior catheter-therapy failure is not…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HCC-D11</w:t>
            </w:r>
          </w:p>
        </w:tc>
        <w:tc>
          <w:tcPr>
            <w:tcW w:type="dxa" w:w="2016"/>
            <w:tcW w:w="2900" w:type="dxa"/>
            <w:shd w:val="clear" w:color="auto" w:fill="FFFFFF"/>
          </w:tcPr>
          <w:p>
            <w:pPr>
              <w:spacing w:after="0"/>
            </w:pPr>
            <w:r>
              <w:rPr>
                <w:b w:val="0"/>
                <w:i w:val="0"/>
                <w:sz w:val="19"/>
              </w:rPr>
              <w:t>Agree the AFP rule that actually binds listing here, since OPTN and AASLD allow listing once an AFP of 1,000 ng/mL or more falls below 500 while EASL treats an AFP above 1,000 as an absolute contraindication requiring three months at or below 1,000.</w:t>
            </w:r>
          </w:p>
        </w:tc>
        <w:tc>
          <w:tcPr>
            <w:tcW w:type="dxa" w:w="2016"/>
            <w:tcW w:w="3080" w:type="dxa"/>
            <w:shd w:val="clear" w:color="auto" w:fill="FFFFFF"/>
          </w:tcPr>
          <w:p>
            <w:pPr>
              <w:spacing w:after="0"/>
            </w:pPr>
            <w:r>
              <w:rPr>
                <w:b w:val="0"/>
                <w:i w:val="0"/>
                <w:sz w:val="19"/>
              </w:rPr>
              <w:t>The page applies the OPTN rule (to be verified against current Policy 9 text), with the stricter of OPTN and local policy governing, and every AFP recorded with its date…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HCC-D12</w:t>
            </w:r>
          </w:p>
        </w:tc>
        <w:tc>
          <w:tcPr>
            <w:tcW w:type="dxa" w:w="2016"/>
            <w:tcW w:w="2900" w:type="dxa"/>
            <w:shd w:val="clear" w:color="auto" w:fill="F1F5F8"/>
          </w:tcPr>
          <w:p>
            <w:pPr>
              <w:spacing w:after="0"/>
            </w:pPr>
            <w:r>
              <w:rPr>
                <w:b w:val="0"/>
                <w:i w:val="0"/>
                <w:sz w:val="19"/>
              </w:rPr>
              <w:t>Decide whether histotripsy begins as trial-only or registry-only, with credentialing, target criteria, consent language and an outcome review cadence, and require the prespecified rather than the post hoc local-control read in the registry.</w:t>
            </w:r>
          </w:p>
        </w:tc>
        <w:tc>
          <w:tcPr>
            <w:tcW w:type="dxa" w:w="2016"/>
            <w:tcW w:w="3080" w:type="dxa"/>
            <w:shd w:val="clear" w:color="auto" w:fill="F1F5F8"/>
          </w:tcPr>
          <w:p>
            <w:pPr>
              <w:spacing w:after="0"/>
            </w:pPr>
            <w:r>
              <w:rPr>
                <w:b w:val="0"/>
                <w:i w:val="0"/>
                <w:sz w:val="19"/>
              </w:rPr>
              <w:t>Trial only, grade C: confined to a prospective trial or institutional registry, with consent explicit about oncologic uncertainty, a reliably visible target, adequate acoustic access, size and depth within device…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HCC-D13</w:t>
            </w:r>
          </w:p>
        </w:tc>
        <w:tc>
          <w:tcPr>
            <w:tcW w:type="dxa" w:w="2016"/>
            <w:tcW w:w="2900" w:type="dxa"/>
            <w:shd w:val="clear" w:color="auto" w:fill="FFFFFF"/>
          </w:tcPr>
          <w:p>
            <w:pPr>
              <w:spacing w:after="0"/>
            </w:pPr>
            <w:r>
              <w:rPr>
                <w:b w:val="0"/>
                <w:i w:val="0"/>
                <w:sz w:val="19"/>
              </w:rPr>
              <w:t>Adopt an explicit institutional position that TACE combined with checkpoint inhibitors is protocol-only until an overall-survival benefit is demonstrated, and record the toxicity rates the trials reported as part of the consent conversation.</w:t>
            </w:r>
          </w:p>
        </w:tc>
        <w:tc>
          <w:tcPr>
            <w:tcW w:type="dxa" w:w="2016"/>
            <w:tcW w:w="3080" w:type="dxa"/>
            <w:shd w:val="clear" w:color="auto" w:fill="FFFFFF"/>
          </w:tcPr>
          <w:p>
            <w:pPr>
              <w:spacing w:after="0"/>
            </w:pPr>
            <w:r>
              <w:rPr>
                <w:b w:val="0"/>
                <w:i w:val="0"/>
                <w:sz w:val="19"/>
              </w:rPr>
              <w:t>Avoid outside a clinical trial or an approved institutional protocol, to be reviewed again should a positive overall-survival analysis appear or a labelled indication be granted. The v16 systemic matrix…</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HCC-D14</w:t>
            </w:r>
          </w:p>
        </w:tc>
        <w:tc>
          <w:tcPr>
            <w:tcW w:type="dxa" w:w="2016"/>
            <w:tcW w:w="2900" w:type="dxa"/>
            <w:shd w:val="clear" w:color="auto" w:fill="F1F5F8"/>
          </w:tcPr>
          <w:p>
            <w:pPr>
              <w:spacing w:after="0"/>
            </w:pPr>
            <w:r>
              <w:rPr>
                <w:b w:val="0"/>
                <w:i w:val="0"/>
                <w:sz w:val="19"/>
              </w:rPr>
              <w:t>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tc>
        <w:tc>
          <w:tcPr>
            <w:tcW w:type="dxa" w:w="2016"/>
            <w:tcW w:w="3080" w:type="dxa"/>
            <w:shd w:val="clear" w:color="auto" w:fill="F1F5F8"/>
          </w:tcPr>
          <w:p>
            <w:pPr>
              <w:spacing w:after="0"/>
            </w:pPr>
            <w:r>
              <w:rPr>
                <w:b w:val="0"/>
                <w:i w:val="0"/>
                <w:sz w:val="19"/>
              </w:rPr>
              <w:t>The roadmap states only that adjuvant atezolizumab-bevacizumab is not recommended (Avoid) and that resected patients get multiphase liver and chest imaging every 3-6 months with long-term surveillance; it takes no…</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HCC-D15</w:t>
            </w:r>
          </w:p>
        </w:tc>
        <w:tc>
          <w:tcPr>
            <w:tcW w:type="dxa" w:w="2016"/>
            <w:tcW w:w="2900" w:type="dxa"/>
            <w:shd w:val="clear" w:color="auto" w:fill="FFFFFF"/>
          </w:tcPr>
          <w:p>
            <w:pPr>
              <w:spacing w:after="0"/>
            </w:pPr>
            <w:r>
              <w:rPr>
                <w:b w:val="0"/>
                <w:i w:val="0"/>
                <w:sz w:val="19"/>
              </w:rPr>
              <w:t>Define the pre-transplant checkpoint-inhibitor washout requirement and the approval route, and confirm that local transplant policy is at least as strict as OPTN policy.</w:t>
            </w:r>
          </w:p>
        </w:tc>
        <w:tc>
          <w:tcPr>
            <w:tcW w:type="dxa" w:w="2016"/>
            <w:tcW w:w="3080" w:type="dxa"/>
            <w:shd w:val="clear" w:color="auto" w:fill="FFFFFF"/>
          </w:tcPr>
          <w:p>
            <w:pPr>
              <w:spacing w:after="0"/>
            </w:pPr>
            <w:r>
              <w:rPr>
                <w:b w:val="0"/>
                <w:i w:val="0"/>
                <w:sz w:val="19"/>
              </w:rPr>
              <w:t>Pre-transplant checkpoint inhibitors only through transplant-specific review (Reasonable C, TX-TIMING), with washout, immunosuppression plan and alternative agreed before the first dose; the record covers the last dose, the proposed interval,…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HCC-D16</w:t>
            </w:r>
          </w:p>
        </w:tc>
        <w:tc>
          <w:tcPr>
            <w:tcW w:type="dxa" w:w="2016"/>
            <w:tcW w:w="2900" w:type="dxa"/>
            <w:shd w:val="clear" w:color="auto" w:fill="F1F5F8"/>
          </w:tcPr>
          <w:p>
            <w:pPr>
              <w:spacing w:after="0"/>
            </w:pPr>
            <w:r>
              <w:rPr>
                <w:b w:val="0"/>
                <w:i w:val="0"/>
                <w:sz w:val="19"/>
              </w:rPr>
              <w:t>Decide whether SBRT may be used as a transplant bridge, given explant complete necrosis of 13% after SBRT against 49% after radiofrequency ablation in the only comparative series, and name who adjudicates bridging modality choice.</w:t>
            </w:r>
          </w:p>
        </w:tc>
        <w:tc>
          <w:tcPr>
            <w:tcW w:type="dxa" w:w="2016"/>
            <w:tcW w:w="3080" w:type="dxa"/>
            <w:shd w:val="clear" w:color="auto" w:fill="F1F5F8"/>
          </w:tcPr>
          <w:p>
            <w:pPr>
              <w:spacing w:after="0"/>
            </w:pPr>
            <w:r>
              <w:rPr>
                <w:b w:val="0"/>
                <w:i w:val="0"/>
                <w:sz w:val="19"/>
              </w:rPr>
              <w:t>The roadmap lists thermal ablation, TACE, radiation segmentectomy and SBRT among bridge uses, states that no technique is a universal best bridge, requires bridge use of SBRT to be named…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HCC-D17</w:t>
            </w:r>
          </w:p>
        </w:tc>
        <w:tc>
          <w:tcPr>
            <w:tcW w:type="dxa" w:w="2016"/>
            <w:tcW w:w="2900" w:type="dxa"/>
            <w:shd w:val="clear" w:color="auto" w:fill="FFFFFF"/>
          </w:tcPr>
          <w:p>
            <w:pPr>
              <w:spacing w:after="0"/>
            </w:pPr>
            <w:r>
              <w:rPr>
                <w:b w:val="0"/>
                <w:i w:val="0"/>
                <w:sz w:val="19"/>
              </w:rPr>
              <w:t>Name who owns the response-assessment call, including which LI-RADS treatment-response algorithm applies after radiation-based therapy, and how a discordant read is resolved.</w:t>
            </w:r>
          </w:p>
        </w:tc>
        <w:tc>
          <w:tcPr>
            <w:tcW w:type="dxa" w:w="2016"/>
            <w:tcW w:w="3080" w:type="dxa"/>
            <w:shd w:val="clear" w:color="auto" w:fill="FFFFFF"/>
          </w:tcPr>
          <w:p>
            <w:pPr>
              <w:spacing w:after="0"/>
            </w:pPr>
            <w:r>
              <w:rPr>
                <w:b w:val="0"/>
                <w:i w:val="0"/>
                <w:sz w:val="19"/>
              </w:rPr>
              <w:t>Use the algorithm that matches the treatment: nonradiation at about 4-6 weeks after ablation or TACE; radiation at about 8-12 weeks, then serially, after Y-90 or SBRT, without retreating on…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HCC-D18</w:t>
            </w:r>
          </w:p>
        </w:tc>
        <w:tc>
          <w:tcPr>
            <w:tcW w:type="dxa" w:w="2016"/>
            <w:tcW w:w="2900" w:type="dxa"/>
            <w:shd w:val="clear" w:color="auto" w:fill="F1F5F8"/>
          </w:tcPr>
          <w:p>
            <w:pPr>
              <w:spacing w:after="0"/>
            </w:pPr>
            <w:r>
              <w:rPr>
                <w:b w:val="0"/>
                <w:i w:val="0"/>
                <w:sz w:val="19"/>
              </w:rPr>
              <w:t>Agree that the 90% and 95% quality thresholds, the one-business-day urgent triage standard and the three-procedure investigation trigger are operational judgements set for the pilot and revisable, not evidence-derived targets.</w:t>
            </w:r>
          </w:p>
        </w:tc>
        <w:tc>
          <w:tcPr>
            <w:tcW w:type="dxa" w:w="2016"/>
            <w:tcW w:w="3080" w:type="dxa"/>
            <w:shd w:val="clear" w:color="auto" w:fill="F1F5F8"/>
          </w:tcPr>
          <w:p>
            <w:pPr>
              <w:spacing w:after="0"/>
            </w:pPr>
            <w:r>
              <w:rPr>
                <w:b w:val="0"/>
                <w:i w:val="0"/>
                <w:sz w:val="19"/>
              </w:rPr>
              <w:t>Quality dashboard: data completeness 90% or more by month 3; decision reliability and curative-first discipline 95% or more; imaging 90% or more; urgent cases triaged within one business day; investigate…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HCC-D19</w:t>
            </w:r>
          </w:p>
        </w:tc>
        <w:tc>
          <w:tcPr>
            <w:tcW w:type="dxa" w:w="2016"/>
            <w:tcW w:w="2900" w:type="dxa"/>
            <w:shd w:val="clear" w:color="auto" w:fill="FFFFFF"/>
          </w:tcPr>
          <w:p>
            <w:pPr>
              <w:spacing w:after="0"/>
            </w:pPr>
            <w:r>
              <w:rPr>
                <w:b w:val="0"/>
                <w:i w:val="0"/>
                <w:sz w:val="19"/>
              </w:rPr>
              <w:t>Assign an owner and a calendar date for re-verifying OPTN Policy 9 criteria, drug labelling and device authorisations against this document.</w:t>
            </w:r>
          </w:p>
        </w:tc>
        <w:tc>
          <w:tcPr>
            <w:tcW w:type="dxa" w:w="2016"/>
            <w:tcW w:w="3080" w:type="dxa"/>
            <w:shd w:val="clear" w:color="auto" w:fill="FFFFFF"/>
          </w:tcPr>
          <w:p>
            <w:pPr>
              <w:spacing w:after="0"/>
            </w:pPr>
            <w:r>
              <w:rPr>
                <w:b w:val="0"/>
                <w:i w:val="0"/>
                <w:sz w:val="19"/>
              </w:rPr>
              <w:t>Every criterion drawn from OPTN policy, drug labelling or device authorisation is to be re-verified at implementation and at each scheduled review; OPTN criteria were last checked on 1 October…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HCC-D20</w:t>
            </w:r>
          </w:p>
        </w:tc>
        <w:tc>
          <w:tcPr>
            <w:tcW w:type="dxa" w:w="2016"/>
            <w:tcW w:w="2900" w:type="dxa"/>
            <w:shd w:val="clear" w:color="auto" w:fill="F1F5F8"/>
          </w:tcPr>
          <w:p>
            <w:pPr>
              <w:spacing w:after="0"/>
            </w:pPr>
            <w:r>
              <w:rPr>
                <w:b w:val="0"/>
                <w:i w:val="0"/>
                <w:sz w:val="19"/>
              </w:rPr>
              <w:t>Pilot for 90 days, audit 20 consecutive cases, then revise before formal approval as a clinical practice guideline.</w:t>
            </w:r>
          </w:p>
        </w:tc>
        <w:tc>
          <w:tcPr>
            <w:tcW w:type="dxa" w:w="2016"/>
            <w:tcW w:w="3080" w:type="dxa"/>
            <w:shd w:val="clear" w:color="auto" w:fill="F1F5F8"/>
          </w:tcPr>
          <w:p>
            <w:pPr>
              <w:spacing w:after="0"/>
            </w:pPr>
            <w:r>
              <w:rPr>
                <w:b w:val="0"/>
                <w:i w:val="0"/>
                <w:sz w:val="19"/>
              </w:rPr>
              <w:t>The roadmap is a draft for multidisciplinary and institutional governance review, not active clinical policy. It proposes the 90-day pilot with a 20-case audit, sets access targets after the pilot…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G1</w:t>
            </w:r>
          </w:p>
        </w:tc>
        <w:tc>
          <w:tcPr>
            <w:tcW w:type="dxa" w:w="2016"/>
            <w:tcW w:w="2900" w:type="dxa"/>
            <w:shd w:val="clear" w:color="auto" w:fill="FFFFFF"/>
          </w:tcPr>
          <w:p>
            <w:pPr>
              <w:spacing w:after="0"/>
            </w:pPr>
            <w:r>
              <w:rPr>
                <w:b w:val="0"/>
                <w:i w:val="0"/>
                <w:sz w:val="19"/>
              </w:rPr>
              <w:t>Which observations count, and when should LR-4 be biopsied?</w:t>
            </w:r>
          </w:p>
        </w:tc>
        <w:tc>
          <w:tcPr>
            <w:tcW w:type="dxa" w:w="2016"/>
            <w:tcW w:w="3080" w:type="dxa"/>
            <w:shd w:val="clear" w:color="auto" w:fill="FFFFFF"/>
          </w:tcPr>
          <w:p>
            <w:pPr>
              <w:spacing w:after="0"/>
            </w:pPr>
            <w:r>
              <w:rPr>
                <w:b w:val="0"/>
                <w:i w:val="0"/>
                <w:sz w:val="19"/>
              </w:rPr>
              <w:t>Do not count unresolved LR-4/indeterminate lesions as Class 5. If immediate diagnosis changes treatment or allocation, discuss biopsy rather than waiting by default.</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G2</w:t>
            </w:r>
          </w:p>
        </w:tc>
        <w:tc>
          <w:tcPr>
            <w:tcW w:type="dxa" w:w="2016"/>
            <w:tcW w:w="2900" w:type="dxa"/>
            <w:shd w:val="clear" w:color="auto" w:fill="F1F5F8"/>
          </w:tcPr>
          <w:p>
            <w:pPr>
              <w:spacing w:after="0"/>
            </w:pPr>
            <w:r>
              <w:rPr>
                <w:b w:val="0"/>
                <w:i w:val="0"/>
                <w:sz w:val="19"/>
              </w:rPr>
              <w:t>When should uncertain portal hypertension change resection versus transplant?</w:t>
            </w:r>
          </w:p>
        </w:tc>
        <w:tc>
          <w:tcPr>
            <w:tcW w:type="dxa" w:w="2016"/>
            <w:tcW w:w="3080" w:type="dxa"/>
            <w:shd w:val="clear" w:color="auto" w:fill="F1F5F8"/>
          </w:tcPr>
          <w:p>
            <w:pPr>
              <w:spacing w:after="0"/>
            </w:pPr>
            <w:r>
              <w:rPr>
                <w:b w:val="0"/>
                <w:i w:val="0"/>
                <w:sz w:val="19"/>
              </w:rPr>
              <w:t>Use liver reserve, portal-hypertension evidence and technical remnant assessment first. Obtain invasive hemodynamics only when the result could change the operation.</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G3</w:t>
            </w:r>
          </w:p>
        </w:tc>
        <w:tc>
          <w:tcPr>
            <w:tcW w:type="dxa" w:w="2016"/>
            <w:tcW w:w="2900" w:type="dxa"/>
            <w:shd w:val="clear" w:color="auto" w:fill="FFFFFF"/>
          </w:tcPr>
          <w:p>
            <w:pPr>
              <w:spacing w:after="0"/>
            </w:pPr>
            <w:r>
              <w:rPr>
                <w:b w:val="0"/>
                <w:i w:val="0"/>
                <w:sz w:val="19"/>
              </w:rPr>
              <w:t>What requires nonstandard review: burden, prior rupture or portal-branch invasion?</w:t>
            </w:r>
          </w:p>
        </w:tc>
        <w:tc>
          <w:tcPr>
            <w:tcW w:type="dxa" w:w="2016"/>
            <w:tcW w:w="3080" w:type="dxa"/>
            <w:shd w:val="clear" w:color="auto" w:fill="FFFFFF"/>
          </w:tcPr>
          <w:p>
            <w:pPr>
              <w:spacing w:after="0"/>
            </w:pPr>
            <w:r>
              <w:rPr>
                <w:b w:val="0"/>
                <w:i w:val="0"/>
                <w:sz w:val="19"/>
              </w:rPr>
              <w:t>Request individual NLRB review when standardized HCC MELD-exception criteria are not met. Document pretreatment tumor burden, rupture or vascular invasion, treatment response, AFP and the observation period.</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G4 / G6</w:t>
            </w:r>
          </w:p>
        </w:tc>
        <w:tc>
          <w:tcPr>
            <w:tcW w:type="dxa" w:w="2016"/>
            <w:tcW w:w="2900" w:type="dxa"/>
            <w:shd w:val="clear" w:color="auto" w:fill="F1F5F8"/>
          </w:tcPr>
          <w:p>
            <w:pPr>
              <w:spacing w:after="0"/>
            </w:pPr>
            <w:r>
              <w:rPr>
                <w:b w:val="0"/>
                <w:i w:val="0"/>
                <w:sz w:val="19"/>
              </w:rPr>
              <w:t>How should modality and an equivocal response guide the next treatment?</w:t>
            </w:r>
          </w:p>
        </w:tc>
        <w:tc>
          <w:tcPr>
            <w:tcW w:type="dxa" w:w="2016"/>
            <w:tcW w:w="3080" w:type="dxa"/>
            <w:shd w:val="clear" w:color="auto" w:fill="F1F5F8"/>
          </w:tcPr>
          <w:p>
            <w:pPr>
              <w:spacing w:after="0"/>
            </w:pPr>
            <w:r>
              <w:rPr>
                <w:b w:val="0"/>
                <w:i w:val="0"/>
                <w:sz w:val="19"/>
              </w:rPr>
              <w:t>Record the treatment goal, anatomical and liver-function considerations, and response-imaging date. Ask transplant radiology to resolve uncertain residual tumor before changing treatment.</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G4</w:t>
            </w:r>
          </w:p>
        </w:tc>
        <w:tc>
          <w:tcPr>
            <w:tcW w:type="dxa" w:w="2016"/>
            <w:tcW w:w="2900" w:type="dxa"/>
            <w:shd w:val="clear" w:color="auto" w:fill="FFFFFF"/>
          </w:tcPr>
          <w:p>
            <w:pPr>
              <w:spacing w:after="0"/>
            </w:pPr>
            <w:r>
              <w:rPr>
                <w:b w:val="0"/>
                <w:i w:val="0"/>
                <w:sz w:val="19"/>
              </w:rPr>
              <w:t>What transplant-safety approach applies after checkpoint inhibitors?</w:t>
            </w:r>
          </w:p>
        </w:tc>
        <w:tc>
          <w:tcPr>
            <w:tcW w:type="dxa" w:w="2016"/>
            <w:tcW w:w="3080" w:type="dxa"/>
            <w:shd w:val="clear" w:color="auto" w:fill="FFFFFF"/>
          </w:tcPr>
          <w:p>
            <w:pPr>
              <w:spacing w:after="0"/>
            </w:pPr>
            <w:r>
              <w:rPr>
                <w:b w:val="0"/>
                <w:i w:val="0"/>
                <w:sz w:val="19"/>
              </w:rPr>
              <w:t>Explicitly discuss the AASLD 3-month recommendation, agent/last dose, rejection risk and urgency. Any departure needs a documented multidisciplinary rationale; no washout guarantees safety.</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G5 / G6</w:t>
            </w:r>
          </w:p>
        </w:tc>
        <w:tc>
          <w:tcPr>
            <w:tcW w:type="dxa" w:w="2016"/>
            <w:tcW w:w="2900" w:type="dxa"/>
            <w:shd w:val="clear" w:color="auto" w:fill="F1F5F8"/>
          </w:tcPr>
          <w:p>
            <w:pPr>
              <w:spacing w:after="0"/>
            </w:pPr>
            <w:r>
              <w:rPr>
                <w:b w:val="0"/>
                <w:i w:val="0"/>
                <w:sz w:val="19"/>
              </w:rPr>
              <w:t>Who confirms fitness for transplantation, verifies the MELD-exception request and arranges surveillance?</w:t>
            </w:r>
          </w:p>
        </w:tc>
        <w:tc>
          <w:tcPr>
            <w:tcW w:type="dxa" w:w="2016"/>
            <w:tcW w:w="3080" w:type="dxa"/>
            <w:shd w:val="clear" w:color="auto" w:fill="F1F5F8"/>
          </w:tcPr>
          <w:p>
            <w:pPr>
              <w:spacing w:after="0"/>
            </w:pPr>
            <w:r>
              <w:rPr>
                <w:b w:val="0"/>
                <w:i w:val="0"/>
                <w:sz w:val="19"/>
              </w:rPr>
              <w:t>Name the physician responsible for transplant suitability, the coordinator responsible for the MELD-exception request, and the team responsible for post-transplant surveillance.</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G6</w:t>
            </w:r>
          </w:p>
        </w:tc>
        <w:tc>
          <w:tcPr>
            <w:tcW w:type="dxa" w:w="2016"/>
            <w:tcW w:w="2900" w:type="dxa"/>
            <w:shd w:val="clear" w:color="auto" w:fill="FFFFFF"/>
          </w:tcPr>
          <w:p>
            <w:pPr>
              <w:spacing w:after="0"/>
            </w:pPr>
            <w:r>
              <w:rPr>
                <w:b w:val="0"/>
                <w:i w:val="0"/>
                <w:sz w:val="19"/>
              </w:rPr>
              <w:t>How should equivocal post-treatment enhancement or borderline AFP be handled?</w:t>
            </w:r>
          </w:p>
        </w:tc>
        <w:tc>
          <w:tcPr>
            <w:tcW w:type="dxa" w:w="2016"/>
            <w:tcW w:w="3080" w:type="dxa"/>
            <w:shd w:val="clear" w:color="auto" w:fill="FFFFFF"/>
          </w:tcPr>
          <w:p>
            <w:pPr>
              <w:spacing w:after="0"/>
            </w:pPr>
            <w:r>
              <w:rPr>
                <w:b w:val="0"/>
                <w:i w:val="0"/>
                <w:sz w:val="19"/>
              </w:rPr>
              <w:t>Request transplant-radiology review and a follow-up plan with a reassessment date. State whether the finding changes treatment, HCC MELD-exception renewal, or both.</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B1.1a</w:t>
            </w:r>
          </w:p>
        </w:tc>
        <w:tc>
          <w:tcPr>
            <w:tcW w:type="dxa" w:w="2016"/>
            <w:tcW w:w="2900" w:type="dxa"/>
            <w:shd w:val="clear" w:color="auto" w:fill="F1F5F8"/>
          </w:tcPr>
          <w:p>
            <w:pPr>
              <w:spacing w:after="0"/>
            </w:pPr>
            <w:r>
              <w:rPr>
                <w:b w:val="0"/>
                <w:i w:val="0"/>
                <w:sz w:val="19"/>
              </w:rPr>
              <w:t>Should AFP-only failure have a distinct high-risk review entry even when tumor burden is within Milan?</w:t>
            </w:r>
          </w:p>
        </w:tc>
        <w:tc>
          <w:tcPr>
            <w:tcW w:type="dxa" w:w="2016"/>
            <w:tcW w:w="3080" w:type="dxa"/>
            <w:shd w:val="clear" w:color="auto" w:fill="F1F5F8"/>
          </w:tcPr>
          <w:p>
            <w:pPr>
              <w:spacing w:after="0"/>
            </w:pPr>
            <w:r>
              <w:rPr>
                <w:b w:val="0"/>
                <w:i w:val="0"/>
                <w:sz w:val="19"/>
              </w:rPr>
              <w:t>Propose yes; cross-reference the standard AFP gate. Do not require beyond-UNOS burden or inherit its AFP below 100 rule. OPEN; not activated.</w:t>
            </w:r>
          </w:p>
        </w:tc>
        <w:tc>
          <w:tcPr>
            <w:tcW w:type="dxa" w:w="2016"/>
            <w:tcW w:w="1500" w:type="dxa"/>
            <w:shd w:val="clear" w:color="auto" w:fill="F1F5F8"/>
          </w:tcPr>
          <w:p>
            <w:pPr>
              <w:spacing w:after="0"/>
            </w:pPr>
            <w:r>
              <w:rPr>
                <w:b w:val="0"/>
                <w:i w:val="0"/>
                <w:color w:val="5A6069"/>
                <w:sz w:val="18"/>
              </w:rPr>
              <w:t>OPEN — not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B1.1b</w:t>
            </w:r>
          </w:p>
        </w:tc>
        <w:tc>
          <w:tcPr>
            <w:tcW w:type="dxa" w:w="2016"/>
            <w:tcW w:w="2900" w:type="dxa"/>
            <w:shd w:val="clear" w:color="auto" w:fill="FFFFFF"/>
          </w:tcPr>
          <w:p>
            <w:pPr>
              <w:spacing w:after="0"/>
            </w:pPr>
            <w:r>
              <w:rPr>
                <w:b w:val="0"/>
                <w:i w:val="0"/>
                <w:sz w:val="19"/>
              </w:rPr>
              <w:t>Should confirmed AFP at least 500 trigger a clinical hold even without a prior AFP above 1000?</w:t>
            </w:r>
          </w:p>
        </w:tc>
        <w:tc>
          <w:tcPr>
            <w:tcW w:type="dxa" w:w="2016"/>
            <w:tcW w:w="3080" w:type="dxa"/>
            <w:shd w:val="clear" w:color="auto" w:fill="FFFFFF"/>
          </w:tcPr>
          <w:p>
            <w:pPr>
              <w:spacing w:after="0"/>
            </w:pPr>
            <w:r>
              <w:rPr>
                <w:b w:val="0"/>
                <w:i w:val="0"/>
                <w:sz w:val="19"/>
              </w:rPr>
              <w:t>Propose yes for the high-risk LT review, with documented MDT reassessment. State clearly that this is stricter than the automatic exception rule for some patients. OPEN; not activated.</w:t>
            </w:r>
          </w:p>
        </w:tc>
        <w:tc>
          <w:tcPr>
            <w:tcW w:type="dxa" w:w="2016"/>
            <w:tcW w:w="1500" w:type="dxa"/>
            <w:shd w:val="clear" w:color="auto" w:fill="FFFFFF"/>
          </w:tcPr>
          <w:p>
            <w:pPr>
              <w:spacing w:after="0"/>
            </w:pPr>
            <w:r>
              <w:rPr>
                <w:b w:val="0"/>
                <w:i w:val="0"/>
                <w:color w:val="5A6069"/>
                <w:sz w:val="18"/>
              </w:rPr>
              <w:t>OPEN — not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B1.1c</w:t>
            </w:r>
          </w:p>
        </w:tc>
        <w:tc>
          <w:tcPr>
            <w:tcW w:type="dxa" w:w="2016"/>
            <w:tcW w:w="2900" w:type="dxa"/>
            <w:shd w:val="clear" w:color="auto" w:fill="F1F5F8"/>
          </w:tcPr>
          <w:p>
            <w:pPr>
              <w:spacing w:after="0"/>
            </w:pPr>
            <w:r>
              <w:rPr>
                <w:b w:val="0"/>
                <w:i w:val="0"/>
                <w:sz w:val="19"/>
              </w:rPr>
              <w:t>How should rising AFP below 500 with controlled imaging be handled?</w:t>
            </w:r>
          </w:p>
        </w:tc>
        <w:tc>
          <w:tcPr>
            <w:tcW w:type="dxa" w:w="2016"/>
            <w:tcW w:w="3080" w:type="dxa"/>
            <w:shd w:val="clear" w:color="auto" w:fill="F1F5F8"/>
          </w:tcPr>
          <w:p>
            <w:pPr>
              <w:spacing w:after="0"/>
            </w:pPr>
            <w:r>
              <w:rPr>
                <w:b w:val="0"/>
                <w:i w:val="0"/>
                <w:sz w:val="19"/>
              </w:rPr>
              <w:t>Propose repeat in 2–4 weeks and expedited restaging. AFP at least 200 plus serial rise or confirmed doubling triggers a temporary hold; slope alone is an alert, not a permanent…</w:t>
            </w:r>
          </w:p>
        </w:tc>
        <w:tc>
          <w:tcPr>
            <w:tcW w:type="dxa" w:w="2016"/>
            <w:tcW w:w="1500" w:type="dxa"/>
            <w:shd w:val="clear" w:color="auto" w:fill="F1F5F8"/>
          </w:tcPr>
          <w:p>
            <w:pPr>
              <w:spacing w:after="0"/>
            </w:pPr>
            <w:r>
              <w:rPr>
                <w:b w:val="0"/>
                <w:i w:val="0"/>
                <w:color w:val="5A6069"/>
                <w:sz w:val="18"/>
              </w:rPr>
              <w:t>OPEN — not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B1.1d</w:t>
            </w:r>
          </w:p>
        </w:tc>
        <w:tc>
          <w:tcPr>
            <w:tcW w:type="dxa" w:w="2016"/>
            <w:tcW w:w="2900" w:type="dxa"/>
            <w:shd w:val="clear" w:color="auto" w:fill="FFFFFF"/>
          </w:tcPr>
          <w:p>
            <w:pPr>
              <w:spacing w:after="0"/>
            </w:pPr>
            <w:r>
              <w:rPr>
                <w:b w:val="0"/>
                <w:i w:val="0"/>
                <w:sz w:val="19"/>
              </w:rPr>
              <w:t>What permits release from a biochemical hold?</w:t>
            </w:r>
          </w:p>
        </w:tc>
        <w:tc>
          <w:tcPr>
            <w:tcW w:type="dxa" w:w="2016"/>
            <w:tcW w:w="3080" w:type="dxa"/>
            <w:shd w:val="clear" w:color="auto" w:fill="FFFFFF"/>
          </w:tcPr>
          <w:p>
            <w:pPr>
              <w:spacing w:after="0"/>
            </w:pPr>
            <w:r>
              <w:rPr>
                <w:b w:val="0"/>
                <w:i w:val="0"/>
                <w:sz w:val="19"/>
              </w:rPr>
              <w:t>Propose two stable/falling AFP measurements at least 4 weeks apart below the applicable threshold, reviewed imaging and documented allocation plan. Preserve every longer route-specific observation interval. OPEN; not activated.</w:t>
            </w:r>
          </w:p>
        </w:tc>
        <w:tc>
          <w:tcPr>
            <w:tcW w:type="dxa" w:w="2016"/>
            <w:tcW w:w="1500" w:type="dxa"/>
            <w:shd w:val="clear" w:color="auto" w:fill="FFFFFF"/>
          </w:tcPr>
          <w:p>
            <w:pPr>
              <w:spacing w:after="0"/>
            </w:pPr>
            <w:r>
              <w:rPr>
                <w:b w:val="0"/>
                <w:i w:val="0"/>
                <w:color w:val="5A6069"/>
                <w:sz w:val="18"/>
              </w:rPr>
              <w:t>OPEN — not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HCC B1.1e</w:t>
            </w:r>
          </w:p>
        </w:tc>
        <w:tc>
          <w:tcPr>
            <w:tcW w:type="dxa" w:w="2016"/>
            <w:tcW w:w="2900" w:type="dxa"/>
            <w:shd w:val="clear" w:color="auto" w:fill="F1F5F8"/>
          </w:tcPr>
          <w:p>
            <w:pPr>
              <w:spacing w:after="0"/>
            </w:pPr>
            <w:r>
              <w:rPr>
                <w:b w:val="0"/>
                <w:i w:val="0"/>
                <w:sz w:val="19"/>
              </w:rPr>
              <w:t>Can persistent AFP failure ever proceed to LT or LDLT?</w:t>
            </w:r>
          </w:p>
        </w:tc>
        <w:tc>
          <w:tcPr>
            <w:tcW w:type="dxa" w:w="2016"/>
            <w:tcW w:w="3080" w:type="dxa"/>
            <w:shd w:val="clear" w:color="auto" w:fill="F1F5F8"/>
          </w:tcPr>
          <w:p>
            <w:pPr>
              <w:spacing w:after="0"/>
            </w:pPr>
            <w:r>
              <w:rPr>
                <w:b w:val="0"/>
                <w:i w:val="0"/>
                <w:sz w:val="19"/>
              </w:rPr>
              <w:t>No routine bypass. Require individual oncology/transplant review, expected-benefit justification, donor-risk review for LDLT and the appropriate allocation route. Whether to establish a prospective AFP-only study remains OPEN. OPEN; not activated.</w:t>
            </w:r>
          </w:p>
        </w:tc>
        <w:tc>
          <w:tcPr>
            <w:tcW w:type="dxa" w:w="2016"/>
            <w:tcW w:w="1500" w:type="dxa"/>
            <w:shd w:val="clear" w:color="auto" w:fill="F1F5F8"/>
          </w:tcPr>
          <w:p>
            <w:pPr>
              <w:spacing w:after="0"/>
            </w:pPr>
            <w:r>
              <w:rPr>
                <w:b w:val="0"/>
                <w:i w:val="0"/>
                <w:color w:val="5A6069"/>
                <w:sz w:val="18"/>
              </w:rPr>
              <w:t>OPEN — not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HCC B1.1f</w:t>
            </w:r>
          </w:p>
        </w:tc>
        <w:tc>
          <w:tcPr>
            <w:tcW w:type="dxa" w:w="2016"/>
            <w:tcW w:w="2900" w:type="dxa"/>
            <w:shd w:val="clear" w:color="auto" w:fill="FFFFFF"/>
          </w:tcPr>
          <w:p>
            <w:pPr>
              <w:spacing w:after="0"/>
            </w:pPr>
            <w:r>
              <w:rPr>
                <w:b w:val="0"/>
                <w:i w:val="0"/>
                <w:sz w:val="19"/>
              </w:rPr>
              <w:t>What must be audited?</w:t>
            </w:r>
          </w:p>
        </w:tc>
        <w:tc>
          <w:tcPr>
            <w:tcW w:type="dxa" w:w="2016"/>
            <w:tcW w:w="3080" w:type="dxa"/>
            <w:shd w:val="clear" w:color="auto" w:fill="FFFFFF"/>
          </w:tcPr>
          <w:p>
            <w:pPr>
              <w:spacing w:after="0"/>
            </w:pPr>
            <w:r>
              <w:rPr>
                <w:b w:val="0"/>
                <w:i w:val="0"/>
                <w:sz w:val="19"/>
              </w:rPr>
              <w:t>Peak and serial AFP with dates; liver inflammation; imaging viability; treatment exposure; reason and duration of hold; exception decision; waitlist dropout; explant viability/MVI; recurrence and post-LT survival. Include all evaluated…</w:t>
            </w:r>
          </w:p>
        </w:tc>
        <w:tc>
          <w:tcPr>
            <w:tcW w:type="dxa" w:w="2016"/>
            <w:tcW w:w="1500" w:type="dxa"/>
            <w:shd w:val="clear" w:color="auto" w:fill="FFFFFF"/>
          </w:tcPr>
          <w:p>
            <w:pPr>
              <w:spacing w:after="0"/>
            </w:pPr>
            <w:r>
              <w:rPr>
                <w:b w:val="0"/>
                <w:i w:val="0"/>
                <w:color w:val="5A6069"/>
                <w:sz w:val="18"/>
              </w:rPr>
              <w:t>OPEN — not approved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HCC-B1</w:t>
            </w:r>
          </w:p>
        </w:tc>
        <w:tc>
          <w:tcPr>
            <w:tcW w:type="dxa" w:w="2016"/>
            <w:tcW w:w="2900" w:type="dxa"/>
            <w:shd w:val="clear" w:color="auto" w:fill="F1F5F8"/>
          </w:tcPr>
          <w:p>
            <w:pPr>
              <w:spacing w:after="0"/>
            </w:pPr>
            <w:r>
              <w:rPr>
                <w:b w:val="0"/>
                <w:i w:val="0"/>
                <w:sz w:val="19"/>
              </w:rPr>
              <w:t>How far beyond UNOS-DS should the program attempt downstaging?</w:t>
            </w:r>
          </w:p>
        </w:tc>
        <w:tc>
          <w:tcPr>
            <w:tcW w:type="dxa" w:w="2016"/>
            <w:tcW w:w="3080" w:type="dxa"/>
            <w:shd w:val="clear" w:color="auto" w:fill="F1F5F8"/>
          </w:tcPr>
          <w:p>
            <w:pPr>
              <w:spacing w:after="0"/>
            </w:pPr>
            <w:r>
              <w:rPr>
                <w:b w:val="0"/>
                <w:i w:val="0"/>
                <w:sz w:val="19"/>
              </w:rPr>
              <w:t>Open a bounded prospective beyond-UNOS downstaging cohort, not an unrestricted all-comers pathway.</w:t>
            </w:r>
          </w:p>
        </w:tc>
        <w:tc>
          <w:tcPr>
            <w:tcW w:type="dxa" w:w="2016"/>
            <w:tcW w:w="1500" w:type="dxa"/>
            <w:shd w:val="clear" w:color="auto" w:fill="F1F5F8"/>
          </w:tcPr>
          <w:p>
            <w:pPr>
              <w:spacing w:after="0"/>
            </w:pPr>
            <w:r>
              <w:rPr>
                <w:b w:val="0"/>
                <w:i w:val="0"/>
                <w:color w:val="5A6069"/>
                <w:sz w:val="18"/>
              </w:rPr>
              <w:t>OPEN proposal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HCC-B1.1</w:t>
            </w:r>
          </w:p>
        </w:tc>
        <w:tc>
          <w:tcPr>
            <w:tcW w:type="dxa" w:w="2016"/>
            <w:tcW w:w="2900" w:type="dxa"/>
            <w:shd w:val="clear" w:color="auto" w:fill="FFFFFF"/>
          </w:tcPr>
          <w:p>
            <w:pPr>
              <w:spacing w:after="0"/>
            </w:pPr>
            <w:r>
              <w:rPr>
                <w:b w:val="0"/>
                <w:i w:val="0"/>
                <w:sz w:val="19"/>
              </w:rPr>
              <w:t>AFP-only failure or discordance with imaging</w:t>
            </w:r>
          </w:p>
        </w:tc>
        <w:tc>
          <w:tcPr>
            <w:tcW w:type="dxa" w:w="2016"/>
            <w:tcW w:w="3080" w:type="dxa"/>
            <w:shd w:val="clear" w:color="auto" w:fill="FFFFFF"/>
          </w:tcPr>
          <w:p>
            <w:pPr>
              <w:spacing w:after="0"/>
            </w:pPr>
            <w:r>
              <w:rPr>
                <w:b w:val="0"/>
                <w:i w:val="0"/>
                <w:sz w:val="19"/>
              </w:rPr>
              <w:t>Use a distinct biological-risk review; confirm the signal and restage. Do not permanently delist or treat a nonexistent target based on one AFP result.</w:t>
            </w:r>
          </w:p>
        </w:tc>
        <w:tc>
          <w:tcPr>
            <w:tcW w:type="dxa" w:w="2016"/>
            <w:tcW w:w="1500" w:type="dxa"/>
            <w:shd w:val="clear" w:color="auto" w:fill="FFFFFF"/>
          </w:tcPr>
          <w:p>
            <w:pPr>
              <w:spacing w:after="0"/>
            </w:pPr>
            <w:r>
              <w:rPr>
                <w:b w:val="0"/>
                <w:i w:val="0"/>
                <w:color w:val="5A6069"/>
                <w:sz w:val="18"/>
              </w:rPr>
              <w:t>AFP-only review · OPEN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HCC-B2</w:t>
            </w:r>
          </w:p>
        </w:tc>
        <w:tc>
          <w:tcPr>
            <w:tcW w:type="dxa" w:w="2016"/>
            <w:tcW w:w="2900" w:type="dxa"/>
            <w:shd w:val="clear" w:color="auto" w:fill="F1F5F8"/>
          </w:tcPr>
          <w:p>
            <w:pPr>
              <w:spacing w:after="0"/>
            </w:pPr>
            <w:r>
              <w:rPr>
                <w:b w:val="0"/>
                <w:i w:val="0"/>
                <w:sz w:val="19"/>
              </w:rPr>
              <w:t>Which PVTT anatomy could enter a transplanting study?</w:t>
            </w:r>
          </w:p>
        </w:tc>
        <w:tc>
          <w:tcPr>
            <w:tcW w:type="dxa" w:w="2016"/>
            <w:tcW w:w="3080" w:type="dxa"/>
            <w:shd w:val="clear" w:color="auto" w:fill="F1F5F8"/>
          </w:tcPr>
          <w:p>
            <w:pPr>
              <w:spacing w:after="0"/>
            </w:pPr>
            <w:r>
              <w:rPr>
                <w:b w:val="0"/>
                <w:i w:val="0"/>
                <w:sz w:val="19"/>
              </w:rPr>
              <w:t>Develop an initial Vp1–2-only transplanting study; keep Vp3 registry-first and Vp4/hepatic-vein expansion closed.</w:t>
            </w:r>
          </w:p>
        </w:tc>
        <w:tc>
          <w:tcPr>
            <w:tcW w:type="dxa" w:w="2016"/>
            <w:tcW w:w="1500" w:type="dxa"/>
            <w:shd w:val="clear" w:color="auto" w:fill="F1F5F8"/>
          </w:tcPr>
          <w:p>
            <w:pPr>
              <w:spacing w:after="0"/>
            </w:pPr>
            <w:r>
              <w:rPr>
                <w:b w:val="0"/>
                <w:i w:val="0"/>
                <w:color w:val="5A6069"/>
                <w:sz w:val="18"/>
              </w:rPr>
              <w:t>Different limits by invasion level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HCC-B3</w:t>
            </w:r>
          </w:p>
        </w:tc>
        <w:tc>
          <w:tcPr>
            <w:tcW w:type="dxa" w:w="2016"/>
            <w:tcW w:w="2900" w:type="dxa"/>
            <w:shd w:val="clear" w:color="auto" w:fill="FFFFFF"/>
          </w:tcPr>
          <w:p>
            <w:pPr>
              <w:spacing w:after="0"/>
            </w:pPr>
            <w:r>
              <w:rPr>
                <w:b w:val="0"/>
                <w:i w:val="0"/>
                <w:sz w:val="19"/>
              </w:rPr>
              <w:t>How should prior ICI alter activation and consent?</w:t>
            </w:r>
          </w:p>
        </w:tc>
        <w:tc>
          <w:tcPr>
            <w:tcW w:type="dxa" w:w="2016"/>
            <w:tcW w:w="3080" w:type="dxa"/>
            <w:shd w:val="clear" w:color="auto" w:fill="FFFFFF"/>
          </w:tcPr>
          <w:p>
            <w:pPr>
              <w:spacing w:after="0"/>
            </w:pPr>
            <w:r>
              <w:rPr>
                <w:b w:val="0"/>
                <w:i w:val="0"/>
                <w:sz w:val="19"/>
              </w:rPr>
              <w:t>Use ≥90 days after the last ICI dose as the elective LT planning threshold, with a separate assessment of immune toxicity.</w:t>
            </w:r>
          </w:p>
        </w:tc>
        <w:tc>
          <w:tcPr>
            <w:tcW w:type="dxa" w:w="2016"/>
            <w:tcW w:w="1500" w:type="dxa"/>
            <w:shd w:val="clear" w:color="auto" w:fill="FFFFFF"/>
          </w:tcPr>
          <w:p>
            <w:pPr>
              <w:spacing w:after="0"/>
            </w:pPr>
            <w:r>
              <w:rPr>
                <w:b w:val="0"/>
                <w:i w:val="0"/>
                <w:color w:val="5A6069"/>
                <w:sz w:val="18"/>
              </w:rPr>
              <w:t>OPEN proposal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HCC-B4</w:t>
            </w:r>
          </w:p>
        </w:tc>
        <w:tc>
          <w:tcPr>
            <w:tcW w:type="dxa" w:w="2016"/>
            <w:tcW w:w="2900" w:type="dxa"/>
            <w:shd w:val="clear" w:color="auto" w:fill="F1F5F8"/>
          </w:tcPr>
          <w:p>
            <w:pPr>
              <w:spacing w:after="0"/>
            </w:pPr>
            <w:r>
              <w:rPr>
                <w:b w:val="0"/>
                <w:i w:val="0"/>
                <w:sz w:val="19"/>
              </w:rPr>
              <w:t>Can a survival-benefit score influence organ priority?</w:t>
            </w:r>
          </w:p>
        </w:tc>
        <w:tc>
          <w:tcPr>
            <w:tcW w:type="dxa" w:w="2016"/>
            <w:tcW w:w="3080" w:type="dxa"/>
            <w:shd w:val="clear" w:color="auto" w:fill="F1F5F8"/>
          </w:tcPr>
          <w:p>
            <w:pPr>
              <w:spacing w:after="0"/>
            </w:pPr>
            <w:r>
              <w:rPr>
                <w:b w:val="0"/>
                <w:i w:val="0"/>
                <w:sz w:val="19"/>
              </w:rPr>
              <w:t>Give the survival-benefit score zero clinical or allocation weight now; evaluate it in research-only evaluation only.</w:t>
            </w:r>
          </w:p>
        </w:tc>
        <w:tc>
          <w:tcPr>
            <w:tcW w:type="dxa" w:w="2016"/>
            <w:tcW w:w="1500" w:type="dxa"/>
            <w:shd w:val="clear" w:color="auto" w:fill="F1F5F8"/>
          </w:tcPr>
          <w:p>
            <w:pPr>
              <w:spacing w:after="0"/>
            </w:pPr>
            <w:r>
              <w:rPr>
                <w:b w:val="0"/>
                <w:i w:val="0"/>
                <w:color w:val="5A6069"/>
                <w:sz w:val="18"/>
              </w:rPr>
              <w:t>Research use only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HCC-B5</w:t>
            </w:r>
          </w:p>
        </w:tc>
        <w:tc>
          <w:tcPr>
            <w:tcW w:type="dxa" w:w="2016"/>
            <w:tcW w:w="2900" w:type="dxa"/>
            <w:shd w:val="clear" w:color="auto" w:fill="FFFFFF"/>
          </w:tcPr>
          <w:p>
            <w:pPr>
              <w:spacing w:after="0"/>
            </w:pPr>
            <w:r>
              <w:rPr>
                <w:b w:val="0"/>
                <w:i w:val="0"/>
                <w:sz w:val="19"/>
              </w:rPr>
              <w:t>May a patient whose extrahepatic HCC (including proven lymph-node metastasis) was treated and has responded completely ever enter a transplant route, or does this history close transplantation?</w:t>
            </w:r>
          </w:p>
        </w:tc>
        <w:tc>
          <w:tcPr>
            <w:tcW w:type="dxa" w:w="2016"/>
            <w:tcW w:w="3080" w:type="dxa"/>
            <w:shd w:val="clear" w:color="auto" w:fill="FFFFFF"/>
          </w:tcPr>
          <w:p>
            <w:pPr>
              <w:spacing w:after="0"/>
            </w:pPr>
            <w:r>
              <w:rPr>
                <w:b w:val="0"/>
                <w:i w:val="0"/>
                <w:sz w:val="19"/>
              </w:rPr>
              <w:t>Keep closed. Previous extrahepatic metastasis is outside the standard pathway and every HCC high-risk cohort, even after local treatment or a complete response to immunotherapy. Record durable complete responders in…</w:t>
            </w:r>
          </w:p>
        </w:tc>
        <w:tc>
          <w:tcPr>
            <w:tcW w:type="dxa" w:w="2016"/>
            <w:tcW w:w="1500" w:type="dxa"/>
            <w:shd w:val="clear" w:color="auto" w:fill="FFFFFF"/>
          </w:tcPr>
          <w:p>
            <w:pPr>
              <w:spacing w:after="0"/>
            </w:pPr>
            <w:r>
              <w:rPr>
                <w:b w:val="0"/>
                <w:i w:val="0"/>
                <w:color w:val="5A6069"/>
                <w:sz w:val="18"/>
              </w:rPr>
              <w:t>Closed · registry only · not activated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https://drliuhao.github.io/mh-liver-pathways/hcc/#questions</w:t>
      </w:r>
    </w:p>
    <w:p>
      <w:pPr>
        <w:pStyle w:val="Heading2"/>
        <w:keepNext/>
        <w:spacing w:before="200" w:after="80"/>
      </w:pPr>
      <w:r>
        <w:rPr>
          <w:b w:val="0"/>
          <w:i w:val="0"/>
        </w:rPr>
        <w:t>HCC-R1 — Liver treatment after extrahepatic disease responds</w:t>
      </w:r>
    </w:p>
    <w:p>
      <w:pPr>
        <w:spacing w:after="80"/>
      </w:pPr>
      <w:r>
        <w:rPr>
          <w:b w:val="0"/>
          <w:i w:val="0"/>
          <w:color w:val="5A6069"/>
          <w:sz w:val="18"/>
        </w:rPr>
        <w:t>Proposed; MDT selection · OPEN proposal · Clinical</w:t>
      </w:r>
    </w:p>
    <w:p>
      <w:pPr>
        <w:spacing w:after="80"/>
      </w:pPr>
      <w:r>
        <w:rPr>
          <w:b/>
          <w:i w:val="0"/>
        </w:rPr>
        <w:t xml:space="preserve">Question: </w:t>
      </w:r>
      <w:r>
        <w:rPr>
          <w:b w:val="0"/>
          <w:i w:val="0"/>
        </w:rPr>
        <w:t>After extrahepatic HCC responds to systemic therapy or is treated locally, when should resection or ablation of the liver tumor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JLCA/JSHBPS 2023 resectability consensus (Akahoshi 2024)</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Japanese expert consensus on oncological resectability (17 panelists). Statement 9 (15/17): extrahepatic spread is basically BR2; localized spread could be BR1 (solitary node at station 3, 8 or 12; P1 peritoneum; unilateral adrenal; few lung metastases).</w:t>
            </w:r>
          </w:p>
        </w:tc>
        <w:tc>
          <w:tcPr>
            <w:tcW w:type="dxa" w:w="3360"/>
            <w:tcW w:w="4180" w:type="dxa"/>
            <w:shd w:val="clear" w:color="auto" w:fill="F1F5F8"/>
          </w:tcPr>
          <w:p>
            <w:pPr>
              <w:spacing w:after="0"/>
            </w:pPr>
            <w:r>
              <w:rPr>
                <w:b w:val="0"/>
                <w:i w:val="0"/>
                <w:sz w:val="19"/>
              </w:rPr>
              <w:t>Cites 5-year survival of 29.5% after resection of node-positive HCC and 27–66% after lung metastasectomy.</w:t>
            </w:r>
          </w:p>
          <w:p>
            <w:pPr>
              <w:spacing w:after="0"/>
            </w:pPr>
            <w:r>
              <w:rPr>
                <w:b w:val="0"/>
                <w:i/>
                <w:sz w:val="19"/>
              </w:rPr>
              <w:t>Limits: Surgeon-only panel; a classification, not a treatment recommendation; permissive (“could be”); no response or interval criteria.</w:t>
            </w:r>
          </w:p>
          <w:p>
            <w:pPr>
              <w:spacing w:after="0"/>
            </w:pPr>
            <w:r>
              <w:rPr>
                <w:b w:val="0"/>
                <w:i w:val="0"/>
                <w:color w:val="5A6069"/>
                <w:sz w:val="18"/>
              </w:rPr>
              <w:t>Liver Cancer 2024; Statement 9 and summary.</w:t>
            </w:r>
          </w:p>
        </w:tc>
      </w:tr>
      <w:tr>
        <w:trPr>
          <w:cantSplit/>
        </w:trPr>
        <w:tc>
          <w:tcPr>
            <w:tcW w:type="dxa" w:w="3360"/>
            <w:tcW w:w="2000" w:type="dxa"/>
            <w:shd w:val="clear" w:color="auto" w:fill="FFFFFF"/>
          </w:tcPr>
          <w:p>
            <w:pPr>
              <w:spacing w:after="0"/>
            </w:pPr>
            <w:r>
              <w:rPr>
                <w:b/>
                <w:i w:val="0"/>
                <w:sz w:val="19"/>
              </w:rPr>
              <w:t>Zhang 2024 · surgery after response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15-centre cohort, 150 patients with extrahepatic metastases whose intrahepatic tumor reached partial or complete response (mRECIST). Only 8 of 26 operated patients had their metastases removed; 85% had partial (not complete) response of extrahepatic disease.</w:t>
            </w:r>
          </w:p>
        </w:tc>
        <w:tc>
          <w:tcPr>
            <w:tcW w:type="dxa" w:w="3360"/>
            <w:tcW w:w="4180" w:type="dxa"/>
            <w:shd w:val="clear" w:color="auto" w:fill="FFFFFF"/>
          </w:tcPr>
          <w:p>
            <w:pPr>
              <w:spacing w:after="0"/>
            </w:pPr>
            <w:r>
              <w:rPr>
                <w:b w:val="0"/>
                <w:i w:val="0"/>
                <w:sz w:val="19"/>
              </w:rPr>
              <w:t>Median survival 16.5 vs 11.3 months from response (surgery vs none); progression-free survival not different.</w:t>
            </w:r>
          </w:p>
          <w:p>
            <w:pPr>
              <w:spacing w:after="0"/>
            </w:pPr>
            <w:r>
              <w:rPr>
                <w:b w:val="0"/>
                <w:i/>
                <w:sz w:val="19"/>
              </w:rPr>
              <w:t>Limits: Immortal-time bias; operated patients more often oligometastatic; counts inconsistent.</w:t>
            </w:r>
          </w:p>
          <w:p>
            <w:pPr>
              <w:spacing w:after="0"/>
            </w:pPr>
            <w:r>
              <w:rPr>
                <w:b w:val="0"/>
                <w:i w:val="0"/>
                <w:color w:val="5A6069"/>
                <w:sz w:val="18"/>
              </w:rPr>
              <w:t>Sci Rep 2024; Results.</w:t>
            </w:r>
          </w:p>
        </w:tc>
      </w:tr>
      <w:tr>
        <w:trPr>
          <w:cantSplit/>
        </w:trPr>
        <w:tc>
          <w:tcPr>
            <w:tcW w:type="dxa" w:w="3360"/>
            <w:tcW w:w="2000" w:type="dxa"/>
            <w:shd w:val="clear" w:color="auto" w:fill="F1F5F8"/>
          </w:tcPr>
          <w:p>
            <w:pPr>
              <w:spacing w:after="0"/>
            </w:pPr>
            <w:r>
              <w:rPr>
                <w:b/>
                <w:i w:val="0"/>
                <w:sz w:val="19"/>
              </w:rPr>
              <w:t>Choi 2025 · NCDB curative treatment after ICI</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US national cancer database, 4,329 patients on first-line immunotherapy. 138 (3.2%) had curative treatment afterwards, including 15 with distant and 10 with nodal metastasis.</w:t>
            </w:r>
          </w:p>
        </w:tc>
        <w:tc>
          <w:tcPr>
            <w:tcW w:type="dxa" w:w="3360"/>
            <w:tcW w:w="4180" w:type="dxa"/>
            <w:shd w:val="clear" w:color="auto" w:fill="F1F5F8"/>
          </w:tcPr>
          <w:p>
            <w:pPr>
              <w:spacing w:after="0"/>
            </w:pPr>
            <w:r>
              <w:rPr>
                <w:b w:val="0"/>
                <w:i w:val="0"/>
                <w:sz w:val="19"/>
              </w:rPr>
              <w:t>Propensity-matched HR 0.22 (0.14–0.33) for death with curative treatment.</w:t>
            </w:r>
          </w:p>
          <w:p>
            <w:pPr>
              <w:spacing w:after="0"/>
            </w:pPr>
            <w:r>
              <w:rPr>
                <w:b w:val="0"/>
                <w:i/>
                <w:sz w:val="19"/>
              </w:rPr>
              <w:t>Limits: Immortal-time bias; curative intent uncertain; modality not separated for the 15 distant and 10 nodal patients.</w:t>
            </w:r>
          </w:p>
          <w:p>
            <w:pPr>
              <w:spacing w:after="0"/>
            </w:pPr>
            <w:r>
              <w:rPr>
                <w:b w:val="0"/>
                <w:i w:val="0"/>
                <w:color w:val="5A6069"/>
                <w:sz w:val="18"/>
              </w:rPr>
              <w:t>Liver Cancer 2025; Tables 1–3.</w:t>
            </w:r>
          </w:p>
        </w:tc>
      </w:tr>
      <w:tr>
        <w:trPr>
          <w:cantSplit/>
        </w:trPr>
        <w:tc>
          <w:tcPr>
            <w:tcW w:type="dxa" w:w="3360"/>
            <w:tcW w:w="2000" w:type="dxa"/>
            <w:shd w:val="clear" w:color="auto" w:fill="FFFFFF"/>
          </w:tcPr>
          <w:p>
            <w:pPr>
              <w:spacing w:after="0"/>
            </w:pPr>
            <w:r>
              <w:rPr>
                <w:b/>
                <w:i w:val="0"/>
                <w:sz w:val="19"/>
              </w:rPr>
              <w:t>Hasegawa 2014 · node-positive HCC, Japanese survey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Japanese national survey, 14,872 resections. 112 with pathologically proven nodal metastasis.</w:t>
            </w:r>
          </w:p>
        </w:tc>
        <w:tc>
          <w:tcPr>
            <w:tcW w:type="dxa" w:w="3360"/>
            <w:tcW w:w="4180" w:type="dxa"/>
            <w:shd w:val="clear" w:color="auto" w:fill="FFFFFF"/>
          </w:tcPr>
          <w:p>
            <w:pPr>
              <w:spacing w:after="0"/>
            </w:pPr>
            <w:r>
              <w:rPr>
                <w:b w:val="0"/>
                <w:i w:val="0"/>
                <w:sz w:val="19"/>
              </w:rPr>
              <w:t>3-year survival 38.9% (nodal) vs 27.2% (distant stage IVB).</w:t>
            </w:r>
          </w:p>
          <w:p>
            <w:pPr>
              <w:spacing w:after="0"/>
            </w:pPr>
            <w:r>
              <w:rPr>
                <w:b w:val="0"/>
                <w:i/>
                <w:sz w:val="19"/>
              </w:rPr>
              <w:t>Limits: Pre-immunotherapy era; surgeon-selected patients.</w:t>
            </w:r>
          </w:p>
          <w:p>
            <w:pPr>
              <w:spacing w:after="0"/>
            </w:pPr>
            <w:r>
              <w:rPr>
                <w:b w:val="0"/>
                <w:i w:val="0"/>
                <w:color w:val="5A6069"/>
                <w:sz w:val="18"/>
              </w:rPr>
              <w:t>Ann Surg 2014 (abstract; full text pending).</w:t>
            </w:r>
          </w:p>
        </w:tc>
      </w:tr>
      <w:tr>
        <w:trPr>
          <w:cantSplit/>
        </w:trPr>
        <w:tc>
          <w:tcPr>
            <w:tcW w:type="dxa" w:w="3360"/>
            <w:tcW w:w="2000" w:type="dxa"/>
            <w:shd w:val="clear" w:color="auto" w:fill="F1F5F8"/>
          </w:tcPr>
          <w:p>
            <w:pPr>
              <w:spacing w:after="0"/>
            </w:pPr>
            <w:r>
              <w:rPr>
                <w:b/>
                <w:i w:val="0"/>
                <w:sz w:val="19"/>
              </w:rPr>
              <w:t>Midorikawa 2020 · resection of extrahepatic recurrence</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Comparison of 64 patients with extrahepatic recurrence and controlled liver disease. Nodes, adrenal, peritoneum, lung or brain; resectable.</w:t>
            </w:r>
          </w:p>
        </w:tc>
        <w:tc>
          <w:tcPr>
            <w:tcW w:type="dxa" w:w="3360"/>
            <w:tcW w:w="4180" w:type="dxa"/>
            <w:shd w:val="clear" w:color="auto" w:fill="F1F5F8"/>
          </w:tcPr>
          <w:p>
            <w:pPr>
              <w:spacing w:after="0"/>
            </w:pPr>
            <w:r>
              <w:rPr>
                <w:b w:val="0"/>
                <w:i w:val="0"/>
                <w:sz w:val="19"/>
              </w:rPr>
              <w:t>5-year survival 60.5% with resection vs 9.1% without.</w:t>
            </w:r>
          </w:p>
          <w:p>
            <w:pPr>
              <w:spacing w:after="0"/>
            </w:pPr>
            <w:r>
              <w:rPr>
                <w:b w:val="0"/>
                <w:i/>
                <w:sz w:val="19"/>
              </w:rPr>
              <w:t>Limits: Small, strongly selected, pre-immunotherapy.</w:t>
            </w:r>
          </w:p>
          <w:p>
            <w:pPr>
              <w:spacing w:after="0"/>
            </w:pPr>
            <w:r>
              <w:rPr>
                <w:b w:val="0"/>
                <w:i w:val="0"/>
                <w:color w:val="5A6069"/>
                <w:sz w:val="18"/>
              </w:rPr>
              <w:t>Hepatol Res 2020 (abstract; full text pending).</w:t>
            </w:r>
          </w:p>
        </w:tc>
      </w:tr>
      <w:tr>
        <w:trPr>
          <w:cantSplit/>
        </w:trPr>
        <w:tc>
          <w:tcPr>
            <w:tcW w:type="dxa" w:w="3360"/>
            <w:tcW w:w="2000" w:type="dxa"/>
            <w:shd w:val="clear" w:color="auto" w:fill="FFFFFF"/>
          </w:tcPr>
          <w:p>
            <w:pPr>
              <w:spacing w:after="0"/>
            </w:pPr>
            <w:r>
              <w:rPr>
                <w:b/>
                <w:i w:val="0"/>
                <w:sz w:val="19"/>
              </w:rPr>
              <w:t>Choi 2024 · SABR for oligometastatic HCC, phase II</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Phase II trial, 40 patients with controlled HCC and 1–5 metastases. Stereotactic ablative radiotherapy to all metastases.</w:t>
            </w:r>
          </w:p>
        </w:tc>
        <w:tc>
          <w:tcPr>
            <w:tcW w:type="dxa" w:w="3360"/>
            <w:tcW w:w="4180" w:type="dxa"/>
            <w:shd w:val="clear" w:color="auto" w:fill="FFFFFF"/>
          </w:tcPr>
          <w:p>
            <w:pPr>
              <w:spacing w:after="0"/>
            </w:pPr>
            <w:r>
              <w:rPr>
                <w:b w:val="0"/>
                <w:i w:val="0"/>
                <w:sz w:val="19"/>
              </w:rPr>
              <w:t>2-year survival 80%; 2-year progression-free survival 0%.</w:t>
            </w:r>
          </w:p>
          <w:p>
            <w:pPr>
              <w:spacing w:after="0"/>
            </w:pPr>
            <w:r>
              <w:rPr>
                <w:b w:val="0"/>
                <w:i/>
                <w:sz w:val="19"/>
              </w:rPr>
              <w:t>Limits: Single arm, short follow-up.</w:t>
            </w:r>
          </w:p>
          <w:p>
            <w:pPr>
              <w:spacing w:after="0"/>
            </w:pPr>
            <w:r>
              <w:rPr>
                <w:b w:val="0"/>
                <w:i w:val="0"/>
                <w:color w:val="5A6069"/>
                <w:sz w:val="18"/>
              </w:rPr>
              <w:t>J Hepatol 2024 (abstract; full text pending).</w:t>
            </w:r>
          </w:p>
        </w:tc>
      </w:tr>
      <w:tr>
        <w:trPr>
          <w:cantSplit/>
        </w:trPr>
        <w:tc>
          <w:tcPr>
            <w:tcW w:type="dxa" w:w="3360"/>
            <w:tcW w:w="2000" w:type="dxa"/>
            <w:shd w:val="clear" w:color="auto" w:fill="F1F5F8"/>
          </w:tcPr>
          <w:p>
            <w:pPr>
              <w:spacing w:after="0"/>
            </w:pPr>
            <w:r>
              <w:rPr>
                <w:b/>
                <w:i w:val="0"/>
                <w:sz w:val="19"/>
              </w:rPr>
              <w:t>Shin 2024 · lung metastasectomy vs SBRT</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Weighted comparison, 209 patients with lung oligometastases. Metastasectomy vs stereotactic radiotherapy.</w:t>
            </w:r>
          </w:p>
        </w:tc>
        <w:tc>
          <w:tcPr>
            <w:tcW w:type="dxa" w:w="3360"/>
            <w:tcW w:w="4180" w:type="dxa"/>
            <w:shd w:val="clear" w:color="auto" w:fill="F1F5F8"/>
          </w:tcPr>
          <w:p>
            <w:pPr>
              <w:spacing w:after="0"/>
            </w:pPr>
            <w:r>
              <w:rPr>
                <w:b w:val="0"/>
                <w:i w:val="0"/>
                <w:sz w:val="19"/>
              </w:rPr>
              <w:t>2-year local control 98.2% vs 97.0% (unweighted); weighted 2-year progression-free survival 23.0% vs 24.7%.</w:t>
            </w:r>
          </w:p>
          <w:p>
            <w:pPr>
              <w:spacing w:after="0"/>
            </w:pPr>
            <w:r>
              <w:rPr>
                <w:b w:val="0"/>
                <w:i/>
                <w:sz w:val="19"/>
              </w:rPr>
              <w:t>Limits: No systemic-only comparator.</w:t>
            </w:r>
          </w:p>
          <w:p>
            <w:pPr>
              <w:spacing w:after="0"/>
            </w:pPr>
            <w:r>
              <w:rPr>
                <w:b w:val="0"/>
                <w:i w:val="0"/>
                <w:color w:val="5A6069"/>
                <w:sz w:val="18"/>
              </w:rPr>
              <w:t>Int J Radiat Oncol Biol Phys 2024 (abstract; full text pending).</w:t>
            </w:r>
          </w:p>
        </w:tc>
      </w:tr>
      <w:tr>
        <w:trPr>
          <w:cantSplit/>
        </w:trPr>
        <w:tc>
          <w:tcPr>
            <w:tcW w:type="dxa" w:w="3360"/>
            <w:tcW w:w="2000" w:type="dxa"/>
            <w:shd w:val="clear" w:color="auto" w:fill="FFFFFF"/>
          </w:tcPr>
          <w:p>
            <w:pPr>
              <w:spacing w:after="0"/>
            </w:pPr>
            <w:r>
              <w:rPr>
                <w:b/>
                <w:i w:val="0"/>
                <w:sz w:val="19"/>
              </w:rPr>
              <w:t>Shindoh 2025 · borderline-resectable HCC</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Nationwide Japanese study, 1,509 borderline-resectable HCC. BR1 as defined by the 2023 consensus, which includes localized extrahepatic spread; the number with extrahepatic spread is not given in the abstract.</w:t>
            </w:r>
          </w:p>
        </w:tc>
        <w:tc>
          <w:tcPr>
            <w:tcW w:type="dxa" w:w="3360"/>
            <w:tcW w:w="4180" w:type="dxa"/>
            <w:shd w:val="clear" w:color="auto" w:fill="FFFFFF"/>
          </w:tcPr>
          <w:p>
            <w:pPr>
              <w:spacing w:after="0"/>
            </w:pPr>
            <w:r>
              <w:rPr>
                <w:b w:val="0"/>
                <w:i w:val="0"/>
                <w:sz w:val="19"/>
              </w:rPr>
              <w:t>5-year disease-specific survival 40.8%; 3-year recurrence-free survival 19.7%.</w:t>
            </w:r>
          </w:p>
          <w:p>
            <w:pPr>
              <w:spacing w:after="0"/>
            </w:pPr>
            <w:r>
              <w:rPr>
                <w:b w:val="0"/>
                <w:i/>
                <w:sz w:val="19"/>
              </w:rPr>
              <w:t>Limits: No extrahepatic subgroup in the abstract.</w:t>
            </w:r>
          </w:p>
          <w:p>
            <w:pPr>
              <w:spacing w:after="0"/>
            </w:pPr>
            <w:r>
              <w:rPr>
                <w:b w:val="0"/>
                <w:i w:val="0"/>
                <w:color w:val="5A6069"/>
                <w:sz w:val="18"/>
              </w:rPr>
              <w:t>J Hepatobiliary Pancreat Sci 2025 (abstract; full text pending).</w:t>
            </w:r>
          </w:p>
        </w:tc>
      </w:tr>
      <w:tr>
        <w:trPr>
          <w:cantSplit/>
        </w:trPr>
        <w:tc>
          <w:tcPr>
            <w:tcW w:type="dxa" w:w="3360"/>
            <w:tcW w:w="2000" w:type="dxa"/>
            <w:shd w:val="clear" w:color="auto" w:fill="F1F5F8"/>
          </w:tcPr>
          <w:p>
            <w:pPr>
              <w:spacing w:after="0"/>
            </w:pPr>
            <w:r>
              <w:rPr>
                <w:b/>
                <w:i w:val="0"/>
                <w:sz w:val="19"/>
              </w:rPr>
              <w:t>AASLD 2023 HCC practice guidance</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AASLD 2023 practice guidance. No section on surgery after treated extrahepatic disease.</w:t>
            </w:r>
          </w:p>
        </w:tc>
        <w:tc>
          <w:tcPr>
            <w:tcW w:type="dxa" w:w="3360"/>
            <w:tcW w:w="4180" w:type="dxa"/>
            <w:shd w:val="clear" w:color="auto" w:fill="F1F5F8"/>
          </w:tcPr>
          <w:p>
            <w:pPr>
              <w:spacing w:after="0"/>
            </w:pPr>
            <w:r>
              <w:rPr>
                <w:b w:val="0"/>
                <w:i w:val="0"/>
                <w:sz w:val="19"/>
              </w:rPr>
              <w:t>Does not recommend systemic therapy before resection outside trials.</w:t>
            </w:r>
          </w:p>
          <w:p>
            <w:pPr>
              <w:spacing w:after="0"/>
            </w:pPr>
            <w:r>
              <w:rPr>
                <w:b w:val="0"/>
                <w:i/>
                <w:sz w:val="19"/>
              </w:rPr>
              <w:t>Limits: Pre-dates most conversion data.</w:t>
            </w:r>
          </w:p>
          <w:p>
            <w:pPr>
              <w:spacing w:after="0"/>
            </w:pPr>
            <w:r>
              <w:rPr>
                <w:b w:val="0"/>
                <w:i w:val="0"/>
                <w:color w:val="5A6069"/>
                <w:sz w:val="18"/>
              </w:rPr>
              <w:t>Hepatology 2023 (relevant sections read).</w:t>
            </w:r>
          </w:p>
        </w:tc>
      </w:tr>
    </w:tbl>
    <w:p>
      <w:pPr>
        <w:spacing w:after="40"/>
      </w:pPr>
    </w:p>
    <w:p>
      <w:pPr>
        <w:pStyle w:val="Heading3"/>
        <w:keepNext/>
        <w:spacing w:before="120" w:after="80"/>
      </w:pPr>
      <w:r>
        <w:rPr>
          <w:b w:val="0"/>
          <w:i w:val="0"/>
        </w:rPr>
        <w:t>Our proposed selection (OPEN)</w:t>
      </w:r>
    </w:p>
    <w:p>
      <w:pPr>
        <w:spacing w:after="80"/>
      </w:pPr>
      <w:r>
        <w:rPr>
          <w:b w:val="0"/>
          <w:i w:val="0"/>
        </w:rPr>
        <w:t>Offer curative-intent liver resection or ablation, with treatment of every residual extrahepatic site, only to selected patients after MDT review, and present it as life-prolonging multimodal therapy, not cure. Use the JLCA definition of localized extrahepatic spread; all other extrahepatic disease stays systemic-therapy-led. This roadmap position does not open transplantation (HCC-B5).</w:t>
      </w:r>
    </w:p>
    <w:p>
      <w:pPr>
        <w:numPr>
          <w:ilvl w:val="0"/>
          <w:numId w:val="5"/>
        </w:numPr>
        <w:spacing w:after="40"/>
      </w:pPr>
      <w:r>
        <w:rPr>
          <w:b w:val="0"/>
          <w:i w:val="0"/>
        </w:rPr>
        <w:t>Localized extrahepatic spread (JLCA 2023, BR1): a solitary node at station 3, 8 or 12; localized peritoneal disease (P1); a unilateral adrenal metastasis; or a few lung metastases. All other extrahepatic disease is BR2: benefit of surgery uncertain.</w:t>
      </w:r>
    </w:p>
    <w:p>
      <w:pPr>
        <w:numPr>
          <w:ilvl w:val="0"/>
          <w:numId w:val="5"/>
        </w:numPr>
        <w:spacing w:after="40"/>
      </w:pPr>
      <w:r>
        <w:rPr>
          <w:b w:val="0"/>
          <w:i w:val="0"/>
        </w:rPr>
        <w:t>Before surgery: response or stable disease of every extrahepatic site on serial imaging, no new lesions, current whole-body staging, every intrahepatic and extrahepatic site treatable (resection, ablation or stereotactic radiotherapy), adequate liver reserve, ECOG 0–1. No guideline sets the interval; the MDT records the interval it uses.</w:t>
      </w:r>
    </w:p>
    <w:p>
      <w:pPr>
        <w:numPr>
          <w:ilvl w:val="0"/>
          <w:numId w:val="5"/>
        </w:numPr>
        <w:spacing w:after="40"/>
      </w:pPr>
      <w:r>
        <w:rPr>
          <w:b w:val="0"/>
          <w:i w:val="0"/>
        </w:rPr>
        <w:t>AASLD 2023 does not support systemic therapy before resection outside trials. Record the decision as an MDT exception or enroll in a study or registry; plan continued systemic therapy and surveillance.</w:t>
      </w:r>
    </w:p>
    <w:p>
      <w:pPr>
        <w:numPr>
          <w:ilvl w:val="0"/>
          <w:numId w:val="5"/>
        </w:numPr>
        <w:spacing w:after="40"/>
      </w:pPr>
      <w:r>
        <w:rPr>
          <w:b w:val="0"/>
          <w:i w:val="0"/>
        </w:rPr>
        <w:t>Counsel that recurrence is the rule: after stereotactic radiotherapy to oligometastases, 2-year progression-free survival was 0%; after borderline-resectable surgery, 3-year recurrence-free survival was 19.7%.</w:t>
      </w:r>
    </w:p>
    <w:p>
      <w:pPr>
        <w:spacing w:after="80"/>
      </w:pPr>
      <w:r>
        <w:rPr>
          <w:b/>
          <w:i w:val="0"/>
        </w:rPr>
        <w:t xml:space="preserve">Why: </w:t>
      </w:r>
      <w:r>
        <w:rPr>
          <w:b w:val="0"/>
          <w:i w:val="0"/>
        </w:rPr>
        <w:t>National and multicentre cohorts associate surgery after response with longer survival, but every comparison is biased toward the operated patients. JLCA gives the only explicit definition of the limited extrahepatic disease for which surgery may help.</w:t>
      </w:r>
    </w:p>
    <w:p>
      <w:pPr>
        <w:spacing w:after="80"/>
      </w:pPr>
      <w:r>
        <w:rPr>
          <w:b/>
          <w:i w:val="0"/>
        </w:rPr>
        <w:t xml:space="preserve">Against, or uncertain: </w:t>
      </w:r>
      <w:r>
        <w:rPr>
          <w:b w:val="0"/>
          <w:i w:val="0"/>
        </w:rPr>
        <w:t>All cohorts select fit patients with few lesions; benefit may reflect biology rather than surgery. AASLD does not support preoperative systemic therapy outside trials.</w:t>
      </w:r>
    </w:p>
    <w:p>
      <w:pPr>
        <w:spacing w:after="80"/>
      </w:pPr>
      <w:r>
        <w:rPr>
          <w:b/>
          <w:i w:val="0"/>
        </w:rPr>
        <w:t xml:space="preserve">Certainty: </w:t>
      </w:r>
      <w:r>
        <w:rPr>
          <w:b w:val="0"/>
          <w:i w:val="0"/>
        </w:rPr>
        <w:t>Low for longer survival after resection of limited, responded extrahepatic disease; very low for cure.</w:t>
      </w:r>
    </w:p>
    <w:p>
      <w:pPr>
        <w:spacing w:after="80"/>
      </w:pPr>
      <w:r>
        <w:rPr>
          <w:b/>
          <w:i w:val="0"/>
        </w:rPr>
        <w:t xml:space="preserve">What would change the answer: </w:t>
      </w:r>
      <w:r>
        <w:rPr>
          <w:b w:val="0"/>
          <w:i w:val="0"/>
        </w:rPr>
        <w:t>Prospective or randomized data on surgery after response in oligometastatic HCC.</w:t>
      </w:r>
    </w:p>
    <w:p>
      <w:pPr>
        <w:pStyle w:val="Heading3"/>
        <w:keepNext/>
        <w:spacing w:before="120" w:after="80"/>
      </w:pPr>
      <w:r>
        <w:rPr>
          <w:b w:val="0"/>
          <w:i w:val="0"/>
        </w:rPr>
        <w:t>HCC-R1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 — Name the accountable system HCC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individuals. It specifies a neutral clinical chair who, after radiology-first presentation and explicit comparison of options, synthesises one recommendation and names any genuine uncertainty with its review trigger; programme leadership owns required attendance, and every case leaves with one owner, due date and reassessment plan.</w:t>
      </w:r>
    </w:p>
    <w:p>
      <w:pPr>
        <w:spacing w:after="80"/>
      </w:pPr>
      <w:r>
        <w:rPr>
          <w:b/>
          <w:i w:val="0"/>
          <w:color w:val="5A6069"/>
          <w:sz w:val="18"/>
        </w:rPr>
        <w:t xml:space="preserve">Basis in the document: </w:t>
      </w:r>
      <w:r>
        <w:rPr>
          <w:b w:val="0"/>
          <w:i w:val="0"/>
          <w:color w:val="5A6069"/>
          <w:sz w:val="18"/>
        </w:rPr>
        <w:t>Operations · Tumour board table (Conference and Attendance rows); Decisions table #1 (why)</w:t>
      </w:r>
    </w:p>
    <w:p>
      <w:pPr>
        <w:spacing w:after="80"/>
      </w:pPr>
      <w:r>
        <w:rPr>
          <w:b/>
          <w:i w:val="0"/>
        </w:rPr>
        <w:t xml:space="preserve">Why: </w:t>
      </w:r>
      <w:r>
        <w:rPr>
          <w:b w:val="0"/>
          <w:i w:val="0"/>
        </w:rPr>
        <w:t>The conference is required to produce one recommendation, one accountable owner, one due date and one reassessment plan; without a named pathway owner and a chair with no stake in the modality chosen, the synthesis step has nobody to perform it.</w:t>
      </w:r>
    </w:p>
    <w:p>
      <w:pPr>
        <w:pStyle w:val="Heading3"/>
        <w:keepNext/>
        <w:spacing w:before="120" w:after="80"/>
      </w:pPr>
      <w:r>
        <w:rPr>
          <w:b w:val="0"/>
          <w:i w:val="0"/>
        </w:rPr>
        <w:t>HCC-D1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 — Approve the Epic submission form, the MDT note template, the registry minimum dataset and the urgent-case rule.</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records diagnosis, clinical question, BCLC stage, AFP, liver scores, imaging availability, prior treatment, transplant status, referring clinician and urgency. The Epic note, due within one business day, records recommendation, alternatives, owner, due date and reassessment plan. Urgent lane: same or next business day with chair approval and a named owner. The registry tracks closure.</w:t>
      </w:r>
    </w:p>
    <w:p>
      <w:pPr>
        <w:spacing w:after="80"/>
      </w:pPr>
      <w:r>
        <w:rPr>
          <w:b/>
          <w:i w:val="0"/>
          <w:color w:val="5A6069"/>
          <w:sz w:val="18"/>
        </w:rPr>
        <w:t xml:space="preserve">Basis in the document: </w:t>
      </w:r>
      <w:r>
        <w:rPr>
          <w:b w:val="0"/>
          <w:i w:val="0"/>
          <w:color w:val="5A6069"/>
          <w:sz w:val="18"/>
        </w:rPr>
        <w:t>Operations · Tumour board table (Submission, Urgent lane, Documentation, Closure rows); Decisions table #2 (why)</w:t>
      </w:r>
    </w:p>
    <w:p>
      <w:pPr>
        <w:spacing w:after="80"/>
      </w:pPr>
      <w:r>
        <w:rPr>
          <w:b/>
          <w:i w:val="0"/>
        </w:rPr>
        <w:t xml:space="preserve">Why: </w:t>
      </w:r>
      <w:r>
        <w:rPr>
          <w:b w:val="0"/>
          <w:i w:val="0"/>
        </w:rPr>
        <w:t>BCLC stage, the liver scores, AFP and the curative-assessment fields are what the whole pathway is built on, so they have to be captured at submission rather than reconstructed afterwards. Programme operations owns the registry dataset and who is accountable for entry.</w:t>
      </w:r>
    </w:p>
    <w:p>
      <w:pPr>
        <w:pStyle w:val="Heading3"/>
        <w:keepNext/>
        <w:spacing w:before="120" w:after="80"/>
      </w:pPr>
      <w:r>
        <w:rPr>
          <w:b w:val="0"/>
          <w:i w:val="0"/>
        </w:rPr>
        <w:t>HCC-D2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HCC-D3 — Approve modality-specific liver-function and dosimetry thresholds rather than relying on a single universal bilirubin cut-off.</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For radiation segmentectomy in Child-Pugh A, NCCN specifies more than 400 Gy to no more than 25% of the liver; the roadmap adds that the dose compartment and microsphere model must be documented.</w:t>
            </w:r>
          </w:p>
        </w:tc>
        <w:tc>
          <w:tcPr>
            <w:tcW w:type="dxa" w:w="3360"/>
            <w:tcW w:w="2400" w:type="dxa"/>
            <w:shd w:val="clear" w:color="auto" w:fill="F1F5F8"/>
          </w:tcPr>
          <w:p>
            <w:pPr>
              <w:spacing w:after="0"/>
            </w:pPr>
            <w:r>
              <w:rPr>
                <w:b w:val="0"/>
                <w:i w:val="0"/>
                <w:color w:val="5A6069"/>
                <w:sz w:val="18"/>
              </w:rPr>
              <w:t>Locoregional tab · selector row 'Radiation segmentectomy'</w:t>
            </w:r>
          </w:p>
        </w:tc>
      </w:tr>
      <w:tr>
        <w:trPr>
          <w:cantSplit/>
        </w:trPr>
        <w:tc>
          <w:tcPr>
            <w:tcW w:type="dxa" w:w="3360"/>
            <w:tcW w:w="2200" w:type="dxa"/>
            <w:shd w:val="clear" w:color="auto" w:fill="FFFFFF"/>
          </w:tcPr>
          <w:p>
            <w:pPr>
              <w:spacing w:after="0"/>
            </w:pPr>
            <w:r>
              <w:rPr>
                <w:b/>
                <w:i w:val="0"/>
                <w:sz w:val="19"/>
              </w:rPr>
              <w:t>DOSISPHERE-01</w:t>
            </w:r>
          </w:p>
        </w:tc>
        <w:tc>
          <w:tcPr>
            <w:tcW w:type="dxa" w:w="3360"/>
            <w:tcW w:w="5480" w:type="dxa"/>
            <w:shd w:val="clear" w:color="auto" w:fill="FFFFFF"/>
          </w:tcPr>
          <w:p>
            <w:pPr>
              <w:spacing w:after="0"/>
            </w:pPr>
            <w:r>
              <w:rPr>
                <w:b w:val="0"/>
                <w:i w:val="0"/>
                <w:sz w:val="19"/>
              </w:rPr>
              <w:t>Personalised dosimetry (at least 205 Gy to the index lesion) improved response and survival against standard 120 Gy; roadmap critique: 60-patient phase 2, stopped early on an unmasked single-lesion endpoint, survival secondary and confounded by later resection.</w:t>
            </w:r>
          </w:p>
        </w:tc>
        <w:tc>
          <w:tcPr>
            <w:tcW w:type="dxa" w:w="3360"/>
            <w:tcW w:w="2400" w:type="dxa"/>
            <w:shd w:val="clear" w:color="auto" w:fill="FFFFFF"/>
          </w:tcPr>
          <w:p>
            <w:pPr>
              <w:spacing w:after="0"/>
            </w:pPr>
            <w:r>
              <w:rPr>
                <w:b w:val="0"/>
                <w:i w:val="0"/>
                <w:color w:val="5A6069"/>
                <w:sz w:val="18"/>
              </w:rPr>
              <w:t>Appendix · DOSISPHERE-01 (bottom line); What we are not sure about #20</w:t>
            </w:r>
          </w:p>
        </w:tc>
      </w:tr>
      <w:tr>
        <w:trPr>
          <w:cantSplit/>
        </w:trPr>
        <w:tc>
          <w:tcPr>
            <w:tcW w:type="dxa" w:w="3360"/>
            <w:tcW w:w="2200" w:type="dxa"/>
            <w:shd w:val="clear" w:color="auto" w:fill="F1F5F8"/>
          </w:tcPr>
          <w:p>
            <w:pPr>
              <w:spacing w:after="0"/>
            </w:pPr>
            <w:r>
              <w:rPr>
                <w:b/>
                <w:i w:val="0"/>
                <w:sz w:val="19"/>
              </w:rPr>
              <w:t>SARAH</w:t>
            </w:r>
          </w:p>
        </w:tc>
        <w:tc>
          <w:tcPr>
            <w:tcW w:type="dxa" w:w="3360"/>
            <w:tcW w:w="5480" w:type="dxa"/>
            <w:shd w:val="clear" w:color="auto" w:fill="F1F5F8"/>
          </w:tcPr>
          <w:p>
            <w:pPr>
              <w:spacing w:after="0"/>
            </w:pPr>
            <w:r>
              <w:rPr>
                <w:b w:val="0"/>
                <w:i w:val="0"/>
                <w:sz w:val="19"/>
              </w:rPr>
              <w:t>Activity was prescribed by body surface area; the trial's own later dose-response analysis found median survival of 14.1 versus 6.1 months above and below a 100 Gy tumour absorbed dose.</w:t>
            </w:r>
          </w:p>
        </w:tc>
        <w:tc>
          <w:tcPr>
            <w:tcW w:type="dxa" w:w="3360"/>
            <w:tcW w:w="2400" w:type="dxa"/>
            <w:shd w:val="clear" w:color="auto" w:fill="F1F5F8"/>
          </w:tcPr>
          <w:p>
            <w:pPr>
              <w:spacing w:after="0"/>
            </w:pPr>
            <w:r>
              <w:rPr>
                <w:b w:val="0"/>
                <w:i w:val="0"/>
                <w:color w:val="5A6069"/>
                <w:sz w:val="18"/>
              </w:rPr>
              <w:t>What we are not sure about #21; Appendix · SARAH (bottom line)</w:t>
            </w:r>
          </w:p>
        </w:tc>
      </w:tr>
    </w:tbl>
    <w:p>
      <w:pPr>
        <w:spacing w:after="40"/>
      </w:pPr>
    </w:p>
    <w:p>
      <w:pPr>
        <w:spacing w:after="80"/>
      </w:pPr>
      <w:r>
        <w:rPr>
          <w:b/>
          <w:i w:val="0"/>
        </w:rPr>
        <w:t xml:space="preserve">Where sources differ: </w:t>
      </w:r>
      <w:r>
        <w:rPr>
          <w:b w:val="0"/>
          <w:i w:val="0"/>
        </w:rPr>
        <w:t>No source in the roadmap sets per-modality Child-Pugh, ALBI or MELD bars, and the dose evidence rests on a stopped-early phase 2 trial and a later dose-response analysis of a negative trial.</w:t>
      </w:r>
    </w:p>
    <w:p>
      <w:pPr>
        <w:pStyle w:val="Heading3"/>
        <w:keepNext/>
        <w:spacing w:before="120" w:after="80"/>
      </w:pPr>
      <w:r>
        <w:rPr>
          <w:b w:val="0"/>
          <w:i w:val="0"/>
        </w:rPr>
        <w:t>Our proposed selection (OPEN)</w:t>
      </w:r>
    </w:p>
    <w:p>
      <w:pPr>
        <w:spacing w:after="80"/>
      </w:pPr>
      <w:r>
        <w:rPr>
          <w:b w:val="0"/>
          <w:i w:val="0"/>
        </w:rPr>
        <w:t>Thresholds are not yet set: hepatology is to fix Child-Pugh, ALBI and MELD bars per modality, and interventional radiology the dosimetry limits. Current page markers: TACE avoided with decompensation or ALBI grade 3, bilirubin above 3 mg/dL a relative concern; for radioembolisation bilirubin above 2 mg/dL raises radiation-injury risk; EBRT safety data are mostly Child-Pugh A or selected B7.</w:t>
      </w:r>
    </w:p>
    <w:p>
      <w:pPr>
        <w:spacing w:after="80"/>
      </w:pPr>
      <w:r>
        <w:rPr>
          <w:b/>
          <w:i w:val="0"/>
          <w:color w:val="5A6069"/>
          <w:sz w:val="18"/>
        </w:rPr>
        <w:t xml:space="preserve">Basis in the document: </w:t>
      </w:r>
      <w:r>
        <w:rPr>
          <w:b w:val="0"/>
          <w:i w:val="0"/>
          <w:color w:val="5A6069"/>
          <w:sz w:val="18"/>
        </w:rPr>
        <w:t>Decisions table #3 (why); Stage B Standard (caveat); Liver-directed treatment matrix, arterial embolization, radioembolization and external beam rows (v16 text)</w:t>
      </w:r>
    </w:p>
    <w:p>
      <w:pPr>
        <w:spacing w:after="80"/>
      </w:pPr>
      <w:r>
        <w:rPr>
          <w:b/>
          <w:i w:val="0"/>
        </w:rPr>
        <w:t xml:space="preserve">Why: </w:t>
      </w:r>
      <w:r>
        <w:rPr>
          <w:b w:val="0"/>
          <w:i w:val="0"/>
        </w:rPr>
        <w:t>Each locoregional modality fails the liver in a different way, so hepatology must set the Child-Pugh, ALBI and MELD thresholds that bar each one, and interventional radiology the dosimetry limits. A single bilirubin number cannot carry that work.</w:t>
      </w:r>
    </w:p>
    <w:p>
      <w:pPr>
        <w:pStyle w:val="Heading3"/>
        <w:keepNext/>
        <w:spacing w:before="120" w:after="80"/>
      </w:pPr>
      <w:r>
        <w:rPr>
          <w:b w:val="0"/>
          <w:i w:val="0"/>
        </w:rPr>
        <w:t>HCC-D3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HCC-D4 — Ratify the locoregional selector and the stop/switch rules jointly with hepatobiliary and transplant surgery, hepatology, interventional radiology, radiation oncology, diagnostic radiology and medical oncology.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After one or two consecutive TACEs without response other therapies should be considered (level of evidence 3); the roadmap notes published refractoriness definitions differ and no study compares fixed-count switching with per-session reassessment.</w:t>
            </w:r>
          </w:p>
        </w:tc>
        <w:tc>
          <w:tcPr>
            <w:tcW w:type="dxa" w:w="3360"/>
            <w:tcW w:w="2400" w:type="dxa"/>
            <w:shd w:val="clear" w:color="auto" w:fill="F1F5F8"/>
          </w:tcPr>
          <w:p>
            <w:pPr>
              <w:spacing w:after="0"/>
            </w:pPr>
            <w:r>
              <w:rPr>
                <w:b w:val="0"/>
                <w:i w:val="0"/>
                <w:color w:val="5A6069"/>
                <w:sz w:val="18"/>
              </w:rPr>
              <w:t>What we are not sure about #32</w:t>
            </w:r>
          </w:p>
        </w:tc>
      </w:tr>
      <w:tr>
        <w:trPr>
          <w:cantSplit/>
        </w:trPr>
        <w:tc>
          <w:tcPr>
            <w:tcW w:type="dxa" w:w="3360"/>
            <w:tcW w:w="2200" w:type="dxa"/>
            <w:shd w:val="clear" w:color="auto" w:fill="FFFFFF"/>
          </w:tcPr>
          <w:p>
            <w:pPr>
              <w:spacing w:after="0"/>
            </w:pPr>
            <w:r>
              <w:rPr>
                <w:b/>
                <w:i w:val="0"/>
                <w:sz w:val="19"/>
              </w:rPr>
              <w:t>LI-RADS (ACR v2024 treatment response)</w:t>
            </w:r>
          </w:p>
        </w:tc>
        <w:tc>
          <w:tcPr>
            <w:tcW w:type="dxa" w:w="3360"/>
            <w:tcW w:w="5480" w:type="dxa"/>
            <w:shd w:val="clear" w:color="auto" w:fill="FFFFFF"/>
          </w:tcPr>
          <w:p>
            <w:pPr>
              <w:spacing w:after="0"/>
            </w:pPr>
            <w:r>
              <w:rPr>
                <w:b w:val="0"/>
                <w:i w:val="0"/>
                <w:sz w:val="19"/>
              </w:rPr>
              <w:t>Separate nonradiation and radiation treatment-response algorithms; after SBRT or Y-90 the nonprogressing category means persistent enhancement alone is not failure. The roadmap notes these algorithms have no outcome validation.</w:t>
            </w:r>
          </w:p>
        </w:tc>
        <w:tc>
          <w:tcPr>
            <w:tcW w:type="dxa" w:w="3360"/>
            <w:tcW w:w="2400" w:type="dxa"/>
            <w:shd w:val="clear" w:color="auto" w:fill="FFFFFF"/>
          </w:tcPr>
          <w:p>
            <w:pPr>
              <w:spacing w:after="0"/>
            </w:pPr>
            <w:r>
              <w:rPr>
                <w:b w:val="0"/>
                <w:i w:val="0"/>
                <w:color w:val="5A6069"/>
                <w:sz w:val="18"/>
              </w:rPr>
              <w:t>Locoregional tab · Stop and switch rules; Quick reference · LI-RADS table (v16 text); What we are not sure about #2</w:t>
            </w:r>
          </w:p>
        </w:tc>
      </w:tr>
    </w:tbl>
    <w:p>
      <w:pPr>
        <w:spacing w:after="40"/>
      </w:pPr>
    </w:p>
    <w:p>
      <w:pPr>
        <w:spacing w:after="80"/>
      </w:pPr>
      <w:r>
        <w:rPr>
          <w:b/>
          <w:i w:val="0"/>
        </w:rPr>
        <w:t xml:space="preserve">Where sources differ: </w:t>
      </w:r>
      <w:r>
        <w:rPr>
          <w:b w:val="0"/>
          <w:i w:val="0"/>
        </w:rPr>
        <w:t>Within the roadmap, the stop/switch card keeps persistent viability after two well-executed sessions as a switch trigger, while stage B and the limited-evidence table record that v0.8 withdrew the fixed two-session rule for per-session reassessment.</w:t>
      </w:r>
    </w:p>
    <w:p>
      <w:pPr>
        <w:pStyle w:val="Heading3"/>
        <w:keepNext/>
        <w:spacing w:before="120" w:after="80"/>
      </w:pPr>
      <w:r>
        <w:rPr>
          <w:b w:val="0"/>
          <w:i w:val="0"/>
        </w:rPr>
        <w:t>Our proposed selection (OPEN)</w:t>
      </w:r>
    </w:p>
    <w:p>
      <w:pPr>
        <w:spacing w:after="80"/>
      </w:pPr>
      <w:r>
        <w:rPr>
          <w:b w:val="0"/>
          <w:i w:val="0"/>
        </w:rPr>
        <w:t>Ratify a non-ranked selector chosen by goal, anatomy and reserve, with no universal ablation-to-histotripsy sequence; device availability and specialty preference are not indications. Stop/switch: reassess after every treatment; move away from repeated TACE for decompensation, worsening ALBI or Child-Pugh, lost selective access, or out-of-territory, vascular or extrahepatic progression, or persistent viable disease after two well-executed sessions unless a curative or downstaging rationale is recorded (a trigger the stage B note says v0.8 withdrew); allow delayed response after radiation.</w:t>
      </w:r>
    </w:p>
    <w:p>
      <w:pPr>
        <w:spacing w:after="80"/>
      </w:pPr>
      <w:r>
        <w:rPr>
          <w:b/>
          <w:i w:val="0"/>
          <w:color w:val="5A6069"/>
          <w:sz w:val="18"/>
        </w:rPr>
        <w:t xml:space="preserve">Basis in the document: </w:t>
      </w:r>
      <w:r>
        <w:rPr>
          <w:b w:val="0"/>
          <w:i w:val="0"/>
          <w:color w:val="5A6069"/>
          <w:sz w:val="18"/>
        </w:rPr>
        <w:t>Locoregional tab · Decision sequence, selector table and Stop and switch rules; Decisions table #4 (why)</w:t>
      </w:r>
    </w:p>
    <w:p>
      <w:pPr>
        <w:spacing w:after="80"/>
      </w:pPr>
      <w:r>
        <w:rPr>
          <w:b/>
          <w:i w:val="0"/>
        </w:rPr>
        <w:t xml:space="preserve">Why: </w:t>
      </w:r>
      <w:r>
        <w:rPr>
          <w:b w:val="0"/>
          <w:i w:val="0"/>
        </w:rPr>
        <w:t>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p>
      <w:pPr>
        <w:pStyle w:val="Heading3"/>
        <w:keepNext/>
        <w:spacing w:before="120" w:after="80"/>
      </w:pPr>
      <w:r>
        <w:rPr>
          <w:b w:val="0"/>
          <w:i w:val="0"/>
        </w:rPr>
        <w:t>HCC-D4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HCC-D5 — Adopt one reading of resection in clinically significant portal hypertension and state it on the page, rather than leaving the BCLC position and the Yuan randomised result side by side for each board to choose between.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With CSPH, resection carries significant risk and transplantation offers better survival; HVPG remains the gold standard. Roadmap critique: the update gives no HVPG cut-off for resection with portal hypertension.</w:t>
            </w:r>
          </w:p>
        </w:tc>
        <w:tc>
          <w:tcPr>
            <w:tcW w:type="dxa" w:w="3360"/>
            <w:tcW w:w="2400" w:type="dxa"/>
            <w:shd w:val="clear" w:color="auto" w:fill="F1F5F8"/>
          </w:tcPr>
          <w:p>
            <w:pPr>
              <w:spacing w:after="0"/>
            </w:pPr>
            <w:r>
              <w:rPr>
                <w:b w:val="0"/>
                <w:i w:val="0"/>
                <w:color w:val="5A6069"/>
                <w:sz w:val="18"/>
              </w:rPr>
              <w:t>Curative tab · 'Does CSPH bar resection?'; Appendix · BCLC 2026 (bottom line)</w:t>
            </w:r>
          </w:p>
        </w:tc>
      </w:tr>
      <w:tr>
        <w:trPr>
          <w:cantSplit/>
        </w:trPr>
        <w:tc>
          <w:tcPr>
            <w:tcW w:type="dxa" w:w="3360"/>
            <w:tcW w:w="2200" w:type="dxa"/>
            <w:shd w:val="clear" w:color="auto" w:fill="FFFFFF"/>
          </w:tcPr>
          <w:p>
            <w:pPr>
              <w:spacing w:after="0"/>
            </w:pPr>
            <w:r>
              <w:rPr>
                <w:b/>
                <w:i w:val="0"/>
                <w:sz w:val="19"/>
              </w:rPr>
              <w:t>Yuan 2024 RCT</w:t>
            </w:r>
          </w:p>
        </w:tc>
        <w:tc>
          <w:tcPr>
            <w:tcW w:type="dxa" w:w="3360"/>
            <w:tcW w:w="5480" w:type="dxa"/>
            <w:shd w:val="clear" w:color="auto" w:fill="FFFFFF"/>
          </w:tcPr>
          <w:p>
            <w:pPr>
              <w:spacing w:after="0"/>
            </w:pPr>
            <w:r>
              <w:rPr>
                <w:b w:val="0"/>
                <w:i w:val="0"/>
                <w:sz w:val="19"/>
              </w:rPr>
              <w:t>In 160 hepatitis B patients within Milan with CSPH, resection versus ablation with or without TACE showed no significant survival difference (5-year 69.5% vs 64.9%); authors call resection safe. Roadmap: too small for equivalence, HVPG never measured.</w:t>
            </w:r>
          </w:p>
        </w:tc>
        <w:tc>
          <w:tcPr>
            <w:tcW w:type="dxa" w:w="3360"/>
            <w:tcW w:w="2400" w:type="dxa"/>
            <w:shd w:val="clear" w:color="auto" w:fill="FFFFFF"/>
          </w:tcPr>
          <w:p>
            <w:pPr>
              <w:spacing w:after="0"/>
            </w:pPr>
            <w:r>
              <w:rPr>
                <w:b w:val="0"/>
                <w:i w:val="0"/>
                <w:color w:val="5A6069"/>
                <w:sz w:val="18"/>
              </w:rPr>
              <w:t>Curative tab · 'Does CSPH bar resection?'; What we are not sure about #4</w:t>
            </w:r>
          </w:p>
        </w:tc>
      </w:tr>
      <w:tr>
        <w:trPr>
          <w:cantSplit/>
        </w:trPr>
        <w:tc>
          <w:tcPr>
            <w:tcW w:type="dxa" w:w="3360"/>
            <w:tcW w:w="2200" w:type="dxa"/>
            <w:shd w:val="clear" w:color="auto" w:fill="F1F5F8"/>
          </w:tcPr>
          <w:p>
            <w:pPr>
              <w:spacing w:after="0"/>
            </w:pPr>
            <w:r>
              <w:rPr>
                <w:b/>
                <w:i w:val="0"/>
                <w:sz w:val="19"/>
              </w:rPr>
              <w:t>Berzigotti meta-analysis</w:t>
            </w:r>
          </w:p>
        </w:tc>
        <w:tc>
          <w:tcPr>
            <w:tcW w:type="dxa" w:w="3360"/>
            <w:tcW w:w="5480" w:type="dxa"/>
            <w:shd w:val="clear" w:color="auto" w:fill="F1F5F8"/>
          </w:tcPr>
          <w:p>
            <w:pPr>
              <w:spacing w:after="0"/>
            </w:pPr>
            <w:r>
              <w:rPr>
                <w:b w:val="0"/>
                <w:i w:val="0"/>
                <w:sz w:val="19"/>
              </w:rPr>
              <w:t>CSPH raised 3-year post-resection mortality (OR 2.09) and early decompensation (OR 3.04); roadmap critique: crude, unadjusted estimates from 11 mostly retrospective single-centre studies.</w:t>
            </w:r>
          </w:p>
        </w:tc>
        <w:tc>
          <w:tcPr>
            <w:tcW w:type="dxa" w:w="3360"/>
            <w:tcW w:w="2400" w:type="dxa"/>
            <w:shd w:val="clear" w:color="auto" w:fill="F1F5F8"/>
          </w:tcPr>
          <w:p>
            <w:pPr>
              <w:spacing w:after="0"/>
            </w:pPr>
            <w:r>
              <w:rPr>
                <w:b w:val="0"/>
                <w:i w:val="0"/>
                <w:color w:val="5A6069"/>
                <w:sz w:val="18"/>
              </w:rPr>
              <w:t>Curative tab · 'Does CSPH bar resection?'; What we are not sure about #3</w:t>
            </w:r>
          </w:p>
        </w:tc>
      </w:tr>
      <w:tr>
        <w:trPr>
          <w:cantSplit/>
        </w:trPr>
        <w:tc>
          <w:tcPr>
            <w:tcW w:type="dxa" w:w="3360"/>
            <w:tcW w:w="2200" w:type="dxa"/>
            <w:shd w:val="clear" w:color="auto" w:fill="FFFFFF"/>
          </w:tcPr>
          <w:p>
            <w:pPr>
              <w:spacing w:after="0"/>
            </w:pPr>
            <w:r>
              <w:rPr>
                <w:b/>
                <w:i w:val="0"/>
                <w:sz w:val="19"/>
              </w:rPr>
              <w:t>Bruix 1996</w:t>
            </w:r>
          </w:p>
        </w:tc>
        <w:tc>
          <w:tcPr>
            <w:tcW w:type="dxa" w:w="3360"/>
            <w:tcW w:w="5480" w:type="dxa"/>
            <w:shd w:val="clear" w:color="auto" w:fill="FFFFFF"/>
          </w:tcPr>
          <w:p>
            <w:pPr>
              <w:spacing w:after="0"/>
            </w:pPr>
            <w:r>
              <w:rPr>
                <w:b w:val="0"/>
                <w:i w:val="0"/>
                <w:sz w:val="19"/>
              </w:rPr>
              <w:t>Index study: HVPG of 10 mmHg or more separated unresolved decompensation (11 of 15 vs 0 of 14) in 29 patients; the roadmap calls the separation too clean to reproduce and notes no survival outcome.</w:t>
            </w:r>
          </w:p>
        </w:tc>
        <w:tc>
          <w:tcPr>
            <w:tcW w:type="dxa" w:w="3360"/>
            <w:tcW w:w="2400" w:type="dxa"/>
            <w:shd w:val="clear" w:color="auto" w:fill="FFFFFF"/>
          </w:tcPr>
          <w:p>
            <w:pPr>
              <w:spacing w:after="0"/>
            </w:pPr>
            <w:r>
              <w:rPr>
                <w:b w:val="0"/>
                <w:i w:val="0"/>
                <w:color w:val="5A6069"/>
                <w:sz w:val="18"/>
              </w:rPr>
              <w:t>What we are not sure about #3; Appendix · Bruix 1996 (bottom line)</w:t>
            </w:r>
          </w:p>
        </w:tc>
      </w:tr>
    </w:tbl>
    <w:p>
      <w:pPr>
        <w:spacing w:after="40"/>
      </w:pPr>
    </w:p>
    <w:p>
      <w:pPr>
        <w:spacing w:after="80"/>
      </w:pPr>
      <w:r>
        <w:rPr>
          <w:b/>
          <w:i w:val="0"/>
        </w:rPr>
        <w:t xml:space="preserve">Where sources differ: </w:t>
      </w:r>
      <w:r>
        <w:rPr>
          <w:b w:val="0"/>
          <w:i w:val="0"/>
        </w:rPr>
        <w:t>BCLC, on observational data, favours transplant over resection in CSPH, while the only randomised trial found no significant survival difference but was small, hepatitis B only and never measured HVPG.</w:t>
      </w:r>
    </w:p>
    <w:p>
      <w:pPr>
        <w:pStyle w:val="Heading3"/>
        <w:keepNext/>
        <w:spacing w:before="120" w:after="80"/>
      </w:pPr>
      <w:r>
        <w:rPr>
          <w:b w:val="0"/>
          <w:i w:val="0"/>
        </w:rPr>
        <w:t>Our proposed selection (OPEN)</w:t>
      </w:r>
    </w:p>
    <w:p>
      <w:pPr>
        <w:spacing w:after="80"/>
      </w:pPr>
      <w:r>
        <w:rPr>
          <w:b w:val="0"/>
          <w:i w:val="0"/>
        </w:rPr>
        <w:t>The roadmap currently adopts neither reading by default: CSPH raises operative risk and should prompt transplant assessment within Milan, but is not an automatic bar where the remnant is adequate, the resection minor or laparoscopic, and the hepatologist concurs; the board records which reading it applied. This approval item asks the programme to fix one reading.</w:t>
      </w:r>
    </w:p>
    <w:p>
      <w:pPr>
        <w:spacing w:after="80"/>
      </w:pPr>
      <w:r>
        <w:rPr>
          <w:b/>
          <w:i w:val="0"/>
          <w:color w:val="5A6069"/>
          <w:sz w:val="18"/>
        </w:rPr>
        <w:t xml:space="preserve">Basis in the document: </w:t>
      </w:r>
      <w:r>
        <w:rPr>
          <w:b w:val="0"/>
          <w:i w:val="0"/>
          <w:color w:val="5A6069"/>
          <w:sz w:val="18"/>
        </w:rPr>
        <w:t>Curative tab · 'Does CSPH bar resection?' (teal callout); Stage 0 · Resection (caveat)</w:t>
      </w:r>
    </w:p>
    <w:p>
      <w:pPr>
        <w:spacing w:after="80"/>
      </w:pPr>
      <w:r>
        <w:rPr>
          <w:b/>
          <w:i w:val="0"/>
        </w:rPr>
        <w:t xml:space="preserve">Why: </w:t>
      </w:r>
      <w:r>
        <w:rPr>
          <w:b w:val="0"/>
          <w:i w:val="0"/>
        </w:rPr>
        <w:t>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p>
      <w:pPr>
        <w:pStyle w:val="Heading3"/>
        <w:keepNext/>
        <w:spacing w:before="120" w:after="80"/>
      </w:pPr>
      <w:r>
        <w:rPr>
          <w:b w:val="0"/>
          <w:i w:val="0"/>
        </w:rPr>
        <w:t>HCC-D5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HCC-D6 — Decide whether a non-invasive Baveno VIII rule-in or rule-out may stand in for HVPG when the resection decision turns on portal pressure, and make recording the criterion used, its value and its date a condition of proposing resection.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Rule-in: liver stiffness ≥25 kPa (not obese MASLD), spleen stiffness &gt;55 kPa, ANTICIPATE ≥75%; rule-out: ≤15 kPa with platelets ≥150. Its HCC statements are new, LoE 3 and weak, and non-invasive tests may not be applicable at all with macrovascular invasion.</w:t>
            </w:r>
          </w:p>
        </w:tc>
        <w:tc>
          <w:tcPr>
            <w:tcW w:type="dxa" w:w="3360"/>
            <w:tcW w:w="2400" w:type="dxa"/>
            <w:shd w:val="clear" w:color="auto" w:fill="F1F5F8"/>
          </w:tcPr>
          <w:p>
            <w:pPr>
              <w:spacing w:after="0"/>
            </w:pPr>
            <w:r>
              <w:rPr>
                <w:b w:val="0"/>
                <w:i w:val="0"/>
                <w:color w:val="5A6069"/>
                <w:sz w:val="18"/>
              </w:rPr>
              <w:t>Curative tab · Baveno criteria table; What we are not sure about #5</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Accepts surrogate markers, citing Baveno VII for them, and keeps HVPG as the gold standard while allowing non-invasive tools to rule CSPH in or out.</w:t>
            </w:r>
          </w:p>
        </w:tc>
        <w:tc>
          <w:tcPr>
            <w:tcW w:type="dxa" w:w="3360"/>
            <w:tcW w:w="2400" w:type="dxa"/>
            <w:shd w:val="clear" w:color="auto" w:fill="FFFFFF"/>
          </w:tcPr>
          <w:p>
            <w:pPr>
              <w:spacing w:after="0"/>
            </w:pPr>
            <w:r>
              <w:rPr>
                <w:b w:val="0"/>
                <w:i w:val="0"/>
                <w:color w:val="5A6069"/>
                <w:sz w:val="18"/>
              </w:rPr>
              <w:t>Curative tab · Establishing CSPH</w:t>
            </w:r>
          </w:p>
        </w:tc>
      </w:tr>
      <w:tr>
        <w:trPr>
          <w:cantSplit/>
        </w:trPr>
        <w:tc>
          <w:tcPr>
            <w:tcW w:type="dxa" w:w="3360"/>
            <w:tcW w:w="2200" w:type="dxa"/>
            <w:shd w:val="clear" w:color="auto" w:fill="F1F5F8"/>
          </w:tcPr>
          <w:p>
            <w:pPr>
              <w:spacing w:after="0"/>
            </w:pPr>
            <w:r>
              <w:rPr>
                <w:b/>
                <w:i w:val="0"/>
                <w:sz w:val="19"/>
              </w:rPr>
              <w:t>Baveno VII</w:t>
            </w:r>
          </w:p>
        </w:tc>
        <w:tc>
          <w:tcPr>
            <w:tcW w:type="dxa" w:w="3360"/>
            <w:tcW w:w="5480" w:type="dxa"/>
            <w:shd w:val="clear" w:color="auto" w:fill="F1F5F8"/>
          </w:tcPr>
          <w:p>
            <w:pPr>
              <w:spacing w:after="0"/>
            </w:pPr>
            <w:r>
              <w:rPr>
                <w:b w:val="0"/>
                <w:i w:val="0"/>
                <w:sz w:val="19"/>
              </w:rPr>
              <w:t>Defines CSPH as HVPG of 10 mmHg or more, with non-invasive thresholds validated only in viral, alcohol-related and non-obese NASH disease; the roadmap reads it as describing risk, not deciding operability.</w:t>
            </w:r>
          </w:p>
        </w:tc>
        <w:tc>
          <w:tcPr>
            <w:tcW w:type="dxa" w:w="3360"/>
            <w:tcW w:w="2400" w:type="dxa"/>
            <w:shd w:val="clear" w:color="auto" w:fill="F1F5F8"/>
          </w:tcPr>
          <w:p>
            <w:pPr>
              <w:spacing w:after="0"/>
            </w:pPr>
            <w:r>
              <w:rPr>
                <w:b w:val="0"/>
                <w:i w:val="0"/>
                <w:color w:val="5A6069"/>
                <w:sz w:val="18"/>
              </w:rPr>
              <w:t>Appendix · Baveno VII (bottom line)</w:t>
            </w:r>
          </w:p>
        </w:tc>
      </w:tr>
    </w:tbl>
    <w:p>
      <w:pPr>
        <w:spacing w:after="40"/>
      </w:pPr>
    </w:p>
    <w:p>
      <w:pPr>
        <w:spacing w:after="80"/>
      </w:pPr>
      <w:r>
        <w:rPr>
          <w:b/>
          <w:i w:val="0"/>
        </w:rPr>
        <w:t xml:space="preserve">Where sources differ: </w:t>
      </w:r>
      <w:r>
        <w:rPr>
          <w:b w:val="0"/>
          <w:i w:val="0"/>
        </w:rPr>
        <w:t>BCLC keeps HVPG as gold standard while allowing non-invasive rule-in or rule-out, and the Baveno VIII HCC statements are weak, device-specific and unvalidated in obese MASLD.</w:t>
      </w:r>
    </w:p>
    <w:p>
      <w:pPr>
        <w:pStyle w:val="Heading3"/>
        <w:keepNext/>
        <w:spacing w:before="120" w:after="80"/>
      </w:pPr>
      <w:r>
        <w:rPr>
          <w:b w:val="0"/>
          <w:i w:val="0"/>
        </w:rPr>
        <w:t>Our proposed selection (OPEN)</w:t>
      </w:r>
    </w:p>
    <w:p>
      <w:pPr>
        <w:spacing w:after="80"/>
      </w:pPr>
      <w:r>
        <w:rPr>
          <w:b w:val="0"/>
          <w:i w:val="0"/>
        </w:rPr>
        <w:t>Measure HVPG when the resection decision turns on portal pressure; non-invasive rule-in is useful where HVPG is unavailable or declined, and in BCLC 0–A HCC without a &gt;5 cm right-lobe nodule an ANTICIPATE score of 75% or more is only highly suggestive. Every resection proposal records the criterion used, its value and its date; an unsupported 'no portal hypertension' entry is not acceptable.</w:t>
      </w:r>
    </w:p>
    <w:p>
      <w:pPr>
        <w:spacing w:after="80"/>
      </w:pPr>
      <w:r>
        <w:rPr>
          <w:b/>
          <w:i w:val="0"/>
          <w:color w:val="5A6069"/>
          <w:sz w:val="18"/>
        </w:rPr>
        <w:t xml:space="preserve">Basis in the document: </w:t>
      </w:r>
      <w:r>
        <w:rPr>
          <w:b w:val="0"/>
          <w:i w:val="0"/>
          <w:color w:val="5A6069"/>
          <w:sz w:val="18"/>
        </w:rPr>
        <w:t>Curative tab · Establishing CSPH (Baveno criteria table, 'What to record'); Quick reference · CSPH table (v16 text)</w:t>
      </w:r>
    </w:p>
    <w:p>
      <w:pPr>
        <w:spacing w:after="80"/>
      </w:pPr>
      <w:r>
        <w:rPr>
          <w:b/>
          <w:i w:val="0"/>
        </w:rPr>
        <w:t xml:space="preserve">Why: </w:t>
      </w:r>
      <w:r>
        <w:rPr>
          <w:b w:val="0"/>
          <w:i w:val="0"/>
        </w:rPr>
        <w:t>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p>
      <w:pPr>
        <w:pStyle w:val="Heading3"/>
        <w:keepNext/>
        <w:spacing w:before="120" w:after="80"/>
      </w:pPr>
      <w:r>
        <w:rPr>
          <w:b w:val="0"/>
          <w:i w:val="0"/>
        </w:rPr>
        <w:t>HCC-D6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HCC-D7 — Rule on whether a large spontaneous portosystemic shunt can lower measured HVPG enough to make a sub-10 mmHg value unreliable; this roadmap has not verified that concern against a primary source.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Varices or portosystemic collaterals are generally signs of CSPH, but may persist after the aetiology is cured or controlled, so in that setting a shunt alone does not establish current CSPH.</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FFFFF"/>
          </w:tcPr>
          <w:p>
            <w:pPr>
              <w:spacing w:after="0"/>
            </w:pPr>
            <w:r>
              <w:rPr>
                <w:b/>
                <w:i w:val="0"/>
                <w:sz w:val="19"/>
              </w:rPr>
              <w:t>Baveno VII</w:t>
            </w:r>
          </w:p>
        </w:tc>
        <w:tc>
          <w:tcPr>
            <w:tcW w:type="dxa" w:w="3360"/>
            <w:tcW w:w="5480" w:type="dxa"/>
            <w:shd w:val="clear" w:color="auto" w:fill="FFFFFF"/>
          </w:tcPr>
          <w:p>
            <w:pPr>
              <w:spacing w:after="0"/>
            </w:pPr>
            <w:r>
              <w:rPr>
                <w:b w:val="0"/>
                <w:i w:val="0"/>
                <w:sz w:val="19"/>
              </w:rPr>
              <w:t>When signs of portal hypertension coexist with an HVPG below 10 mmHg, portosinusoidal vascular disorder must be ruled out.</w:t>
            </w:r>
          </w:p>
        </w:tc>
        <w:tc>
          <w:tcPr>
            <w:tcW w:type="dxa" w:w="3360"/>
            <w:tcW w:w="2400" w:type="dxa"/>
            <w:shd w:val="clear" w:color="auto" w:fill="FFFFFF"/>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HVPG reliability may be suboptimal in steatotic liver disease; the roadmap adds that a sub-threshold measurement there should not override a specific sign.</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bl>
    <w:p>
      <w:pPr>
        <w:spacing w:after="40"/>
      </w:pPr>
    </w:p>
    <w:p>
      <w:pPr>
        <w:spacing w:after="80"/>
      </w:pPr>
      <w:r>
        <w:rPr>
          <w:b/>
          <w:i w:val="0"/>
        </w:rPr>
        <w:t xml:space="preserve">Where sources differ: </w:t>
      </w:r>
      <w:r>
        <w:rPr>
          <w:b w:val="0"/>
          <w:i w:val="0"/>
        </w:rPr>
        <w:t>No source cited in the roadmap addresses whether a large shunt lowers measured HVPG; the roadmap states the concern is unverified against a primary source.</w:t>
      </w:r>
    </w:p>
    <w:p>
      <w:pPr>
        <w:pStyle w:val="Heading3"/>
        <w:keepNext/>
        <w:spacing w:before="120" w:after="80"/>
      </w:pPr>
      <w:r>
        <w:rPr>
          <w:b w:val="0"/>
          <w:i w:val="0"/>
        </w:rPr>
        <w:t>Our proposed selection (OPEN)</w:t>
      </w:r>
    </w:p>
    <w:p>
      <w:pPr>
        <w:spacing w:after="80"/>
      </w:pPr>
      <w:r>
        <w:rPr>
          <w:b w:val="0"/>
          <w:i w:val="0"/>
        </w:rPr>
        <w:t>Unresolved: hepatology is to rule before a sub-10 mmHg HVPG is treated as reassuring. Meanwhile a shunt on staging CT is treated as a staging finding, and in three settings (cured aetiology, portosinusoidal disorder, steatotic disease) neither a shunt nor a sub-threshold HVPG settles the question alone.</w:t>
      </w:r>
    </w:p>
    <w:p>
      <w:pPr>
        <w:spacing w:after="80"/>
      </w:pPr>
      <w:r>
        <w:rPr>
          <w:b/>
          <w:i w:val="0"/>
          <w:color w:val="5A6069"/>
          <w:sz w:val="18"/>
        </w:rPr>
        <w:t xml:space="preserve">Basis in the document: </w:t>
      </w:r>
      <w:r>
        <w:rPr>
          <w:b w:val="0"/>
          <w:i w:val="0"/>
          <w:color w:val="5A6069"/>
          <w:sz w:val="18"/>
        </w:rPr>
        <w:t>Curative tab · 'Unresolved locally' callout and shunt situations; Quick reference · CSPH table footnote (v16 text)</w:t>
      </w:r>
    </w:p>
    <w:p>
      <w:pPr>
        <w:spacing w:after="80"/>
      </w:pPr>
      <w:r>
        <w:rPr>
          <w:b/>
          <w:i w:val="0"/>
        </w:rPr>
        <w:t xml:space="preserve">Why: </w:t>
      </w:r>
      <w:r>
        <w:rPr>
          <w:b w:val="0"/>
          <w:i w:val="0"/>
        </w:rPr>
        <w:t>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p>
      <w:pPr>
        <w:pStyle w:val="Heading3"/>
        <w:keepNext/>
        <w:spacing w:before="120" w:after="80"/>
      </w:pPr>
      <w:r>
        <w:rPr>
          <w:b w:val="0"/>
          <w:i w:val="0"/>
        </w:rPr>
        <w:t>HCC-D7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HCC-D8 — Decide whether radiation segmentectomy may be offered as a definitive curative-intent option on single-arm evidence, above what tumour size it may not, and whether personalised dosimetry is required before it is described that way.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RASER</w:t>
            </w:r>
          </w:p>
        </w:tc>
        <w:tc>
          <w:tcPr>
            <w:tcW w:type="dxa" w:w="3360"/>
            <w:tcW w:w="5480" w:type="dxa"/>
            <w:shd w:val="clear" w:color="auto" w:fill="F1F5F8"/>
          </w:tcPr>
          <w:p>
            <w:pPr>
              <w:spacing w:after="0"/>
            </w:pPr>
            <w:r>
              <w:rPr>
                <w:b w:val="0"/>
                <w:i w:val="0"/>
                <w:sz w:val="19"/>
              </w:rPr>
              <w:t>29 patients with a solitary tumour of 3 cm or less: sustained complete response 90%; roadmap: single-arm imaging endpoint, one unblinded in-house reader, and 3 of 8 explanted livers held additional untreated HCC.</w:t>
            </w:r>
          </w:p>
        </w:tc>
        <w:tc>
          <w:tcPr>
            <w:tcW w:type="dxa" w:w="3360"/>
            <w:tcW w:w="2400" w:type="dxa"/>
            <w:shd w:val="clear" w:color="auto" w:fill="F1F5F8"/>
          </w:tcPr>
          <w:p>
            <w:pPr>
              <w:spacing w:after="0"/>
            </w:pPr>
            <w:r>
              <w:rPr>
                <w:b w:val="0"/>
                <w:i w:val="0"/>
                <w:color w:val="5A6069"/>
                <w:sz w:val="18"/>
              </w:rPr>
              <w:t>What we are not sure about #18; Appendix · RASER (bottom line)</w:t>
            </w:r>
          </w:p>
        </w:tc>
      </w:tr>
      <w:tr>
        <w:trPr>
          <w:cantSplit/>
        </w:trPr>
        <w:tc>
          <w:tcPr>
            <w:tcW w:type="dxa" w:w="3360"/>
            <w:tcW w:w="2200" w:type="dxa"/>
            <w:shd w:val="clear" w:color="auto" w:fill="FFFFFF"/>
          </w:tcPr>
          <w:p>
            <w:pPr>
              <w:spacing w:after="0"/>
            </w:pPr>
            <w:r>
              <w:rPr>
                <w:b/>
                <w:i w:val="0"/>
                <w:sz w:val="19"/>
              </w:rPr>
              <w:t>LEGACY</w:t>
            </w:r>
          </w:p>
        </w:tc>
        <w:tc>
          <w:tcPr>
            <w:tcW w:type="dxa" w:w="3360"/>
            <w:tcW w:w="5480" w:type="dxa"/>
            <w:shd w:val="clear" w:color="auto" w:fill="FFFFFF"/>
          </w:tcPr>
          <w:p>
            <w:pPr>
              <w:spacing w:after="0"/>
            </w:pPr>
            <w:r>
              <w:rPr>
                <w:b w:val="0"/>
                <w:i w:val="0"/>
                <w:sz w:val="19"/>
              </w:rPr>
              <w:t>Retrospective, 162 patients: 88.3% response by localised mRECIST falls to 46.3% by RECIST 1.1, and 28% went on to transplant or resection, so 3-year survival cannot be attributed to the radiation.</w:t>
            </w:r>
          </w:p>
        </w:tc>
        <w:tc>
          <w:tcPr>
            <w:tcW w:type="dxa" w:w="3360"/>
            <w:tcW w:w="2400" w:type="dxa"/>
            <w:shd w:val="clear" w:color="auto" w:fill="FFFFFF"/>
          </w:tcPr>
          <w:p>
            <w:pPr>
              <w:spacing w:after="0"/>
            </w:pPr>
            <w:r>
              <w:rPr>
                <w:b w:val="0"/>
                <w:i w:val="0"/>
                <w:color w:val="5A6069"/>
                <w:sz w:val="18"/>
              </w:rPr>
              <w:t>What we are not sure about #18; Appendix · LEGACY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Cited as a source for segmentectomy, specifying more than 400 Gy to no more than 25% of the liver in Child-Pugh A.</w:t>
            </w:r>
          </w:p>
        </w:tc>
        <w:tc>
          <w:tcPr>
            <w:tcW w:type="dxa" w:w="3360"/>
            <w:tcW w:w="2400" w:type="dxa"/>
            <w:shd w:val="clear" w:color="auto" w:fill="F1F5F8"/>
          </w:tcPr>
          <w:p>
            <w:pPr>
              <w:spacing w:after="0"/>
            </w:pPr>
            <w:r>
              <w:rPr>
                <w:b w:val="0"/>
                <w:i w:val="0"/>
                <w:color w:val="5A6069"/>
                <w:sz w:val="18"/>
              </w:rPr>
              <w:t>Stage A Reasonable · Radiation segmentectomy (sources); Locoregional selector row 'Radiation segmentectomy'</w:t>
            </w:r>
          </w:p>
        </w:tc>
      </w:tr>
      <w:tr>
        <w:trPr>
          <w:cantSplit/>
        </w:trPr>
        <w:tc>
          <w:tcPr>
            <w:tcW w:type="dxa" w:w="3360"/>
            <w:tcW w:w="2200" w:type="dxa"/>
            <w:shd w:val="clear" w:color="auto" w:fill="FFFFFF"/>
          </w:tcPr>
          <w:p>
            <w:pPr>
              <w:spacing w:after="0"/>
            </w:pPr>
            <w:r>
              <w:rPr>
                <w:b/>
                <w:i w:val="0"/>
                <w:sz w:val="19"/>
              </w:rPr>
              <w:t>BCLC 2022</w:t>
            </w:r>
          </w:p>
        </w:tc>
        <w:tc>
          <w:tcPr>
            <w:tcW w:type="dxa" w:w="3360"/>
            <w:tcW w:w="5480" w:type="dxa"/>
            <w:shd w:val="clear" w:color="auto" w:fill="FFFFFF"/>
          </w:tcPr>
          <w:p>
            <w:pPr>
              <w:spacing w:after="0"/>
            </w:pPr>
            <w:r>
              <w:rPr>
                <w:b w:val="0"/>
                <w:i w:val="0"/>
                <w:sz w:val="19"/>
              </w:rPr>
              <w:t>Brought radioembolisation in for single nodules up to 8 cm; the roadmap states that 8 cm is not a universal curative cut-off.</w:t>
            </w:r>
          </w:p>
        </w:tc>
        <w:tc>
          <w:tcPr>
            <w:tcW w:type="dxa" w:w="3360"/>
            <w:tcW w:w="2400" w:type="dxa"/>
            <w:shd w:val="clear" w:color="auto" w:fill="FFFFFF"/>
          </w:tcPr>
          <w:p>
            <w:pPr>
              <w:spacing w:after="0"/>
            </w:pPr>
            <w:r>
              <w:rPr>
                <w:b w:val="0"/>
                <w:i w:val="0"/>
                <w:color w:val="5A6069"/>
                <w:sz w:val="18"/>
              </w:rPr>
              <w:t>Appendix · BCLC 2022 (bottom line); Stage A · Radiation segmentectomy (caveat)</w:t>
            </w:r>
          </w:p>
        </w:tc>
      </w:tr>
    </w:tbl>
    <w:p>
      <w:pPr>
        <w:spacing w:after="40"/>
      </w:pPr>
    </w:p>
    <w:p>
      <w:pPr>
        <w:spacing w:after="80"/>
      </w:pPr>
      <w:r>
        <w:rPr>
          <w:b/>
          <w:i w:val="0"/>
        </w:rPr>
        <w:t xml:space="preserve">Where sources differ: </w:t>
      </w:r>
      <w:r>
        <w:rPr>
          <w:b w:val="0"/>
          <w:i w:val="0"/>
        </w:rPr>
        <w:t>Guidelines bring radioembolisation into early disease up to 8 cm, but the roadmap reads RASER and LEGACY as single-arm imaging evidence strongest at 3 cm or less; within the roadmap, stage 0 grades SBRT or Y-90 segmentectomy B while stage A and the selector grade segmentectomy C.</w:t>
      </w:r>
    </w:p>
    <w:p>
      <w:pPr>
        <w:pStyle w:val="Heading3"/>
        <w:keepNext/>
        <w:spacing w:before="120" w:after="80"/>
      </w:pPr>
      <w:r>
        <w:rPr>
          <w:b w:val="0"/>
          <w:i w:val="0"/>
        </w:rPr>
        <w:t>Our proposed selection (OPEN)</w:t>
      </w:r>
    </w:p>
    <w:p>
      <w:pPr>
        <w:spacing w:after="80"/>
      </w:pPr>
      <w:r>
        <w:rPr>
          <w:b w:val="0"/>
          <w:i w:val="0"/>
        </w:rPr>
        <w:t>Reasonable, grade C (Preferred in the selector for its phenotype): a selected definitive curative-intent option for solitary localized HCC when ablation is unsuitable, with full arterial coverage and ablative dosimetry. Strongest evidence is 3 cm or less; 8 cm is not a universal cut-off; unavailable personalised dosimetry is a caution; curative claims do not transfer to lobar Y-90.</w:t>
      </w:r>
    </w:p>
    <w:p>
      <w:pPr>
        <w:spacing w:after="80"/>
      </w:pPr>
      <w:r>
        <w:rPr>
          <w:b/>
          <w:i w:val="0"/>
          <w:color w:val="5A6069"/>
          <w:sz w:val="18"/>
        </w:rPr>
        <w:t xml:space="preserve">Basis in the document: </w:t>
      </w:r>
      <w:r>
        <w:rPr>
          <w:b w:val="0"/>
          <w:i w:val="0"/>
          <w:color w:val="5A6069"/>
          <w:sz w:val="18"/>
        </w:rPr>
        <w:t>Stage A Reasonable · Radiation segmentectomy; Locoregional selector row; Ratification list · Interventional radiology</w:t>
      </w:r>
    </w:p>
    <w:p>
      <w:pPr>
        <w:spacing w:after="80"/>
      </w:pPr>
      <w:r>
        <w:rPr>
          <w:b/>
          <w:i w:val="0"/>
        </w:rPr>
        <w:t xml:space="preserve">Why: </w:t>
      </w:r>
      <w:r>
        <w:rPr>
          <w:b w:val="0"/>
          <w:i w:val="0"/>
        </w:rPr>
        <w:t>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p>
      <w:pPr>
        <w:pStyle w:val="Heading3"/>
        <w:keepNext/>
        <w:spacing w:before="120" w:after="80"/>
      </w:pPr>
      <w:r>
        <w:rPr>
          <w:b w:val="0"/>
          <w:i w:val="0"/>
        </w:rPr>
        <w:t>HCC-D8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HCC-D9 — Decide whether this roadmap adopts the BCLC 2026 preference for microwave over radiofrequency up to 3 to 4 cm, given that no randomised trial has shown a difference, and whether the preference is stated as operational rather than outcome-based.</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Prefers microwave over radiofrequency ablation up to 3-4 cm; the roadmap calls this a change of guideline position, not a trial result.</w:t>
            </w:r>
          </w:p>
        </w:tc>
        <w:tc>
          <w:tcPr>
            <w:tcW w:type="dxa" w:w="3360"/>
            <w:tcW w:w="2400" w:type="dxa"/>
            <w:shd w:val="clear" w:color="auto" w:fill="F1F5F8"/>
          </w:tcPr>
          <w:p>
            <w:pPr>
              <w:spacing w:after="0"/>
            </w:pPr>
            <w:r>
              <w:rPr>
                <w:b w:val="0"/>
                <w:i w:val="0"/>
                <w:color w:val="5A6069"/>
                <w:sz w:val="18"/>
              </w:rPr>
              <w:t>Stage A · Thermal ablation; What we are not sure about #7</w:t>
            </w:r>
          </w:p>
        </w:tc>
      </w:tr>
      <w:tr>
        <w:trPr>
          <w:cantSplit/>
        </w:trPr>
        <w:tc>
          <w:tcPr>
            <w:tcW w:type="dxa" w:w="3360"/>
            <w:tcW w:w="2200" w:type="dxa"/>
            <w:shd w:val="clear" w:color="auto" w:fill="FFFFFF"/>
          </w:tcPr>
          <w:p>
            <w:pPr>
              <w:spacing w:after="0"/>
            </w:pPr>
            <w:r>
              <w:rPr>
                <w:b/>
                <w:i w:val="0"/>
                <w:sz w:val="19"/>
              </w:rPr>
              <w:t>MWA vs RFA RCT (Vietti Violi)</w:t>
            </w:r>
          </w:p>
        </w:tc>
        <w:tc>
          <w:tcPr>
            <w:tcW w:type="dxa" w:w="3360"/>
            <w:tcW w:w="5480" w:type="dxa"/>
            <w:shd w:val="clear" w:color="auto" w:fill="FFFFFF"/>
          </w:tcPr>
          <w:p>
            <w:pPr>
              <w:spacing w:after="0"/>
            </w:pPr>
            <w:r>
              <w:rPr>
                <w:b w:val="0"/>
                <w:i w:val="0"/>
                <w:sz w:val="19"/>
              </w:rPr>
              <w:t>Superiority trial that did not show superiority: 2-year local progression 6% vs 12% (RR 1.62, 95% CI 0.66-3.94); mean lesion 18 mm, only 11 lesions of 3-4 cm, manufacturer funded.</w:t>
            </w:r>
          </w:p>
        </w:tc>
        <w:tc>
          <w:tcPr>
            <w:tcW w:type="dxa" w:w="3360"/>
            <w:tcW w:w="2400" w:type="dxa"/>
            <w:shd w:val="clear" w:color="auto" w:fill="FFFFFF"/>
          </w:tcPr>
          <w:p>
            <w:pPr>
              <w:spacing w:after="0"/>
            </w:pPr>
            <w:r>
              <w:rPr>
                <w:b w:val="0"/>
                <w:i w:val="0"/>
                <w:color w:val="5A6069"/>
                <w:sz w:val="18"/>
              </w:rPr>
              <w:t>What we are not sure about #7; Appendix · MWA vs RFA (bottom line)</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Treats radiofrequency and microwave ablation as equivalent.</w:t>
            </w:r>
          </w:p>
        </w:tc>
        <w:tc>
          <w:tcPr>
            <w:tcW w:type="dxa" w:w="3360"/>
            <w:tcW w:w="2400" w:type="dxa"/>
            <w:shd w:val="clear" w:color="auto" w:fill="F1F5F8"/>
          </w:tcPr>
          <w:p>
            <w:pPr>
              <w:spacing w:after="0"/>
            </w:pPr>
            <w:r>
              <w:rPr>
                <w:b w:val="0"/>
                <w:i w:val="0"/>
                <w:color w:val="5A6069"/>
                <w:sz w:val="18"/>
              </w:rPr>
              <w:t>Appendix · EASL 2025 (bottom line)</w:t>
            </w:r>
          </w:p>
        </w:tc>
      </w:tr>
    </w:tbl>
    <w:p>
      <w:pPr>
        <w:spacing w:after="40"/>
      </w:pPr>
    </w:p>
    <w:p>
      <w:pPr>
        <w:spacing w:after="80"/>
      </w:pPr>
      <w:r>
        <w:rPr>
          <w:b/>
          <w:i w:val="0"/>
        </w:rPr>
        <w:t xml:space="preserve">Where sources differ: </w:t>
      </w:r>
      <w:r>
        <w:rPr>
          <w:b w:val="0"/>
          <w:i w:val="0"/>
        </w:rPr>
        <w:t>BCLC 2026 prefers microwave up to 3-4 cm while EASL 2025 treats the techniques as equivalent, and the one randomised trial neither showed superiority nor tested non-inferiority.</w:t>
      </w:r>
    </w:p>
    <w:p>
      <w:pPr>
        <w:pStyle w:val="Heading3"/>
        <w:keepNext/>
        <w:spacing w:before="120" w:after="80"/>
      </w:pPr>
      <w:r>
        <w:rPr>
          <w:b w:val="0"/>
          <w:i w:val="0"/>
        </w:rPr>
        <w:t>Our proposed selection (OPEN)</w:t>
      </w:r>
    </w:p>
    <w:p>
      <w:pPr>
        <w:spacing w:after="80"/>
      </w:pPr>
      <w:r>
        <w:rPr>
          <w:b w:val="0"/>
          <w:i w:val="0"/>
        </w:rPr>
        <w:t>Microwave or radiofrequency. The roadmap records the BCLC 2026 preference but states no randomised trial has shown a difference, so the preference is operational (a workflow preference, not outcome-based); the v16 matrix states no universal preference between the two.</w:t>
      </w:r>
    </w:p>
    <w:p>
      <w:pPr>
        <w:spacing w:after="80"/>
      </w:pPr>
      <w:r>
        <w:rPr>
          <w:b/>
          <w:i w:val="0"/>
          <w:color w:val="5A6069"/>
          <w:sz w:val="18"/>
        </w:rPr>
        <w:t xml:space="preserve">Basis in the document: </w:t>
      </w:r>
      <w:r>
        <w:rPr>
          <w:b w:val="0"/>
          <w:i w:val="0"/>
          <w:color w:val="5A6069"/>
          <w:sz w:val="18"/>
        </w:rPr>
        <w:t>Stage A · Thermal ablation; Curative tab · Thermal ablation; Liver-directed treatment matrix, thermal ablation row (v16 text)</w:t>
      </w:r>
    </w:p>
    <w:p>
      <w:pPr>
        <w:spacing w:after="80"/>
      </w:pPr>
      <w:r>
        <w:rPr>
          <w:b/>
          <w:i w:val="0"/>
        </w:rPr>
        <w:t xml:space="preserve">Why: </w:t>
      </w:r>
      <w:r>
        <w:rPr>
          <w:b w:val="0"/>
          <w:i w:val="0"/>
        </w:rPr>
        <w:t>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p>
      <w:pPr>
        <w:pStyle w:val="Heading3"/>
        <w:keepNext/>
        <w:spacing w:before="120" w:after="80"/>
      </w:pPr>
      <w:r>
        <w:rPr>
          <w:b w:val="0"/>
          <w:i w:val="0"/>
        </w:rPr>
        <w:t>HCC-D9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HCC-D10 — Decide whether this roadmap adopts the BCLC 2026 placement of external beam radiotherapy as an ablative alternative in BCLC 0 and A, given the supporting survival figures come from a retrospective multinational cohort of selected centres with no comparator arm.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Brings external beam radiotherapy into early-stage disease; the roadmap notes the survival figures it cites come from an uncontrolled multinational cohort.</w:t>
            </w:r>
          </w:p>
        </w:tc>
        <w:tc>
          <w:tcPr>
            <w:tcW w:type="dxa" w:w="3360"/>
            <w:tcW w:w="2400" w:type="dxa"/>
            <w:shd w:val="clear" w:color="auto" w:fill="F1F5F8"/>
          </w:tcPr>
          <w:p>
            <w:pPr>
              <w:spacing w:after="0"/>
            </w:pPr>
            <w:r>
              <w:rPr>
                <w:b w:val="0"/>
                <w:i w:val="0"/>
                <w:color w:val="5A6069"/>
                <w:sz w:val="18"/>
              </w:rPr>
              <w:t>What we are not sure about #23; Appendix · BCLC 2026 (bottom line)</w:t>
            </w:r>
          </w:p>
        </w:tc>
      </w:tr>
      <w:tr>
        <w:trPr>
          <w:cantSplit/>
        </w:trPr>
        <w:tc>
          <w:tcPr>
            <w:tcW w:type="dxa" w:w="3360"/>
            <w:tcW w:w="2200" w:type="dxa"/>
            <w:shd w:val="clear" w:color="auto" w:fill="FFFFFF"/>
          </w:tcPr>
          <w:p>
            <w:pPr>
              <w:spacing w:after="0"/>
            </w:pPr>
            <w:r>
              <w:rPr>
                <w:b/>
                <w:i w:val="0"/>
                <w:sz w:val="19"/>
              </w:rPr>
              <w:t>EBRT cohort (Moon 2026)</w:t>
            </w:r>
          </w:p>
        </w:tc>
        <w:tc>
          <w:tcPr>
            <w:tcW w:type="dxa" w:w="3360"/>
            <w:tcW w:w="5480" w:type="dxa"/>
            <w:shd w:val="clear" w:color="auto" w:fill="FFFFFF"/>
          </w:tcPr>
          <w:p>
            <w:pPr>
              <w:spacing w:after="0"/>
            </w:pPr>
            <w:r>
              <w:rPr>
                <w:b w:val="0"/>
                <w:i w:val="0"/>
                <w:sz w:val="19"/>
              </w:rPr>
              <w:t>4,913 patients from 30 of 96 centres chosen for favourable published outcomes; median survival 6.8 years in BCLC-0 and 4.6 in BCLC-A, but no comparator arm and proportional hazards violated in all four Cox models.</w:t>
            </w:r>
          </w:p>
        </w:tc>
        <w:tc>
          <w:tcPr>
            <w:tcW w:type="dxa" w:w="3360"/>
            <w:tcW w:w="2400" w:type="dxa"/>
            <w:shd w:val="clear" w:color="auto" w:fill="FFFFFF"/>
          </w:tcPr>
          <w:p>
            <w:pPr>
              <w:spacing w:after="0"/>
            </w:pPr>
            <w:r>
              <w:rPr>
                <w:b w:val="0"/>
                <w:i w:val="0"/>
                <w:color w:val="5A6069"/>
                <w:sz w:val="18"/>
              </w:rPr>
              <w:t>What we are not sure about #23; Appendix · EBRT cohort (bottom line)</w:t>
            </w:r>
          </w:p>
        </w:tc>
      </w:tr>
      <w:tr>
        <w:trPr>
          <w:cantSplit/>
        </w:trPr>
        <w:tc>
          <w:tcPr>
            <w:tcW w:type="dxa" w:w="3360"/>
            <w:tcW w:w="2200" w:type="dxa"/>
            <w:shd w:val="clear" w:color="auto" w:fill="F1F5F8"/>
          </w:tcPr>
          <w:p>
            <w:pPr>
              <w:spacing w:after="0"/>
            </w:pPr>
            <w:r>
              <w:rPr>
                <w:b/>
                <w:i w:val="0"/>
                <w:sz w:val="19"/>
              </w:rPr>
              <w:t>ASTRO EBRT</w:t>
            </w:r>
          </w:p>
        </w:tc>
        <w:tc>
          <w:tcPr>
            <w:tcW w:type="dxa" w:w="3360"/>
            <w:tcW w:w="5480" w:type="dxa"/>
            <w:shd w:val="clear" w:color="auto" w:fill="F1F5F8"/>
          </w:tcPr>
          <w:p>
            <w:pPr>
              <w:spacing w:after="0"/>
            </w:pPr>
            <w:r>
              <w:rPr>
                <w:b w:val="0"/>
                <w:i w:val="0"/>
                <w:sz w:val="19"/>
              </w:rPr>
              <w:t>Its strong recommendation of EBRT as a possible first-line single therapy is built on single-arm and retrospective series; its task force says no randomised trial compared EBRT with ablation or catheter therapy, and surgical oncologists published a dissent.</w:t>
            </w:r>
          </w:p>
        </w:tc>
        <w:tc>
          <w:tcPr>
            <w:tcW w:type="dxa" w:w="3360"/>
            <w:tcW w:w="2400" w:type="dxa"/>
            <w:shd w:val="clear" w:color="auto" w:fill="F1F5F8"/>
          </w:tcPr>
          <w:p>
            <w:pPr>
              <w:spacing w:after="0"/>
            </w:pPr>
            <w:r>
              <w:rPr>
                <w:b w:val="0"/>
                <w:i w:val="0"/>
                <w:color w:val="5A6069"/>
                <w:sz w:val="18"/>
              </w:rPr>
              <w:t>What we are not sure about #23; Appendix · ASTRO EBRT (bottom line)</w:t>
            </w:r>
          </w:p>
        </w:tc>
      </w:tr>
      <w:tr>
        <w:trPr>
          <w:cantSplit/>
        </w:trPr>
        <w:tc>
          <w:tcPr>
            <w:tcW w:type="dxa" w:w="3360"/>
            <w:tcW w:w="2200" w:type="dxa"/>
            <w:shd w:val="clear" w:color="auto" w:fill="FFFFFF"/>
          </w:tcPr>
          <w:p>
            <w:pPr>
              <w:spacing w:after="0"/>
            </w:pPr>
            <w:r>
              <w:rPr>
                <w:b/>
                <w:i w:val="0"/>
                <w:sz w:val="19"/>
              </w:rPr>
              <w:t>SBRT vs RFA RCT</w:t>
            </w:r>
          </w:p>
        </w:tc>
        <w:tc>
          <w:tcPr>
            <w:tcW w:type="dxa" w:w="3360"/>
            <w:tcW w:w="5480" w:type="dxa"/>
            <w:shd w:val="clear" w:color="auto" w:fill="FFFFFF"/>
          </w:tcPr>
          <w:p>
            <w:pPr>
              <w:spacing w:after="0"/>
            </w:pPr>
            <w:r>
              <w:rPr>
                <w:b w:val="0"/>
                <w:i w:val="0"/>
                <w:sz w:val="19"/>
              </w:rPr>
              <w:t>In 166 patients with recurrent HCC of 5 cm or less, SBRT improved local progression-free survival (HR 0.45) without a progression-free or overall survival difference, significant only at 2 cm or less; not proof of superiority for new HCC.</w:t>
            </w:r>
          </w:p>
        </w:tc>
        <w:tc>
          <w:tcPr>
            <w:tcW w:type="dxa" w:w="3360"/>
            <w:tcW w:w="2400" w:type="dxa"/>
            <w:shd w:val="clear" w:color="auto" w:fill="FFFFFF"/>
          </w:tcPr>
          <w:p>
            <w:pPr>
              <w:spacing w:after="0"/>
            </w:pPr>
            <w:r>
              <w:rPr>
                <w:b w:val="0"/>
                <w:i w:val="0"/>
                <w:color w:val="5A6069"/>
                <w:sz w:val="18"/>
              </w:rPr>
              <w:t>Locoregional selector row 'SBRT or external beam radiotherapy'; What we are not sure about #22</w:t>
            </w:r>
          </w:p>
        </w:tc>
      </w:tr>
    </w:tbl>
    <w:p>
      <w:pPr>
        <w:spacing w:after="40"/>
      </w:pPr>
    </w:p>
    <w:p>
      <w:pPr>
        <w:spacing w:after="80"/>
      </w:pPr>
      <w:r>
        <w:rPr>
          <w:b/>
          <w:i w:val="0"/>
        </w:rPr>
        <w:t xml:space="preserve">Where sources differ: </w:t>
      </w:r>
      <w:r>
        <w:rPr>
          <w:b w:val="0"/>
          <w:i w:val="0"/>
        </w:rPr>
        <w:t>BCLC 2026 and ASTRO place EBRT among early-stage options, while the roadmap finds the survival data uncontrolled and the only randomised trial, in recurrent HCC, shows a local-control benefit without a survival difference.</w:t>
      </w:r>
    </w:p>
    <w:p>
      <w:pPr>
        <w:pStyle w:val="Heading3"/>
        <w:keepNext/>
        <w:spacing w:before="120" w:after="80"/>
      </w:pPr>
      <w:r>
        <w:rPr>
          <w:b w:val="0"/>
          <w:i w:val="0"/>
        </w:rPr>
        <w:t>Our proposed selection (OPEN)</w:t>
      </w:r>
    </w:p>
    <w:p>
      <w:pPr>
        <w:spacing w:after="80"/>
      </w:pPr>
      <w:r>
        <w:rPr>
          <w:b w:val="0"/>
          <w:i w:val="0"/>
        </w:rPr>
        <w:t>SBRT is Reasonable, grade B: a selected definitive alternative when the target is unsuitable for ablation and surgery (difficult access, vessel-adjacent) with adequate uninvolved liver; prior catheter-therapy failure is not required. The ratification list frames it as a reasonable consideration, not a standard alternative to ablation, and radiation oncology must agree the grade the evidence supports.</w:t>
      </w:r>
    </w:p>
    <w:p>
      <w:pPr>
        <w:spacing w:after="80"/>
      </w:pPr>
      <w:r>
        <w:rPr>
          <w:b/>
          <w:i w:val="0"/>
          <w:color w:val="5A6069"/>
          <w:sz w:val="18"/>
        </w:rPr>
        <w:t xml:space="preserve">Basis in the document: </w:t>
      </w:r>
      <w:r>
        <w:rPr>
          <w:b w:val="0"/>
          <w:i w:val="0"/>
          <w:color w:val="5A6069"/>
          <w:sz w:val="18"/>
        </w:rPr>
        <w:t>Stage 0 and Stage A Reasonable · SBRT; Locoregional selector SBRT row; Ratification list · Radiation oncology; Decisions table #10 (why)</w:t>
      </w:r>
    </w:p>
    <w:p>
      <w:pPr>
        <w:spacing w:after="80"/>
      </w:pPr>
      <w:r>
        <w:rPr>
          <w:b/>
          <w:i w:val="0"/>
        </w:rPr>
        <w:t xml:space="preserve">Why: </w:t>
      </w:r>
      <w:r>
        <w:rPr>
          <w:b w:val="0"/>
          <w:i w:val="0"/>
        </w:rPr>
        <w:t>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p>
      <w:pPr>
        <w:pStyle w:val="Heading3"/>
        <w:keepNext/>
        <w:spacing w:before="120" w:after="80"/>
      </w:pPr>
      <w:r>
        <w:rPr>
          <w:b w:val="0"/>
          <w:i w:val="0"/>
        </w:rPr>
        <w:t>HCC-D10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HCC-D11 — Agree the AFP rule that actually binds listing here, since OPTN and AASLD allow listing once an AFP of 1,000 ng/mL or more falls below 500 while EASL treats an AFP above 1,000 as an absolute contraindication requiring three months at or below 1,000.</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An AFP of 1,000 ng/mL or more blocks the standard exception until it falls below 500 after locoregional therapy; a later rise to 500 or more requires review-board referral, not automatic continuation.</w:t>
            </w:r>
          </w:p>
        </w:tc>
        <w:tc>
          <w:tcPr>
            <w:tcW w:type="dxa" w:w="3360"/>
            <w:tcW w:w="2400" w:type="dxa"/>
            <w:shd w:val="clear" w:color="auto" w:fill="F1F5F8"/>
          </w:tcPr>
          <w:p>
            <w:pPr>
              <w:spacing w:after="0"/>
            </w:pPr>
            <w:r>
              <w:rPr>
                <w:b w:val="0"/>
                <w:i w:val="0"/>
                <w:color w:val="5A6069"/>
                <w:sz w:val="18"/>
              </w:rPr>
              <w:t>Transplant tab · Eligibility pathways (AFP rule); Quick reference · Transplant table (v16 text)</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Like OPTN, allows listing once an AFP of 1,000 or more falls below 500 ng/mL.</w:t>
            </w:r>
          </w:p>
        </w:tc>
        <w:tc>
          <w:tcPr>
            <w:tcW w:type="dxa" w:w="3360"/>
            <w:tcW w:w="2400" w:type="dxa"/>
            <w:shd w:val="clear" w:color="auto" w:fill="FFFFFF"/>
          </w:tcPr>
          <w:p>
            <w:pPr>
              <w:spacing w:after="0"/>
            </w:pPr>
            <w:r>
              <w:rPr>
                <w:b w:val="0"/>
                <w:i w:val="0"/>
                <w:color w:val="5A6069"/>
                <w:sz w:val="18"/>
              </w:rPr>
              <w:t>What we are not sure about #12</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An AFP above 1,000 ng/mL is an absolute contraindication whatever the tumour burden, and 1,000 or less must be sustained for three months before listing.</w:t>
            </w:r>
          </w:p>
        </w:tc>
        <w:tc>
          <w:tcPr>
            <w:tcW w:type="dxa" w:w="3360"/>
            <w:tcW w:w="2400" w:type="dxa"/>
            <w:shd w:val="clear" w:color="auto" w:fill="F1F5F8"/>
          </w:tcPr>
          <w:p>
            <w:pPr>
              <w:spacing w:after="0"/>
            </w:pPr>
            <w:r>
              <w:rPr>
                <w:b w:val="0"/>
                <w:i w:val="0"/>
                <w:color w:val="5A6069"/>
                <w:sz w:val="18"/>
              </w:rPr>
              <w:t>What we are not sure about #12; Appendix · EASL 2025 (bottom line)</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An AFP above 1,000 signals unacceptably high post-transplant recurrence risk, but the update names no AFP decline that qualifies a downstaged patient.</w:t>
            </w:r>
          </w:p>
        </w:tc>
        <w:tc>
          <w:tcPr>
            <w:tcW w:type="dxa" w:w="3360"/>
            <w:tcW w:w="2400" w:type="dxa"/>
            <w:shd w:val="clear" w:color="auto" w:fill="FFFFFF"/>
          </w:tcPr>
          <w:p>
            <w:pPr>
              <w:spacing w:after="0"/>
            </w:pPr>
            <w:r>
              <w:rPr>
                <w:b w:val="0"/>
                <w:i w:val="0"/>
                <w:color w:val="5A6069"/>
                <w:sz w:val="18"/>
              </w:rPr>
              <w:t>Stage 0 · Transplant (caveat); What we are not sure about #12</w:t>
            </w:r>
          </w:p>
        </w:tc>
      </w:tr>
      <w:tr>
        <w:trPr>
          <w:cantSplit/>
        </w:trPr>
        <w:tc>
          <w:tcPr>
            <w:tcW w:type="dxa" w:w="3360"/>
            <w:tcW w:w="2200" w:type="dxa"/>
            <w:shd w:val="clear" w:color="auto" w:fill="F1F5F8"/>
          </w:tcPr>
          <w:p>
            <w:pPr>
              <w:spacing w:after="0"/>
            </w:pPr>
            <w:r>
              <w:rPr>
                <w:b/>
                <w:i w:val="0"/>
                <w:sz w:val="19"/>
              </w:rPr>
              <w:t>MERITS-LT</w:t>
            </w:r>
          </w:p>
        </w:tc>
        <w:tc>
          <w:tcPr>
            <w:tcW w:type="dxa" w:w="3360"/>
            <w:tcW w:w="5480" w:type="dxa"/>
            <w:shd w:val="clear" w:color="auto" w:fill="F1F5F8"/>
          </w:tcPr>
          <w:p>
            <w:pPr>
              <w:spacing w:after="0"/>
            </w:pPr>
            <w:r>
              <w:rPr>
                <w:b w:val="0"/>
                <w:i w:val="0"/>
                <w:sz w:val="19"/>
              </w:rPr>
              <w:t>The only independent predictor of downstaging dropout was a pre-treatment AFP-L3 of 10% or more (sub-HR 3.7), measured in only 83 of 209 patients.</w:t>
            </w:r>
          </w:p>
        </w:tc>
        <w:tc>
          <w:tcPr>
            <w:tcW w:type="dxa" w:w="3360"/>
            <w:tcW w:w="2400" w:type="dxa"/>
            <w:shd w:val="clear" w:color="auto" w:fill="F1F5F8"/>
          </w:tcPr>
          <w:p>
            <w:pPr>
              <w:spacing w:after="0"/>
            </w:pPr>
            <w:r>
              <w:rPr>
                <w:b w:val="0"/>
                <w:i w:val="0"/>
                <w:color w:val="5A6069"/>
                <w:sz w:val="18"/>
              </w:rPr>
              <w:t>What we are not sure about #12</w:t>
            </w:r>
          </w:p>
        </w:tc>
      </w:tr>
    </w:tbl>
    <w:p>
      <w:pPr>
        <w:spacing w:after="40"/>
      </w:pPr>
    </w:p>
    <w:p>
      <w:pPr>
        <w:spacing w:after="80"/>
      </w:pPr>
      <w:r>
        <w:rPr>
          <w:b/>
          <w:i w:val="0"/>
        </w:rPr>
        <w:t xml:space="preserve">Where sources differ: </w:t>
      </w:r>
      <w:r>
        <w:rPr>
          <w:b w:val="0"/>
          <w:i w:val="0"/>
        </w:rPr>
        <w:t>OPTN and AASLD versus EASL set incompatible AFP listing rules, and the roadmap notes that neither threshold was derived from a trial.</w:t>
      </w:r>
    </w:p>
    <w:p>
      <w:pPr>
        <w:pStyle w:val="Heading3"/>
        <w:keepNext/>
        <w:spacing w:before="120" w:after="80"/>
      </w:pPr>
      <w:r>
        <w:rPr>
          <w:b w:val="0"/>
          <w:i w:val="0"/>
        </w:rPr>
        <w:t>Our proposed selection (OPEN)</w:t>
      </w:r>
    </w:p>
    <w:p>
      <w:pPr>
        <w:spacing w:after="80"/>
      </w:pPr>
      <w:r>
        <w:rPr>
          <w:b w:val="0"/>
          <w:i w:val="0"/>
        </w:rPr>
        <w:t>The page applies the OPTN rule (to be verified against current Policy 9 text), with the stricter of OPTN and local policy governing, and every AFP recorded with its date and intervening treatment. HCC B1.1 AFP proposals, such as a conservative hold at confirmed AFP of 500 or more, are OPEN, not automatic delisting rules. No monitor is named.</w:t>
      </w:r>
    </w:p>
    <w:p>
      <w:pPr>
        <w:spacing w:after="80"/>
      </w:pPr>
      <w:r>
        <w:rPr>
          <w:b/>
          <w:i w:val="0"/>
          <w:color w:val="5A6069"/>
          <w:sz w:val="18"/>
        </w:rPr>
        <w:t xml:space="preserve">Basis in the document: </w:t>
      </w:r>
      <w:r>
        <w:rPr>
          <w:b w:val="0"/>
          <w:i w:val="0"/>
          <w:color w:val="5A6069"/>
          <w:sz w:val="18"/>
        </w:rPr>
        <w:t>Transplant tab · Four kinds of statement and Eligibility pathways (AFP rule); AFP-only discordance and HCC B1.1 OPEN proposals (v16 text)</w:t>
      </w:r>
    </w:p>
    <w:p>
      <w:pPr>
        <w:spacing w:after="80"/>
      </w:pPr>
      <w:r>
        <w:rPr>
          <w:b/>
          <w:i w:val="0"/>
        </w:rPr>
        <w:t xml:space="preserve">Why: </w:t>
      </w:r>
      <w:r>
        <w:rPr>
          <w:b w:val="0"/>
          <w:i w:val="0"/>
        </w:rPr>
        <w:t>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p>
      <w:pPr>
        <w:pStyle w:val="Heading3"/>
        <w:keepNext/>
        <w:spacing w:before="120" w:after="80"/>
      </w:pPr>
      <w:r>
        <w:rPr>
          <w:b w:val="0"/>
          <w:i w:val="0"/>
        </w:rPr>
        <w:t>HCC-D11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HCC-D12 — Decide whether histotripsy begins as trial-only or registry-only, with credentialing, target criteria, consent language and an outcome review cadence, and require the prespecified rather than the post hoc local-control read in the registry.</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#HOPE4LIVER</w:t>
            </w:r>
          </w:p>
        </w:tc>
        <w:tc>
          <w:tcPr>
            <w:tcW w:type="dxa" w:w="3360"/>
            <w:tcW w:w="5480" w:type="dxa"/>
            <w:shd w:val="clear" w:color="auto" w:fill="F1F5F8"/>
          </w:tcPr>
          <w:p>
            <w:pPr>
              <w:spacing w:after="0"/>
            </w:pPr>
            <w:r>
              <w:rPr>
                <w:b w:val="0"/>
                <w:i w:val="0"/>
                <w:sz w:val="19"/>
              </w:rPr>
              <w:t>Met technical-success (95%) and major-complication (7%) endpoints, neither a measure of tumour control; only 18 of 44 had HCC and none had segment VII or VIII tumours; one-year local control 63.4% prespecified versus 90% post hoc.</w:t>
            </w:r>
          </w:p>
        </w:tc>
        <w:tc>
          <w:tcPr>
            <w:tcW w:type="dxa" w:w="3360"/>
            <w:tcW w:w="2400" w:type="dxa"/>
            <w:shd w:val="clear" w:color="auto" w:fill="F1F5F8"/>
          </w:tcPr>
          <w:p>
            <w:pPr>
              <w:spacing w:after="0"/>
            </w:pPr>
            <w:r>
              <w:rPr>
                <w:b w:val="0"/>
                <w:i w:val="0"/>
                <w:color w:val="5A6069"/>
                <w:sz w:val="18"/>
              </w:rPr>
              <w:t>What we are not sure about #26; Appendix · #HOPE4LIVER (bottom line)</w:t>
            </w:r>
          </w:p>
        </w:tc>
      </w:tr>
      <w:tr>
        <w:trPr>
          <w:cantSplit/>
        </w:trPr>
        <w:tc>
          <w:tcPr>
            <w:tcW w:type="dxa" w:w="3360"/>
            <w:tcW w:w="2200" w:type="dxa"/>
            <w:shd w:val="clear" w:color="auto" w:fill="FFFFFF"/>
          </w:tcPr>
          <w:p>
            <w:pPr>
              <w:spacing w:after="0"/>
            </w:pPr>
            <w:r>
              <w:rPr>
                <w:b/>
                <w:i w:val="0"/>
                <w:sz w:val="19"/>
              </w:rPr>
              <w:t>FDA device clearance</w:t>
            </w:r>
          </w:p>
        </w:tc>
        <w:tc>
          <w:tcPr>
            <w:tcW w:type="dxa" w:w="3360"/>
            <w:tcW w:w="5480" w:type="dxa"/>
            <w:shd w:val="clear" w:color="auto" w:fill="FFFFFF"/>
          </w:tcPr>
          <w:p>
            <w:pPr>
              <w:spacing w:after="0"/>
            </w:pPr>
            <w:r>
              <w:rPr>
                <w:b w:val="0"/>
                <w:i w:val="0"/>
                <w:sz w:val="19"/>
              </w:rPr>
              <w:t>As the roadmap reports it, a safety and performance determination for tumour destruction that does not establish survival benefit or equivalence to established ablation.</w:t>
            </w:r>
          </w:p>
        </w:tc>
        <w:tc>
          <w:tcPr>
            <w:tcW w:type="dxa" w:w="3360"/>
            <w:tcW w:w="2400" w:type="dxa"/>
            <w:shd w:val="clear" w:color="auto" w:fill="FFFFFF"/>
          </w:tcPr>
          <w:p>
            <w:pPr>
              <w:spacing w:after="0"/>
            </w:pPr>
            <w:r>
              <w:rPr>
                <w:b w:val="0"/>
                <w:i w:val="0"/>
                <w:color w:val="5A6069"/>
                <w:sz w:val="18"/>
              </w:rPr>
              <w:t>Locoregional selector row 'Histotripsy'</w:t>
            </w:r>
          </w:p>
        </w:tc>
      </w:tr>
    </w:tbl>
    <w:p>
      <w:pPr>
        <w:spacing w:after="40"/>
      </w:pPr>
    </w:p>
    <w:p>
      <w:pPr>
        <w:spacing w:after="80"/>
      </w:pPr>
      <w:r>
        <w:rPr>
          <w:b/>
          <w:i w:val="0"/>
        </w:rPr>
        <w:t xml:space="preserve">Where sources differ: </w:t>
      </w:r>
      <w:r>
        <w:rPr>
          <w:b w:val="0"/>
          <w:i w:val="0"/>
        </w:rPr>
        <w:t>Regulatory clearance and technical endpoints were met, but the roadmap finds no tumour-specific curative evidence and a wide gap between the prespecified and post hoc local-control reads.</w:t>
      </w:r>
    </w:p>
    <w:p>
      <w:pPr>
        <w:pStyle w:val="Heading3"/>
        <w:keepNext/>
        <w:spacing w:before="120" w:after="80"/>
      </w:pPr>
      <w:r>
        <w:rPr>
          <w:b w:val="0"/>
          <w:i w:val="0"/>
        </w:rPr>
        <w:t>Our proposed selection (OPEN)</w:t>
      </w:r>
    </w:p>
    <w:p>
      <w:pPr>
        <w:spacing w:after="80"/>
      </w:pPr>
      <w:r>
        <w:rPr>
          <w:b w:val="0"/>
          <w:i w:val="0"/>
        </w:rPr>
        <w:t>Trial only, grade C: confined to a prospective trial or institutional registry, with consent explicit about oncologic uncertainty, a reliably visible target, adequate acoustic access, size and depth within device range, a credentialed operator and independent review of standard options; never displacing established treatment; each case registered with the prespecified local-control read. Start route and review cadence are undecided.</w:t>
      </w:r>
    </w:p>
    <w:p>
      <w:pPr>
        <w:spacing w:after="80"/>
      </w:pPr>
      <w:r>
        <w:rPr>
          <w:b/>
          <w:i w:val="0"/>
          <w:color w:val="5A6069"/>
          <w:sz w:val="18"/>
        </w:rPr>
        <w:t xml:space="preserve">Basis in the document: </w:t>
      </w:r>
      <w:r>
        <w:rPr>
          <w:b w:val="0"/>
          <w:i w:val="0"/>
          <w:color w:val="5A6069"/>
          <w:sz w:val="18"/>
        </w:rPr>
        <w:t>Stage B Trial only · Histotripsy; Locoregional selector row 'Histotripsy'; Operations · Quality dashboard (Innovation)</w:t>
      </w:r>
    </w:p>
    <w:p>
      <w:pPr>
        <w:spacing w:after="80"/>
      </w:pPr>
      <w:r>
        <w:rPr>
          <w:b/>
          <w:i w:val="0"/>
        </w:rPr>
        <w:t xml:space="preserve">Why: </w:t>
      </w:r>
      <w:r>
        <w:rPr>
          <w:b w:val="0"/>
          <w:i w:val="0"/>
        </w:rPr>
        <w:t>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p>
      <w:pPr>
        <w:pStyle w:val="Heading3"/>
        <w:keepNext/>
        <w:spacing w:before="120" w:after="80"/>
      </w:pPr>
      <w:r>
        <w:rPr>
          <w:b w:val="0"/>
          <w:i w:val="0"/>
        </w:rPr>
        <w:t>HCC-D12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HCC-D13 — Adopt an explicit institutional position that TACE combined with checkpoint inhibitors is protocol-only until an overall-survival benefit is demonstrated, and record the toxicity rates the trials reported as part of the consent conversation.</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EMERALD-1</w:t>
            </w:r>
          </w:p>
        </w:tc>
        <w:tc>
          <w:tcPr>
            <w:tcW w:type="dxa" w:w="3360"/>
            <w:tcW w:w="5480" w:type="dxa"/>
            <w:shd w:val="clear" w:color="auto" w:fill="F1F5F8"/>
          </w:tcPr>
          <w:p>
            <w:pPr>
              <w:spacing w:after="0"/>
            </w:pPr>
            <w:r>
              <w:rPr>
                <w:b w:val="0"/>
                <w:i w:val="0"/>
                <w:sz w:val="19"/>
              </w:rPr>
              <w:t>Progression-free survival 15.0 vs 8.2 months; durvalumab plus TACE alone was no better (HR 0.94), so the benefit appears to come from bevacizumab; the registry-reported final overall-survival analysis showed no benefit.</w:t>
            </w:r>
          </w:p>
        </w:tc>
        <w:tc>
          <w:tcPr>
            <w:tcW w:type="dxa" w:w="3360"/>
            <w:tcW w:w="2400" w:type="dxa"/>
            <w:shd w:val="clear" w:color="auto" w:fill="F1F5F8"/>
          </w:tcPr>
          <w:p>
            <w:pPr>
              <w:spacing w:after="0"/>
            </w:pPr>
            <w:r>
              <w:rPr>
                <w:b w:val="0"/>
                <w:i w:val="0"/>
                <w:color w:val="5A6069"/>
                <w:sz w:val="18"/>
              </w:rPr>
              <w:t>What we are not sure about #29; Appendix · EMERALD-1 (bottom line); Sources not abstracted in full (EMERALD-1 registry)</w:t>
            </w:r>
          </w:p>
        </w:tc>
      </w:tr>
      <w:tr>
        <w:trPr>
          <w:cantSplit/>
        </w:trPr>
        <w:tc>
          <w:tcPr>
            <w:tcW w:type="dxa" w:w="3360"/>
            <w:tcW w:w="2200" w:type="dxa"/>
            <w:shd w:val="clear" w:color="auto" w:fill="FFFFFF"/>
          </w:tcPr>
          <w:p>
            <w:pPr>
              <w:spacing w:after="0"/>
            </w:pPr>
            <w:r>
              <w:rPr>
                <w:b/>
                <w:i w:val="0"/>
                <w:sz w:val="19"/>
              </w:rPr>
              <w:t>LEAP-012</w:t>
            </w:r>
          </w:p>
        </w:tc>
        <w:tc>
          <w:tcPr>
            <w:tcW w:type="dxa" w:w="3360"/>
            <w:tcW w:w="5480" w:type="dxa"/>
            <w:shd w:val="clear" w:color="auto" w:fill="FFFFFF"/>
          </w:tcPr>
          <w:p>
            <w:pPr>
              <w:spacing w:after="0"/>
            </w:pPr>
            <w:r>
              <w:rPr>
                <w:b w:val="0"/>
                <w:i w:val="0"/>
                <w:sz w:val="19"/>
              </w:rPr>
              <w:t>Progression-free survival 14.6 vs 10.0 months; interim overall-survival HR 0.80 missed its boundary and the registry-posted final HR was 0.98; grade 3 or worse treatment-related events 71% vs 32%.</w:t>
            </w:r>
          </w:p>
        </w:tc>
        <w:tc>
          <w:tcPr>
            <w:tcW w:type="dxa" w:w="3360"/>
            <w:tcW w:w="2400" w:type="dxa"/>
            <w:shd w:val="clear" w:color="auto" w:fill="FFFFFF"/>
          </w:tcPr>
          <w:p>
            <w:pPr>
              <w:spacing w:after="0"/>
            </w:pPr>
            <w:r>
              <w:rPr>
                <w:b w:val="0"/>
                <w:i w:val="0"/>
                <w:color w:val="5A6069"/>
                <w:sz w:val="18"/>
              </w:rPr>
              <w:t>What we are not sure about #29; Systemic therapy tab · 'TACE combined with systemic therapy is not a standard of care'</w:t>
            </w:r>
          </w:p>
        </w:tc>
      </w:tr>
      <w:tr>
        <w:trPr>
          <w:cantSplit/>
        </w:trPr>
        <w:tc>
          <w:tcPr>
            <w:tcW w:type="dxa" w:w="3360"/>
            <w:tcW w:w="2200" w:type="dxa"/>
            <w:shd w:val="clear" w:color="auto" w:fill="F1F5F8"/>
          </w:tcPr>
          <w:p>
            <w:pPr>
              <w:spacing w:after="0"/>
            </w:pPr>
            <w:r>
              <w:rPr>
                <w:b/>
                <w:i w:val="0"/>
                <w:sz w:val="19"/>
              </w:rPr>
              <w:t>EMERALD-3</w:t>
            </w:r>
          </w:p>
        </w:tc>
        <w:tc>
          <w:tcPr>
            <w:tcW w:type="dxa" w:w="3360"/>
            <w:tcW w:w="5480" w:type="dxa"/>
            <w:shd w:val="clear" w:color="auto" w:fill="F1F5F8"/>
          </w:tcPr>
          <w:p>
            <w:pPr>
              <w:spacing w:after="0"/>
            </w:pPr>
            <w:r>
              <w:rPr>
                <w:b w:val="0"/>
                <w:i w:val="0"/>
                <w:sz w:val="19"/>
              </w:rPr>
              <w:t>Progression-free survival 13.0 vs 9.8 months; overall survival HR 0.84, not significant at 40% maturity; grade 3-4 treatment-related events 63% vs 19%, with seven treatment-related deaths.</w:t>
            </w:r>
          </w:p>
        </w:tc>
        <w:tc>
          <w:tcPr>
            <w:tcW w:type="dxa" w:w="3360"/>
            <w:tcW w:w="2400" w:type="dxa"/>
            <w:shd w:val="clear" w:color="auto" w:fill="F1F5F8"/>
          </w:tcPr>
          <w:p>
            <w:pPr>
              <w:spacing w:after="0"/>
            </w:pPr>
            <w:r>
              <w:rPr>
                <w:b w:val="0"/>
                <w:i w:val="0"/>
                <w:color w:val="5A6069"/>
                <w:sz w:val="18"/>
              </w:rPr>
              <w:t>What we are not sure about #29; Appendix · EMERALD-3 (bottom line)</w:t>
            </w:r>
          </w:p>
        </w:tc>
      </w:tr>
      <w:tr>
        <w:trPr>
          <w:cantSplit/>
        </w:trPr>
        <w:tc>
          <w:tcPr>
            <w:tcW w:type="dxa" w:w="3360"/>
            <w:tcW w:w="2200" w:type="dxa"/>
            <w:shd w:val="clear" w:color="auto" w:fill="FFFFFF"/>
          </w:tcPr>
          <w:p>
            <w:pPr>
              <w:spacing w:after="0"/>
            </w:pPr>
            <w:r>
              <w:rPr>
                <w:b/>
                <w:i w:val="0"/>
                <w:sz w:val="19"/>
              </w:rPr>
              <w:t>NCCN v2.2026</w:t>
            </w:r>
          </w:p>
        </w:tc>
        <w:tc>
          <w:tcPr>
            <w:tcW w:type="dxa" w:w="3360"/>
            <w:tcW w:w="5480" w:type="dxa"/>
            <w:shd w:val="clear" w:color="auto" w:fill="FFFFFF"/>
          </w:tcPr>
          <w:p>
            <w:pPr>
              <w:spacing w:after="0"/>
            </w:pPr>
            <w:r>
              <w:rPr>
                <w:b w:val="0"/>
                <w:i w:val="0"/>
                <w:sz w:val="19"/>
              </w:rPr>
              <w:t>Quotes the LEAP-012 progression-free benefit and the interim overall-survival HR of 0.80; the roadmap says protocol-only use should not be portrayed as an NCCN prohibition.</w:t>
            </w:r>
          </w:p>
        </w:tc>
        <w:tc>
          <w:tcPr>
            <w:tcW w:type="dxa" w:w="3360"/>
            <w:tcW w:w="2400" w:type="dxa"/>
            <w:shd w:val="clear" w:color="auto" w:fill="FFFFFF"/>
          </w:tcPr>
          <w:p>
            <w:pPr>
              <w:spacing w:after="0"/>
            </w:pPr>
            <w:r>
              <w:rPr>
                <w:b w:val="0"/>
                <w:i w:val="0"/>
                <w:color w:val="5A6069"/>
                <w:sz w:val="18"/>
              </w:rPr>
              <w:t>Systemic therapy tab · 'TACE combined with systemic therapy is not a standard of care' (NCCN note)</w:t>
            </w:r>
          </w:p>
        </w:tc>
      </w:tr>
      <w:tr>
        <w:trPr>
          <w:cantSplit/>
        </w:trPr>
        <w:tc>
          <w:tcPr>
            <w:tcW w:type="dxa" w:w="3360"/>
            <w:tcW w:w="2200" w:type="dxa"/>
            <w:shd w:val="clear" w:color="auto" w:fill="F1F5F8"/>
          </w:tcPr>
          <w:p>
            <w:pPr>
              <w:spacing w:after="0"/>
            </w:pPr>
            <w:r>
              <w:rPr>
                <w:b/>
                <w:i w:val="0"/>
                <w:sz w:val="19"/>
              </w:rPr>
              <w:t>LEAP-012 / EMERALD-1 commentary</w:t>
            </w:r>
          </w:p>
        </w:tc>
        <w:tc>
          <w:tcPr>
            <w:tcW w:type="dxa" w:w="3360"/>
            <w:tcW w:w="5480" w:type="dxa"/>
            <w:shd w:val="clear" w:color="auto" w:fill="F1F5F8"/>
          </w:tcPr>
          <w:p>
            <w:pPr>
              <w:spacing w:after="0"/>
            </w:pPr>
            <w:r>
              <w:rPr>
                <w:b w:val="0"/>
                <w:i w:val="0"/>
                <w:sz w:val="19"/>
              </w:rPr>
              <w:t>Progression-free gains do not yet justify routine adoption without survival or quality-of-life data; over 40% of each trial lay outside intermediate stage and neither had a systemic-only arm.</w:t>
            </w:r>
          </w:p>
        </w:tc>
        <w:tc>
          <w:tcPr>
            <w:tcW w:type="dxa" w:w="3360"/>
            <w:tcW w:w="2400" w:type="dxa"/>
            <w:shd w:val="clear" w:color="auto" w:fill="F1F5F8"/>
          </w:tcPr>
          <w:p>
            <w:pPr>
              <w:spacing w:after="0"/>
            </w:pPr>
            <w:r>
              <w:rPr>
                <w:b w:val="0"/>
                <w:i w:val="0"/>
                <w:color w:val="5A6069"/>
                <w:sz w:val="18"/>
              </w:rPr>
              <w:t>Appendix · LEAP-012 / EMERALD-1 commentary (bottom line)</w:t>
            </w:r>
          </w:p>
        </w:tc>
      </w:tr>
    </w:tbl>
    <w:p>
      <w:pPr>
        <w:spacing w:after="40"/>
      </w:pPr>
    </w:p>
    <w:p>
      <w:pPr>
        <w:spacing w:after="80"/>
      </w:pPr>
      <w:r>
        <w:rPr>
          <w:b/>
          <w:i w:val="0"/>
        </w:rPr>
        <w:t xml:space="preserve">Where sources differ: </w:t>
      </w:r>
      <w:r>
        <w:rPr>
          <w:b w:val="0"/>
          <w:i w:val="0"/>
        </w:rPr>
        <w:t>All three phase 3 trials met progression-free survival without an overall-survival benefit; the roadmap rests its stance on absent benefit rather than demonstrated harm, and notes NCCN does not prohibit the combination.</w:t>
      </w:r>
    </w:p>
    <w:p>
      <w:pPr>
        <w:pStyle w:val="Heading3"/>
        <w:keepNext/>
        <w:spacing w:before="120" w:after="80"/>
      </w:pPr>
      <w:r>
        <w:rPr>
          <w:b w:val="0"/>
          <w:i w:val="0"/>
        </w:rPr>
        <w:t>Our proposed selection (OPEN)</w:t>
      </w:r>
    </w:p>
    <w:p>
      <w:pPr>
        <w:spacing w:after="80"/>
      </w:pPr>
      <w:r>
        <w:rPr>
          <w:b w:val="0"/>
          <w:i w:val="0"/>
        </w:rPr>
        <w:t>Avoid outside a clinical trial or an approved institutional protocol, to be reviewed again should a positive overall-survival analysis appear or a labelled indication be granted. The v16 systemic matrix frames TACE-plus-systemic regimens as selected use under a defined oncology, IR or institutional pathway, not routine transplant bridging.</w:t>
      </w:r>
    </w:p>
    <w:p>
      <w:pPr>
        <w:spacing w:after="80"/>
      </w:pPr>
      <w:r>
        <w:rPr>
          <w:b/>
          <w:i w:val="0"/>
          <w:color w:val="5A6069"/>
          <w:sz w:val="18"/>
        </w:rPr>
        <w:t xml:space="preserve">Basis in the document: </w:t>
      </w:r>
      <w:r>
        <w:rPr>
          <w:b w:val="0"/>
          <w:i w:val="0"/>
          <w:color w:val="5A6069"/>
          <w:sz w:val="18"/>
        </w:rPr>
        <w:t>Stage B Avoid; Systemic therapy tab · 'TACE combined with systemic therapy is not a standard of care'; Systemic treatment matrix, TACE combination rows (v16 text)</w:t>
      </w:r>
    </w:p>
    <w:p>
      <w:pPr>
        <w:spacing w:after="80"/>
      </w:pPr>
      <w:r>
        <w:rPr>
          <w:b/>
          <w:i w:val="0"/>
        </w:rPr>
        <w:t xml:space="preserve">Why: </w:t>
      </w:r>
      <w:r>
        <w:rPr>
          <w:b w:val="0"/>
          <w:i w:val="0"/>
        </w:rPr>
        <w:t>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p>
      <w:pPr>
        <w:pStyle w:val="Heading3"/>
        <w:keepNext/>
        <w:spacing w:before="120" w:after="80"/>
      </w:pPr>
      <w:r>
        <w:rPr>
          <w:b w:val="0"/>
          <w:i w:val="0"/>
        </w:rPr>
        <w:t>HCC-D13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HCC-D14 — 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critical update</w:t>
            </w:r>
          </w:p>
        </w:tc>
        <w:tc>
          <w:tcPr>
            <w:tcW w:type="dxa" w:w="3360"/>
            <w:tcW w:w="5480" w:type="dxa"/>
            <w:shd w:val="clear" w:color="auto" w:fill="F1F5F8"/>
          </w:tcPr>
          <w:p>
            <w:pPr>
              <w:spacing w:after="0"/>
            </w:pPr>
            <w:r>
              <w:rPr>
                <w:b w:val="0"/>
                <w:i w:val="0"/>
                <w:sz w:val="19"/>
              </w:rPr>
              <w:t>Advises against adjuvant and neoadjuvant systemic therapy after resection or ablation because IMbrave050's benefit did not hold; roadmap: it concerns atezolizumab-bevacizumab, rests on an interim analysis, and extends to neoadjuvant therapy without a cited trial.</w:t>
            </w:r>
          </w:p>
        </w:tc>
        <w:tc>
          <w:tcPr>
            <w:tcW w:type="dxa" w:w="3360"/>
            <w:tcW w:w="2400" w:type="dxa"/>
            <w:shd w:val="clear" w:color="auto" w:fill="F1F5F8"/>
          </w:tcPr>
          <w:p>
            <w:pPr>
              <w:spacing w:after="0"/>
            </w:pPr>
            <w:r>
              <w:rPr>
                <w:b w:val="0"/>
                <w:i w:val="0"/>
                <w:color w:val="5A6069"/>
                <w:sz w:val="18"/>
              </w:rPr>
              <w:t>Appendix · AASLD critical update (bottom line); Decisions table #14 (why)</w:t>
            </w:r>
          </w:p>
        </w:tc>
      </w:tr>
      <w:tr>
        <w:trPr>
          <w:cantSplit/>
        </w:trPr>
        <w:tc>
          <w:tcPr>
            <w:tcW w:type="dxa" w:w="3360"/>
            <w:tcW w:w="2200" w:type="dxa"/>
            <w:shd w:val="clear" w:color="auto" w:fill="FFFFFF"/>
          </w:tcPr>
          <w:p>
            <w:pPr>
              <w:spacing w:after="0"/>
            </w:pPr>
            <w:r>
              <w:rPr>
                <w:b/>
                <w:i w:val="0"/>
                <w:sz w:val="19"/>
              </w:rPr>
              <w:t>IMbrave050 update</w:t>
            </w:r>
          </w:p>
        </w:tc>
        <w:tc>
          <w:tcPr>
            <w:tcW w:type="dxa" w:w="3360"/>
            <w:tcW w:w="5480" w:type="dxa"/>
            <w:shd w:val="clear" w:color="auto" w:fill="FFFFFF"/>
          </w:tcPr>
          <w:p>
            <w:pPr>
              <w:spacing w:after="0"/>
            </w:pPr>
            <w:r>
              <w:rPr>
                <w:b w:val="0"/>
                <w:i w:val="0"/>
                <w:sz w:val="19"/>
              </w:rPr>
              <w:t>The updated recurrence-free survival HR of 0.90 (95% CI 0.72-1.12) lost the interim signal, with overall survival numerically unfavourable (HR 1.26).</w:t>
            </w:r>
          </w:p>
        </w:tc>
        <w:tc>
          <w:tcPr>
            <w:tcW w:type="dxa" w:w="3360"/>
            <w:tcW w:w="2400" w:type="dxa"/>
            <w:shd w:val="clear" w:color="auto" w:fill="FFFFFF"/>
          </w:tcPr>
          <w:p>
            <w:pPr>
              <w:spacing w:after="0"/>
            </w:pPr>
            <w:r>
              <w:rPr>
                <w:b w:val="0"/>
                <w:i w:val="0"/>
                <w:color w:val="5A6069"/>
                <w:sz w:val="18"/>
              </w:rPr>
              <w:t>Curative tab · Resection (callout); Appendix · IMbrave050 update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The panel dropped adjuvant atezolizumab plus bevacizumab and states there is currently no adjuvant strategy.</w:t>
            </w:r>
          </w:p>
        </w:tc>
        <w:tc>
          <w:tcPr>
            <w:tcW w:type="dxa" w:w="3360"/>
            <w:tcW w:w="2400" w:type="dxa"/>
            <w:shd w:val="clear" w:color="auto" w:fill="F1F5F8"/>
          </w:tcPr>
          <w:p>
            <w:pPr>
              <w:spacing w:after="0"/>
            </w:pPr>
            <w:r>
              <w:rPr>
                <w:b w:val="0"/>
                <w:i w:val="0"/>
                <w:color w:val="5A6069"/>
                <w:sz w:val="18"/>
              </w:rPr>
              <w:t>Systemic therapy tab · Adjuvant therapy after resection or ablation</w:t>
            </w:r>
          </w:p>
        </w:tc>
      </w:tr>
      <w:tr>
        <w:trPr>
          <w:cantSplit/>
        </w:trPr>
        <w:tc>
          <w:tcPr>
            <w:tcW w:type="dxa" w:w="3360"/>
            <w:tcW w:w="2200" w:type="dxa"/>
            <w:shd w:val="clear" w:color="auto" w:fill="FFFFFF"/>
          </w:tcPr>
          <w:p>
            <w:pPr>
              <w:spacing w:after="0"/>
            </w:pPr>
            <w:r>
              <w:rPr>
                <w:b/>
                <w:i w:val="0"/>
                <w:sz w:val="19"/>
              </w:rPr>
              <w:t>Adjuvant TACE RCT (high-risk HBV resection; not named in the roadmap)</w:t>
            </w:r>
          </w:p>
        </w:tc>
        <w:tc>
          <w:tcPr>
            <w:tcW w:type="dxa" w:w="3360"/>
            <w:tcW w:w="5480" w:type="dxa"/>
            <w:shd w:val="clear" w:color="auto" w:fill="FFFFFF"/>
          </w:tcPr>
          <w:p>
            <w:pPr>
              <w:spacing w:after="0"/>
            </w:pPr>
            <w:r>
              <w:rPr>
                <w:b w:val="0"/>
                <w:i w:val="0"/>
                <w:sz w:val="19"/>
              </w:rPr>
              <w:t>One reduced-dose TACE cycle improved 3-year recurrence-free (HR 0.68) and overall survival (HR 0.59); single centre, 280 of 1,393 resections, unblinded surveillance control.</w:t>
            </w:r>
          </w:p>
        </w:tc>
        <w:tc>
          <w:tcPr>
            <w:tcW w:type="dxa" w:w="3360"/>
            <w:tcW w:w="2400" w:type="dxa"/>
            <w:shd w:val="clear" w:color="auto" w:fill="FFFFFF"/>
          </w:tcPr>
          <w:p>
            <w:pPr>
              <w:spacing w:after="0"/>
            </w:pPr>
            <w:r>
              <w:rPr>
                <w:b w:val="0"/>
                <w:i w:val="0"/>
                <w:color w:val="5A6069"/>
                <w:sz w:val="18"/>
              </w:rPr>
              <w:t>What we are not sure about #30</w:t>
            </w:r>
          </w:p>
        </w:tc>
      </w:tr>
      <w:tr>
        <w:trPr>
          <w:cantSplit/>
        </w:trPr>
        <w:tc>
          <w:tcPr>
            <w:tcW w:type="dxa" w:w="3360"/>
            <w:tcW w:w="2200" w:type="dxa"/>
            <w:shd w:val="clear" w:color="auto" w:fill="F1F5F8"/>
          </w:tcPr>
          <w:p>
            <w:pPr>
              <w:spacing w:after="0"/>
            </w:pPr>
            <w:r>
              <w:rPr>
                <w:b/>
                <w:i w:val="0"/>
                <w:sz w:val="19"/>
              </w:rPr>
              <w:t>Adjuvant FOLFOX HAI RCT (microvascular invasion; not named in the roadmap)</w:t>
            </w:r>
          </w:p>
        </w:tc>
        <w:tc>
          <w:tcPr>
            <w:tcW w:type="dxa" w:w="3360"/>
            <w:tcW w:w="5480" w:type="dxa"/>
            <w:shd w:val="clear" w:color="auto" w:fill="F1F5F8"/>
          </w:tcPr>
          <w:p>
            <w:pPr>
              <w:spacing w:after="0"/>
            </w:pPr>
            <w:r>
              <w:rPr>
                <w:b w:val="0"/>
                <w:i w:val="0"/>
                <w:sz w:val="19"/>
              </w:rPr>
              <w:t>Median disease-free survival 20.3 vs 10.0 months (HR 0.59) with overall survival not significant; microvascular invasion was neither graded nor used for stratification.</w:t>
            </w:r>
          </w:p>
        </w:tc>
        <w:tc>
          <w:tcPr>
            <w:tcW w:type="dxa" w:w="3360"/>
            <w:tcW w:w="2400" w:type="dxa"/>
            <w:shd w:val="clear" w:color="auto" w:fill="F1F5F8"/>
          </w:tcPr>
          <w:p>
            <w:pPr>
              <w:spacing w:after="0"/>
            </w:pPr>
            <w:r>
              <w:rPr>
                <w:b w:val="0"/>
                <w:i w:val="0"/>
                <w:color w:val="5A6069"/>
                <w:sz w:val="18"/>
              </w:rPr>
              <w:t>What we are not sure about #30</w:t>
            </w:r>
          </w:p>
        </w:tc>
      </w:tr>
    </w:tbl>
    <w:p>
      <w:pPr>
        <w:spacing w:after="40"/>
      </w:pPr>
    </w:p>
    <w:p>
      <w:pPr>
        <w:spacing w:after="80"/>
      </w:pPr>
      <w:r>
        <w:rPr>
          <w:b/>
          <w:i w:val="0"/>
        </w:rPr>
        <w:t xml:space="preserve">Where sources differ: </w:t>
      </w:r>
      <w:r>
        <w:rPr>
          <w:b w:val="0"/>
          <w:i w:val="0"/>
        </w:rPr>
        <w:t>The AASLD and NCCN statements concern adjuvant atezolizumab-bevacizumab, while two single-country hepatitis B randomised trials report benefit from adjuvant TACE or HAI that the page does not yet address.</w:t>
      </w:r>
    </w:p>
    <w:p>
      <w:pPr>
        <w:pStyle w:val="Heading3"/>
        <w:keepNext/>
        <w:spacing w:before="120" w:after="80"/>
      </w:pPr>
      <w:r>
        <w:rPr>
          <w:b w:val="0"/>
          <w:i w:val="0"/>
        </w:rPr>
        <w:t>Our proposed selection (OPEN)</w:t>
      </w:r>
    </w:p>
    <w:p>
      <w:pPr>
        <w:spacing w:after="80"/>
      </w:pPr>
      <w:r>
        <w:rPr>
          <w:b w:val="0"/>
          <w:i w:val="0"/>
        </w:rPr>
        <w:t>The roadmap states only that adjuvant atezolizumab-bevacizumab is not recommended (Avoid) and that resected patients get multiphase liver and chest imaging every 3-6 months with long-term surveillance; it takes no position on adjuvant TACE or HAI, and lists HAI as Trial only, not a routine locoregional line.</w:t>
      </w:r>
    </w:p>
    <w:p>
      <w:pPr>
        <w:spacing w:after="80"/>
      </w:pPr>
      <w:r>
        <w:rPr>
          <w:b/>
          <w:i w:val="0"/>
          <w:color w:val="5A6069"/>
          <w:sz w:val="18"/>
        </w:rPr>
        <w:t xml:space="preserve">Basis in the document: </w:t>
      </w:r>
      <w:r>
        <w:rPr>
          <w:b w:val="0"/>
          <w:i w:val="0"/>
          <w:color w:val="5A6069"/>
          <w:sz w:val="18"/>
        </w:rPr>
        <w:t>Curative tab · Resection; Systemic therapy tab · Adjuvant therapy; What we are not sure about #30; Locoregional selector row 'Hepatic arterial infusion'</w:t>
      </w:r>
    </w:p>
    <w:p>
      <w:pPr>
        <w:spacing w:after="80"/>
      </w:pPr>
      <w:r>
        <w:rPr>
          <w:b/>
          <w:i w:val="0"/>
        </w:rPr>
        <w:t xml:space="preserve">Why: </w:t>
      </w:r>
      <w:r>
        <w:rPr>
          <w:b w:val="0"/>
          <w:i w:val="0"/>
        </w:rPr>
        <w:t>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p>
      <w:pPr>
        <w:pStyle w:val="Heading3"/>
        <w:keepNext/>
        <w:spacing w:before="120" w:after="80"/>
      </w:pPr>
      <w:r>
        <w:rPr>
          <w:b w:val="0"/>
          <w:i w:val="0"/>
        </w:rPr>
        <w:t>HCC-D14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HCC-D15 — Define the pre-transplant checkpoint-inhibitor washout requirement and the approval route, and confirm that local transplant policy is at least as strict as OPTN policy.</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C · Advanced</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Pre-LT cohorts (Moeckli cohort, VITALITY)</w:t>
            </w:r>
          </w:p>
        </w:tc>
        <w:tc>
          <w:tcPr>
            <w:tcW w:type="dxa" w:w="3360"/>
            <w:tcW w:w="5480" w:type="dxa"/>
            <w:shd w:val="clear" w:color="auto" w:fill="F1F5F8"/>
          </w:tcPr>
          <w:p>
            <w:pPr>
              <w:spacing w:after="0"/>
            </w:pPr>
            <w:r>
              <w:rPr>
                <w:b w:val="0"/>
                <w:i w:val="0"/>
                <w:sz w:val="19"/>
              </w:rPr>
              <w:t>Provide observational timing evidence on pre-transplant checkpoint exposure, subject to selection bias; they inform proposed intervals but do not establish a universally safe washout.</w:t>
            </w:r>
          </w:p>
        </w:tc>
        <w:tc>
          <w:tcPr>
            <w:tcW w:type="dxa" w:w="3360"/>
            <w:tcW w:w="2400" w:type="dxa"/>
            <w:shd w:val="clear" w:color="auto" w:fill="F1F5F8"/>
          </w:tcPr>
          <w:p>
            <w:pPr>
              <w:spacing w:after="0"/>
            </w:pPr>
            <w:r>
              <w:rPr>
                <w:b w:val="0"/>
                <w:i w:val="0"/>
                <w:color w:val="5A6069"/>
                <w:sz w:val="18"/>
              </w:rPr>
              <w:t>What we are not sure about #14 (v16 text); Stage C Reasonable · pre-transplant checkpoint inhibitor (v16 text)</w:t>
            </w:r>
          </w:p>
        </w:tc>
      </w:tr>
      <w:tr>
        <w:trPr>
          <w:cantSplit/>
        </w:trPr>
        <w:tc>
          <w:tcPr>
            <w:tcW w:type="dxa" w:w="3360"/>
            <w:tcW w:w="2200" w:type="dxa"/>
            <w:shd w:val="clear" w:color="auto" w:fill="FFFFFF"/>
          </w:tcPr>
          <w:p>
            <w:pPr>
              <w:spacing w:after="0"/>
            </w:pPr>
            <w:r>
              <w:rPr>
                <w:b/>
                <w:i w:val="0"/>
                <w:sz w:val="19"/>
              </w:rPr>
              <w:t>ICI after transplant (pooled review)</w:t>
            </w:r>
          </w:p>
        </w:tc>
        <w:tc>
          <w:tcPr>
            <w:tcW w:type="dxa" w:w="3360"/>
            <w:tcW w:w="5480" w:type="dxa"/>
            <w:shd w:val="clear" w:color="auto" w:fill="FFFFFF"/>
          </w:tcPr>
          <w:p>
            <w:pPr>
              <w:spacing w:after="0"/>
            </w:pPr>
            <w:r>
              <w:rPr>
                <w:b w:val="0"/>
                <w:i w:val="0"/>
                <w:sz w:val="19"/>
              </w:rPr>
              <w:t>Pooled 52 patients given checkpoint inhibitors after liver transplant: rejection 28.8%, about half of it fatal; per v16 it concerns post-transplant use and cannot define a pre-transplant washout.</w:t>
            </w:r>
          </w:p>
        </w:tc>
        <w:tc>
          <w:tcPr>
            <w:tcW w:type="dxa" w:w="3360"/>
            <w:tcW w:w="2400" w:type="dxa"/>
            <w:shd w:val="clear" w:color="auto" w:fill="FFFFFF"/>
          </w:tcPr>
          <w:p>
            <w:pPr>
              <w:spacing w:after="0"/>
            </w:pPr>
            <w:r>
              <w:rPr>
                <w:b w:val="0"/>
                <w:i w:val="0"/>
                <w:color w:val="5A6069"/>
                <w:sz w:val="18"/>
              </w:rPr>
              <w:t>What we are not sure about #14 (v16 text); Stage C Avoid · post-transplant checkpoint blockade</w:t>
            </w:r>
          </w:p>
        </w:tc>
      </w:tr>
    </w:tbl>
    <w:p>
      <w:pPr>
        <w:spacing w:after="40"/>
      </w:pPr>
    </w:p>
    <w:p>
      <w:pPr>
        <w:spacing w:after="80"/>
      </w:pPr>
      <w:r>
        <w:rPr>
          <w:b/>
          <w:i w:val="0"/>
        </w:rPr>
        <w:t xml:space="preserve">Where sources differ: </w:t>
      </w:r>
      <w:r>
        <w:rPr>
          <w:b w:val="0"/>
          <w:i w:val="0"/>
        </w:rPr>
        <w:t>No pre-transplant washout interval is prospectively validated; the earlier pooled review addresses post-transplant use, and the pre-transplant cohorts are observational.</w:t>
      </w:r>
    </w:p>
    <w:p>
      <w:pPr>
        <w:pStyle w:val="Heading3"/>
        <w:keepNext/>
        <w:spacing w:before="120" w:after="80"/>
      </w:pPr>
      <w:r>
        <w:rPr>
          <w:b w:val="0"/>
          <w:i w:val="0"/>
        </w:rPr>
        <w:t>Our proposed selection (OPEN)</w:t>
      </w:r>
    </w:p>
    <w:p>
      <w:pPr>
        <w:spacing w:after="80"/>
      </w:pPr>
      <w:r>
        <w:rPr>
          <w:b w:val="0"/>
          <w:i w:val="0"/>
        </w:rPr>
        <w:t>Pre-transplant checkpoint inhibitors only through transplant-specific review (Reasonable C, TX-TIMING), with washout, immunosuppression plan and alternative agreed before the first dose; the record covers the last dose, the proposed interval, urgency, alternatives and transplant-governance sign-off. The OPEN decision in the transplant protocol controls, and the stricter of OPTN and local policy governs.</w:t>
      </w:r>
    </w:p>
    <w:p>
      <w:pPr>
        <w:spacing w:after="80"/>
      </w:pPr>
      <w:r>
        <w:rPr>
          <w:b/>
          <w:i w:val="0"/>
          <w:color w:val="5A6069"/>
          <w:sz w:val="18"/>
        </w:rPr>
        <w:t xml:space="preserve">Basis in the document: </w:t>
      </w:r>
      <w:r>
        <w:rPr>
          <w:b w:val="0"/>
          <w:i w:val="0"/>
          <w:color w:val="5A6069"/>
          <w:sz w:val="18"/>
        </w:rPr>
        <w:t>Stage C Reasonable · pre-transplant checkpoint inhibitor (v16 text); Decisions table #15 (why); Transplant tab · Four kinds of statement</w:t>
      </w:r>
    </w:p>
    <w:p>
      <w:pPr>
        <w:spacing w:after="80"/>
      </w:pPr>
      <w:r>
        <w:rPr>
          <w:b/>
          <w:i w:val="0"/>
        </w:rPr>
        <w:t xml:space="preserve">Why: </w:t>
      </w:r>
      <w:r>
        <w:rPr>
          <w:b w:val="0"/>
          <w:i w:val="0"/>
        </w:rPr>
        <w:t>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p>
    <w:p>
      <w:pPr>
        <w:pStyle w:val="Heading3"/>
        <w:keepNext/>
        <w:spacing w:before="120" w:after="80"/>
      </w:pPr>
      <w:r>
        <w:rPr>
          <w:b w:val="0"/>
          <w:i w:val="0"/>
        </w:rPr>
        <w:t>HCC-D15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HCC-D16 — Decide whether SBRT may be used as a transplant bridge, given explant complete necrosis of 13% after SBRT against 49% after radiofrequency ablation in the only comparative series, and name who adjudicates bridging modality choice.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Bridging comparative series (single-centre; not named in the roadmap)</w:t>
            </w:r>
          </w:p>
        </w:tc>
        <w:tc>
          <w:tcPr>
            <w:tcW w:type="dxa" w:w="3360"/>
            <w:tcW w:w="5480" w:type="dxa"/>
            <w:shd w:val="clear" w:color="auto" w:fill="F1F5F8"/>
          </w:tcPr>
          <w:p>
            <w:pPr>
              <w:spacing w:after="0"/>
            </w:pPr>
            <w:r>
              <w:rPr>
                <w:b w:val="0"/>
                <w:i w:val="0"/>
                <w:sz w:val="19"/>
              </w:rPr>
              <w:t>Explant complete necrosis 13.3% after SBRT, 24.3% after TACE and 49.2% after RFA; liver-function decline 38.9% vs 19.4% vs 13.0%; similar dropout; SBRT reserved by design for patients unsuited to the others.</w:t>
            </w:r>
          </w:p>
        </w:tc>
        <w:tc>
          <w:tcPr>
            <w:tcW w:type="dxa" w:w="3360"/>
            <w:tcW w:w="2400" w:type="dxa"/>
            <w:shd w:val="clear" w:color="auto" w:fill="F1F5F8"/>
          </w:tcPr>
          <w:p>
            <w:pPr>
              <w:spacing w:after="0"/>
            </w:pPr>
            <w:r>
              <w:rPr>
                <w:b w:val="0"/>
                <w:i w:val="0"/>
                <w:color w:val="5A6069"/>
                <w:sz w:val="18"/>
              </w:rPr>
              <w:t>What we are not sure about #33; Decisions table #16 (why)</w:t>
            </w:r>
          </w:p>
        </w:tc>
      </w:tr>
      <w:tr>
        <w:trPr>
          <w:cantSplit/>
        </w:trPr>
        <w:tc>
          <w:tcPr>
            <w:tcW w:type="dxa" w:w="3360"/>
            <w:tcW w:w="2200" w:type="dxa"/>
            <w:shd w:val="clear" w:color="auto" w:fill="FFFFFF"/>
          </w:tcPr>
          <w:p>
            <w:pPr>
              <w:spacing w:after="0"/>
            </w:pPr>
            <w:r>
              <w:rPr>
                <w:b/>
                <w:i w:val="0"/>
                <w:sz w:val="19"/>
              </w:rPr>
              <w:t>MERITS-LT</w:t>
            </w:r>
          </w:p>
        </w:tc>
        <w:tc>
          <w:tcPr>
            <w:tcW w:type="dxa" w:w="3360"/>
            <w:tcW w:w="5480" w:type="dxa"/>
            <w:shd w:val="clear" w:color="auto" w:fill="FFFFFF"/>
          </w:tcPr>
          <w:p>
            <w:pPr>
              <w:spacing w:after="0"/>
            </w:pPr>
            <w:r>
              <w:rPr>
                <w:b w:val="0"/>
                <w:i w:val="0"/>
                <w:sz w:val="19"/>
              </w:rPr>
              <w:t>In downstaging, no detectable difference between chemoembolisation and Y-90, but the roadmap calls that comparison unadjusted and confounded.</w:t>
            </w:r>
          </w:p>
        </w:tc>
        <w:tc>
          <w:tcPr>
            <w:tcW w:type="dxa" w:w="3360"/>
            <w:tcW w:w="2400" w:type="dxa"/>
            <w:shd w:val="clear" w:color="auto" w:fill="FFFFFF"/>
          </w:tcPr>
          <w:p>
            <w:pPr>
              <w:spacing w:after="0"/>
            </w:pPr>
            <w:r>
              <w:rPr>
                <w:b w:val="0"/>
                <w:i w:val="0"/>
                <w:color w:val="5A6069"/>
                <w:sz w:val="18"/>
              </w:rPr>
              <w:t>Appendix · MERITS-LT (bottom line)</w:t>
            </w:r>
          </w:p>
        </w:tc>
      </w:tr>
    </w:tbl>
    <w:p>
      <w:pPr>
        <w:spacing w:after="40"/>
      </w:pPr>
    </w:p>
    <w:p>
      <w:pPr>
        <w:spacing w:after="80"/>
      </w:pPr>
      <w:r>
        <w:rPr>
          <w:b/>
          <w:i w:val="0"/>
        </w:rPr>
        <w:t xml:space="preserve">Where sources differ: </w:t>
      </w:r>
      <w:r>
        <w:rPr>
          <w:b w:val="0"/>
          <w:i w:val="0"/>
        </w:rPr>
        <w:t>The only comparative bridging series favours RFA on explant necrosis but its arms were not comparable, and the roadmap notes no trial has compared bridging with no bridging.</w:t>
      </w:r>
    </w:p>
    <w:p>
      <w:pPr>
        <w:pStyle w:val="Heading3"/>
        <w:keepNext/>
        <w:spacing w:before="120" w:after="80"/>
      </w:pPr>
      <w:r>
        <w:rPr>
          <w:b w:val="0"/>
          <w:i w:val="0"/>
        </w:rPr>
        <w:t>Our proposed selection (OPEN)</w:t>
      </w:r>
    </w:p>
    <w:p>
      <w:pPr>
        <w:spacing w:after="80"/>
      </w:pPr>
      <w:r>
        <w:rPr>
          <w:b w:val="0"/>
          <w:i w:val="0"/>
        </w:rPr>
        <w:t>The roadmap lists thermal ablation, TACE, radiation segmentectomy and SBRT among bridge uses, states that no technique is a universal best bridge, requires bridge use of SBRT to be named separately, and holds that technical feasibility does not confer transplant eligibility. No adjudicator of bridging modality is named.</w:t>
      </w:r>
    </w:p>
    <w:p>
      <w:pPr>
        <w:spacing w:after="80"/>
      </w:pPr>
      <w:r>
        <w:rPr>
          <w:b/>
          <w:i w:val="0"/>
          <w:color w:val="5A6069"/>
          <w:sz w:val="18"/>
        </w:rPr>
        <w:t xml:space="preserve">Basis in the document: </w:t>
      </w:r>
      <w:r>
        <w:rPr>
          <w:b w:val="0"/>
          <w:i w:val="0"/>
          <w:color w:val="5A6069"/>
          <w:sz w:val="18"/>
        </w:rPr>
        <w:t>Locoregional selector (thermal ablation, segmentectomy, TACE and SBRT rows); Liver-directed treatment matrix, arterial embolization and external beam rows (v16 text)</w:t>
      </w:r>
    </w:p>
    <w:p>
      <w:pPr>
        <w:spacing w:after="80"/>
      </w:pPr>
      <w:r>
        <w:rPr>
          <w:b/>
          <w:i w:val="0"/>
        </w:rPr>
        <w:t xml:space="preserve">Why: </w:t>
      </w:r>
      <w:r>
        <w:rPr>
          <w:b w:val="0"/>
          <w:i w:val="0"/>
        </w:rPr>
        <w:t>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p>
      <w:pPr>
        <w:pStyle w:val="Heading3"/>
        <w:keepNext/>
        <w:spacing w:before="120" w:after="80"/>
      </w:pPr>
      <w:r>
        <w:rPr>
          <w:b w:val="0"/>
          <w:i w:val="0"/>
        </w:rPr>
        <w:t>HCC-D16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HCC-D17 — Name who owns the response-assessment call, including which LI-RADS treatment-response algorithm applies after radiation-based therapy, and how a discordant read is resolved.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(ACR v2024 treatment response)</w:t>
            </w:r>
          </w:p>
        </w:tc>
        <w:tc>
          <w:tcPr>
            <w:tcW w:type="dxa" w:w="3360"/>
            <w:tcW w:w="5480" w:type="dxa"/>
            <w:shd w:val="clear" w:color="auto" w:fill="F1F5F8"/>
          </w:tcPr>
          <w:p>
            <w:pPr>
              <w:spacing w:after="0"/>
            </w:pPr>
            <w:r>
              <w:rPr>
                <w:b w:val="0"/>
                <w:i w:val="0"/>
                <w:sz w:val="19"/>
              </w:rPr>
              <w:t>Nonradiation algorithm after ablation or TACE; radiation algorithm after SBRT or Y-90, with a nonprogressing category and no equivocal category. The roadmap notes the response algorithms have no outcome validation.</w:t>
            </w:r>
          </w:p>
        </w:tc>
        <w:tc>
          <w:tcPr>
            <w:tcW w:type="dxa" w:w="3360"/>
            <w:tcW w:w="2400" w:type="dxa"/>
            <w:shd w:val="clear" w:color="auto" w:fill="F1F5F8"/>
          </w:tcPr>
          <w:p>
            <w:pPr>
              <w:spacing w:after="0"/>
            </w:pPr>
            <w:r>
              <w:rPr>
                <w:b w:val="0"/>
                <w:i w:val="0"/>
                <w:color w:val="5A6069"/>
                <w:sz w:val="18"/>
              </w:rPr>
              <w:t>Quick reference · LI-RADS table (v16 text); What we are not sure about #2</w:t>
            </w:r>
          </w:p>
        </w:tc>
      </w:tr>
    </w:tbl>
    <w:p>
      <w:pPr>
        <w:spacing w:after="40"/>
      </w:pPr>
    </w:p>
    <w:p>
      <w:pPr>
        <w:spacing w:after="80"/>
      </w:pPr>
      <w:r>
        <w:rPr>
          <w:b/>
          <w:i w:val="0"/>
        </w:rPr>
        <w:t xml:space="preserve">Where sources differ: </w:t>
      </w:r>
      <w:r>
        <w:rPr>
          <w:b w:val="0"/>
          <w:i w:val="0"/>
        </w:rPr>
        <w:t>The response framework is expert consensus graded C to D, and the treatment-response algorithms lack outcome validation.</w:t>
      </w:r>
    </w:p>
    <w:p>
      <w:pPr>
        <w:pStyle w:val="Heading3"/>
        <w:keepNext/>
        <w:spacing w:before="120" w:after="80"/>
      </w:pPr>
      <w:r>
        <w:rPr>
          <w:b w:val="0"/>
          <w:i w:val="0"/>
        </w:rPr>
        <w:t>Our proposed selection (OPEN)</w:t>
      </w:r>
    </w:p>
    <w:p>
      <w:pPr>
        <w:spacing w:after="80"/>
      </w:pPr>
      <w:r>
        <w:rPr>
          <w:b w:val="0"/>
          <w:i w:val="0"/>
        </w:rPr>
        <w:t>Use the algorithm that matches the treatment: nonradiation at about 4-6 weeks after ablation or TACE; radiation at about 8-12 weeks, then serially, after Y-90 or SBRT, without retreating on enhancement alone in nonprogressing lesions. A discordant interpretation returns the case to MDT. No owner or tie-break rule is named.</w:t>
      </w:r>
    </w:p>
    <w:p>
      <w:pPr>
        <w:spacing w:after="80"/>
      </w:pPr>
      <w:r>
        <w:rPr>
          <w:b/>
          <w:i w:val="0"/>
          <w:color w:val="5A6069"/>
          <w:sz w:val="18"/>
        </w:rPr>
        <w:t xml:space="preserve">Basis in the document: </w:t>
      </w:r>
      <w:r>
        <w:rPr>
          <w:b w:val="0"/>
          <w:i w:val="0"/>
          <w:color w:val="5A6069"/>
          <w:sz w:val="18"/>
        </w:rPr>
        <w:t>Response assessment tab; Quick reference · LI-RADS and response loop (v16 text); Locoregional tab · Stop and switch rules</w:t>
      </w:r>
    </w:p>
    <w:p>
      <w:pPr>
        <w:spacing w:after="80"/>
      </w:pPr>
      <w:r>
        <w:rPr>
          <w:b/>
          <w:i w:val="0"/>
        </w:rPr>
        <w:t xml:space="preserve">Why: </w:t>
      </w:r>
      <w:r>
        <w:rPr>
          <w:b w:val="0"/>
          <w:i w:val="0"/>
        </w:rPr>
        <w:t>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p>
      <w:pPr>
        <w:pStyle w:val="Heading3"/>
        <w:keepNext/>
        <w:spacing w:before="120" w:after="80"/>
      </w:pPr>
      <w:r>
        <w:rPr>
          <w:b w:val="0"/>
          <w:i w:val="0"/>
        </w:rPr>
        <w:t>HCC-D17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HCC-D18 — Agree that the 90% and 95% quality thresholds, the one-business-day urgent triage standard and the three-procedure investigation trigger are operational judgements set for the pilot and revisable, not evidence-derived targets.</w:t>
      </w:r>
    </w:p>
    <w:p>
      <w:pPr>
        <w:spacing w:after="80"/>
      </w:pPr>
      <w:r>
        <w:rPr>
          <w:b w:val="0"/>
          <w:i w:val="0"/>
          <w:color w:val="5A6069"/>
          <w:sz w:val="18"/>
        </w:rPr>
        <w:t>OPEN — not yet decided · Operational</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Quality dashboard: data completeness 90% or more by month 3; decision reliability and curative-first discipline 95% or more; imaging 90% or more; urgent cases triaged within one business day; investigate any patient with three or more procedures before transplant referral. The roadmap already states these numbers were chosen, not derived, and that operating requirements are grade D by construction.</w:t>
      </w:r>
    </w:p>
    <w:p>
      <w:pPr>
        <w:spacing w:after="80"/>
      </w:pPr>
      <w:r>
        <w:rPr>
          <w:b/>
          <w:i w:val="0"/>
          <w:color w:val="5A6069"/>
          <w:sz w:val="18"/>
        </w:rPr>
        <w:t xml:space="preserve">Basis in the document: </w:t>
      </w:r>
      <w:r>
        <w:rPr>
          <w:b w:val="0"/>
          <w:i w:val="0"/>
          <w:color w:val="5A6069"/>
          <w:sz w:val="18"/>
        </w:rPr>
        <w:t>Operations · Quality dashboard; What we are not sure about #34; Team responsibilities section introduction</w:t>
      </w:r>
    </w:p>
    <w:p>
      <w:pPr>
        <w:spacing w:after="80"/>
      </w:pPr>
      <w:r>
        <w:rPr>
          <w:b/>
          <w:i w:val="0"/>
        </w:rPr>
        <w:t xml:space="preserve">Why: </w:t>
      </w:r>
      <w:r>
        <w:rPr>
          <w:b w:val="0"/>
          <w:i w:val="0"/>
        </w:rPr>
        <w:t>None of these numbers is derived from comparative outcome evidence; they were chosen, and the curative-first discipline measure is new and was previously unmeasured. Agreeing that openly is what keeps them auditable for adherence rather than quoted as effectiveness targets.</w:t>
      </w:r>
    </w:p>
    <w:p>
      <w:pPr>
        <w:pStyle w:val="Heading3"/>
        <w:keepNext/>
        <w:spacing w:before="120" w:after="80"/>
      </w:pPr>
      <w:r>
        <w:rPr>
          <w:b w:val="0"/>
          <w:i w:val="0"/>
        </w:rPr>
        <w:t>HCC-D18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HCC-D19 — Assign an owner and a calendar date for re-verifying OPTN Policy 9 criteria, drug labelling and device authorisations against this document.</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Binding policy that can change without notice to the roadmap, so each numeric criterion is to be rechecked against the current Policy 9 text before it is applied to listing; criteria were checked on 1 October 2026.</w:t>
            </w:r>
          </w:p>
        </w:tc>
        <w:tc>
          <w:tcPr>
            <w:tcW w:type="dxa" w:w="3360"/>
            <w:tcW w:w="2400" w:type="dxa"/>
            <w:shd w:val="clear" w:color="auto" w:fill="F1F5F8"/>
          </w:tcPr>
          <w:p>
            <w:pPr>
              <w:spacing w:after="0"/>
            </w:pPr>
            <w:r>
              <w:rPr>
                <w:b w:val="0"/>
                <w:i w:val="0"/>
                <w:color w:val="5A6069"/>
                <w:sz w:val="18"/>
              </w:rPr>
              <w:t>Transplant tab · Four kinds of statement; Provenance</w:t>
            </w:r>
          </w:p>
        </w:tc>
      </w:tr>
      <w:tr>
        <w:trPr>
          <w:cantSplit/>
        </w:trPr>
        <w:tc>
          <w:tcPr>
            <w:tcW w:type="dxa" w:w="3360"/>
            <w:tcW w:w="2200" w:type="dxa"/>
            <w:shd w:val="clear" w:color="auto" w:fill="FFFFFF"/>
          </w:tcPr>
          <w:p>
            <w:pPr>
              <w:spacing w:after="0"/>
            </w:pPr>
            <w:r>
              <w:rPr>
                <w:b/>
                <w:i w:val="0"/>
                <w:sz w:val="19"/>
              </w:rPr>
              <w:t>Adult MELD Exceptions for Transplant Oncology (OPTN guidance)</w:t>
            </w:r>
          </w:p>
        </w:tc>
        <w:tc>
          <w:tcPr>
            <w:tcW w:type="dxa" w:w="3360"/>
            <w:tcW w:w="5480" w:type="dxa"/>
            <w:shd w:val="clear" w:color="auto" w:fill="FFFFFF"/>
          </w:tcPr>
          <w:p>
            <w:pPr>
              <w:spacing w:after="0"/>
            </w:pPr>
            <w:r>
              <w:rPr>
                <w:b w:val="0"/>
                <w:i w:val="0"/>
                <w:sz w:val="19"/>
              </w:rPr>
              <w:t>Review-board guidance rather than policy or a standard of care; it informs but does not compel the review board.</w:t>
            </w:r>
          </w:p>
        </w:tc>
        <w:tc>
          <w:tcPr>
            <w:tcW w:type="dxa" w:w="3360"/>
            <w:tcW w:w="2400" w:type="dxa"/>
            <w:shd w:val="clear" w:color="auto" w:fill="FFFFFF"/>
          </w:tcPr>
          <w:p>
            <w:pPr>
              <w:spacing w:after="0"/>
            </w:pPr>
            <w:r>
              <w:rPr>
                <w:b w:val="0"/>
                <w:i w:val="0"/>
                <w:color w:val="5A6069"/>
                <w:sz w:val="18"/>
              </w:rPr>
              <w:t>Transplant tab · Listing and allocation (Authority); Provenance</w:t>
            </w:r>
          </w:p>
        </w:tc>
      </w:tr>
    </w:tbl>
    <w:p>
      <w:pPr>
        <w:spacing w:after="40"/>
      </w:pPr>
    </w:p>
    <w:p>
      <w:pPr>
        <w:spacing w:after="80"/>
      </w:pPr>
      <w:r>
        <w:rPr>
          <w:b/>
          <w:i w:val="0"/>
        </w:rPr>
        <w:t xml:space="preserve">Where sources differ: </w:t>
      </w:r>
      <w:r>
        <w:rPr>
          <w:b w:val="0"/>
          <w:i w:val="0"/>
        </w:rPr>
        <w:t>No source disagreement; the risk is staleness, because binding OPTN policy changes without notice to the document.</w:t>
      </w:r>
    </w:p>
    <w:p>
      <w:pPr>
        <w:pStyle w:val="Heading3"/>
        <w:keepNext/>
        <w:spacing w:before="120" w:after="80"/>
      </w:pPr>
      <w:r>
        <w:rPr>
          <w:b w:val="0"/>
          <w:i w:val="0"/>
        </w:rPr>
        <w:t>Our proposed selection (OPEN)</w:t>
      </w:r>
    </w:p>
    <w:p>
      <w:pPr>
        <w:spacing w:after="80"/>
      </w:pPr>
      <w:r>
        <w:rPr>
          <w:b w:val="0"/>
          <w:i w:val="0"/>
        </w:rPr>
        <w:t>Every criterion drawn from OPTN policy, drug labelling or device authorisation is to be re-verified at implementation and at each scheduled review; OPTN criteria were last checked on 1 October 2026 and NCCN positions are quoted from v2.2026. No owner or calendar date is named.</w:t>
      </w:r>
    </w:p>
    <w:p>
      <w:pPr>
        <w:spacing w:after="80"/>
      </w:pPr>
      <w:r>
        <w:rPr>
          <w:b/>
          <w:i w:val="0"/>
          <w:color w:val="5A6069"/>
          <w:sz w:val="18"/>
        </w:rPr>
        <w:t xml:space="preserve">Basis in the document: </w:t>
      </w:r>
      <w:r>
        <w:rPr>
          <w:b w:val="0"/>
          <w:i w:val="0"/>
          <w:color w:val="5A6069"/>
          <w:sz w:val="18"/>
        </w:rPr>
        <w:t>Provenance; Status banner; Ratification list · Programme operations</w:t>
      </w:r>
    </w:p>
    <w:p>
      <w:pPr>
        <w:spacing w:after="80"/>
      </w:pPr>
      <w:r>
        <w:rPr>
          <w:b/>
          <w:i w:val="0"/>
        </w:rPr>
        <w:t xml:space="preserve">Why: </w:t>
      </w:r>
      <w:r>
        <w:rPr>
          <w:b w:val="0"/>
          <w:i w:val="0"/>
        </w:rPr>
        <w:t>OPTN policy is binding and changes without notice to this document, and every numeric criterion must be re-verified against the current Policy 9 text before it is applied to a listing decision. Without a named owner and a date, the page silently goes stale.</w:t>
      </w:r>
    </w:p>
    <w:p>
      <w:pPr>
        <w:pStyle w:val="Heading3"/>
        <w:keepNext/>
        <w:spacing w:before="120" w:after="80"/>
      </w:pPr>
      <w:r>
        <w:rPr>
          <w:b w:val="0"/>
          <w:i w:val="0"/>
        </w:rPr>
        <w:t>HCC-D19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HCC-D20 — Pilot for 90 days, audit 20 consecutive cases, then revise before formal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is a draft for multidisciplinary and institutional governance review, not active clinical policy. It proposes the 90-day pilot with a 20-case audit, sets access targets after the pilot baseline, and audits operating requirements for adherence rather than effectiveness until the registry can support an effectiveness question.</w:t>
      </w:r>
    </w:p>
    <w:p>
      <w:pPr>
        <w:spacing w:after="80"/>
      </w:pPr>
      <w:r>
        <w:rPr>
          <w:b/>
          <w:i w:val="0"/>
          <w:color w:val="5A6069"/>
          <w:sz w:val="18"/>
        </w:rPr>
        <w:t xml:space="preserve">Basis in the document: </w:t>
      </w:r>
      <w:r>
        <w:rPr>
          <w:b w:val="0"/>
          <w:i w:val="0"/>
          <w:color w:val="5A6069"/>
          <w:sz w:val="18"/>
        </w:rPr>
        <w:t>Status banner; Decisions table #20; Operations · Quality dashboard (Access row); Team responsibilities section introduction</w:t>
      </w:r>
    </w:p>
    <w:p>
      <w:pPr>
        <w:spacing w:after="80"/>
      </w:pPr>
      <w:r>
        <w:rPr>
          <w:b/>
          <w:i w:val="0"/>
        </w:rPr>
        <w:t xml:space="preserve">Why: </w:t>
      </w:r>
      <w:r>
        <w:rPr>
          <w:b w:val="0"/>
          <w:i w:val="0"/>
        </w:rPr>
        <w:t>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p>
      <w:pPr>
        <w:pStyle w:val="Heading3"/>
        <w:keepNext/>
        <w:spacing w:before="120" w:after="80"/>
      </w:pPr>
      <w:r>
        <w:rPr>
          <w:b w:val="0"/>
          <w:i w:val="0"/>
        </w:rPr>
        <w:t>HCC-D20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Specialty ratification items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000"/>
        <w:gridCol w:w="1500"/>
        <w:gridCol w:w="2900"/>
        <w:gridCol w:w="3280"/>
        <w:gridCol w:w="1400"/>
      </w:tblGrid>
      <w:tr>
        <w:trPr>
          <w:tblHeader/>
        </w:trPr>
        <w:tc>
          <w:tcPr>
            <w:tcW w:type="dxa" w:w="2016"/>
            <w:tcW w:w="1000" w:type="dxa"/>
            <w:shd w:val="clear" w:color="auto" w:fill="17365D"/>
          </w:tcPr>
          <w:p>
            <w:r>
              <w:rPr>
                <w:b/>
                <w:i w:val="0"/>
                <w:color w:val="FFFFFF"/>
                <w:sz w:val="19"/>
              </w:rPr>
              <w:t>ID</w:t>
            </w:r>
          </w:p>
        </w:tc>
        <w:tc>
          <w:tcPr>
            <w:tcW w:type="dxa" w:w="2016"/>
            <w:tcW w:w="1500" w:type="dxa"/>
            <w:shd w:val="clear" w:color="auto" w:fill="17365D"/>
          </w:tcPr>
          <w:p>
            <w:r>
              <w:rPr>
                <w:b/>
                <w:i w:val="0"/>
                <w:color w:val="FFFFFF"/>
                <w:sz w:val="19"/>
              </w:rPr>
              <w:t>Specialty</w:t>
            </w:r>
          </w:p>
        </w:tc>
        <w:tc>
          <w:tcPr>
            <w:tcW w:type="dxa" w:w="2016"/>
            <w:tcW w:w="2900" w:type="dxa"/>
            <w:shd w:val="clear" w:color="auto" w:fill="17365D"/>
          </w:tcPr>
          <w:p>
            <w:r>
              <w:rPr>
                <w:b/>
                <w:i w:val="0"/>
                <w:color w:val="FFFFFF"/>
                <w:sz w:val="19"/>
              </w:rPr>
              <w:t>Item to ratify</w:t>
            </w:r>
          </w:p>
        </w:tc>
        <w:tc>
          <w:tcPr>
            <w:tcW w:type="dxa" w:w="2016"/>
            <w:tcW w:w="3280" w:type="dxa"/>
            <w:shd w:val="clear" w:color="auto" w:fill="17365D"/>
          </w:tcPr>
          <w:p>
            <w:r>
              <w:rPr>
                <w:b/>
                <w:i w:val="0"/>
                <w:color w:val="FFFFFF"/>
                <w:sz w:val="19"/>
              </w:rPr>
              <w:t>Roadmap's stated position</w:t>
            </w:r>
          </w:p>
        </w:tc>
        <w:tc>
          <w:tcPr>
            <w:tcW w:type="dxa" w:w="2016"/>
            <w:tcW w:w="1400" w:type="dxa"/>
            <w:shd w:val="clear" w:color="auto" w:fill="17365D"/>
          </w:tcPr>
          <w:p>
            <w:r>
              <w:rPr>
                <w:b/>
                <w:i w:val="0"/>
                <w:color w:val="FFFFFF"/>
                <w:sz w:val="19"/>
              </w:rPr>
              <w:t>Decision</w:t>
            </w:r>
          </w:p>
        </w:tc>
      </w:tr>
      <w:tr>
        <w:trPr>
          <w:cantSplit/>
        </w:trPr>
        <w:tc>
          <w:tcPr>
            <w:tcW w:type="dxa" w:w="2016"/>
            <w:tcW w:w="1000" w:type="dxa"/>
            <w:shd w:val="clear" w:color="auto" w:fill="F1F5F8"/>
          </w:tcPr>
          <w:p>
            <w:pPr>
              <w:spacing w:after="0"/>
            </w:pPr>
            <w:r>
              <w:rPr>
                <w:b/>
                <w:i w:val="0"/>
                <w:sz w:val="19"/>
              </w:rPr>
              <w:t>HCC-RT-1</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Surveillance grade B (not A) and the stop-surveillance rule.</w:t>
            </w:r>
          </w:p>
        </w:tc>
        <w:tc>
          <w:tcPr>
            <w:tcW w:type="dxa" w:w="2016"/>
            <w:tcW w:w="3280" w:type="dxa"/>
            <w:shd w:val="clear" w:color="auto" w:fill="F1F5F8"/>
          </w:tcPr>
          <w:p>
            <w:pPr>
              <w:spacing w:after="0"/>
            </w:pPr>
            <w:r>
              <w:rPr>
                <w:b w:val="0"/>
                <w:i w:val="0"/>
                <w:sz w:val="19"/>
              </w:rPr>
              <w:t>Ultrasound plus AFP every six months is Standard at grade B, not the A of v0.2. Do not start or continue surveillance where no HCC treatment, including transplant, would be offered, and record that decision.</w:t>
            </w:r>
          </w:p>
          <w:p>
            <w:pPr>
              <w:spacing w:after="0"/>
            </w:pPr>
            <w:r>
              <w:rPr>
                <w:b w:val="0"/>
                <w:i w:val="0"/>
                <w:color w:val="5A6069"/>
                <w:sz w:val="18"/>
              </w:rPr>
              <w:t>Diagnosis &amp; staging tab · Surveillance and recall; What we are not sure about #1</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Child-Pugh, ALBI and MELD thresholds used to bar each locoregional modality.</w:t>
            </w:r>
          </w:p>
        </w:tc>
        <w:tc>
          <w:tcPr>
            <w:tcW w:type="dxa" w:w="2016"/>
            <w:tcW w:w="3280" w:type="dxa"/>
            <w:shd w:val="clear" w:color="auto" w:fill="FFFFFF"/>
          </w:tcPr>
          <w:p>
            <w:pPr>
              <w:spacing w:after="0"/>
            </w:pPr>
            <w:r>
              <w:rPr>
                <w:b w:val="0"/>
                <w:i w:val="0"/>
                <w:sz w:val="19"/>
              </w:rPr>
              <w:t>Not yet set; hepatology is to define modality-specific thresholds instead of one bilirubin cut-off. Current cautions include decompensation and ALBI grade 3 for TACE, hyperbilirubinaemia for lobar Y-90, and decompensation for SBRT.</w:t>
            </w:r>
          </w:p>
          <w:p>
            <w:pPr>
              <w:spacing w:after="0"/>
            </w:pPr>
            <w:r>
              <w:rPr>
                <w:b w:val="0"/>
                <w:i w:val="0"/>
                <w:color w:val="5A6069"/>
                <w:sz w:val="18"/>
              </w:rPr>
              <w:t>Decisions table #3 (why); Stage B Standard and Reasonable (caveats); Stage A · SBRT (caveat)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Whether the §5.1.1 criteria are adopted as the institutional definition of clinically significant portal hypertension, whether HVPG is required before resection or non-invasive rule-in suffices, and which reading of the Yuan randomised trial governs when CSPH is present.</w:t>
            </w:r>
          </w:p>
        </w:tc>
        <w:tc>
          <w:tcPr>
            <w:tcW w:type="dxa" w:w="2016"/>
            <w:tcW w:w="3280" w:type="dxa"/>
            <w:shd w:val="clear" w:color="auto" w:fill="F1F5F8"/>
          </w:tcPr>
          <w:p>
            <w:pPr>
              <w:spacing w:after="0"/>
            </w:pPr>
            <w:r>
              <w:rPr>
                <w:b w:val="0"/>
                <w:i w:val="0"/>
                <w:sz w:val="19"/>
              </w:rPr>
              <w:t>CSPH is an HVPG of 10 mmHg or more, alongside Baveno VIII specific signs and non-invasive rule-in criteria; measure HVPG when resection turns on it and record criterion, value and date. Neither CSPH reading is adopted by default.</w:t>
            </w:r>
          </w:p>
          <w:p>
            <w:pPr>
              <w:spacing w:after="0"/>
            </w:pPr>
            <w:r>
              <w:rPr>
                <w:b w:val="0"/>
                <w:i w:val="0"/>
                <w:color w:val="5A6069"/>
                <w:sz w:val="18"/>
              </w:rPr>
              <w:t>Curative tab · Establishing CSPH and 'Does CSPH bar resection?'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HCC-RT-4</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Hepatitis B antiviral requirement before embolic, radiation and systemic therapy.</w:t>
            </w:r>
          </w:p>
        </w:tc>
        <w:tc>
          <w:tcPr>
            <w:tcW w:type="dxa" w:w="2016"/>
            <w:tcW w:w="3280" w:type="dxa"/>
            <w:shd w:val="clear" w:color="auto" w:fill="FFFFFF"/>
          </w:tcPr>
          <w:p>
            <w:pPr>
              <w:spacing w:after="0"/>
            </w:pPr>
            <w:r>
              <w:rPr>
                <w:b w:val="0"/>
                <w:i w:val="0"/>
                <w:sz w:val="19"/>
              </w:rPr>
              <w:t>Before systemic treatment the roadmap requires documenting hepatitis status and the antiviral plan; it states no specific antiviral requirement before embolic or radiation therapy.</w:t>
            </w:r>
          </w:p>
          <w:p>
            <w:pPr>
              <w:spacing w:after="0"/>
            </w:pPr>
            <w:r>
              <w:rPr>
                <w:b w:val="0"/>
                <w:i w:val="0"/>
                <w:color w:val="5A6069"/>
                <w:sz w:val="18"/>
              </w:rPr>
              <w:t>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HCC-RT-5</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Child-Pugh B systemic-therapy position.</w:t>
            </w:r>
          </w:p>
        </w:tc>
        <w:tc>
          <w:tcPr>
            <w:tcW w:type="dxa" w:w="2016"/>
            <w:tcW w:w="3280" w:type="dxa"/>
            <w:shd w:val="clear" w:color="auto" w:fill="F1F5F8"/>
          </w:tcPr>
          <w:p>
            <w:pPr>
              <w:spacing w:after="0"/>
            </w:pPr>
            <w:r>
              <w:rPr>
                <w:b w:val="0"/>
                <w:i w:val="0"/>
                <w:sz w:val="19"/>
              </w:rPr>
              <w:t>Reasonable, grade C: individualise with an experienced hepatology and oncology team, or do not treat; suited to B7-B8 where cancer symptoms rather than liver failure drive the picture; B9 and above rarely appropriate outside a trial.</w:t>
            </w:r>
          </w:p>
          <w:p>
            <w:pPr>
              <w:spacing w:after="0"/>
            </w:pPr>
            <w:r>
              <w:rPr>
                <w:b w:val="0"/>
                <w:i w:val="0"/>
                <w:color w:val="5A6069"/>
                <w:sz w:val="18"/>
              </w:rPr>
              <w:t>Stage C Reasonable · Child-Pugh B (v16 text); Systemic therapy tab · Child-Pugh B row</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HCC-RT-6</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Milan/T2 and downstaging-pool wording, including the ‘at least one lesion &gt;3 cm’ correction.</w:t>
            </w:r>
          </w:p>
        </w:tc>
        <w:tc>
          <w:tcPr>
            <w:tcW w:type="dxa" w:w="2016"/>
            <w:tcW w:w="3280" w:type="dxa"/>
            <w:shd w:val="clear" w:color="auto" w:fill="FFFFFF"/>
          </w:tcPr>
          <w:p>
            <w:pPr>
              <w:spacing w:after="0"/>
            </w:pPr>
            <w:r>
              <w:rPr>
                <w:b w:val="0"/>
                <w:i w:val="0"/>
                <w:sz w:val="19"/>
              </w:rPr>
              <w:t>Milan/OPTN T2 covers a single 2-5 cm lesion or two to three lesions of 1-3 cm, without vascular invasion or spread. The UNOS-DS 2-3 lesion group needs one lesion above 3 cm, correcting v0.2, which misrouted T2 disease.</w:t>
            </w:r>
          </w:p>
          <w:p>
            <w:pPr>
              <w:spacing w:after="0"/>
            </w:pPr>
            <w:r>
              <w:rPr>
                <w:b w:val="0"/>
                <w:i w:val="0"/>
                <w:color w:val="5A6069"/>
                <w:sz w:val="18"/>
              </w:rPr>
              <w:t>Transplant tab · Eligibility pathways; Quick reference · Transplant table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HCC-RT-7</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AFP-rule operational handling and who monitors it.</w:t>
            </w:r>
          </w:p>
        </w:tc>
        <w:tc>
          <w:tcPr>
            <w:tcW w:type="dxa" w:w="2016"/>
            <w:tcW w:w="3280" w:type="dxa"/>
            <w:shd w:val="clear" w:color="auto" w:fill="F1F5F8"/>
          </w:tcPr>
          <w:p>
            <w:pPr>
              <w:spacing w:after="0"/>
            </w:pPr>
            <w:r>
              <w:rPr>
                <w:b w:val="0"/>
                <w:i w:val="0"/>
                <w:sz w:val="19"/>
              </w:rPr>
              <w:t>Record every AFP with its date and intervening treatment; 1,000 ng/mL or more blocks the standard exception until below 500 after locoregional therapy, and a later rise to 500 or more goes to review-board referral. No monitor is named.</w:t>
            </w:r>
          </w:p>
          <w:p>
            <w:pPr>
              <w:spacing w:after="0"/>
            </w:pPr>
            <w:r>
              <w:rPr>
                <w:b w:val="0"/>
                <w:i w:val="0"/>
                <w:color w:val="5A6069"/>
                <w:sz w:val="18"/>
              </w:rPr>
              <w:t>Transplant tab · Eligibility pathways (AFP rule); AFP-only discordance (v16 text); Decisions table #11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HCC-RT-8</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Beyond-downstaging position: governance route, registry requirement, no automatic exception.</w:t>
            </w:r>
          </w:p>
        </w:tc>
        <w:tc>
          <w:tcPr>
            <w:tcW w:type="dxa" w:w="2016"/>
            <w:tcW w:w="3280" w:type="dxa"/>
            <w:shd w:val="clear" w:color="auto" w:fill="FFFFFF"/>
          </w:tcPr>
          <w:p>
            <w:pPr>
              <w:spacing w:after="0"/>
            </w:pPr>
            <w:r>
              <w:rPr>
                <w:b w:val="0"/>
                <w:i w:val="0"/>
                <w:sz w:val="19"/>
              </w:rPr>
              <w:t>Not an automatic exception route or recognised standard: selected patients only, through transplant governance and the national liver review board or within a protocol, judged on sustained response and biology, with prospective outcome tracking.</w:t>
            </w:r>
          </w:p>
          <w:p>
            <w:pPr>
              <w:spacing w:after="0"/>
            </w:pPr>
            <w:r>
              <w:rPr>
                <w:b w:val="0"/>
                <w:i w:val="0"/>
                <w:color w:val="5A6069"/>
                <w:sz w:val="18"/>
              </w:rPr>
              <w:t>Transplant tab · Eligibility pathways ('Beyond the downstaging pool'); Operations · Quality dashboard (Innovation)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HCC-RT-9</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Pre-transplant checkpoint-inhibitor washout requirement and approval route.</w:t>
            </w:r>
          </w:p>
        </w:tc>
        <w:tc>
          <w:tcPr>
            <w:tcW w:type="dxa" w:w="2016"/>
            <w:tcW w:w="3280" w:type="dxa"/>
            <w:shd w:val="clear" w:color="auto" w:fill="F1F5F8"/>
          </w:tcPr>
          <w:p>
            <w:pPr>
              <w:spacing w:after="0"/>
            </w:pPr>
            <w:r>
              <w:rPr>
                <w:b w:val="0"/>
                <w:i w:val="0"/>
                <w:sz w:val="19"/>
              </w:rPr>
              <w:t>Only through transplant-specific review, with washout, immunosuppression plan and alternative agreed before the first dose; record last exposure, proposed interval, urgency, alternatives and governance approval; the transplant protocol's OPEN decision controls.</w:t>
            </w:r>
          </w:p>
          <w:p>
            <w:pPr>
              <w:spacing w:after="0"/>
            </w:pPr>
            <w:r>
              <w:rPr>
                <w:b w:val="0"/>
                <w:i w:val="0"/>
                <w:color w:val="5A6069"/>
                <w:sz w:val="18"/>
              </w:rPr>
              <w:t>Stage C Reasonable · pre-transplant checkpoint inhibitor (v16 text); Decisions table #15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HCC-RT-10</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Resection criteria including portal-hypertension risk and future-remnant thresholds.</w:t>
            </w:r>
          </w:p>
        </w:tc>
        <w:tc>
          <w:tcPr>
            <w:tcW w:type="dxa" w:w="2016"/>
            <w:tcW w:w="3280" w:type="dxa"/>
            <w:shd w:val="clear" w:color="auto" w:fill="FFFFFF"/>
          </w:tcPr>
          <w:p>
            <w:pPr>
              <w:spacing w:after="0"/>
            </w:pPr>
            <w:r>
              <w:rPr>
                <w:b w:val="0"/>
                <w:i w:val="0"/>
                <w:sz w:val="19"/>
              </w:rPr>
              <w:t>Solitary tumour, adequate future liver remnant, preserved function and acceptable portal-hypertension risk; resectability of larger or multifocal disease by expert hepatobiliary review. CSPH prompts transplant assessment but is not an absolute bar. No numeric remnant threshold is stated.</w:t>
            </w:r>
          </w:p>
          <w:p>
            <w:pPr>
              <w:spacing w:after="0"/>
            </w:pPr>
            <w:r>
              <w:rPr>
                <w:b w:val="0"/>
                <w:i w:val="0"/>
                <w:color w:val="5A6069"/>
                <w:sz w:val="18"/>
              </w:rPr>
              <w:t>Stage 0 and Stage A · Resection; Curative tab · Resection and 'Does CSPH bar resection?'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HCC-RT-11</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The rule that transplant referral is not delayed by accumulating locoregional procedures.</w:t>
            </w:r>
          </w:p>
        </w:tc>
        <w:tc>
          <w:tcPr>
            <w:tcW w:type="dxa" w:w="2016"/>
            <w:tcW w:w="3280" w:type="dxa"/>
            <w:shd w:val="clear" w:color="auto" w:fill="F1F5F8"/>
          </w:tcPr>
          <w:p>
            <w:pPr>
              <w:spacing w:after="0"/>
            </w:pPr>
            <w:r>
              <w:rPr>
                <w:b w:val="0"/>
                <w:i w:val="0"/>
                <w:sz w:val="19"/>
              </w:rPr>
              <w:t>Refer early within Milan, when the downstaging pool may apply, or with recurrent HCC and severe liver disease; serial locoregional therapy that delays referral is Avoid; the dashboard investigates any patient with three or more procedures before referral.</w:t>
            </w:r>
          </w:p>
          <w:p>
            <w:pPr>
              <w:spacing w:after="0"/>
            </w:pPr>
            <w:r>
              <w:rPr>
                <w:b w:val="0"/>
                <w:i w:val="0"/>
                <w:color w:val="5A6069"/>
                <w:sz w:val="18"/>
              </w:rPr>
              <w:t>Transplant tab · Refer early; Stage A Avoid; Operations · Quality dashboard (Transplant pathway)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HCC-RT-12</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LR-TIV handling — narrowing v0.2's universal biopsy requirement.</w:t>
            </w:r>
          </w:p>
        </w:tc>
        <w:tc>
          <w:tcPr>
            <w:tcW w:type="dxa" w:w="2016"/>
            <w:tcW w:w="3280" w:type="dxa"/>
            <w:shd w:val="clear" w:color="auto" w:fill="FFFFFF"/>
          </w:tcPr>
          <w:p>
            <w:pPr>
              <w:spacing w:after="0"/>
            </w:pPr>
            <w:r>
              <w:rPr>
                <w:b w:val="0"/>
                <w:i w:val="0"/>
                <w:sz w:val="19"/>
              </w:rPr>
              <w:t>Tumour in vein contiguous with an LR-5 mass in an at-risk patient may be managed as HCC with macrovascular invasion (grade B); biopsy when the vein finding is isolated, the mass is not LR-5, or bland thrombus cannot be excluded.</w:t>
            </w:r>
          </w:p>
          <w:p>
            <w:pPr>
              <w:spacing w:after="0"/>
            </w:pPr>
            <w:r>
              <w:rPr>
                <w:b w:val="0"/>
                <w:i w:val="0"/>
                <w:color w:val="5A6069"/>
                <w:sz w:val="18"/>
              </w:rPr>
              <w:t>Diagnosis &amp; staging tab · Diagnostic categories (LR-TIV row)</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HCC-RT-13</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Visualisation score C as an escalation trigger distinct from the US category.</w:t>
            </w:r>
          </w:p>
        </w:tc>
        <w:tc>
          <w:tcPr>
            <w:tcW w:type="dxa" w:w="2016"/>
            <w:tcW w:w="3280" w:type="dxa"/>
            <w:shd w:val="clear" w:color="auto" w:fill="F1F5F8"/>
          </w:tcPr>
          <w:p>
            <w:pPr>
              <w:spacing w:after="0"/>
            </w:pPr>
            <w:r>
              <w:rPr>
                <w:b w:val="0"/>
                <w:i w:val="0"/>
                <w:sz w:val="19"/>
              </w:rPr>
              <w:t>US-3, a rising or elevated AFP, or visualisation score C each trigger diagnostic multiphase MRI or CT; the visualisation score is recorded separately from the US category because it is the trigger most often missed.</w:t>
            </w:r>
          </w:p>
          <w:p>
            <w:pPr>
              <w:spacing w:after="0"/>
            </w:pPr>
            <w:r>
              <w:rPr>
                <w:b w:val="0"/>
                <w:i w:val="0"/>
                <w:color w:val="5A6069"/>
                <w:sz w:val="18"/>
              </w:rPr>
              <w:t>Diagnosis &amp; staging tab · Surveillance and recall</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HCC-RT-14</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Mandatory use of the correct LI-RADS treatment-response algorithm, radiation versus nonradiation.</w:t>
            </w:r>
          </w:p>
        </w:tc>
        <w:tc>
          <w:tcPr>
            <w:tcW w:type="dxa" w:w="2016"/>
            <w:tcW w:w="3280" w:type="dxa"/>
            <w:shd w:val="clear" w:color="auto" w:fill="FFFFFF"/>
          </w:tcPr>
          <w:p>
            <w:pPr>
              <w:spacing w:after="0"/>
            </w:pPr>
            <w:r>
              <w:rPr>
                <w:b w:val="0"/>
                <w:i w:val="0"/>
                <w:sz w:val="19"/>
              </w:rPr>
              <w:t>Mandatory: the nonradiation algorithm after ablation or TACE and the radiation algorithm after radioembolisation or SBRT; the roadmap calls the reverse a recurring, consequential error. The response framework is graded C to D.</w:t>
            </w:r>
          </w:p>
          <w:p>
            <w:pPr>
              <w:spacing w:after="0"/>
            </w:pPr>
            <w:r>
              <w:rPr>
                <w:b w:val="0"/>
                <w:i w:val="0"/>
                <w:color w:val="5A6069"/>
                <w:sz w:val="18"/>
              </w:rPr>
              <w:t>Response assessment tab; Quick reference · LI-RADS table (v16 text); Operations · Quality dashboard (Imaging)</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HCC-RT-15</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Reporting minimum dataset and turnaround for MDT imaging review.</w:t>
            </w:r>
          </w:p>
        </w:tc>
        <w:tc>
          <w:tcPr>
            <w:tcW w:type="dxa" w:w="2016"/>
            <w:tcW w:w="3280" w:type="dxa"/>
            <w:shd w:val="clear" w:color="auto" w:fill="F1F5F8"/>
          </w:tcPr>
          <w:p>
            <w:pPr>
              <w:spacing w:after="0"/>
            </w:pPr>
            <w:r>
              <w:rPr>
                <w:b w:val="0"/>
                <w:i w:val="0"/>
                <w:sz w:val="19"/>
              </w:rPr>
              <w:t>Tumour fields before a decision: number, largest viable diameter, segments, enhancement and washout, LI-RADS category, infiltrative pattern, macrovascular invasion, extrahepatic disease, prior treatment map and response. No imaging turnaround is stated.</w:t>
            </w:r>
          </w:p>
          <w:p>
            <w:pPr>
              <w:spacing w:after="0"/>
            </w:pPr>
            <w:r>
              <w:rPr>
                <w:b w:val="0"/>
                <w:i w:val="0"/>
                <w:color w:val="5A6069"/>
                <w:sz w:val="18"/>
              </w:rPr>
              <w:t>Diagnosis &amp; staging tab · Required before a treatment decision (Tumour)</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HCC-RT-16</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Alternative surveillance with abbreviated MRI: indications and capacity.</w:t>
            </w:r>
          </w:p>
        </w:tc>
        <w:tc>
          <w:tcPr>
            <w:tcW w:type="dxa" w:w="2016"/>
            <w:tcW w:w="3280" w:type="dxa"/>
            <w:shd w:val="clear" w:color="auto" w:fill="FFFFFF"/>
          </w:tcPr>
          <w:p>
            <w:pPr>
              <w:spacing w:after="0"/>
            </w:pPr>
            <w:r>
              <w:rPr>
                <w:b w:val="0"/>
                <w:i w:val="0"/>
                <w:sz w:val="19"/>
              </w:rPr>
              <w:t>No proposal stated in the roadmap; the programme decides.</w:t>
            </w:r>
          </w:p>
          <w:p>
            <w:pPr>
              <w:spacing w:after="0"/>
            </w:pPr>
            <w:r>
              <w:rPr>
                <w:b w:val="0"/>
                <w:i w:val="0"/>
                <w:color w:val="5A6069"/>
                <w:sz w:val="18"/>
              </w:rPr>
              <w:t>Not found in the roadmap text or page data beyond this ratification item</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HCC-RT-17</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The locoregional selector table: phenotypes, cautions and evidence grades as written.</w:t>
            </w:r>
          </w:p>
        </w:tc>
        <w:tc>
          <w:tcPr>
            <w:tcW w:type="dxa" w:w="2016"/>
            <w:tcW w:w="3280" w:type="dxa"/>
            <w:shd w:val="clear" w:color="auto" w:fill="F1F5F8"/>
          </w:tcPr>
          <w:p>
            <w:pPr>
              <w:spacing w:after="0"/>
            </w:pPr>
            <w:r>
              <w:rPr>
                <w:b w:val="0"/>
                <w:i w:val="0"/>
                <w:sz w:val="19"/>
              </w:rPr>
              <w:t>A non-ranked selector: thermal ablation Standard A; radiation segmentectomy Preferred C; TACE Standard A; lobar Y-90 Reasonable B; SBRT or EBRT Reasonable B; hepatic arterial infusion and histotripsy Trial only C, each with phenotype and caution columns.</w:t>
            </w:r>
          </w:p>
          <w:p>
            <w:pPr>
              <w:spacing w:after="0"/>
            </w:pPr>
            <w:r>
              <w:rPr>
                <w:b w:val="0"/>
                <w:i w:val="0"/>
                <w:color w:val="5A6069"/>
                <w:sz w:val="18"/>
              </w:rPr>
              <w:t>Locoregional tab · selector table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HCC-RT-18</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Radiation segmentectomy graded C rather than B, and what that implies for consent.</w:t>
            </w:r>
          </w:p>
        </w:tc>
        <w:tc>
          <w:tcPr>
            <w:tcW w:type="dxa" w:w="2016"/>
            <w:tcW w:w="3280" w:type="dxa"/>
            <w:shd w:val="clear" w:color="auto" w:fill="FFFFFF"/>
          </w:tcPr>
          <w:p>
            <w:pPr>
              <w:spacing w:after="0"/>
            </w:pPr>
            <w:r>
              <w:rPr>
                <w:b w:val="0"/>
                <w:i w:val="0"/>
                <w:sz w:val="19"/>
              </w:rPr>
              <w:t>Graded C as a selected definitive curative-intent option when ablation is unsuitable; strongest evidence is solitary 3 cm or less and 8 cm is not a universal cut-off. What grade C means for consent is not yet settled.</w:t>
            </w:r>
          </w:p>
          <w:p>
            <w:pPr>
              <w:spacing w:after="0"/>
            </w:pPr>
            <w:r>
              <w:rPr>
                <w:b w:val="0"/>
                <w:i w:val="0"/>
                <w:color w:val="5A6069"/>
                <w:sz w:val="18"/>
              </w:rPr>
              <w:t>Stage A Reasonable · Radiation segmentectomy; Decisions table #8 (why)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HCC-RT-19</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Personalised dosimetry as a precondition for radioembolisation, and who performs it.</w:t>
            </w:r>
          </w:p>
        </w:tc>
        <w:tc>
          <w:tcPr>
            <w:tcW w:type="dxa" w:w="2016"/>
            <w:tcW w:w="3280" w:type="dxa"/>
            <w:shd w:val="clear" w:color="auto" w:fill="F1F5F8"/>
          </w:tcPr>
          <w:p>
            <w:pPr>
              <w:spacing w:after="0"/>
            </w:pPr>
            <w:r>
              <w:rPr>
                <w:b w:val="0"/>
                <w:i w:val="0"/>
                <w:sz w:val="19"/>
              </w:rPr>
              <w:t>Radioembolisation requires mapping, lung and nontarget assessment, and individualized dosimetry; for segmentectomy, unavailable personalised dosimetry is a caution. Who performs dosimetry is not named.</w:t>
            </w:r>
          </w:p>
          <w:p>
            <w:pPr>
              <w:spacing w:after="0"/>
            </w:pPr>
            <w:r>
              <w:rPr>
                <w:b w:val="0"/>
                <w:i w:val="0"/>
                <w:color w:val="5A6069"/>
                <w:sz w:val="18"/>
              </w:rPr>
              <w:t>Liver-directed treatment matrix, radioembolization row (v16 text); Stage A · Radiation segmentectomy (caveat)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HCC-RT-20</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The two-session TACE stop rule and what counts as ‘well executed’.</w:t>
            </w:r>
          </w:p>
        </w:tc>
        <w:tc>
          <w:tcPr>
            <w:tcW w:type="dxa" w:w="2016"/>
            <w:tcW w:w="3280" w:type="dxa"/>
            <w:shd w:val="clear" w:color="auto" w:fill="FFFFFF"/>
          </w:tcPr>
          <w:p>
            <w:pPr>
              <w:spacing w:after="0"/>
            </w:pPr>
            <w:r>
              <w:rPr>
                <w:b w:val="0"/>
                <w:i w:val="0"/>
                <w:sz w:val="19"/>
              </w:rPr>
              <w:t>v0.8 withdrew the fixed two-session rule for reassessment after each session in MDT context, yet the stop/switch card still lists persistent viability after two well-executed sessions as a switch trigger; 'well executed' is undefined.</w:t>
            </w:r>
          </w:p>
          <w:p>
            <w:pPr>
              <w:spacing w:after="0"/>
            </w:pPr>
            <w:r>
              <w:rPr>
                <w:b w:val="0"/>
                <w:i w:val="0"/>
                <w:color w:val="5A6069"/>
                <w:sz w:val="18"/>
              </w:rPr>
              <w:t>Stage B Avoid (note); Locoregional tab · Stop and switch rules; What we are not sure about #32</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HCC-RT-21</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Histotripsy as trial or registry only, with credentialing and target criteria.</w:t>
            </w:r>
          </w:p>
        </w:tc>
        <w:tc>
          <w:tcPr>
            <w:tcW w:type="dxa" w:w="2016"/>
            <w:tcW w:w="3280" w:type="dxa"/>
            <w:shd w:val="clear" w:color="auto" w:fill="F1F5F8"/>
          </w:tcPr>
          <w:p>
            <w:pPr>
              <w:spacing w:after="0"/>
            </w:pPr>
            <w:r>
              <w:rPr>
                <w:b w:val="0"/>
                <w:i w:val="0"/>
                <w:sz w:val="19"/>
              </w:rPr>
              <w:t>Trial only, grade C, in a prospective trial or institutional registry: visible target, adequate acoustic window, device-compliant size and depth, credentialed operator, independent standard-treatment review and explicit consent about oncologic uncertainty.</w:t>
            </w:r>
          </w:p>
          <w:p>
            <w:pPr>
              <w:spacing w:after="0"/>
            </w:pPr>
            <w:r>
              <w:rPr>
                <w:b w:val="0"/>
                <w:i w:val="0"/>
                <w:color w:val="5A6069"/>
                <w:sz w:val="18"/>
              </w:rPr>
              <w:t>Stage B Trial only · Histotripsy; Locoregional selector row 'Histotripsy'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HCC-RT-22</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SBRT graded B as a reasonable consideration, not a standard alternative to ablation.</w:t>
            </w:r>
          </w:p>
        </w:tc>
        <w:tc>
          <w:tcPr>
            <w:tcW w:type="dxa" w:w="2016"/>
            <w:tcW w:w="3280" w:type="dxa"/>
            <w:shd w:val="clear" w:color="auto" w:fill="FFFFFF"/>
          </w:tcPr>
          <w:p>
            <w:pPr>
              <w:spacing w:after="0"/>
            </w:pPr>
            <w:r>
              <w:rPr>
                <w:b w:val="0"/>
                <w:i w:val="0"/>
                <w:sz w:val="19"/>
              </w:rPr>
              <w:t>Reasonable, grade B: a selected definitive alternative when ablation and surgery are unsuitable, with adequate uninvolved liver; prior catheter failure is not required; superiority over ablation for newly diagnosed HCC is not established.</w:t>
            </w:r>
          </w:p>
          <w:p>
            <w:pPr>
              <w:spacing w:after="0"/>
            </w:pPr>
            <w:r>
              <w:rPr>
                <w:b w:val="0"/>
                <w:i w:val="0"/>
                <w:color w:val="5A6069"/>
                <w:sz w:val="18"/>
              </w:rPr>
              <w:t>Stage A Reasonable · SBRT; Locoregional selector row 'SBRT or external beam radiotherapy'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HCC-RT-23</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The accurate statement of RTOG 1112 (primary endpoint not met) in consent and MDT discussion.</w:t>
            </w:r>
          </w:p>
        </w:tc>
        <w:tc>
          <w:tcPr>
            <w:tcW w:type="dxa" w:w="2016"/>
            <w:tcW w:w="3280" w:type="dxa"/>
            <w:shd w:val="clear" w:color="auto" w:fill="F1F5F8"/>
          </w:tcPr>
          <w:p>
            <w:pPr>
              <w:spacing w:after="0"/>
            </w:pPr>
            <w:r>
              <w:rPr>
                <w:b w:val="0"/>
                <w:i w:val="0"/>
                <w:sz w:val="19"/>
              </w:rPr>
              <w:t>RTOG 1112 missed its primary survival endpoint (one-sided P=0.06), reached significance only on adjustment, closed early and used a sorafenib comparator; 15% of the SBRT arm never started sorafenib.</w:t>
            </w:r>
          </w:p>
          <w:p>
            <w:pPr>
              <w:spacing w:after="0"/>
            </w:pPr>
            <w:r>
              <w:rPr>
                <w:b w:val="0"/>
                <w:i w:val="0"/>
                <w:color w:val="5A6069"/>
                <w:sz w:val="18"/>
              </w:rPr>
              <w:t>Stage C Reasonable (radiation alongside systemic therapy); Locoregional selector SBRT row; What we are not sure about #24</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HCC-RT-24</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Dose-constraint and prior-dose-overlap rules; who maintains the cumulative dose record.</w:t>
            </w:r>
          </w:p>
        </w:tc>
        <w:tc>
          <w:tcPr>
            <w:tcW w:type="dxa" w:w="2016"/>
            <w:tcW w:w="3280" w:type="dxa"/>
            <w:shd w:val="clear" w:color="auto" w:fill="FFFFFF"/>
          </w:tcPr>
          <w:p>
            <w:pPr>
              <w:spacing w:after="0"/>
            </w:pPr>
            <w:r>
              <w:rPr>
                <w:b w:val="0"/>
                <w:i w:val="0"/>
                <w:sz w:val="19"/>
              </w:rPr>
              <w:t>Plans respect dose constraints for normal liver, bowel, stomach and bile ducts, with motion management and prior-dose review; overlapping prior dose is a caution; cumulative dose and treated volumes are recorded before decisions. No record keeper is named.</w:t>
            </w:r>
          </w:p>
          <w:p>
            <w:pPr>
              <w:spacing w:after="0"/>
            </w:pPr>
            <w:r>
              <w:rPr>
                <w:b w:val="0"/>
                <w:i w:val="0"/>
                <w:color w:val="5A6069"/>
                <w:sz w:val="18"/>
              </w:rPr>
              <w:t>Liver-directed treatment matrix, external beam row (v16 text); Diagnosis &amp; staging tab · Required before a treatment decision (Prior burden)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HCC-RT-25</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Delayed-response interpretation rules after radiation-based therapy.</w:t>
            </w:r>
          </w:p>
        </w:tc>
        <w:tc>
          <w:tcPr>
            <w:tcW w:type="dxa" w:w="2016"/>
            <w:tcW w:w="3280" w:type="dxa"/>
            <w:shd w:val="clear" w:color="auto" w:fill="F1F5F8"/>
          </w:tcPr>
          <w:p>
            <w:pPr>
              <w:spacing w:after="0"/>
            </w:pPr>
            <w:r>
              <w:rPr>
                <w:b w:val="0"/>
                <w:i w:val="0"/>
                <w:sz w:val="19"/>
              </w:rPr>
              <w:t>Apply the radiation algorithm, assess first at about 8-12 weeks then serially, expect delayed necrosis, and do not call failure from persistent enhancement in nonprogressing lesions; nonprogressing is not proof of complete necrosis.</w:t>
            </w:r>
          </w:p>
          <w:p>
            <w:pPr>
              <w:spacing w:after="0"/>
            </w:pPr>
            <w:r>
              <w:rPr>
                <w:b w:val="0"/>
                <w:i w:val="0"/>
                <w:color w:val="5A6069"/>
                <w:sz w:val="18"/>
              </w:rPr>
              <w:t>Response assessment tab; Locoregional tab · Stop and switch rules; Quick reference · LI-RADS table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HCC-RT-26</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Position on radiotherapy for portal-vein tumour thrombus alongside systemic therapy.</w:t>
            </w:r>
          </w:p>
        </w:tc>
        <w:tc>
          <w:tcPr>
            <w:tcW w:type="dxa" w:w="2016"/>
            <w:tcW w:w="3280" w:type="dxa"/>
            <w:shd w:val="clear" w:color="auto" w:fill="FFFFFF"/>
          </w:tcPr>
          <w:p>
            <w:pPr>
              <w:spacing w:after="0"/>
            </w:pPr>
            <w:r>
              <w:rPr>
                <w:b w:val="0"/>
                <w:i w:val="0"/>
                <w:sz w:val="19"/>
              </w:rPr>
              <w:t>Systemic therapy is the backbone (A); adding radioembolisation or EBRT is Reasonable B when liver-confined, reserve preserved and dosimetry feasible, with a stated goal; document why, and never delay the systemic start.</w:t>
            </w:r>
          </w:p>
          <w:p>
            <w:pPr>
              <w:spacing w:after="0"/>
            </w:pPr>
            <w:r>
              <w:rPr>
                <w:b w:val="0"/>
                <w:i w:val="0"/>
                <w:color w:val="5A6069"/>
                <w:sz w:val="18"/>
              </w:rPr>
              <w:t>Locoregional tab · Portal-vein tumour thrombus; Stage C Reasonable</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HCC-RT-27</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Removal of any implied ranking among the three first-line immunotherapy regimens.</w:t>
            </w:r>
          </w:p>
        </w:tc>
        <w:tc>
          <w:tcPr>
            <w:tcW w:type="dxa" w:w="2016"/>
            <w:tcW w:w="3280" w:type="dxa"/>
            <w:shd w:val="clear" w:color="auto" w:fill="F1F5F8"/>
          </w:tcPr>
          <w:p>
            <w:pPr>
              <w:spacing w:after="0"/>
            </w:pPr>
            <w:r>
              <w:rPr>
                <w:b w:val="0"/>
                <w:i w:val="0"/>
                <w:sz w:val="19"/>
              </w:rPr>
              <w:t>All three first-line combinations are Standard A and unranked; v0.2's implied order is removed, and row order or cross-trial medians do not rank efficacy. Choose by eligibility, safety and patient preference.</w:t>
            </w:r>
          </w:p>
          <w:p>
            <w:pPr>
              <w:spacing w:after="0"/>
            </w:pPr>
            <w:r>
              <w:rPr>
                <w:b w:val="0"/>
                <w:i w:val="0"/>
                <w:color w:val="5A6069"/>
                <w:sz w:val="18"/>
              </w:rPr>
              <w:t>Stage C Standard (v16 text); Systemic therapy tab · first-line row; Systemic treatment matrix introduction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HCC-RT-28</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Mandatory variceal assessment before atezolizumab–bevacizumab.</w:t>
            </w:r>
          </w:p>
        </w:tc>
        <w:tc>
          <w:tcPr>
            <w:tcW w:type="dxa" w:w="2016"/>
            <w:tcW w:w="3280" w:type="dxa"/>
            <w:shd w:val="clear" w:color="auto" w:fill="FFFFFF"/>
          </w:tcPr>
          <w:p>
            <w:pPr>
              <w:spacing w:after="0"/>
            </w:pPr>
            <w:r>
              <w:rPr>
                <w:b w:val="0"/>
                <w:i w:val="0"/>
                <w:sz w:val="19"/>
              </w:rPr>
              <w:t>Document variceal assessment and manage high-risk varices before the first atezolizumab-bevacizumab dose; bleeding risk is not limited to varices, and baseline endoscopy should be current.</w:t>
            </w:r>
          </w:p>
          <w:p>
            <w:pPr>
              <w:spacing w:after="0"/>
            </w:pPr>
            <w:r>
              <w:rPr>
                <w:b w:val="0"/>
                <w:i w:val="0"/>
                <w:color w:val="5A6069"/>
                <w:sz w:val="18"/>
              </w:rPr>
              <w:t>Stage C Standard (caveat, v16 text); 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HCC-RT-29</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Explicit statement that post-immunotherapy sequencing is not evidence based.</w:t>
            </w:r>
          </w:p>
        </w:tc>
        <w:tc>
          <w:tcPr>
            <w:tcW w:type="dxa" w:w="2016"/>
            <w:tcW w:w="3280" w:type="dxa"/>
            <w:shd w:val="clear" w:color="auto" w:fill="F1F5F8"/>
          </w:tcPr>
          <w:p>
            <w:pPr>
              <w:spacing w:after="0"/>
            </w:pPr>
            <w:r>
              <w:rPr>
                <w:b w:val="0"/>
                <w:i w:val="0"/>
                <w:sz w:val="19"/>
              </w:rPr>
              <w:t>No randomised evidence defines a sequence after a modern ICI combination; later-line trials followed sorafenib, so choices are documented extrapolation (Reasonable C): trial first, otherwise an appropriate TKI, or ramucirumab if AFP is 400 ng/mL or more.</w:t>
            </w:r>
          </w:p>
          <w:p>
            <w:pPr>
              <w:spacing w:after="0"/>
            </w:pPr>
            <w:r>
              <w:rPr>
                <w:b w:val="0"/>
                <w:i w:val="0"/>
                <w:color w:val="5A6069"/>
                <w:sz w:val="18"/>
              </w:rPr>
              <w:t>Stage C Reasonable · after a first-line ICI combination (v16 text); Systemic therapy tab; What we are not sure about #28</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HCC-RT-30</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TACE plus checkpoint inhibitor as protocol-only, and the trigger to re-review.</w:t>
            </w:r>
          </w:p>
        </w:tc>
        <w:tc>
          <w:tcPr>
            <w:tcW w:type="dxa" w:w="2016"/>
            <w:tcW w:w="3280" w:type="dxa"/>
            <w:shd w:val="clear" w:color="auto" w:fill="FFFFFF"/>
          </w:tcPr>
          <w:p>
            <w:pPr>
              <w:spacing w:after="0"/>
            </w:pPr>
            <w:r>
              <w:rPr>
                <w:b w:val="0"/>
                <w:i w:val="0"/>
                <w:sz w:val="19"/>
              </w:rPr>
              <w:t>Avoid outside a trial or approved institutional protocol; reviewed again should a positive overall-survival analysis appear or a labelled indication be granted.</w:t>
            </w:r>
          </w:p>
          <w:p>
            <w:pPr>
              <w:spacing w:after="0"/>
            </w:pPr>
            <w:r>
              <w:rPr>
                <w:b w:val="0"/>
                <w:i w:val="0"/>
                <w:color w:val="5A6069"/>
                <w:sz w:val="18"/>
              </w:rPr>
              <w:t>Systemic therapy tab · 'TACE combined with systemic therapy is not a standard of care'; Stage B Avoid</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HCC-RT-31</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Early-mortality counselling for dual checkpoint therapy in patients with a short expected survival.</w:t>
            </w:r>
          </w:p>
        </w:tc>
        <w:tc>
          <w:tcPr>
            <w:tcW w:type="dxa" w:w="2016"/>
            <w:tcW w:w="3280" w:type="dxa"/>
            <w:shd w:val="clear" w:color="auto" w:fill="F1F5F8"/>
          </w:tcPr>
          <w:p>
            <w:pPr>
              <w:spacing w:after="0"/>
            </w:pPr>
            <w:r>
              <w:rPr>
                <w:b w:val="0"/>
                <w:i w:val="0"/>
                <w:sz w:val="19"/>
              </w:rPr>
              <w:t>With dual checkpoint therapy, weigh immune toxicity and the CheckMate 9DW early-mortality signal; crossing curves set no minimum expected-survival cut-off and do not rank regimens, and neither early pattern is a class effect.</w:t>
            </w:r>
          </w:p>
          <w:p>
            <w:pPr>
              <w:spacing w:after="0"/>
            </w:pPr>
            <w:r>
              <w:rPr>
                <w:b w:val="0"/>
                <w:i w:val="0"/>
                <w:color w:val="5A6069"/>
                <w:sz w:val="18"/>
              </w:rPr>
              <w:t>Stage C Standard (caveat, v16 text); What we are not sure about #27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HCC-RT-32</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Pre-alert trigger list and the turnaround commitment for MDT cases.</w:t>
            </w:r>
          </w:p>
        </w:tc>
        <w:tc>
          <w:tcPr>
            <w:tcW w:type="dxa" w:w="2016"/>
            <w:tcW w:w="3280" w:type="dxa"/>
            <w:shd w:val="clear" w:color="auto" w:fill="FFFFFF"/>
          </w:tcPr>
          <w:p>
            <w:pPr>
              <w:spacing w:after="0"/>
            </w:pPr>
            <w:r>
              <w:rPr>
                <w:b w:val="0"/>
                <w:i w:val="0"/>
                <w:sz w:val="19"/>
              </w:rPr>
              <w:t>Triage flags cases that need tissue review so that slides, stains and molecular results are ready for the discussion; pathology attends when pre-identified. No trigger list or turnaround commitment is stated.</w:t>
            </w:r>
          </w:p>
          <w:p>
            <w:pPr>
              <w:spacing w:after="0"/>
            </w:pPr>
            <w:r>
              <w:rPr>
                <w:b w:val="0"/>
                <w:i w:val="0"/>
                <w:color w:val="5A6069"/>
                <w:sz w:val="18"/>
              </w:rPr>
              <w:t>Operations · Tumour board table (Pathology pre-alert and Attendance rows)</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HCC-RT-33</w:t>
            </w:r>
          </w:p>
        </w:tc>
        <w:tc>
          <w:tcPr>
            <w:tcW w:type="dxa" w:w="2016"/>
            <w:tcW w:w="1500" w:type="dxa"/>
            <w:shd w:val="clear" w:color="auto" w:fill="F1F5F8"/>
          </w:tcPr>
          <w:p>
            <w:pPr>
              <w:spacing w:after="0"/>
            </w:pPr>
            <w:r>
              <w:rPr>
                <w:b w:val="0"/>
                <w:i w:val="0"/>
                <w:sz w:val="19"/>
              </w:rPr>
              <w:t>Pathology</w:t>
            </w:r>
          </w:p>
        </w:tc>
        <w:tc>
          <w:tcPr>
            <w:tcW w:type="dxa" w:w="2016"/>
            <w:tcW w:w="2900" w:type="dxa"/>
            <w:shd w:val="clear" w:color="auto" w:fill="F1F5F8"/>
          </w:tcPr>
          <w:p>
            <w:pPr>
              <w:spacing w:after="0"/>
            </w:pPr>
            <w:r>
              <w:rPr>
                <w:b w:val="0"/>
                <w:i w:val="0"/>
                <w:sz w:val="19"/>
              </w:rPr>
              <w:t>Tissue-handling protocol for LR-M and tumour-in-vein biopsies, including molecular adequacy.</w:t>
            </w:r>
          </w:p>
        </w:tc>
        <w:tc>
          <w:tcPr>
            <w:tcW w:type="dxa" w:w="2016"/>
            <w:tcW w:w="3280" w:type="dxa"/>
            <w:shd w:val="clear" w:color="auto" w:fill="F1F5F8"/>
          </w:tcPr>
          <w:p>
            <w:pPr>
              <w:spacing w:after="0"/>
            </w:pPr>
            <w:r>
              <w:rPr>
                <w:b w:val="0"/>
                <w:i w:val="0"/>
                <w:sz w:val="19"/>
              </w:rPr>
              <w:t>Biopsy LR-M when feasible, coordinating tissue with pathology and molecular needs at the first pass; biopsy tumour in vein in defined situations; discuss potential transplant candidates with the transplant team before any biopsy.</w:t>
            </w:r>
          </w:p>
          <w:p>
            <w:pPr>
              <w:spacing w:after="0"/>
            </w:pPr>
            <w:r>
              <w:rPr>
                <w:b w:val="0"/>
                <w:i w:val="0"/>
                <w:color w:val="5A6069"/>
                <w:sz w:val="18"/>
              </w:rPr>
              <w:t>Diagnosis &amp; staging tab · Diagnostic categories (LR-M, LR-TIV) and pre-biopsy note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HCC-RT-34</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Explant reporting dataset needed to close the downstaging and bridging registry loop.</w:t>
            </w:r>
          </w:p>
        </w:tc>
        <w:tc>
          <w:tcPr>
            <w:tcW w:type="dxa" w:w="2016"/>
            <w:tcW w:w="3280" w:type="dxa"/>
            <w:shd w:val="clear" w:color="auto" w:fill="FFFFFF"/>
          </w:tcPr>
          <w:p>
            <w:pPr>
              <w:spacing w:after="0"/>
            </w:pPr>
            <w:r>
              <w:rPr>
                <w:b w:val="0"/>
                <w:i w:val="0"/>
                <w:sz w:val="19"/>
              </w:rPr>
              <w:t>Explant pathology is submitted within 60 days under Policy 9.5.I; tracking compares explant with last pre-transplant imaging stage and records explant necrosis by bridging modality. The dataset itself is not defined.</w:t>
            </w:r>
          </w:p>
          <w:p>
            <w:pPr>
              <w:spacing w:after="0"/>
            </w:pPr>
            <w:r>
              <w:rPr>
                <w:b w:val="0"/>
                <w:i w:val="0"/>
                <w:color w:val="5A6069"/>
                <w:sz w:val="18"/>
              </w:rPr>
              <w:t>Transplant tab · Listing and allocation (After transplant); What we are not sure about #9 and #33</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HCC-RT-35</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All section 9 operating requirements as written — 24-hour agenda, 10–12 case cap, urgent referrals, required attendance, one recommendation, one owner, Epic documentation within one business day, registry closure, referring-clinician protection.</w:t>
            </w:r>
          </w:p>
        </w:tc>
        <w:tc>
          <w:tcPr>
            <w:tcW w:type="dxa" w:w="2016"/>
            <w:tcW w:w="3280" w:type="dxa"/>
            <w:shd w:val="clear" w:color="auto" w:fill="F1F5F8"/>
          </w:tcPr>
          <w:p>
            <w:pPr>
              <w:spacing w:after="0"/>
            </w:pPr>
            <w:r>
              <w:rPr>
                <w:b w:val="0"/>
                <w:i w:val="0"/>
                <w:sz w:val="19"/>
              </w:rPr>
              <w:t>Agenda stable 24 hours ahead with 10-12 decision cases, chair-approved urgent exceptions, six required specialties, one synthesised recommendation, Epic note within one business day, registry closure, and no absorbing of care without the referring clinician's agreement; all grade D.</w:t>
            </w:r>
          </w:p>
          <w:p>
            <w:pPr>
              <w:spacing w:after="0"/>
            </w:pPr>
            <w:r>
              <w:rPr>
                <w:b w:val="0"/>
                <w:i w:val="0"/>
                <w:color w:val="5A6069"/>
                <w:sz w:val="18"/>
              </w:rPr>
              <w:t>Operations · Tumour board table; Team responsibilities section introduction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HCC-RT-36</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new curative-first discipline measure and the transplant-pathway measures in section 10.</w:t>
            </w:r>
          </w:p>
        </w:tc>
        <w:tc>
          <w:tcPr>
            <w:tcW w:type="dxa" w:w="2016"/>
            <w:tcW w:w="3280" w:type="dxa"/>
            <w:shd w:val="clear" w:color="auto" w:fill="FFFFFF"/>
          </w:tcPr>
          <w:p>
            <w:pPr>
              <w:spacing w:after="0"/>
            </w:pPr>
            <w:r>
              <w:rPr>
                <w:b w:val="0"/>
                <w:i w:val="0"/>
                <w:sz w:val="19"/>
              </w:rPr>
              <w:t>Curative-first: 95% or more of non-curative decisions record why transplant, resection and ablation were each unsuitable (new measure). Transplant pathway: referral time, procedures before referral, dropout and AFP-rule compliance, reviewed quarterly.</w:t>
            </w:r>
          </w:p>
          <w:p>
            <w:pPr>
              <w:spacing w:after="0"/>
            </w:pPr>
            <w:r>
              <w:rPr>
                <w:b w:val="0"/>
                <w:i w:val="0"/>
                <w:color w:val="5A6069"/>
                <w:sz w:val="18"/>
              </w:rPr>
              <w:t>Operations · Quality dashboard (Curative-first discipline, Transplant pathway)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HCC-RT-37</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The registry minimum dataset and who is accountable for entry.</w:t>
            </w:r>
          </w:p>
        </w:tc>
        <w:tc>
          <w:tcPr>
            <w:tcW w:type="dxa" w:w="2016"/>
            <w:tcW w:w="3280" w:type="dxa"/>
            <w:shd w:val="clear" w:color="auto" w:fill="F1F5F8"/>
          </w:tcPr>
          <w:p>
            <w:pPr>
              <w:spacing w:after="0"/>
            </w:pPr>
            <w:r>
              <w:rPr>
                <w:b w:val="0"/>
                <w:i w:val="0"/>
                <w:sz w:val="19"/>
              </w:rPr>
              <w:t>The registry tracks completion, outside communication, scheduling barriers, results and re-presentation; all histotripsy, TACE-plus-systemic and beyond-criteria transplant cases are registered. Programme operations owns the dataset and entry accountability.</w:t>
            </w:r>
          </w:p>
          <w:p>
            <w:pPr>
              <w:spacing w:after="0"/>
            </w:pPr>
            <w:r>
              <w:rPr>
                <w:b w:val="0"/>
                <w:i w:val="0"/>
                <w:color w:val="5A6069"/>
                <w:sz w:val="18"/>
              </w:rPr>
              <w:t>Operations · Tumour board table (Closure) and Quality dashboard (Innovation); Decisions table #2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HCC-RT-38</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named owner and calendar date for re-verifying OPTN policy, labelling and device authorisations.</w:t>
            </w:r>
          </w:p>
        </w:tc>
        <w:tc>
          <w:tcPr>
            <w:tcW w:type="dxa" w:w="2016"/>
            <w:tcW w:w="3280" w:type="dxa"/>
            <w:shd w:val="clear" w:color="auto" w:fill="FFFFFF"/>
          </w:tcPr>
          <w:p>
            <w:pPr>
              <w:spacing w:after="0"/>
            </w:pPr>
            <w:r>
              <w:rPr>
                <w:b w:val="0"/>
                <w:i w:val="0"/>
                <w:sz w:val="19"/>
              </w:rPr>
              <w:t>OPTN, labelling and device criteria are re-verified at implementation and at each scheduled review; OPTN criteria were last checked on 1 October 2026. No owner or calendar date is named.</w:t>
            </w:r>
          </w:p>
          <w:p>
            <w:pPr>
              <w:spacing w:after="0"/>
            </w:pPr>
            <w:r>
              <w:rPr>
                <w:b w:val="0"/>
                <w:i w:val="0"/>
                <w:color w:val="5A6069"/>
                <w:sz w:val="18"/>
              </w:rPr>
              <w:t>Provenance; Decisions table #19</w:t>
            </w:r>
          </w:p>
        </w:tc>
        <w:tc>
          <w:tcPr>
            <w:tcW w:type="dxa" w:w="2016"/>
            <w:tcW w:w="1400" w:type="dxa"/>
            <w:shd w:val="clear" w:color="auto" w:fill="FFFFFF"/>
          </w:tcPr>
          <w:p>
            <w:pPr>
              <w:spacing w:after="0"/>
            </w:pPr>
            <w:r>
              <w:rPr>
                <w:b w:val="0"/>
                <w:i w:val="0"/>
                <w:sz w:val="19"/>
              </w:rPr>
            </w:r>
          </w:p>
        </w:tc>
      </w:tr>
    </w:tbl>
    <w:p>
      <w:pPr>
        <w:spacing w:after="40"/>
      </w:pPr>
    </w:p>
    <w:p>
      <w:pPr>
        <w:pStyle w:val="Heading1"/>
        <w:keepNext/>
        <w:spacing w:before="280" w:after="80"/>
      </w:pPr>
      <w:r>
        <w:rPr>
          <w:b w:val="0"/>
          <w:i w:val="0"/>
        </w:rPr>
        <w:t>Part 2. Standard transplant pathway</w:t>
      </w:r>
    </w:p>
    <w:p>
      <w:pPr>
        <w:spacing w:after="80"/>
      </w:pPr>
      <w:r>
        <w:rPr>
          <w:b w:val="0"/>
          <w:i w:val="0"/>
          <w:color w:val="5A6069"/>
          <w:sz w:val="18"/>
        </w:rPr>
        <w:t>Web page: https://drliuhao.github.io/mh-liver-pathways/transplant/hcc/#meeting</w:t>
      </w:r>
    </w:p>
    <w:p>
      <w:pPr>
        <w:pStyle w:val="Heading2"/>
        <w:keepNext/>
        <w:spacing w:before="200" w:after="80"/>
      </w:pPr>
      <w:r>
        <w:rPr>
          <w:b w:val="0"/>
          <w:i w:val="0"/>
        </w:rPr>
        <w:t>HCC G1 — Which observations count, and when should LR-4 be biopsied?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3">
        <w:r>
          <w:rPr>
            <w:color w:val="0563C1"/>
            <w:u w:val="single"/>
          </w:rPr>
          <w:t xml:space="preserve">Confirm HCC</w:t>
        </w:r>
      </w:hyperlink>
      <w:r>
        <w:rPr>
          <w:b w:val="0"/>
          <w:i w:val="0"/>
        </w:rPr>
        <w:t xml:space="preserve"> · </w:t>
      </w:r>
      <w:hyperlink r:id="rId34">
        <w:r>
          <w:rPr>
            <w:color w:val="0563C1"/>
            <w:u w:val="single"/>
          </w:rPr>
          <w:t xml:space="preserve">Check MELD-exception criteria</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“LI-RADS 5 classification on CT, MRI, or CEUS”</w:t>
            </w:r>
          </w:p>
        </w:tc>
        <w:tc>
          <w:tcPr>
            <w:tcW w:type="dxa" w:w="3360"/>
            <w:tcW w:w="2400" w:type="dxa"/>
            <w:shd w:val="clear" w:color="auto" w:fill="F1F5F8"/>
          </w:tcPr>
          <w:p>
            <w:pPr>
              <w:spacing w:after="0"/>
            </w:pPr>
            <w:r>
              <w:rPr>
                <w:b w:val="0"/>
                <w:i w:val="0"/>
                <w:color w:val="5A6069"/>
                <w:sz w:val="18"/>
              </w:rPr>
              <w:t>Table 9-9, p.198</w:t>
            </w:r>
          </w:p>
        </w:tc>
      </w:tr>
      <w:tr>
        <w:trPr>
          <w:cantSplit/>
        </w:trPr>
        <w:tc>
          <w:tcPr>
            <w:tcW w:type="dxa" w:w="3360"/>
            <w:tcW w:w="2200" w:type="dxa"/>
            <w:shd w:val="clear" w:color="auto" w:fill="FFFFFF"/>
          </w:tcPr>
          <w:p>
            <w:pPr>
              <w:spacing w:after="0"/>
            </w:pPr>
            <w:r>
              <w:rPr>
                <w:b/>
                <w:i w:val="0"/>
                <w:sz w:val="19"/>
              </w:rPr>
              <w:t>AASLD · HCC</w:t>
            </w:r>
          </w:p>
        </w:tc>
        <w:tc>
          <w:tcPr>
            <w:tcW w:type="dxa" w:w="3360"/>
            <w:tcW w:w="5480" w:type="dxa"/>
            <w:shd w:val="clear" w:color="auto" w:fill="FFFFFF"/>
          </w:tcPr>
          <w:p>
            <w:pPr>
              <w:spacing w:after="0"/>
            </w:pPr>
            <w:r>
              <w:rPr>
                <w:b w:val="0"/>
                <w:i w:val="0"/>
                <w:sz w:val="19"/>
              </w:rPr>
              <w:t>“repeat imaging with contrast-enhanced MRI or multiphasic CT within 3 months or immediate biopsy”</w:t>
            </w:r>
          </w:p>
        </w:tc>
        <w:tc>
          <w:tcPr>
            <w:tcW w:type="dxa" w:w="3360"/>
            <w:tcW w:w="2400" w:type="dxa"/>
            <w:shd w:val="clear" w:color="auto" w:fill="FFFFFF"/>
          </w:tcPr>
          <w:p>
            <w:pPr>
              <w:spacing w:after="0"/>
            </w:pPr>
            <w:r>
              <w:rPr>
                <w:b w:val="0"/>
                <w:i w:val="0"/>
                <w:color w:val="5A6069"/>
                <w:sz w:val="18"/>
              </w:rPr>
              <w:t>Guidance statement 20, PDF p.13</w:t>
            </w:r>
          </w:p>
        </w:tc>
      </w:tr>
    </w:tbl>
    <w:p>
      <w:pPr>
        <w:spacing w:after="40"/>
      </w:pPr>
    </w:p>
    <w:p>
      <w:pPr>
        <w:pStyle w:val="Heading3"/>
        <w:keepNext/>
        <w:spacing w:before="120" w:after="80"/>
      </w:pPr>
      <w:r>
        <w:rPr>
          <w:b w:val="0"/>
          <w:i w:val="0"/>
        </w:rPr>
        <w:t>Our proposed selection (OPEN)</w:t>
      </w:r>
    </w:p>
    <w:p>
      <w:pPr>
        <w:spacing w:after="80"/>
      </w:pPr>
      <w:r>
        <w:rPr>
          <w:b w:val="0"/>
          <w:i w:val="0"/>
        </w:rPr>
        <w:t>Do not count unresolved LR-4/indeterminate lesions as Class 5. If immediate diagnosis changes treatment or allocation, discuss biopsy rather than waiting by default.</w:t>
      </w:r>
    </w:p>
    <w:p>
      <w:pPr>
        <w:spacing w:after="80"/>
      </w:pPr>
      <w:r>
        <w:rPr>
          <w:b/>
          <w:i w:val="0"/>
        </w:rPr>
        <w:t xml:space="preserve">Why: </w:t>
      </w:r>
      <w:r>
        <w:rPr>
          <w:b w:val="0"/>
          <w:i w:val="0"/>
        </w:rPr>
        <w:t>A diagnostic probability is not the same as an allocation-qualifying lesion.</w:t>
      </w:r>
    </w:p>
    <w:p>
      <w:pPr>
        <w:spacing w:after="80"/>
      </w:pPr>
      <w:r>
        <w:rPr>
          <w:b/>
          <w:i w:val="0"/>
        </w:rPr>
        <w:t xml:space="preserve">Owners: </w:t>
      </w:r>
      <w:r>
        <w:rPr>
          <w:b w:val="0"/>
          <w:i w:val="0"/>
        </w:rPr>
        <w:t>Radiology · hepatology · transplant surgery</w:t>
      </w:r>
    </w:p>
    <w:p>
      <w:pPr>
        <w:pStyle w:val="Heading3"/>
        <w:keepNext/>
        <w:spacing w:before="120" w:after="80"/>
      </w:pPr>
      <w:r>
        <w:rPr>
          <w:b w:val="0"/>
          <w:i w:val="0"/>
        </w:rPr>
        <w:t>HCC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G2 — When should uncertain portal hypertension change resection versus transplant?</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6">
        <w:r>
          <w:rPr>
            <w:color w:val="0563C1"/>
            <w:u w:val="single"/>
          </w:rPr>
          <w:t xml:space="preserve">Choose treatment with curative intent</w:t>
        </w:r>
      </w:hyperlink>
    </w:p>
    <w:p>
      <w:pPr>
        <w:spacing w:after="120"/>
      </w:pPr>
      <w:r>
        <w:rPr>
          <w:b/>
          <w:i w:val="0"/>
          <w:sz w:val="18"/>
        </w:rPr>
        <w:t xml:space="preserve">Web page: </w:t>
      </w:r>
      <w:hyperlink r:id="rId3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 HCC</w:t>
            </w:r>
          </w:p>
        </w:tc>
        <w:tc>
          <w:tcPr>
            <w:tcW w:type="dxa" w:w="3360"/>
            <w:tcW w:w="5480" w:type="dxa"/>
            <w:shd w:val="clear" w:color="auto" w:fill="F1F5F8"/>
          </w:tcPr>
          <w:p>
            <w:pPr>
              <w:spacing w:after="0"/>
            </w:pPr>
            <w:r>
              <w:rPr>
                <w:b w:val="0"/>
                <w:i w:val="0"/>
                <w:sz w:val="19"/>
              </w:rPr>
              <w:t>“without clinically significant portal hypertension, and an adequate FLR”</w:t>
            </w:r>
          </w:p>
        </w:tc>
        <w:tc>
          <w:tcPr>
            <w:tcW w:type="dxa" w:w="3360"/>
            <w:tcW w:w="2400" w:type="dxa"/>
            <w:shd w:val="clear" w:color="auto" w:fill="F1F5F8"/>
          </w:tcPr>
          <w:p>
            <w:pPr>
              <w:spacing w:after="0"/>
            </w:pPr>
            <w:r>
              <w:rPr>
                <w:b w:val="0"/>
                <w:i w:val="0"/>
                <w:color w:val="5A6069"/>
                <w:sz w:val="18"/>
              </w:rPr>
              <w:t>Resection recommendation, PDF p.18</w:t>
            </w:r>
          </w:p>
        </w:tc>
      </w:tr>
      <w:tr>
        <w:trPr>
          <w:cantSplit/>
        </w:trPr>
        <w:tc>
          <w:tcPr>
            <w:tcW w:type="dxa" w:w="3360"/>
            <w:tcW w:w="2200" w:type="dxa"/>
            <w:shd w:val="clear" w:color="auto" w:fill="FFFFFF"/>
          </w:tcPr>
          <w:p>
            <w:pPr>
              <w:spacing w:after="0"/>
            </w:pPr>
            <w:r>
              <w:rPr>
                <w:b/>
                <w:i w:val="0"/>
                <w:sz w:val="19"/>
              </w:rPr>
              <w:t>OPTN 9.5.I</w:t>
            </w:r>
          </w:p>
        </w:tc>
        <w:tc>
          <w:tcPr>
            <w:tcW w:type="dxa" w:w="3360"/>
            <w:tcW w:w="5480" w:type="dxa"/>
            <w:shd w:val="clear" w:color="auto" w:fill="FFFFFF"/>
          </w:tcPr>
          <w:p>
            <w:pPr>
              <w:spacing w:after="0"/>
            </w:pPr>
            <w:r>
              <w:rPr>
                <w:b w:val="0"/>
                <w:i w:val="0"/>
                <w:sz w:val="19"/>
              </w:rPr>
              <w:t>“An indication that the candidate is not eligible for resection”</w:t>
            </w:r>
          </w:p>
        </w:tc>
        <w:tc>
          <w:tcPr>
            <w:tcW w:type="dxa" w:w="3360"/>
            <w:tcW w:w="2400" w:type="dxa"/>
            <w:shd w:val="clear" w:color="auto" w:fill="FFFFFF"/>
          </w:tcPr>
          <w:p>
            <w:pPr>
              <w:spacing w:after="0"/>
            </w:pPr>
            <w:r>
              <w:rPr>
                <w:b w:val="0"/>
                <w:i w:val="0"/>
                <w:color w:val="5A6069"/>
                <w:sz w:val="18"/>
              </w:rPr>
              <w:t>§9.5.I.i, p.196</w:t>
            </w:r>
          </w:p>
        </w:tc>
      </w:tr>
    </w:tbl>
    <w:p>
      <w:pPr>
        <w:spacing w:after="40"/>
      </w:pPr>
    </w:p>
    <w:p>
      <w:pPr>
        <w:pStyle w:val="Heading3"/>
        <w:keepNext/>
        <w:spacing w:before="120" w:after="80"/>
      </w:pPr>
      <w:r>
        <w:rPr>
          <w:b w:val="0"/>
          <w:i w:val="0"/>
        </w:rPr>
        <w:t>Our proposed selection (OPEN)</w:t>
      </w:r>
    </w:p>
    <w:p>
      <w:pPr>
        <w:spacing w:after="80"/>
      </w:pPr>
      <w:r>
        <w:rPr>
          <w:b w:val="0"/>
          <w:i w:val="0"/>
        </w:rPr>
        <w:t>Use liver reserve, portal-hypertension evidence and technical remnant assessment first. Obtain invasive hemodynamics only when the result could change the operation.</w:t>
      </w:r>
    </w:p>
    <w:p>
      <w:pPr>
        <w:spacing w:after="80"/>
      </w:pPr>
      <w:r>
        <w:rPr>
          <w:b/>
          <w:i w:val="0"/>
        </w:rPr>
        <w:t xml:space="preserve">Why: </w:t>
      </w:r>
      <w:r>
        <w:rPr>
          <w:b w:val="0"/>
          <w:i w:val="0"/>
        </w:rPr>
        <w:t>Allocation documentation does not substitute for a surgical risk-benefit decision.</w:t>
      </w:r>
    </w:p>
    <w:p>
      <w:pPr>
        <w:spacing w:after="80"/>
      </w:pPr>
      <w:r>
        <w:rPr>
          <w:b/>
          <w:i w:val="0"/>
        </w:rPr>
        <w:t xml:space="preserve">Owners: </w:t>
      </w:r>
      <w:r>
        <w:rPr>
          <w:b w:val="0"/>
          <w:i w:val="0"/>
        </w:rPr>
        <w:t>HPB surgery · hepatology</w:t>
      </w:r>
    </w:p>
    <w:p>
      <w:pPr>
        <w:pStyle w:val="Heading3"/>
        <w:keepNext/>
        <w:spacing w:before="120" w:after="80"/>
      </w:pPr>
      <w:r>
        <w:rPr>
          <w:b w:val="0"/>
          <w:i w:val="0"/>
        </w:rPr>
        <w:t>HCC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G3 — What requires nonstandard review: burden, prior rupture or portal-branch invasion?</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6">
        <w:r>
          <w:rPr>
            <w:color w:val="0563C1"/>
            <w:u w:val="single"/>
          </w:rPr>
          <w:t xml:space="preserve">Choose treatment with curative intent</w:t>
        </w:r>
      </w:hyperlink>
      <w:r>
        <w:rPr>
          <w:b w:val="0"/>
          <w:i w:val="0"/>
        </w:rPr>
        <w:t xml:space="preserve"> · </w:t>
      </w:r>
      <w:hyperlink r:id="rId34">
        <w:r>
          <w:rPr>
            <w:color w:val="0563C1"/>
            <w:u w:val="single"/>
          </w:rPr>
          <w:t xml:space="preserve">Check MELD-exception criteria</w:t>
        </w:r>
      </w:hyperlink>
    </w:p>
    <w:p>
      <w:pPr>
        <w:spacing w:after="120"/>
      </w:pPr>
      <w:r>
        <w:rPr>
          <w:b/>
          <w:i w:val="0"/>
          <w:sz w:val="18"/>
        </w:rPr>
        <w:t xml:space="preserve">Web page: </w:t>
      </w:r>
      <w:hyperlink r:id="rId3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“not automatically eligible for a standardized MELD or PELD exception”</w:t>
            </w:r>
          </w:p>
        </w:tc>
        <w:tc>
          <w:tcPr>
            <w:tcW w:type="dxa" w:w="3360"/>
            <w:tcW w:w="2400" w:type="dxa"/>
            <w:shd w:val="clear" w:color="auto" w:fill="F1F5F8"/>
          </w:tcPr>
          <w:p>
            <w:pPr>
              <w:spacing w:after="0"/>
            </w:pPr>
            <w:r>
              <w:rPr>
                <w:b w:val="0"/>
                <w:i w:val="0"/>
                <w:color w:val="5A6069"/>
                <w:sz w:val="18"/>
              </w:rPr>
              <w:t>§9.5.I.iii, p.197</w:t>
            </w:r>
          </w:p>
        </w:tc>
      </w:tr>
      <w:tr>
        <w:trPr>
          <w:cantSplit/>
        </w:trPr>
        <w:tc>
          <w:tcPr>
            <w:tcW w:type="dxa" w:w="3360"/>
            <w:tcW w:w="2200" w:type="dxa"/>
            <w:shd w:val="clear" w:color="auto" w:fill="FFFFFF"/>
          </w:tcPr>
          <w:p>
            <w:pPr>
              <w:spacing w:after="0"/>
            </w:pPr>
            <w:r>
              <w:rPr>
                <w:b/>
                <w:i w:val="0"/>
                <w:sz w:val="19"/>
              </w:rPr>
              <w:t>NLRB · HCC</w:t>
            </w:r>
          </w:p>
        </w:tc>
        <w:tc>
          <w:tcPr>
            <w:tcW w:type="dxa" w:w="3360"/>
            <w:tcW w:w="5480" w:type="dxa"/>
            <w:shd w:val="clear" w:color="auto" w:fill="FFFFFF"/>
          </w:tcPr>
          <w:p>
            <w:pPr>
              <w:spacing w:after="0"/>
            </w:pPr>
            <w:r>
              <w:rPr>
                <w:b w:val="0"/>
                <w:i w:val="0"/>
                <w:sz w:val="19"/>
              </w:rPr>
              <w:t>Guidance permits selected review after downstaging beyond standardized criteria. For previously treated rupture or primary portal-vein branch invasion, it describes a prolonged stable interval of at least 12 months before some cases may be considered.</w:t>
            </w:r>
          </w:p>
        </w:tc>
        <w:tc>
          <w:tcPr>
            <w:tcW w:type="dxa" w:w="3360"/>
            <w:tcW w:w="2400" w:type="dxa"/>
            <w:shd w:val="clear" w:color="auto" w:fill="FFFFFF"/>
          </w:tcPr>
          <w:p>
            <w:pPr>
              <w:spacing w:after="0"/>
            </w:pPr>
            <w:r>
              <w:rPr>
                <w:b w:val="0"/>
                <w:i w:val="0"/>
                <w:color w:val="5A6069"/>
                <w:sz w:val="18"/>
              </w:rPr>
              <w:t>December 2025 · HCC section · pp.2–4</w:t>
            </w:r>
          </w:p>
        </w:tc>
      </w:tr>
    </w:tbl>
    <w:p>
      <w:pPr>
        <w:spacing w:after="40"/>
      </w:pPr>
    </w:p>
    <w:p>
      <w:pPr>
        <w:pStyle w:val="Heading3"/>
        <w:keepNext/>
        <w:spacing w:before="120" w:after="80"/>
      </w:pPr>
      <w:r>
        <w:rPr>
          <w:b w:val="0"/>
          <w:i w:val="0"/>
        </w:rPr>
        <w:t>Our proposed selection (OPEN)</w:t>
      </w:r>
    </w:p>
    <w:p>
      <w:pPr>
        <w:spacing w:after="80"/>
      </w:pPr>
      <w:r>
        <w:rPr>
          <w:b w:val="0"/>
          <w:i w:val="0"/>
        </w:rPr>
        <w:t>Request individual NLRB review when standardized HCC MELD-exception criteria are not met. Document pretreatment tumor burden, rupture or vascular invasion, treatment response, AFP and the observation period.</w:t>
      </w:r>
    </w:p>
    <w:p>
      <w:pPr>
        <w:spacing w:after="80"/>
      </w:pPr>
      <w:r>
        <w:rPr>
          <w:b/>
          <w:i w:val="0"/>
        </w:rPr>
        <w:t xml:space="preserve">Why: </w:t>
      </w:r>
      <w:r>
        <w:rPr>
          <w:b w:val="0"/>
          <w:i w:val="0"/>
        </w:rPr>
        <w:t>Pretreatment tumor burden and prior rupture or vascular invasion still determine whether an HCC MELD-exception request needs individual review.</w:t>
      </w:r>
    </w:p>
    <w:p>
      <w:pPr>
        <w:spacing w:after="80"/>
      </w:pPr>
      <w:r>
        <w:rPr>
          <w:b/>
          <w:i w:val="0"/>
        </w:rPr>
        <w:t xml:space="preserve">Owners: </w:t>
      </w:r>
      <w:r>
        <w:rPr>
          <w:b w:val="0"/>
          <w:i w:val="0"/>
        </w:rPr>
        <w:t>Transplant hepatology · coordinator</w:t>
      </w:r>
    </w:p>
    <w:p>
      <w:pPr>
        <w:pStyle w:val="Heading3"/>
        <w:keepNext/>
        <w:spacing w:before="120" w:after="80"/>
      </w:pPr>
      <w:r>
        <w:rPr>
          <w:b w:val="0"/>
          <w:i w:val="0"/>
        </w:rPr>
        <w:t>HCC G3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G4 / G6 — How should modality and an equivocal response guide the next treatment?</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9">
        <w:r>
          <w:rPr>
            <w:color w:val="0563C1"/>
            <w:u w:val="single"/>
          </w:rPr>
          <w:t xml:space="preserve">Plan bridging or downstaging treatment</w:t>
        </w:r>
      </w:hyperlink>
    </w:p>
    <w:p>
      <w:pPr>
        <w:spacing w:after="120"/>
      </w:pPr>
      <w:r>
        <w:rPr>
          <w:b/>
          <w:i w:val="0"/>
          <w:sz w:val="18"/>
        </w:rPr>
        <w:t xml:space="preserve">Web page: </w:t>
      </w:r>
      <w:hyperlink r:id="rId4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 HCC</w:t>
            </w:r>
          </w:p>
        </w:tc>
        <w:tc>
          <w:tcPr>
            <w:tcW w:type="dxa" w:w="3360"/>
            <w:tcW w:w="5480" w:type="dxa"/>
            <w:shd w:val="clear" w:color="auto" w:fill="F1F5F8"/>
          </w:tcPr>
          <w:p>
            <w:pPr>
              <w:spacing w:after="0"/>
            </w:pPr>
            <w:r>
              <w:rPr>
                <w:b w:val="0"/>
                <w:i w:val="0"/>
                <w:sz w:val="19"/>
              </w:rPr>
              <w:t>“AASLD does not advise one LRT over another for bridging therapy.”</w:t>
            </w:r>
          </w:p>
        </w:tc>
        <w:tc>
          <w:tcPr>
            <w:tcW w:type="dxa" w:w="3360"/>
            <w:tcW w:w="2400" w:type="dxa"/>
            <w:shd w:val="clear" w:color="auto" w:fill="F1F5F8"/>
          </w:tcPr>
          <w:p>
            <w:pPr>
              <w:spacing w:after="0"/>
            </w:pPr>
            <w:r>
              <w:rPr>
                <w:b w:val="0"/>
                <w:i w:val="0"/>
                <w:color w:val="5A6069"/>
                <w:sz w:val="18"/>
              </w:rPr>
              <w:t>Transplant recommendation 34, PDF p.22</w:t>
            </w:r>
          </w:p>
        </w:tc>
      </w:tr>
      <w:tr>
        <w:trPr>
          <w:cantSplit/>
        </w:trPr>
        <w:tc>
          <w:tcPr>
            <w:tcW w:type="dxa" w:w="3360"/>
            <w:tcW w:w="2200" w:type="dxa"/>
            <w:shd w:val="clear" w:color="auto" w:fill="FFFFFF"/>
          </w:tcPr>
          <w:p>
            <w:pPr>
              <w:spacing w:after="0"/>
            </w:pPr>
            <w:r>
              <w:rPr>
                <w:b/>
                <w:i w:val="0"/>
                <w:sz w:val="19"/>
              </w:rPr>
              <w:t>NLRB · HCC</w:t>
            </w:r>
          </w:p>
        </w:tc>
        <w:tc>
          <w:tcPr>
            <w:tcW w:type="dxa" w:w="3360"/>
            <w:tcW w:w="5480" w:type="dxa"/>
            <w:shd w:val="clear" w:color="auto" w:fill="FFFFFF"/>
          </w:tcPr>
          <w:p>
            <w:pPr>
              <w:spacing w:after="0"/>
            </w:pPr>
            <w:r>
              <w:rPr>
                <w:b w:val="0"/>
                <w:i w:val="0"/>
                <w:sz w:val="19"/>
              </w:rPr>
              <w:t>“Imaging should be performed at least 4 weeks after last down-staging treatment.”</w:t>
            </w:r>
          </w:p>
        </w:tc>
        <w:tc>
          <w:tcPr>
            <w:tcW w:type="dxa" w:w="3360"/>
            <w:tcW w:w="2400" w:type="dxa"/>
            <w:shd w:val="clear" w:color="auto" w:fill="FFFFFF"/>
          </w:tcPr>
          <w:p>
            <w:pPr>
              <w:spacing w:after="0"/>
            </w:pPr>
            <w:r>
              <w:rPr>
                <w:b w:val="0"/>
                <w:i w:val="0"/>
                <w:color w:val="5A6069"/>
                <w:sz w:val="18"/>
              </w:rPr>
              <w:t>HCC guidance</w:t>
            </w:r>
          </w:p>
        </w:tc>
      </w:tr>
    </w:tbl>
    <w:p>
      <w:pPr>
        <w:spacing w:after="40"/>
      </w:pPr>
    </w:p>
    <w:p>
      <w:pPr>
        <w:pStyle w:val="Heading3"/>
        <w:keepNext/>
        <w:spacing w:before="120" w:after="80"/>
      </w:pPr>
      <w:r>
        <w:rPr>
          <w:b w:val="0"/>
          <w:i w:val="0"/>
        </w:rPr>
        <w:t>Our proposed selection (OPEN)</w:t>
      </w:r>
    </w:p>
    <w:p>
      <w:pPr>
        <w:spacing w:after="80"/>
      </w:pPr>
      <w:r>
        <w:rPr>
          <w:b w:val="0"/>
          <w:i w:val="0"/>
        </w:rPr>
        <w:t>Record the treatment goal, anatomical and liver-function considerations, and response-imaging date. Ask transplant radiology to resolve uncertain residual tumor before changing treatment.</w:t>
      </w:r>
    </w:p>
    <w:p>
      <w:pPr>
        <w:spacing w:after="80"/>
      </w:pPr>
      <w:r>
        <w:rPr>
          <w:b/>
          <w:i w:val="0"/>
        </w:rPr>
        <w:t xml:space="preserve">Why: </w:t>
      </w:r>
      <w:r>
        <w:rPr>
          <w:b w:val="0"/>
          <w:i w:val="0"/>
        </w:rPr>
        <w:t>Choice and sequencing require a clinical decision; the timing guidance is not a modality algorithm.</w:t>
      </w:r>
    </w:p>
    <w:p>
      <w:pPr>
        <w:spacing w:after="80"/>
      </w:pPr>
      <w:r>
        <w:rPr>
          <w:b/>
          <w:i w:val="0"/>
        </w:rPr>
        <w:t xml:space="preserve">Owners: </w:t>
      </w:r>
      <w:r>
        <w:rPr>
          <w:b w:val="0"/>
          <w:i w:val="0"/>
        </w:rPr>
        <w:t>IR · radiation oncology · radiology</w:t>
      </w:r>
    </w:p>
    <w:p>
      <w:pPr>
        <w:pStyle w:val="Heading3"/>
        <w:keepNext/>
        <w:spacing w:before="120" w:after="80"/>
      </w:pPr>
      <w:r>
        <w:rPr>
          <w:b w:val="0"/>
          <w:i w:val="0"/>
        </w:rPr>
        <w:t>HCC G4 /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G4 — What transplant-safety approach applies after checkpoint inhibitors?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p>
    <w:p>
      <w:pPr>
        <w:spacing w:after="120"/>
      </w:pPr>
      <w:r>
        <w:rPr>
          <w:b/>
          <w:i w:val="0"/>
          <w:sz w:val="18"/>
        </w:rPr>
        <w:t xml:space="preserve">Web page: </w:t>
      </w:r>
      <w:hyperlink r:id="rId4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HCC</w:t>
            </w:r>
          </w:p>
        </w:tc>
        <w:tc>
          <w:tcPr>
            <w:tcW w:type="dxa" w:w="3360"/>
            <w:tcW w:w="5480" w:type="dxa"/>
            <w:shd w:val="clear" w:color="auto" w:fill="F1F5F8"/>
          </w:tcPr>
          <w:p>
            <w:pPr>
              <w:spacing w:after="0"/>
            </w:pPr>
            <w:r>
              <w:rPr>
                <w:b w:val="0"/>
                <w:i w:val="0"/>
                <w:sz w:val="19"/>
              </w:rPr>
              <w:t>“Immunotherapy does not preclude consideration for an HCC exception.”</w:t>
            </w:r>
          </w:p>
        </w:tc>
        <w:tc>
          <w:tcPr>
            <w:tcW w:type="dxa" w:w="3360"/>
            <w:tcW w:w="2400" w:type="dxa"/>
            <w:shd w:val="clear" w:color="auto" w:fill="F1F5F8"/>
          </w:tcPr>
          <w:p>
            <w:pPr>
              <w:spacing w:after="0"/>
            </w:pPr>
            <w:r>
              <w:rPr>
                <w:b w:val="0"/>
                <w:i w:val="0"/>
                <w:color w:val="5A6069"/>
                <w:sz w:val="18"/>
              </w:rPr>
              <w:t>HCC guidance</w:t>
            </w:r>
          </w:p>
        </w:tc>
      </w:tr>
      <w:tr>
        <w:trPr>
          <w:cantSplit/>
        </w:trPr>
        <w:tc>
          <w:tcPr>
            <w:tcW w:type="dxa" w:w="3360"/>
            <w:tcW w:w="2200" w:type="dxa"/>
            <w:shd w:val="clear" w:color="auto" w:fill="FFFFFF"/>
          </w:tcPr>
          <w:p>
            <w:pPr>
              <w:spacing w:after="0"/>
            </w:pPr>
            <w:r>
              <w:rPr>
                <w:b/>
                <w:i w:val="0"/>
                <w:sz w:val="19"/>
              </w:rPr>
              <w:t>AASLD · HCC</w:t>
            </w:r>
          </w:p>
        </w:tc>
        <w:tc>
          <w:tcPr>
            <w:tcW w:type="dxa" w:w="3360"/>
            <w:tcW w:w="5480" w:type="dxa"/>
            <w:shd w:val="clear" w:color="auto" w:fill="FFFFFF"/>
          </w:tcPr>
          <w:p>
            <w:pPr>
              <w:spacing w:after="0"/>
            </w:pPr>
            <w:r>
              <w:rPr>
                <w:b w:val="0"/>
                <w:i w:val="0"/>
                <w:sz w:val="19"/>
              </w:rPr>
              <w:t>“discontinuation of these agents at least 3 months prior to LT”</w:t>
            </w:r>
          </w:p>
        </w:tc>
        <w:tc>
          <w:tcPr>
            <w:tcW w:type="dxa" w:w="3360"/>
            <w:tcW w:w="2400" w:type="dxa"/>
            <w:shd w:val="clear" w:color="auto" w:fill="FFFFFF"/>
          </w:tcPr>
          <w:p>
            <w:pPr>
              <w:spacing w:after="0"/>
            </w:pPr>
            <w:r>
              <w:rPr>
                <w:b w:val="0"/>
                <w:i w:val="0"/>
                <w:color w:val="5A6069"/>
                <w:sz w:val="18"/>
              </w:rPr>
              <w:t>ICI discussion, PDF p.20</w:t>
            </w:r>
          </w:p>
        </w:tc>
      </w:tr>
    </w:tbl>
    <w:p>
      <w:pPr>
        <w:spacing w:after="40"/>
      </w:pPr>
    </w:p>
    <w:p>
      <w:pPr>
        <w:pStyle w:val="Heading3"/>
        <w:keepNext/>
        <w:spacing w:before="120" w:after="80"/>
      </w:pPr>
      <w:r>
        <w:rPr>
          <w:b w:val="0"/>
          <w:i w:val="0"/>
        </w:rPr>
        <w:t>Our proposed selection (OPEN)</w:t>
      </w:r>
    </w:p>
    <w:p>
      <w:pPr>
        <w:spacing w:after="80"/>
      </w:pPr>
      <w:r>
        <w:rPr>
          <w:b w:val="0"/>
          <w:i w:val="0"/>
        </w:rPr>
        <w:t>Explicitly discuss the AASLD 3-month recommendation, agent/last dose, rejection risk and urgency. Any departure needs a documented multidisciplinary rationale; no washout guarantees safety.</w:t>
      </w:r>
    </w:p>
    <w:p>
      <w:pPr>
        <w:spacing w:after="80"/>
      </w:pPr>
      <w:r>
        <w:rPr>
          <w:b/>
          <w:i w:val="0"/>
        </w:rPr>
        <w:t xml:space="preserve">Why: </w:t>
      </w:r>
      <w:r>
        <w:rPr>
          <w:b w:val="0"/>
          <w:i w:val="0"/>
        </w:rPr>
        <w:t>Eligibility for HCC MELD-exception points and the risk of rejection after checkpoint-inhibitor exposure require separate assessments.</w:t>
      </w:r>
    </w:p>
    <w:p>
      <w:pPr>
        <w:spacing w:after="80"/>
      </w:pPr>
      <w:r>
        <w:rPr>
          <w:b/>
          <w:i w:val="0"/>
        </w:rPr>
        <w:t xml:space="preserve">Owners: </w:t>
      </w:r>
      <w:r>
        <w:rPr>
          <w:b w:val="0"/>
          <w:i w:val="0"/>
        </w:rPr>
        <w:t>Transplant oncology · pharmacy · transplant surgery</w:t>
      </w:r>
    </w:p>
    <w:p>
      <w:pPr>
        <w:pStyle w:val="Heading3"/>
        <w:keepNext/>
        <w:spacing w:before="120" w:after="80"/>
      </w:pPr>
      <w:r>
        <w:rPr>
          <w:b w:val="0"/>
          <w:i w:val="0"/>
        </w:rPr>
        <w:t>HCC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G5 / G6 — Who confirms fitness for transplantation, verifies the MELD-exception request and arranges surveillance?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1">
        <w:r>
          <w:rPr>
            <w:color w:val="0563C1"/>
            <w:u w:val="single"/>
          </w:rPr>
          <w:t xml:space="preserve">Review listing and MELD-exception request</w:t>
        </w:r>
      </w:hyperlink>
      <w:r>
        <w:rPr>
          <w:b w:val="0"/>
          <w:i w:val="0"/>
        </w:rPr>
        <w:t xml:space="preserve"> · </w:t>
      </w:r>
      <w:hyperlink r:id="rId43">
        <w:r>
          <w:rPr>
            <w:color w:val="0563C1"/>
            <w:u w:val="single"/>
          </w:rPr>
          <w:t xml:space="preserve">Post-transplant follow-up</w:t>
        </w:r>
      </w:hyperlink>
    </w:p>
    <w:p>
      <w:pPr>
        <w:spacing w:after="120"/>
      </w:pPr>
      <w:r>
        <w:rPr>
          <w:b/>
          <w:i w:val="0"/>
          <w:sz w:val="18"/>
        </w:rPr>
        <w:t xml:space="preserve">Web page: </w:t>
      </w:r>
      <w:hyperlink r:id="rId4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Policy specifies the exception evidence and explant reporting. It does not assign our local team members.</w:t>
            </w:r>
          </w:p>
        </w:tc>
        <w:tc>
          <w:tcPr>
            <w:tcW w:type="dxa" w:w="3360"/>
            <w:tcW w:w="2400" w:type="dxa"/>
            <w:shd w:val="clear" w:color="auto" w:fill="F1F5F8"/>
          </w:tcPr>
          <w:p>
            <w:pPr>
              <w:spacing w:after="0"/>
            </w:pPr>
            <w:r>
              <w:rPr>
                <w:b w:val="0"/>
                <w:i w:val="0"/>
                <w:color w:val="5A6069"/>
                <w:sz w:val="18"/>
              </w:rPr>
              <w:t>Effective October 1, 2026 · §§9.5.I.i–vii · pp.196–200</w:t>
            </w:r>
          </w:p>
        </w:tc>
      </w:tr>
      <w:tr>
        <w:trPr>
          <w:cantSplit/>
        </w:trPr>
        <w:tc>
          <w:tcPr>
            <w:tcW w:type="dxa" w:w="3360"/>
            <w:tcW w:w="2200" w:type="dxa"/>
            <w:shd w:val="clear" w:color="auto" w:fill="FFFFFF"/>
          </w:tcPr>
          <w:p>
            <w:pPr>
              <w:spacing w:after="0"/>
            </w:pPr>
            <w:r>
              <w:rPr>
                <w:b/>
                <w:i w:val="0"/>
                <w:sz w:val="19"/>
              </w:rPr>
              <w:t>AASLD · HCC</w:t>
            </w:r>
          </w:p>
        </w:tc>
        <w:tc>
          <w:tcPr>
            <w:tcW w:type="dxa" w:w="3360"/>
            <w:tcW w:w="5480" w:type="dxa"/>
            <w:shd w:val="clear" w:color="auto" w:fill="FFFFFF"/>
          </w:tcPr>
          <w:p>
            <w:pPr>
              <w:spacing w:after="0"/>
            </w:pPr>
            <w:r>
              <w:rPr>
                <w:b w:val="0"/>
                <w:i w:val="0"/>
                <w:sz w:val="19"/>
              </w:rPr>
              <w:t>Clinical guidance supports post-transplant surveillance, but the optimal interval and duration remain uncertain.</w:t>
            </w:r>
          </w:p>
        </w:tc>
        <w:tc>
          <w:tcPr>
            <w:tcW w:type="dxa" w:w="3360"/>
            <w:tcW w:w="2400" w:type="dxa"/>
            <w:shd w:val="clear" w:color="auto" w:fill="FFFFFF"/>
          </w:tcPr>
          <w:p>
            <w:pPr>
              <w:spacing w:after="0"/>
            </w:pPr>
            <w:r>
              <w:rPr>
                <w:b w:val="0"/>
                <w:i w:val="0"/>
                <w:color w:val="5A6069"/>
                <w:sz w:val="18"/>
              </w:rPr>
              <w:t>2023 · diagnosis pp.11–13; resection pp.15–18; transplant pp.19–23 (PDF pages)</w:t>
            </w:r>
          </w:p>
        </w:tc>
      </w:tr>
    </w:tbl>
    <w:p>
      <w:pPr>
        <w:spacing w:after="40"/>
      </w:pPr>
    </w:p>
    <w:p>
      <w:pPr>
        <w:pStyle w:val="Heading3"/>
        <w:keepNext/>
        <w:spacing w:before="120" w:after="80"/>
      </w:pPr>
      <w:r>
        <w:rPr>
          <w:b w:val="0"/>
          <w:i w:val="0"/>
        </w:rPr>
        <w:t>Our proposed selection (OPEN)</w:t>
      </w:r>
    </w:p>
    <w:p>
      <w:pPr>
        <w:spacing w:after="80"/>
      </w:pPr>
      <w:r>
        <w:rPr>
          <w:b w:val="0"/>
          <w:i w:val="0"/>
        </w:rPr>
        <w:t>Name the physician responsible for transplant suitability, the coordinator responsible for the MELD-exception request, and the team responsible for post-transplant surveillance.</w:t>
      </w:r>
    </w:p>
    <w:p>
      <w:pPr>
        <w:spacing w:after="80"/>
      </w:pPr>
      <w:r>
        <w:rPr>
          <w:b/>
          <w:i w:val="0"/>
        </w:rPr>
        <w:t xml:space="preserve">Why: </w:t>
      </w:r>
      <w:r>
        <w:rPr>
          <w:b w:val="0"/>
          <w:i w:val="0"/>
        </w:rPr>
        <w:t>Complete MELD-exception documentation does not establish that the patient is medically suitable for transplantation.</w:t>
      </w:r>
    </w:p>
    <w:p>
      <w:pPr>
        <w:spacing w:after="80"/>
      </w:pPr>
      <w:r>
        <w:rPr>
          <w:b/>
          <w:i w:val="0"/>
        </w:rPr>
        <w:t xml:space="preserve">Owners: </w:t>
      </w:r>
      <w:r>
        <w:rPr>
          <w:b w:val="0"/>
          <w:i w:val="0"/>
        </w:rPr>
        <w:t>Transplant leadership · coordinator</w:t>
      </w:r>
    </w:p>
    <w:p>
      <w:pPr>
        <w:pStyle w:val="Heading3"/>
        <w:keepNext/>
        <w:spacing w:before="120" w:after="80"/>
      </w:pPr>
      <w:r>
        <w:rPr>
          <w:b w:val="0"/>
          <w:i w:val="0"/>
        </w:rPr>
        <w:t>HCC G5 /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G6 — How should equivocal post-treatment enhancement or borderline AFP be handled?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5">
        <w:r>
          <w:rPr>
            <w:color w:val="0563C1"/>
            <w:u w:val="single"/>
          </w:rPr>
          <w:t xml:space="preserve">Reassess while awaiting transplant</w:t>
        </w:r>
      </w:hyperlink>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Extension rules use tumor stage, treatment and AFP; the prior &gt;1,000 AFP history changes the applicable threshold.</w:t>
            </w:r>
          </w:p>
        </w:tc>
        <w:tc>
          <w:tcPr>
            <w:tcW w:type="dxa" w:w="3360"/>
            <w:tcW w:w="2400" w:type="dxa"/>
            <w:shd w:val="clear" w:color="auto" w:fill="F1F5F8"/>
          </w:tcPr>
          <w:p>
            <w:pPr>
              <w:spacing w:after="0"/>
            </w:pPr>
            <w:r>
              <w:rPr>
                <w:b w:val="0"/>
                <w:i w:val="0"/>
                <w:color w:val="5A6069"/>
                <w:sz w:val="18"/>
              </w:rPr>
              <w:t>Effective October 1, 2026 · §§9.5.I.i–vii · pp.196–200</w:t>
            </w:r>
          </w:p>
        </w:tc>
      </w:tr>
      <w:tr>
        <w:trPr>
          <w:cantSplit/>
        </w:trPr>
        <w:tc>
          <w:tcPr>
            <w:tcW w:type="dxa" w:w="3360"/>
            <w:tcW w:w="2200" w:type="dxa"/>
            <w:shd w:val="clear" w:color="auto" w:fill="FFFFFF"/>
          </w:tcPr>
          <w:p>
            <w:pPr>
              <w:spacing w:after="0"/>
            </w:pPr>
            <w:r>
              <w:rPr>
                <w:b/>
                <w:i w:val="0"/>
                <w:sz w:val="19"/>
              </w:rPr>
              <w:t>AASLD · HCC</w:t>
            </w:r>
          </w:p>
        </w:tc>
        <w:tc>
          <w:tcPr>
            <w:tcW w:type="dxa" w:w="3360"/>
            <w:tcW w:w="5480" w:type="dxa"/>
            <w:shd w:val="clear" w:color="auto" w:fill="FFFFFF"/>
          </w:tcPr>
          <w:p>
            <w:pPr>
              <w:spacing w:after="0"/>
            </w:pPr>
            <w:r>
              <w:rPr>
                <w:b w:val="0"/>
                <w:i w:val="0"/>
                <w:sz w:val="19"/>
              </w:rPr>
              <w:t>Interpret viable tumor and treatment response with imaging and clinical context; no single equivocal appearance establishes progression.</w:t>
            </w:r>
          </w:p>
        </w:tc>
        <w:tc>
          <w:tcPr>
            <w:tcW w:type="dxa" w:w="3360"/>
            <w:tcW w:w="2400" w:type="dxa"/>
            <w:shd w:val="clear" w:color="auto" w:fill="FFFFFF"/>
          </w:tcPr>
          <w:p>
            <w:pPr>
              <w:spacing w:after="0"/>
            </w:pPr>
            <w:r>
              <w:rPr>
                <w:b w:val="0"/>
                <w:i w:val="0"/>
                <w:color w:val="5A6069"/>
                <w:sz w:val="18"/>
              </w:rPr>
              <w:t>2023 · diagnosis pp.11–13; resection pp.15–18; transplant pp.19–23 (PDF pages)</w:t>
            </w:r>
          </w:p>
        </w:tc>
      </w:tr>
    </w:tbl>
    <w:p>
      <w:pPr>
        <w:spacing w:after="40"/>
      </w:pPr>
    </w:p>
    <w:p>
      <w:pPr>
        <w:pStyle w:val="Heading3"/>
        <w:keepNext/>
        <w:spacing w:before="120" w:after="80"/>
      </w:pPr>
      <w:r>
        <w:rPr>
          <w:b w:val="0"/>
          <w:i w:val="0"/>
        </w:rPr>
        <w:t>Our proposed selection (OPEN)</w:t>
      </w:r>
    </w:p>
    <w:p>
      <w:pPr>
        <w:spacing w:after="80"/>
      </w:pPr>
      <w:r>
        <w:rPr>
          <w:b w:val="0"/>
          <w:i w:val="0"/>
        </w:rPr>
        <w:t>Request transplant-radiology review and a follow-up plan with a reassessment date. State whether the finding changes treatment, HCC MELD-exception renewal, or both.</w:t>
      </w:r>
    </w:p>
    <w:p>
      <w:pPr>
        <w:spacing w:after="80"/>
      </w:pPr>
      <w:r>
        <w:rPr>
          <w:b/>
          <w:i w:val="0"/>
        </w:rPr>
        <w:t xml:space="preserve">Why: </w:t>
      </w:r>
      <w:r>
        <w:rPr>
          <w:b w:val="0"/>
          <w:i w:val="0"/>
        </w:rPr>
        <w:t>Avoid both premature delisting and unsupported automatic continuation.</w:t>
      </w:r>
    </w:p>
    <w:p>
      <w:pPr>
        <w:spacing w:after="80"/>
      </w:pPr>
      <w:r>
        <w:rPr>
          <w:b/>
          <w:i w:val="0"/>
        </w:rPr>
        <w:t xml:space="preserve">Owners: </w:t>
      </w:r>
      <w:r>
        <w:rPr>
          <w:b w:val="0"/>
          <w:i w:val="0"/>
        </w:rPr>
        <w:t>Radiology · hepatology · treating LRT service</w:t>
      </w:r>
    </w:p>
    <w:p>
      <w:pPr>
        <w:pStyle w:val="Heading3"/>
        <w:keepNext/>
        <w:spacing w:before="120" w:after="80"/>
      </w:pPr>
      <w:r>
        <w:rPr>
          <w:b w:val="0"/>
          <w:i w:val="0"/>
        </w:rPr>
        <w:t>HCC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B1.1a — Should AFP-only failure have a distinct high-risk review entry even when tumor burden is within Milan?</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4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Propose yes; cross-reference the standard AFP gate. Do not require beyond-UNOS burden or inherit its AFP below 100 rule.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B1.1a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B1.1b — Should confirmed AFP at least 500 trigger a clinical hold even without a prior AFP above 1000?</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Propose yes for the high-risk LT review, with documented MDT reassessment. State clearly that this is stricter than the automatic exception rule for some patients.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B1.1b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B1.1c — How should rising AFP below 500 with controlled imaging be handled?</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Propose repeat in 2–4 weeks and expedited restaging. AFP at least 200 plus serial rise or confirmed doubling triggers a temporary hold; slope alone is an alert, not a permanent exclusion.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B1.1c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B1.1d — What permits release from a biochemical hold?</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5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Propose two stable/falling AFP measurements at least 4 weeks apart below the applicable threshold, reviewed imaging and documented allocation plan. Preserve every longer route-specific observation interval.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B1.1d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B1.1e — Can persistent AFP failure ever proceed to LT or LDLT?</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5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No routine bypass. Require individual oncology/transplant review, expected-benefit justification, donor-risk review for LDLT and the appropriate allocation route. Whether to establish a prospective AFP-only study remains OPEN.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B1.1e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 B1.1f — What must be audited?</w:t>
      </w:r>
    </w:p>
    <w:p>
      <w:pPr>
        <w:spacing w:after="80"/>
      </w:pPr>
      <w:r>
        <w:rPr>
          <w:b w:val="0"/>
          <w:i w:val="0"/>
          <w:color w:val="5A6069"/>
          <w:sz w:val="18"/>
        </w:rPr>
        <w:t>OPEN — not approved · Standard pathway</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5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9.5.I</w:t>
            </w:r>
          </w:p>
        </w:tc>
        <w:tc>
          <w:tcPr>
            <w:tcW w:type="dxa" w:w="3360"/>
            <w:tcW w:w="5480" w:type="dxa"/>
            <w:shd w:val="clear" w:color="auto" w:fill="F1F5F8"/>
          </w:tcPr>
          <w:p>
            <w:pPr>
              <w:spacing w:after="0"/>
            </w:pPr>
            <w:r>
              <w:rPr>
                <w:b w:val="0"/>
                <w:i w:val="0"/>
                <w:sz w:val="19"/>
              </w:rPr>
              <w:t>“as long as the candidate’s AFP level remains below 500 ng/mL”</w:t>
            </w:r>
          </w:p>
        </w:tc>
        <w:tc>
          <w:tcPr>
            <w:tcW w:type="dxa" w:w="3360"/>
            <w:tcW w:w="2400" w:type="dxa"/>
            <w:shd w:val="clear" w:color="auto" w:fill="F1F5F8"/>
          </w:tcPr>
          <w:p>
            <w:pPr>
              <w:spacing w:after="0"/>
            </w:pPr>
            <w:r>
              <w:rPr>
                <w:b w:val="0"/>
                <w:i w:val="0"/>
                <w:color w:val="5A6069"/>
                <w:sz w:val="18"/>
              </w:rPr>
              <w:t>OPTN 9.5.I.iv; after prior AFP &gt;1000</w:t>
            </w:r>
          </w:p>
        </w:tc>
      </w:tr>
      <w:tr>
        <w:trPr>
          <w:cantSplit/>
        </w:trPr>
        <w:tc>
          <w:tcPr>
            <w:tcW w:type="dxa" w:w="3360"/>
            <w:tcW w:w="2200" w:type="dxa"/>
            <w:shd w:val="clear" w:color="auto" w:fill="FFFFFF"/>
          </w:tcPr>
          <w:p>
            <w:pPr>
              <w:spacing w:after="0"/>
            </w:pPr>
            <w:r>
              <w:rPr>
                <w:b/>
                <w:i w:val="0"/>
                <w:sz w:val="19"/>
              </w:rPr>
              <w:t>Goldman 2022: final AFP ≥500</w:t>
            </w:r>
          </w:p>
        </w:tc>
        <w:tc>
          <w:tcPr>
            <w:tcW w:type="dxa" w:w="3360"/>
            <w:tcW w:w="54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tc>
        <w:tc>
          <w:tcPr>
            <w:tcW w:type="dxa" w:w="3360"/>
            <w:tcW w:w="2400" w:type="dxa"/>
            <w:shd w:val="clear" w:color="auto" w:fill="FFFFFF"/>
          </w:tcPr>
          <w:p>
            <w:pPr>
              <w:spacing w:after="0"/>
            </w:pPr>
            <w:r>
              <w:rPr>
                <w:b w:val="0"/>
                <w:i w:val="0"/>
                <w:color w:val="5A6069"/>
                <w:sz w:val="18"/>
              </w:rPr>
              <w:t>Main PDF pp 4–9; Tables 1–3 and Figures 1–3.</w:t>
            </w:r>
          </w:p>
        </w:tc>
      </w:tr>
      <w:tr>
        <w:trPr>
          <w:cantSplit/>
        </w:trPr>
        <w:tc>
          <w:tcPr>
            <w:tcW w:type="dxa" w:w="3360"/>
            <w:tcW w:w="2200" w:type="dxa"/>
            <w:shd w:val="clear" w:color="auto" w:fill="F1F5F8"/>
          </w:tcPr>
          <w:p>
            <w:pPr>
              <w:spacing w:after="0"/>
            </w:pPr>
            <w:r>
              <w:rPr>
                <w:b/>
                <w:i w:val="0"/>
                <w:sz w:val="19"/>
              </w:rPr>
              <w:t>Giard 2018: AFP slope</w:t>
            </w:r>
          </w:p>
        </w:tc>
        <w:tc>
          <w:tcPr>
            <w:tcW w:type="dxa" w:w="3360"/>
            <w:tcW w:w="5480" w:type="dxa"/>
            <w:shd w:val="clear" w:color="auto" w:fill="F1F5F8"/>
          </w:tcPr>
          <w:p>
            <w:pPr>
              <w:spacing w:after="0"/>
            </w:pPr>
            <w:r>
              <w:rPr>
                <w:b w:val="0"/>
                <w:i w:val="0"/>
                <w:sz w:val="19"/>
              </w:rPr>
              <w:t>Small, data-selected cutoff group; no prospective hold/release validation. The long-term fitted slope cannot be inferred reliably from two closely spaced noisy results. Death was censored for recurrence-free probability.</w:t>
            </w:r>
          </w:p>
        </w:tc>
        <w:tc>
          <w:tcPr>
            <w:tcW w:type="dxa" w:w="3360"/>
            <w:tcW w:w="2400" w:type="dxa"/>
            <w:shd w:val="clear" w:color="auto" w:fill="F1F5F8"/>
          </w:tcPr>
          <w:p>
            <w:pPr>
              <w:spacing w:after="0"/>
            </w:pPr>
            <w:r>
              <w:rPr>
                <w:b w:val="0"/>
                <w:i w:val="0"/>
                <w:color w:val="5A6069"/>
                <w:sz w:val="18"/>
              </w:rPr>
              <w:t>Main PDF pp 2–6; Tables 1–4 and Figure 1.</w:t>
            </w:r>
          </w:p>
        </w:tc>
      </w:tr>
    </w:tbl>
    <w:p>
      <w:pPr>
        <w:spacing w:after="40"/>
      </w:pPr>
    </w:p>
    <w:p>
      <w:pPr>
        <w:pStyle w:val="Heading3"/>
        <w:keepNext/>
        <w:spacing w:before="120" w:after="80"/>
      </w:pPr>
      <w:r>
        <w:rPr>
          <w:b w:val="0"/>
          <w:i w:val="0"/>
        </w:rPr>
        <w:t>Our proposed selection (OPEN)</w:t>
      </w:r>
    </w:p>
    <w:p>
      <w:pPr>
        <w:spacing w:after="80"/>
      </w:pPr>
      <w:r>
        <w:rPr>
          <w:b w:val="0"/>
          <w:i w:val="0"/>
        </w:rPr>
        <w:t>Peak and serial AFP with dates; liver inflammation; imaging viability; treatment exposure; reason and duration of hold; exception decision; waitlist dropout; explant viability/MVI; recurrence and post-LT survival. Include all evaluated patients, not only those transplanted. OPEN; not activated.</w:t>
      </w:r>
    </w:p>
    <w:p>
      <w:pPr>
        <w:spacing w:after="80"/>
      </w:pPr>
      <w:r>
        <w:rPr>
          <w:b/>
          <w:i w:val="0"/>
        </w:rPr>
        <w:t xml:space="preserve">Why: </w:t>
      </w:r>
      <w:r>
        <w:rPr>
          <w:b w:val="0"/>
          <w:i w:val="0"/>
        </w:rPr>
        <w:t>These data justify risk review but do not validate the proposed operational thresholds or AFP-only transplant benefit.</w:t>
      </w:r>
    </w:p>
    <w:p>
      <w:pPr>
        <w:spacing w:after="80"/>
      </w:pPr>
      <w:r>
        <w:rPr>
          <w:b/>
          <w:i w:val="0"/>
        </w:rPr>
        <w:t xml:space="preserve">Owners: </w:t>
      </w:r>
      <w:r>
        <w:rPr>
          <w:b w:val="0"/>
          <w:i w:val="0"/>
        </w:rPr>
        <w:t>Transplant surgery · hepatology · oncology · radiology · allocation coordination</w:t>
      </w:r>
    </w:p>
    <w:p>
      <w:pPr>
        <w:pStyle w:val="Heading3"/>
        <w:keepNext/>
        <w:spacing w:before="120" w:after="80"/>
      </w:pPr>
      <w:r>
        <w:rPr>
          <w:b w:val="0"/>
          <w:i w:val="0"/>
        </w:rPr>
        <w:t>HCC B1.1f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transplant protocol</w:t>
      </w:r>
    </w:p>
    <w:p>
      <w:pPr>
        <w:spacing w:after="80"/>
      </w:pPr>
      <w:r>
        <w:rPr>
          <w:b w:val="0"/>
          <w:i w:val="0"/>
          <w:color w:val="5A6069"/>
          <w:sz w:val="18"/>
        </w:rPr>
        <w:t>Web page: https://drliuhao.github.io/mh-liver-pathways/transplant/hcc/#high-risk</w:t>
      </w:r>
    </w:p>
    <w:p>
      <w:pPr>
        <w:pStyle w:val="Heading2"/>
        <w:keepNext/>
        <w:spacing w:before="200" w:after="80"/>
      </w:pPr>
      <w:r>
        <w:rPr>
          <w:b w:val="0"/>
          <w:i w:val="0"/>
        </w:rPr>
        <w:t>HCC-B1 — Tumor burden beyond UNOS downstaging criteria</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far beyond UNOS-DS should the program attempt downstaging?</w:t>
      </w:r>
    </w:p>
    <w:p>
      <w:pPr>
        <w:spacing w:after="80"/>
      </w:pPr>
      <w:r>
        <w:rPr>
          <w:b/>
          <w:i w:val="0"/>
        </w:rPr>
        <w:t xml:space="preserve">When it applies: </w:t>
      </w:r>
      <w:r>
        <w:rPr>
          <w:b w:val="0"/>
          <w:i w:val="0"/>
        </w:rPr>
        <w:t>Consider this review when the original tumor burden exceeded UNOS downstaging entry criteria.</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p>
    <w:p>
      <w:pPr>
        <w:spacing w:after="120"/>
      </w:pPr>
      <w:r>
        <w:rPr>
          <w:b/>
          <w:i w:val="0"/>
          <w:sz w:val="18"/>
        </w:rPr>
        <w:t xml:space="preserve">Web page: </w:t>
      </w:r>
      <w:hyperlink r:id="rId5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Xu 2025 · all-comers</w:t>
            </w:r>
          </w:p>
        </w:tc>
        <w:tc>
          <w:tcPr>
            <w:tcW w:type="dxa" w:w="3360"/>
            <w:tcW w:w="5480" w:type="dxa"/>
            <w:shd w:val="clear" w:color="auto" w:fill="F1F5F8"/>
          </w:tcPr>
          <w:p>
            <w:pPr>
              <w:spacing w:after="0"/>
            </w:pPr>
            <w:r>
              <w:rPr>
                <w:b w:val="0"/>
                <w:i w:val="0"/>
                <w:sz w:val="19"/>
              </w:rPr>
              <w:t>“sum of tumor number and largest tumor diameter ≤12” Observationally proposed upper burden boundary, not an externally validated treatment-benefit rule.</w:t>
            </w:r>
          </w:p>
        </w:tc>
        <w:tc>
          <w:tcPr>
            <w:tcW w:type="dxa" w:w="3360"/>
            <w:tcW w:w="2400" w:type="dxa"/>
            <w:shd w:val="clear" w:color="auto" w:fill="F1F5F8"/>
          </w:tcPr>
          <w:p>
            <w:pPr>
              <w:spacing w:after="0"/>
            </w:pPr>
            <w:r>
              <w:rPr>
                <w:b w:val="0"/>
                <w:i w:val="0"/>
                <w:color w:val="5A6069"/>
                <w:sz w:val="18"/>
              </w:rPr>
              <w:t>Author-manuscript PDF p11, conclusion</w:t>
            </w:r>
          </w:p>
        </w:tc>
      </w:tr>
      <w:tr>
        <w:trPr>
          <w:cantSplit/>
        </w:trPr>
        <w:tc>
          <w:tcPr>
            <w:tcW w:type="dxa" w:w="3360"/>
            <w:tcW w:w="2200" w:type="dxa"/>
            <w:shd w:val="clear" w:color="auto" w:fill="FFFFFF"/>
          </w:tcPr>
          <w:p>
            <w:pPr>
              <w:spacing w:after="0"/>
            </w:pPr>
            <w:r>
              <w:rPr>
                <w:b/>
                <w:i w:val="0"/>
                <w:sz w:val="19"/>
              </w:rPr>
              <w:t>Xu 2025 · all-comers</w:t>
            </w:r>
          </w:p>
        </w:tc>
        <w:tc>
          <w:tcPr>
            <w:tcW w:type="dxa" w:w="3360"/>
            <w:tcW w:w="5480" w:type="dxa"/>
            <w:shd w:val="clear" w:color="auto" w:fill="FFFFFF"/>
          </w:tcPr>
          <w:p>
            <w:pPr>
              <w:spacing w:after="0"/>
            </w:pPr>
            <w:r>
              <w:rPr>
                <w:b w:val="0"/>
                <w:i w:val="0"/>
                <w:sz w:val="19"/>
              </w:rPr>
              <w:t>“exclusion criteria of AFP ≥100 and Child Pugh B/C” Supports a narrower initial cohort; does not establish that all excluded patients cannot benefit.</w:t>
            </w:r>
          </w:p>
        </w:tc>
        <w:tc>
          <w:tcPr>
            <w:tcW w:type="dxa" w:w="3360"/>
            <w:tcW w:w="2400" w:type="dxa"/>
            <w:shd w:val="clear" w:color="auto" w:fill="FFFFFF"/>
          </w:tcPr>
          <w:p>
            <w:pPr>
              <w:spacing w:after="0"/>
            </w:pPr>
            <w:r>
              <w:rPr>
                <w:b w:val="0"/>
                <w:i w:val="0"/>
                <w:color w:val="5A6069"/>
                <w:sz w:val="18"/>
              </w:rPr>
              <w:t>Author-manuscript PDF p11, conclusion</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“3-to-6-month period of observation” Six months selects the conservative end of this guidance range; it is not a guarantee of favorable biology.</w:t>
            </w:r>
          </w:p>
        </w:tc>
        <w:tc>
          <w:tcPr>
            <w:tcW w:type="dxa" w:w="3360"/>
            <w:tcW w:w="2400" w:type="dxa"/>
            <w:shd w:val="clear" w:color="auto" w:fill="F1F5F8"/>
          </w:tcPr>
          <w:p>
            <w:pPr>
              <w:spacing w:after="0"/>
            </w:pPr>
            <w:r>
              <w:rPr>
                <w:b w:val="0"/>
                <w:i w:val="0"/>
                <w:color w:val="5A6069"/>
                <w:sz w:val="18"/>
              </w:rPr>
              <w:t>Author-manuscript PDF p56, guidance statement 36</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Yao 2015</w:t>
            </w:r>
          </w:p>
        </w:tc>
        <w:tc>
          <w:tcPr>
            <w:tcW w:type="dxa" w:w="3360"/>
            <w:tcW w:w="3900" w:type="dxa"/>
            <w:shd w:val="clear" w:color="auto" w:fill="F1F5F8"/>
          </w:tcPr>
          <w:p>
            <w:pPr>
              <w:spacing w:after="0"/>
            </w:pPr>
            <w:r>
              <w:rPr>
                <w:b w:val="0"/>
                <w:i w:val="0"/>
                <w:sz w:val="19"/>
              </w:rPr>
              <w:t>Single-center prospective downstaging protocol; 118 downstaging patients versus 488 initially T2 controls, treated in 2002–January 2012. Entry: one lesion ≤8 cm; two/three lesions each ≤5 cm and total ≤8 cm; or four/five each ≤3 cm and total ≤8 cm; no macrovascular invasion; ≥3 months observation after successful downstaging.</w:t>
            </w:r>
          </w:p>
        </w:tc>
        <w:tc>
          <w:tcPr>
            <w:tcW w:type="dxa" w:w="3360"/>
            <w:tcW w:w="4180" w:type="dxa"/>
            <w:shd w:val="clear" w:color="auto" w:fill="F1F5F8"/>
          </w:tcPr>
          <w:p>
            <w:pPr>
              <w:spacing w:after="0"/>
            </w:pPr>
            <w:r>
              <w:rPr>
                <w:b w:val="0"/>
                <w:i w:val="0"/>
                <w:sz w:val="19"/>
              </w:rPr>
              <w:t>Downstaging succeeded in 77/118 (65.3%); 64/118 (54.2%) underwent LT. Five-year post-LT survival was 77.8% versus 81.0%; recurrence-free probability 90.8% versus 88.0%. Five-year intention-to-treat survival was 56.1% versus 63.3%; two-year dropout 34.2% versus 25.6%. Five transplanted downstaging patients developed recurrence.</w:t>
            </w:r>
          </w:p>
          <w:p>
            <w:pPr>
              <w:spacing w:after="0"/>
            </w:pPr>
            <w:r>
              <w:rPr>
                <w:b w:val="0"/>
                <w:i/>
                <w:sz w:val="19"/>
              </w:rPr>
              <w:t>Limits: Bounded protocol, older treatments and selected recipients; recipient survival excludes downstaging failure. Recurrence-free probability is not automatically a death-inclusive DFS endpoint.</w:t>
            </w:r>
          </w:p>
          <w:p>
            <w:pPr>
              <w:spacing w:after="0"/>
            </w:pPr>
            <w:r>
              <w:rPr>
                <w:b w:val="0"/>
                <w:i w:val="0"/>
                <w:color w:val="5A6069"/>
                <w:sz w:val="18"/>
              </w:rPr>
              <w:t>Primary PMC full text: Methods, Results and survival figures; DOI 10.1002/hep.27752. Complete PDF not saved.</w:t>
            </w:r>
          </w:p>
        </w:tc>
      </w:tr>
      <w:tr>
        <w:trPr>
          <w:cantSplit/>
        </w:trPr>
        <w:tc>
          <w:tcPr>
            <w:tcW w:type="dxa" w:w="3360"/>
            <w:tcW w:w="2000" w:type="dxa"/>
            <w:shd w:val="clear" w:color="auto" w:fill="FFFFFF"/>
          </w:tcPr>
          <w:p>
            <w:pPr>
              <w:spacing w:after="0"/>
            </w:pPr>
            <w:r>
              <w:rPr>
                <w:b/>
                <w:i w:val="0"/>
                <w:sz w:val="19"/>
              </w:rPr>
              <w:t>Mehta 2021</w:t>
            </w:r>
          </w:p>
        </w:tc>
        <w:tc>
          <w:tcPr>
            <w:tcW w:type="dxa" w:w="3360"/>
            <w:tcW w:w="3900" w:type="dxa"/>
            <w:shd w:val="clear" w:color="auto" w:fill="FFFFFF"/>
          </w:tcPr>
          <w:p>
            <w:pPr>
              <w:spacing w:after="0"/>
            </w:pPr>
            <w:r>
              <w:rPr>
                <w:b w:val="0"/>
                <w:i w:val="0"/>
                <w:sz w:val="19"/>
              </w:rPr>
              <w:t>Prospective MERITS-LT cohort: 209 UNOS-DS patients at seven centers in four US regions, 2016–2019. UNOS-DS entry limits; predominantly Child-Pugh A/B; bilirubin ≤4 mg/dL; Child-Pugh B/C with AFP &gt;1,000 excluded. Initial TACE versus Y90 was not randomized.</w:t>
            </w:r>
          </w:p>
        </w:tc>
        <w:tc>
          <w:tcPr>
            <w:tcW w:type="dxa" w:w="3360"/>
            <w:tcW w:w="4180" w:type="dxa"/>
            <w:shd w:val="clear" w:color="auto" w:fill="FFFFFF"/>
          </w:tcPr>
          <w:p>
            <w:pPr>
              <w:spacing w:after="0"/>
            </w:pPr>
            <w:r>
              <w:rPr>
                <w:b w:val="0"/>
                <w:i w:val="0"/>
                <w:sz w:val="19"/>
              </w:rPr>
              <w:t>174/209 (83.3%) achieved downstaging; two-year estimated success 87.7%. Observed dropout was 75/209, including 51 tumor progressions and nine liver-related deaths; two-year competing-risk dropout 37.3%. LT occurred in 63/209 by cutoff; three-year LT probability 46.6%. Median post-LT follow-up 1.7 years; two-year recipient survival 95%, three-year 83.1%; recurrence 5/63. Three-year treatment-entry survival 73%. Explants exceeded Milan in 42.8%, with microvascular invasion in 17.5%.</w:t>
            </w:r>
          </w:p>
          <w:p>
            <w:pPr>
              <w:spacing w:after="0"/>
            </w:pPr>
            <w:r>
              <w:rPr>
                <w:b w:val="0"/>
                <w:i/>
                <w:sz w:val="19"/>
              </w:rPr>
              <w:t>Limits: Early post-LT follow-up and substantial radiology/explant discordance; success of an imaging endpoint does not establish absence of viable cancer. Overlaps later MERITS expansions.</w:t>
            </w:r>
          </w:p>
          <w:p>
            <w:pPr>
              <w:spacing w:after="0"/>
            </w:pPr>
            <w:r>
              <w:rPr>
                <w:b w:val="0"/>
                <w:i w:val="0"/>
                <w:color w:val="5A6069"/>
                <w:sz w:val="18"/>
              </w:rPr>
              <w:t>Complete local author manuscript, PDF pp6–9, Table 3.</w:t>
            </w:r>
          </w:p>
        </w:tc>
      </w:tr>
      <w:tr>
        <w:trPr>
          <w:cantSplit/>
        </w:trPr>
        <w:tc>
          <w:tcPr>
            <w:tcW w:type="dxa" w:w="3360"/>
            <w:tcW w:w="2000" w:type="dxa"/>
            <w:shd w:val="clear" w:color="auto" w:fill="F1F5F8"/>
          </w:tcPr>
          <w:p>
            <w:pPr>
              <w:spacing w:after="0"/>
            </w:pPr>
            <w:r>
              <w:rPr>
                <w:b/>
                <w:i w:val="0"/>
                <w:sz w:val="19"/>
              </w:rPr>
              <w:t>Sinha 2019</w:t>
            </w:r>
          </w:p>
        </w:tc>
        <w:tc>
          <w:tcPr>
            <w:tcW w:type="dxa" w:w="3360"/>
            <w:tcW w:w="3900" w:type="dxa"/>
            <w:shd w:val="clear" w:color="auto" w:fill="F1F5F8"/>
          </w:tcPr>
          <w:p>
            <w:pPr>
              <w:spacing w:after="0"/>
            </w:pPr>
            <w:r>
              <w:rPr>
                <w:b w:val="0"/>
                <w:i w:val="0"/>
                <w:sz w:val="19"/>
              </w:rPr>
              <w:t>Single-center all-comers analysis: 74 beyond-UCSF-DS patients versus 133 bounded UCSF-DS patients. All-comers exceeded the established downstaging burden limits; full-text confirmation of era and entry exclusions remains pending.</w:t>
            </w:r>
          </w:p>
        </w:tc>
        <w:tc>
          <w:tcPr>
            <w:tcW w:type="dxa" w:w="3360"/>
            <w:tcW w:w="4180" w:type="dxa"/>
            <w:shd w:val="clear" w:color="auto" w:fill="F1F5F8"/>
          </w:tcPr>
          <w:p>
            <w:pPr>
              <w:spacing w:after="0"/>
            </w:pPr>
            <w:r>
              <w:rPr>
                <w:b w:val="0"/>
                <w:i w:val="0"/>
                <w:sz w:val="19"/>
              </w:rPr>
              <w:t>Downstaging success: 64.8% versus 84.2%. Three-year dropout: 80.0% versus 36.1%. LT: 10/74 (13.5%) all-comers versus 59.0% of bounded patients. Five-year intention-to-treat survival: 21.1% versus 56.0%; three of ten all-comer recipients recurred. Number plus largest diameter &gt;8 and Child-Pugh B/C predicted dropout.</w:t>
            </w:r>
          </w:p>
          <w:p>
            <w:pPr>
              <w:spacing w:after="0"/>
            </w:pPr>
            <w:r>
              <w:rPr>
                <w:b w:val="0"/>
                <w:i/>
                <w:sz w:val="19"/>
              </w:rPr>
              <w:t>Limits: Strong counterevidence to unlimited entry, but small historical single-center cohort. Primary abstract only; treatment-entry timing and endpoint definitions require full text. Not a validation of a ≤12 cutoff.</w:t>
            </w:r>
          </w:p>
          <w:p>
            <w:pPr>
              <w:spacing w:after="0"/>
            </w:pPr>
            <w:r>
              <w:rPr>
                <w:b w:val="0"/>
                <w:i w:val="0"/>
                <w:color w:val="5A6069"/>
                <w:sz w:val="18"/>
              </w:rPr>
              <w:t>Published primary abstract, PMID 30779440, Results.</w:t>
            </w:r>
          </w:p>
        </w:tc>
      </w:tr>
      <w:tr>
        <w:trPr>
          <w:cantSplit/>
        </w:trPr>
        <w:tc>
          <w:tcPr>
            <w:tcW w:type="dxa" w:w="3360"/>
            <w:tcW w:w="2000" w:type="dxa"/>
            <w:shd w:val="clear" w:color="auto" w:fill="FFFFFF"/>
          </w:tcPr>
          <w:p>
            <w:pPr>
              <w:spacing w:after="0"/>
            </w:pPr>
            <w:r>
              <w:rPr>
                <w:b/>
                <w:i w:val="0"/>
                <w:sz w:val="19"/>
              </w:rPr>
              <w:t>Natarajan 2023</w:t>
            </w:r>
          </w:p>
        </w:tc>
        <w:tc>
          <w:tcPr>
            <w:tcW w:type="dxa" w:w="3360"/>
            <w:tcW w:w="3900" w:type="dxa"/>
            <w:shd w:val="clear" w:color="auto" w:fill="FFFFFF"/>
          </w:tcPr>
          <w:p>
            <w:pPr>
              <w:spacing w:after="0"/>
            </w:pPr>
            <w:r>
              <w:rPr>
                <w:b w:val="0"/>
                <w:i w:val="0"/>
                <w:sz w:val="19"/>
              </w:rPr>
              <w:t>Prospective MERITS-LT expansion: 82 all-comers versus 229 UNOS-DS patients, seven centers, 2015–2020. All-comers exceeded UNOS-DS. Liver reserve and AFP identified poor-prognosis subgroups rather than a randomized selection rule.</w:t>
            </w:r>
          </w:p>
        </w:tc>
        <w:tc>
          <w:tcPr>
            <w:tcW w:type="dxa" w:w="3360"/>
            <w:tcW w:w="4180" w:type="dxa"/>
            <w:shd w:val="clear" w:color="auto" w:fill="FFFFFF"/>
          </w:tcPr>
          <w:p>
            <w:pPr>
              <w:spacing w:after="0"/>
            </w:pPr>
            <w:r>
              <w:rPr>
                <w:b w:val="0"/>
                <w:i w:val="0"/>
                <w:sz w:val="19"/>
              </w:rPr>
              <w:t>Twelve-month downstaging: 67% versus 83%. Three-year entry survival: 58% versus 69%; approximately 30% in all-comers with Child-Pugh B/C or AFP ≥500. LT occurred in 20/82 versus 85/229; five-year LT probability 42.2% versus 73.6%. Recipient three-year survival: 90.9% versus 80.6%; recurrence 1/20 versus 7/85. Median post-LT follow-up was only about 18.5 months. All-comer dropouts numbered 39: 25 before and 14 after downstaging.</w:t>
            </w:r>
          </w:p>
          <w:p>
            <w:pPr>
              <w:spacing w:after="0"/>
            </w:pPr>
            <w:r>
              <w:rPr>
                <w:b w:val="0"/>
                <w:i/>
                <w:sz w:val="19"/>
              </w:rPr>
              <w:t>Limits: Immature recipient estimates and substantial attrition. Cohort overlaps earlier MERITS and Xu 2025; do not sum patients or treat as independent validation.</w:t>
            </w:r>
          </w:p>
          <w:p>
            <w:pPr>
              <w:spacing w:after="0"/>
            </w:pPr>
            <w:r>
              <w:rPr>
                <w:b w:val="0"/>
                <w:i w:val="0"/>
                <w:color w:val="5A6069"/>
                <w:sz w:val="18"/>
              </w:rPr>
              <w:t>Primary PMC full text, Results §3.5 and outcome tables, PMC10998692; PDF pending.</w:t>
            </w:r>
          </w:p>
        </w:tc>
      </w:tr>
      <w:tr>
        <w:trPr>
          <w:cantSplit/>
        </w:trPr>
        <w:tc>
          <w:tcPr>
            <w:tcW w:type="dxa" w:w="3360"/>
            <w:tcW w:w="2000" w:type="dxa"/>
            <w:shd w:val="clear" w:color="auto" w:fill="F1F5F8"/>
          </w:tcPr>
          <w:p>
            <w:pPr>
              <w:spacing w:after="0"/>
            </w:pPr>
            <w:r>
              <w:rPr>
                <w:b/>
                <w:i w:val="0"/>
                <w:sz w:val="19"/>
              </w:rPr>
              <w:t>Xu 2025 · all-comers</w:t>
            </w:r>
          </w:p>
        </w:tc>
        <w:tc>
          <w:tcPr>
            <w:tcW w:type="dxa" w:w="3360"/>
            <w:tcW w:w="3900" w:type="dxa"/>
            <w:shd w:val="clear" w:color="auto" w:fill="F1F5F8"/>
          </w:tcPr>
          <w:p>
            <w:pPr>
              <w:spacing w:after="0"/>
            </w:pPr>
            <w:r>
              <w:rPr>
                <w:b w:val="0"/>
                <w:i w:val="0"/>
                <w:sz w:val="19"/>
              </w:rPr>
              <w:t>National prospective cohort, nine centers, 2015–2023: 190 all-comers and 326 UNOS-DS patients; intention-to-treat clock starts at first locoregional treatment. No extrahepatic disease or macrovascular invasion; all-comers exceeded UNOS-DS. Proposed burden and biologic refinements were derived from this cohort, not prospectively locked eligibility criteria.</w:t>
            </w:r>
          </w:p>
        </w:tc>
        <w:tc>
          <w:tcPr>
            <w:tcW w:type="dxa" w:w="3360"/>
            <w:tcW w:w="4180" w:type="dxa"/>
            <w:shd w:val="clear" w:color="auto" w:fill="F1F5F8"/>
          </w:tcPr>
          <w:p>
            <w:pPr>
              <w:spacing w:after="0"/>
            </w:pPr>
            <w:r>
              <w:rPr>
                <w:b w:val="0"/>
                <w:i w:val="0"/>
                <w:sz w:val="19"/>
              </w:rPr>
              <w:t>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spacing w:after="0"/>
            </w:pPr>
            <w:r>
              <w:rPr>
                <w:b w:val="0"/>
                <w:i/>
                <w:sz w:val="19"/>
              </w:rPr>
              <w:t>Limits: Selected-recipient success cannot replace entry survival; five-year tails are immature. Y90/TACE comparisons were observational. The proposed number-plus-diameter ≤12, AFP &lt;100 and Child-Pugh A combination remains unvalidated.</w:t>
            </w:r>
          </w:p>
          <w:p>
            <w:pPr>
              <w:spacing w:after="0"/>
            </w:pPr>
            <w:r>
              <w:rPr>
                <w:b w:val="0"/>
                <w:i w:val="0"/>
                <w:color w:val="5A6069"/>
                <w:sz w:val="18"/>
              </w:rPr>
              <w:t>Complete local PDF, Results pp6–9, Tables 3–4; proposed refinements in Discussion pp9–11.</w:t>
            </w:r>
          </w:p>
        </w:tc>
      </w:tr>
      <w:tr>
        <w:trPr>
          <w:cantSplit/>
        </w:trPr>
        <w:tc>
          <w:tcPr>
            <w:tcW w:type="dxa" w:w="3360"/>
            <w:tcW w:w="2000" w:type="dxa"/>
            <w:shd w:val="clear" w:color="auto" w:fill="FFFFFF"/>
          </w:tcPr>
          <w:p>
            <w:pPr>
              <w:spacing w:after="0"/>
            </w:pPr>
            <w:r>
              <w:rPr>
                <w:b/>
                <w:i w:val="0"/>
                <w:sz w:val="19"/>
              </w:rPr>
              <w:t>XXL 2020</w:t>
            </w:r>
          </w:p>
        </w:tc>
        <w:tc>
          <w:tcPr>
            <w:tcW w:type="dxa" w:w="3360"/>
            <w:tcW w:w="3900" w:type="dxa"/>
            <w:shd w:val="clear" w:color="auto" w:fill="FFFFFF"/>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FFFFF"/>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1F5F8"/>
          </w:tcPr>
          <w:p>
            <w:pPr>
              <w:spacing w:after="0"/>
            </w:pPr>
            <w:r>
              <w:rPr>
                <w:b/>
                <w:i w:val="0"/>
                <w:sz w:val="19"/>
              </w:rPr>
              <w:t>Huang 2023</w:t>
            </w:r>
          </w:p>
        </w:tc>
        <w:tc>
          <w:tcPr>
            <w:tcW w:type="dxa" w:w="3360"/>
            <w:tcW w:w="3900" w:type="dxa"/>
            <w:shd w:val="clear" w:color="auto" w:fill="F1F5F8"/>
          </w:tcPr>
          <w:p>
            <w:pPr>
              <w:spacing w:after="0"/>
            </w:pPr>
            <w:r>
              <w:rPr>
                <w:b w:val="0"/>
                <w:i w:val="0"/>
                <w:sz w:val="19"/>
              </w:rPr>
              <w:t>UNOS national cohort, 2010–2019: 23,398 HCC exception applicants—20,579 initially Milan, 2,151 UNOS-DS, 668 all-comers. Time zero was first HCC exception application, not first downstaging treatment. Patients had already reached the allocation/application stage.</w:t>
            </w:r>
          </w:p>
        </w:tc>
        <w:tc>
          <w:tcPr>
            <w:tcW w:type="dxa" w:w="3360"/>
            <w:tcW w:w="4180" w:type="dxa"/>
            <w:shd w:val="clear" w:color="auto" w:fill="F1F5F8"/>
          </w:tcPr>
          <w:p>
            <w:pPr>
              <w:spacing w:after="0"/>
            </w:pPr>
            <w:r>
              <w:rPr>
                <w:b w:val="0"/>
                <w:i w:val="0"/>
                <w:sz w:val="19"/>
              </w:rPr>
              <w:t>Two-year dropout: 19.3%, 25.3% and 29.7%, respectively; the direct all-comer versus UNOS-DS difference was not significant (P=.07). In all-comers with initial AFP &gt;100, two-year dropout was 52%, versus 26% in the comparison beyond-Milan patients. Higher MELD and total tumor diameter predicted dropout.</w:t>
            </w:r>
          </w:p>
          <w:p>
            <w:pPr>
              <w:spacing w:after="0"/>
            </w:pPr>
            <w:r>
              <w:rPr>
                <w:b w:val="0"/>
                <w:i/>
                <w:sz w:val="19"/>
              </w:rPr>
              <w:t>Limits: Useful real-world waitlist counterevidence, but excludes patients lost before exception application and cannot supply first-LRT intention-to-treat survival. National registry overlaps other US registry studies.</w:t>
            </w:r>
          </w:p>
          <w:p>
            <w:pPr>
              <w:spacing w:after="0"/>
            </w:pPr>
            <w:r>
              <w:rPr>
                <w:b w:val="0"/>
                <w:i w:val="0"/>
                <w:color w:val="5A6069"/>
                <w:sz w:val="18"/>
              </w:rPr>
              <w:t>Primary abstract plus publisher Methods/Results, DOI 10.1016/j.cgh.2022.08.023; complete PDF pending.</w:t>
            </w:r>
          </w:p>
        </w:tc>
      </w:tr>
      <w:tr>
        <w:trPr>
          <w:cantSplit/>
        </w:trPr>
        <w:tc>
          <w:tcPr>
            <w:tcW w:type="dxa" w:w="3360"/>
            <w:tcW w:w="2000" w:type="dxa"/>
            <w:shd w:val="clear" w:color="auto" w:fill="FFFFFF"/>
          </w:tcPr>
          <w:p>
            <w:pPr>
              <w:spacing w:after="0"/>
            </w:pPr>
            <w:r>
              <w:rPr>
                <w:b/>
                <w:i w:val="0"/>
                <w:sz w:val="19"/>
              </w:rPr>
              <w:t>Tabrizian 2022</w:t>
            </w:r>
          </w:p>
        </w:tc>
        <w:tc>
          <w:tcPr>
            <w:tcW w:type="dxa" w:w="3360"/>
            <w:tcW w:w="3900" w:type="dxa"/>
            <w:shd w:val="clear" w:color="auto" w:fill="FFFFFF"/>
          </w:tcPr>
          <w:p>
            <w:pPr>
              <w:spacing w:after="0"/>
            </w:pPr>
            <w:r>
              <w:rPr>
                <w:b w:val="0"/>
                <w:i w:val="0"/>
                <w:sz w:val="19"/>
              </w:rPr>
              <w:t>Five-center US recipient cohort, 2001–2015: 2,645 transplanted patients, including 2,122 always within Milan, 341 downstaged and 182 still beyond Milan. Only 168 of the 341 downstaged patients originally met UNOS-DS limits. All analyses start with patients who actually received a graft.</w:t>
            </w:r>
          </w:p>
        </w:tc>
        <w:tc>
          <w:tcPr>
            <w:tcW w:type="dxa" w:w="3360"/>
            <w:tcW w:w="4180" w:type="dxa"/>
            <w:shd w:val="clear" w:color="auto" w:fill="FFFFFF"/>
          </w:tcPr>
          <w:p>
            <w:pPr>
              <w:spacing w:after="0"/>
            </w:pPr>
            <w:r>
              <w:rPr>
                <w:b w:val="0"/>
                <w:i w:val="0"/>
                <w:sz w:val="19"/>
              </w:rPr>
              <w:t>Ten-year post-LT overall survival was 61.5%, 52.1% and 43.3%; ten-year recurrence was 13.3%, 20.6% and 41.1%, respectively. Median follow-up was 55.3 months.</w:t>
            </w:r>
          </w:p>
          <w:p>
            <w:pPr>
              <w:spacing w:after="0"/>
            </w:pPr>
            <w:r>
              <w:rPr>
                <w:b w:val="0"/>
                <w:i/>
                <w:sz w:val="19"/>
              </w:rPr>
              <w:t>Limits: Longer-term cancer risk persists after successful downstaging. Recipient-only retrospective data do not estimate entry survival or probability of ever reaching LT; long-term tails have fewer patients.</w:t>
            </w:r>
          </w:p>
          <w:p>
            <w:pPr>
              <w:spacing w:after="0"/>
            </w:pPr>
            <w:r>
              <w:rPr>
                <w:b w:val="0"/>
                <w:i w:val="0"/>
                <w:color w:val="5A6069"/>
                <w:sz w:val="18"/>
              </w:rPr>
              <w:t>Primary PMC Methods/Results and survival tables, PMC9301590; complete PDF pending.</w:t>
            </w:r>
          </w:p>
        </w:tc>
      </w:tr>
    </w:tbl>
    <w:p>
      <w:pPr>
        <w:spacing w:after="40"/>
      </w:pPr>
    </w:p>
    <w:p>
      <w:pPr>
        <w:pStyle w:val="Heading3"/>
        <w:keepNext/>
        <w:spacing w:before="120" w:after="80"/>
      </w:pPr>
      <w:r>
        <w:rPr>
          <w:b w:val="0"/>
          <w:i w:val="0"/>
        </w:rPr>
        <w:t>Our proposed selection (OPEN)</w:t>
      </w:r>
    </w:p>
    <w:p>
      <w:pPr>
        <w:spacing w:after="80"/>
      </w:pPr>
      <w:r>
        <w:rPr>
          <w:b w:val="0"/>
          <w:i w:val="0"/>
        </w:rPr>
        <w:t>Open a bounded prospective beyond-UNOS downstaging cohort, not an unrestricted all-comers pathway.</w:t>
      </w:r>
    </w:p>
    <w:p>
      <w:pPr>
        <w:numPr>
          <w:ilvl w:val="0"/>
          <w:numId w:val="5"/>
        </w:numPr>
        <w:spacing w:after="40"/>
      </w:pPr>
      <w:r>
        <w:rPr>
          <w:b w:val="0"/>
          <w:i w:val="0"/>
        </w:rPr>
        <w:t>Proposed entry ceiling: original pretreatment tumor count plus largest tumor diameter in cm ≤12; AFP &lt;100 ng/mL; Child-Pugh A; no macrovascular invasion, current or previous extrahepatic disease (HCC-B5) or unmeasurable infiltrative tumor. These restrictions apply to the expanded arm, not to otherwise standard-eligible HCC.</w:t>
      </w:r>
    </w:p>
    <w:p>
      <w:pPr>
        <w:numPr>
          <w:ilvl w:val="0"/>
          <w:numId w:val="5"/>
        </w:numPr>
        <w:spacing w:after="40"/>
      </w:pPr>
      <w:r>
        <w:rPr>
          <w:b w:val="0"/>
          <w:i w:val="0"/>
        </w:rPr>
        <w:t>Before LT: viable tumor burden within Milan, or complete nonviability, with at least six months of documented stability from the first assessment meeting that target. Repeat liver CT/MRI and AFP at least every three months; confirmed progression holds the route and resets the study control clock after new successful downstaging.</w:t>
      </w:r>
    </w:p>
    <w:p>
      <w:pPr>
        <w:numPr>
          <w:ilvl w:val="0"/>
          <w:numId w:val="5"/>
        </w:numPr>
        <w:spacing w:after="40"/>
      </w:pPr>
      <w:r>
        <w:rPr>
          <w:b w:val="0"/>
          <w:i w:val="0"/>
        </w:rPr>
        <w:t>Preserve baseline measurements and AFP. A prior AFP ≥100 or Child-Pugh B/C at expanded-arm entry belongs to a separately approved stratum; do not erase that history after response. Do not combine this expansion with the portal-vein tumor invasion study.</w:t>
      </w:r>
    </w:p>
    <w:p>
      <w:pPr>
        <w:spacing w:after="80"/>
      </w:pPr>
      <w:r>
        <w:rPr>
          <w:b/>
          <w:i w:val="0"/>
        </w:rPr>
        <w:t xml:space="preserve">Why: </w:t>
      </w:r>
      <w:r>
        <w:rPr>
          <w:b w:val="0"/>
          <w:i w:val="0"/>
        </w:rPr>
        <w:t>Evidence supports offering a bounded downstaging pathway to selected beyond-UNOS patients, not unrestricted transplantation. Attrition before LT materially changes the counseling estimate: survival among recipients is consistently better than survival from treatment entry. Randomized XXL supports LT after sustained response but does not validate the proposed baseline burden/AFP/reserve combination. The ≤12, AFP &lt;100, Child-Pugh A pilot envelope is a deliberately conservative candidate rule derived from observational risk signals. Observation is a test of behavior, not proof that dormant metastases are absent.</w:t>
      </w:r>
    </w:p>
    <w:p>
      <w:pPr>
        <w:spacing w:after="80"/>
      </w:pPr>
      <w:r>
        <w:rPr>
          <w:b/>
          <w:i w:val="0"/>
        </w:rPr>
        <w:t xml:space="preserve">Against, or uncertain: </w:t>
      </w:r>
      <w:r>
        <w:rPr>
          <w:b w:val="0"/>
          <w:i w:val="0"/>
        </w:rPr>
        <w:t>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spacing w:after="80"/>
      </w:pPr>
      <w:r>
        <w:rPr>
          <w:b/>
          <w:i w:val="0"/>
        </w:rPr>
        <w:t xml:space="preserve">Certainty: </w:t>
      </w:r>
      <w:r>
        <w:rPr>
          <w:b w:val="0"/>
          <w:i w:val="0"/>
        </w:rPr>
        <w:t>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spacing w:after="80"/>
      </w:pPr>
      <w:r>
        <w:rPr>
          <w:b/>
          <w:i w:val="0"/>
        </w:rPr>
        <w:t xml:space="preserve">Tests and records: </w:t>
      </w:r>
      <w:r>
        <w:rPr>
          <w:b w:val="0"/>
          <w:i w:val="0"/>
        </w:rPr>
        <w:t>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spacing w:after="80"/>
      </w:pPr>
      <w:r>
        <w:rPr>
          <w:b/>
          <w:i w:val="0"/>
        </w:rPr>
        <w:t xml:space="preserve">Allocation: </w:t>
      </w:r>
      <w:r>
        <w:rPr>
          <w:b w:val="0"/>
          <w:i w:val="0"/>
        </w:rPr>
        <w:t>Reaching Milan/T2 does not retrospectively create standardized downstaging entry eligibility. A nonstandard exception request, calculated-MELD route or LDLT review remains separate; apply the actual allocation clock.</w:t>
      </w:r>
    </w:p>
    <w:p>
      <w:pPr>
        <w:spacing w:after="40"/>
      </w:pPr>
      <w:r>
        <w:rPr>
          <w:b/>
          <w:i w:val="0"/>
        </w:rPr>
        <w:t xml:space="preserve">Basis for the proposed thresholds: </w:t>
      </w:r>
    </w:p>
    <w:p>
      <w:pPr>
        <w:numPr>
          <w:ilvl w:val="0"/>
          <w:numId w:val="5"/>
        </w:numPr>
        <w:spacing w:after="40"/>
      </w:pPr>
      <w:r>
        <w:rPr>
          <w:b w:val="0"/>
          <w:i w:val="0"/>
        </w:rPr>
        <w:t>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spacing w:before="120" w:after="80"/>
      </w:pPr>
      <w:r>
        <w:rPr>
          <w:b w:val="0"/>
          <w:i w:val="0"/>
        </w:rPr>
        <w:t>HCC-B1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HCC-B1.1 — AFP-only failure or discordance with imaging</w:t>
      </w:r>
    </w:p>
    <w:p>
      <w:pPr>
        <w:spacing w:after="80"/>
      </w:pPr>
      <w:r>
        <w:rPr>
          <w:b w:val="0"/>
          <w:i w:val="0"/>
          <w:color w:val="5A6069"/>
          <w:sz w:val="18"/>
        </w:rPr>
        <w:t>AFP-only review · OPEN · not activated · High-risk review</w:t>
      </w:r>
    </w:p>
    <w:p>
      <w:pPr>
        <w:spacing w:after="80"/>
      </w:pPr>
      <w:r>
        <w:rPr>
          <w:b/>
          <w:i w:val="0"/>
        </w:rPr>
        <w:t xml:space="preserve">When it applies: </w:t>
      </w:r>
      <w:r>
        <w:rPr>
          <w:b w:val="0"/>
          <w:i w:val="0"/>
        </w:rPr>
        <w:t>High or rising AFP despite controlled/uncertain imaging, including patients otherwise within Milan. Do not inherit B1 expanded-burden AFP &lt;100.</w:t>
      </w:r>
    </w:p>
    <w:p>
      <w:pPr>
        <w:spacing w:after="80"/>
      </w:pPr>
      <w:r>
        <w:rPr>
          <w:b/>
          <w:i w:val="0"/>
        </w:rPr>
        <w:t xml:space="preserve">Where it is decided: </w:t>
      </w:r>
      <w:hyperlink r:id="rId34">
        <w:r>
          <w:rPr>
            <w:color w:val="0563C1"/>
            <w:u w:val="single"/>
          </w:rPr>
          <w:t xml:space="preserve">Check MELD-exception criteria</w:t>
        </w:r>
      </w:hyperlink>
      <w:r>
        <w:rPr>
          <w:b w:val="0"/>
          <w:i w:val="0"/>
        </w:rPr>
        <w:t xml:space="preserve"> · </w:t>
      </w:r>
      <w:hyperlink r:id="rId39">
        <w:r>
          <w:rPr>
            <w:color w:val="0563C1"/>
            <w:u w:val="single"/>
          </w:rPr>
          <w:t xml:space="preserve">Plan bridging or downstaging treatment</w:t>
        </w:r>
      </w:hyperlink>
      <w:r>
        <w:rPr>
          <w:b w:val="0"/>
          <w:i w:val="0"/>
        </w:rPr>
        <w:t xml:space="preserve"> · </w:t>
      </w:r>
      <w:hyperlink r:id="rId41">
        <w:r>
          <w:rPr>
            <w:color w:val="0563C1"/>
            <w:u w:val="single"/>
          </w:rPr>
          <w:t xml:space="preserve">Review listing and MELD-exception request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5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Mehta 2019: AFP response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Five-year post-LT OS: 48.8% with final AFP &gt;1000, 67.0% at 101–499, and 88.4% at ≤100. Corresponding Kaplan–Meier recurrence estimates: 35.0%, 13.3%, and 7.2%. The 500–1000 group had only 17 patients. Differences between ≤100 and 101–499 were not statistically significant.</w:t>
            </w:r>
          </w:p>
          <w:p>
            <w:pPr>
              <w:spacing w:after="0"/>
            </w:pPr>
            <w:r>
              <w:rPr>
                <w:b w:val="0"/>
                <w:i w:val="0"/>
                <w:sz w:val="19"/>
              </w:rPr>
            </w:r>
          </w:p>
          <w:p>
            <w:pPr>
              <w:spacing w:after="0"/>
            </w:pPr>
            <w:r>
              <w:rPr>
                <w:b w:val="0"/>
                <w:i w:val="0"/>
                <w:color w:val="5A6069"/>
                <w:sz w:val="18"/>
              </w:rPr>
              <w:t>Main PDF pp 3–9; Tables 1–3 and Figures 1–3.</w:t>
            </w:r>
          </w:p>
        </w:tc>
      </w:tr>
      <w:tr>
        <w:trPr>
          <w:cantSplit/>
        </w:trPr>
        <w:tc>
          <w:tcPr>
            <w:tcW w:type="dxa" w:w="3360"/>
            <w:tcW w:w="2000" w:type="dxa"/>
            <w:shd w:val="clear" w:color="auto" w:fill="FFFFFF"/>
          </w:tcPr>
          <w:p>
            <w:pPr>
              <w:spacing w:after="0"/>
            </w:pPr>
            <w:r>
              <w:rPr>
                <w:b/>
                <w:i w:val="0"/>
                <w:sz w:val="19"/>
              </w:rPr>
              <w:t>Goldman 2022: final AFP ≥500</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p>
            <w:pPr>
              <w:spacing w:after="0"/>
            </w:pPr>
            <w:r>
              <w:rPr>
                <w:b w:val="0"/>
                <w:i w:val="0"/>
                <w:sz w:val="19"/>
              </w:rPr>
            </w:r>
          </w:p>
          <w:p>
            <w:pPr>
              <w:spacing w:after="0"/>
            </w:pPr>
            <w:r>
              <w:rPr>
                <w:b w:val="0"/>
                <w:i w:val="0"/>
                <w:color w:val="5A6069"/>
                <w:sz w:val="18"/>
              </w:rPr>
              <w:t>Main PDF pp 4–9; Tables 1–3 and Figures 1–3.</w:t>
            </w:r>
          </w:p>
        </w:tc>
      </w:tr>
      <w:tr>
        <w:trPr>
          <w:cantSplit/>
        </w:trPr>
        <w:tc>
          <w:tcPr>
            <w:tcW w:type="dxa" w:w="3360"/>
            <w:tcW w:w="2000" w:type="dxa"/>
            <w:shd w:val="clear" w:color="auto" w:fill="F1F5F8"/>
          </w:tcPr>
          <w:p>
            <w:pPr>
              <w:spacing w:after="0"/>
            </w:pPr>
            <w:r>
              <w:rPr>
                <w:b/>
                <w:i w:val="0"/>
                <w:sz w:val="19"/>
              </w:rPr>
              <w:t>Giard 2018: AFP slope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spacing w:after="0"/>
            </w:pPr>
            <w:r>
              <w:rPr>
                <w:b w:val="0"/>
                <w:i w:val="0"/>
                <w:sz w:val="19"/>
              </w:rPr>
            </w:r>
          </w:p>
          <w:p>
            <w:pPr>
              <w:spacing w:after="0"/>
            </w:pPr>
            <w:r>
              <w:rPr>
                <w:b w:val="0"/>
                <w:i w:val="0"/>
                <w:color w:val="5A6069"/>
                <w:sz w:val="18"/>
              </w:rPr>
              <w:t>Main PDF pp 2–6; Tables 1–4 and Figure 1.</w:t>
            </w:r>
          </w:p>
        </w:tc>
      </w:tr>
      <w:tr>
        <w:trPr>
          <w:cantSplit/>
        </w:trPr>
        <w:tc>
          <w:tcPr>
            <w:tcW w:type="dxa" w:w="3360"/>
            <w:tcW w:w="2000" w:type="dxa"/>
            <w:shd w:val="clear" w:color="auto" w:fill="FFFFFF"/>
          </w:tcPr>
          <w:p>
            <w:pPr>
              <w:spacing w:after="0"/>
            </w:pPr>
            <w:r>
              <w:rPr>
                <w:b/>
                <w:i w:val="0"/>
                <w:sz w:val="19"/>
              </w:rPr>
              <w:t>Halazun 2021: dynamic AFP/NYCA</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competing-risk cumulative recurrence: 9.5%, 20.5%, 40.5% for low/intermediate/high NYCA categories. Discrimination C statistic 0.66. These are composite-score categories, not isolated AFP ranges.</w:t>
            </w:r>
          </w:p>
          <w:p>
            <w:pPr>
              <w:spacing w:after="0"/>
            </w:pPr>
            <w:r>
              <w:rPr>
                <w:b w:val="0"/>
                <w:i w:val="0"/>
                <w:sz w:val="19"/>
              </w:rPr>
            </w:r>
          </w:p>
          <w:p>
            <w:pPr>
              <w:spacing w:after="0"/>
            </w:pPr>
            <w:r>
              <w:rPr>
                <w:b w:val="0"/>
                <w:i w:val="0"/>
                <w:color w:val="5A6069"/>
                <w:sz w:val="18"/>
              </w:rPr>
              <w:t>Main PDF pp 1–8; Table 1, Figures 1–3. Trailing commentary is not a separate reviewed study.</w:t>
            </w:r>
          </w:p>
        </w:tc>
      </w:tr>
      <w:tr>
        <w:trPr>
          <w:cantSplit/>
        </w:trPr>
        <w:tc>
          <w:tcPr>
            <w:tcW w:type="dxa" w:w="3360"/>
            <w:tcW w:w="2000" w:type="dxa"/>
            <w:shd w:val="clear" w:color="auto" w:fill="F1F5F8"/>
          </w:tcPr>
          <w:p>
            <w:pPr>
              <w:spacing w:after="0"/>
            </w:pPr>
            <w:r>
              <w:rPr>
                <w:b/>
                <w:i w:val="0"/>
                <w:sz w:val="19"/>
              </w:rPr>
              <w:t>Moriyama 2026: markers before imaging recurrence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Recurrence was subsequently identified in 886 episodes; median detection interval 89 days. Local curative treatment 83.5% versus 78.8% and post-recurrence OS 3.55 versus 3.31 years for detection ≤180 versus &gt;180 days; differences were not statistically significant.</w:t>
            </w:r>
          </w:p>
          <w:p>
            <w:pPr>
              <w:spacing w:after="0"/>
            </w:pPr>
            <w:r>
              <w:rPr>
                <w:b w:val="0"/>
                <w:i w:val="0"/>
                <w:sz w:val="19"/>
              </w:rPr>
            </w:r>
          </w:p>
          <w:p>
            <w:pPr>
              <w:spacing w:after="0"/>
            </w:pPr>
            <w:r>
              <w:rPr>
                <w:b w:val="0"/>
                <w:i w:val="0"/>
                <w:color w:val="5A6069"/>
                <w:sz w:val="18"/>
              </w:rPr>
              <w:t>All nine main-PDF pages; methods, Tables 2–4, Figures 1–3. External Tables S1/S2 not supplied.</w:t>
            </w:r>
          </w:p>
        </w:tc>
      </w:tr>
    </w:tbl>
    <w:p>
      <w:pPr>
        <w:spacing w:after="40"/>
      </w:pPr>
    </w:p>
    <w:p>
      <w:pPr>
        <w:pStyle w:val="Heading3"/>
        <w:keepNext/>
        <w:spacing w:before="120" w:after="80"/>
      </w:pPr>
      <w:r>
        <w:rPr>
          <w:b w:val="0"/>
          <w:i w:val="0"/>
        </w:rPr>
        <w:t>Our proposed selection (OPEN)</w:t>
      </w:r>
    </w:p>
    <w:p>
      <w:pPr>
        <w:spacing w:after="80"/>
      </w:pPr>
      <w:r>
        <w:rPr>
          <w:b w:val="0"/>
          <w:i w:val="0"/>
        </w:rPr>
        <w:t>Use a distinct biological-risk review; confirm the signal and restage. Do not permanently delist or treat a nonexistent target based on one AFP result.</w:t>
      </w:r>
    </w:p>
    <w:p>
      <w:pPr>
        <w:numPr>
          <w:ilvl w:val="0"/>
          <w:numId w:val="5"/>
        </w:numPr>
        <w:spacing w:after="40"/>
      </w:pPr>
      <w:r>
        <w:rPr>
          <w:b w:val="0"/>
          <w:i w:val="0"/>
        </w:rPr>
        <w:t>Repeat AFP using the same laboratory/assay in 2–4 weeks, sooner for a major jump or clinical concern. Review all dated prior values, baseline and peak AFP, treatment dates and the current response scan. The 2–4 week interval is an OPEN local operational proposal.</w:t>
      </w:r>
    </w:p>
    <w:p>
      <w:pPr>
        <w:numPr>
          <w:ilvl w:val="0"/>
          <w:numId w:val="5"/>
        </w:numPr>
        <w:spacing w:after="40"/>
      </w:pPr>
      <w:r>
        <w:rPr>
          <w:b w:val="0"/>
          <w:i w:val="0"/>
        </w:rPr>
        <w:t>Check ALT/AST, bilirubin and active viral hepatitis or other plausible hepatic inflammation. Consider assay interference or an extrahepatic AFP source when clinically indicated; do not order indiscriminate tests without a differential diagnosis.</w:t>
      </w:r>
    </w:p>
    <w:p>
      <w:pPr>
        <w:numPr>
          <w:ilvl w:val="0"/>
          <w:numId w:val="5"/>
        </w:numPr>
        <w:spacing w:after="40"/>
      </w:pPr>
      <w:r>
        <w:rPr>
          <w:b w:val="0"/>
          <w:i w:val="0"/>
        </w:rPr>
        <w:t>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p>
    <w:p>
      <w:pPr>
        <w:numPr>
          <w:ilvl w:val="0"/>
          <w:numId w:val="5"/>
        </w:numPr>
        <w:spacing w:after="40"/>
      </w:pPr>
      <w:r>
        <w:rPr>
          <w:b w:val="0"/>
          <w:i w:val="0"/>
        </w:rPr>
        <w:t>The governing allocation rule is met, or an individual review outcome is documented; technically adequate imaging shows no exclusionary progression, vascular invasion or extrahepatic disease; no unresolved alternative cause or unexplained accelerating AFP remains.</w:t>
      </w:r>
    </w:p>
    <w:p>
      <w:pPr>
        <w:numPr>
          <w:ilvl w:val="0"/>
          <w:numId w:val="5"/>
        </w:numPr>
        <w:spacing w:after="40"/>
      </w:pPr>
      <w:r>
        <w:rPr>
          <w:b w:val="0"/>
          <w:i w:val="0"/>
        </w:rPr>
        <w:t>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numPr>
          <w:ilvl w:val="0"/>
          <w:numId w:val="5"/>
        </w:numPr>
        <w:spacing w:after="40"/>
      </w:pPr>
      <w:r>
        <w:rPr>
          <w:b w:val="0"/>
          <w:i w:val="0"/>
        </w:rPr>
        <w:t>All other observation requirements remain in force. B1 expanded-burden patients retain the separately proposed AFP below 100 and longer biology observation; satisfying B1.1 does not shorten B1, ICI washout, or OPTN waiting requirements.</w:t>
      </w:r>
    </w:p>
    <w:p>
      <w:pPr>
        <w:numPr>
          <w:ilvl w:val="0"/>
          <w:numId w:val="5"/>
        </w:numPr>
        <w:spacing w:after="40"/>
      </w:pPr>
      <w:r>
        <w:rPr>
          <w:b w:val="0"/>
          <w:i w:val="0"/>
        </w:rPr>
        <w:t>POLICY: after any prior AFP above 1000, AFP at least 500 after treatment prevents automatic advancement through the standardized exception route and requires NLRB consideration. The team should not promise exception approval.</w:t>
      </w:r>
    </w:p>
    <w:p>
      <w:pPr>
        <w:numPr>
          <w:ilvl w:val="0"/>
          <w:numId w:val="5"/>
        </w:numPr>
        <w:spacing w:after="40"/>
      </w:pPr>
      <w:r>
        <w:rPr>
          <w:b w:val="0"/>
          <w:i w:val="0"/>
        </w:rPr>
        <w:t>OPEN clinical proposal: confirmed AFP at least 500 is a high-risk LT hold pending biological and allocation review even if AFP never exceeded 1000. This deliberately conservative local rule is supported by retrospective outcomes, not mandated by OPTN for every candidate.</w:t>
      </w:r>
    </w:p>
    <w:p>
      <w:pPr>
        <w:numPr>
          <w:ilvl w:val="0"/>
          <w:numId w:val="5"/>
        </w:numPr>
        <w:spacing w:after="40"/>
      </w:pPr>
      <w:r>
        <w:rPr>
          <w:b w:val="0"/>
          <w:i w:val="0"/>
        </w:rPr>
        <w:t>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p>
    <w:p>
      <w:pPr>
        <w:numPr>
          <w:ilvl w:val="0"/>
          <w:numId w:val="5"/>
        </w:numPr>
        <w:spacing w:after="40"/>
      </w:pPr>
      <w:r>
        <w:rPr>
          <w:b w:val="0"/>
          <w:i w:val="0"/>
        </w:rPr>
        <w:t>A fitted slope above 7.5 ng/mL per month is an additional warning, not a stand-alone stop. Review multiple dated values, timing of LRT and inflammation; do not extrapolate a long-term slope model from two closely spaced noisy measurements.</w:t>
      </w:r>
    </w:p>
    <w:p>
      <w:pPr>
        <w:numPr>
          <w:ilvl w:val="0"/>
          <w:numId w:val="5"/>
        </w:numPr>
        <w:spacing w:after="40"/>
      </w:pPr>
      <w:r>
        <w:rPr>
          <w:b w:val="0"/>
          <w:i w:val="0"/>
        </w:rPr>
        <w:t>Do not permanently exclude for one AFP result. Persistent biochemical nonresponse after adequate evaluation may lead the group to decline the current transplant plan, but the rationale and possibility of reassessment must be documented.</w:t>
      </w:r>
    </w:p>
    <w:p>
      <w:pPr>
        <w:numPr>
          <w:ilvl w:val="0"/>
          <w:numId w:val="5"/>
        </w:numPr>
        <w:spacing w:after="40"/>
      </w:pPr>
      <w:r>
        <w:rPr>
          <w:b w:val="0"/>
          <w:i w:val="0"/>
        </w:rPr>
        <w:t>Do not call AFP-only rise RECIST or LI-RADS treatment progression. Do not give empiric LRT without an identified target, or add systemic therapy solely to make the AFP cross an allocation threshold without a justified oncologic indication.</w:t>
      </w:r>
    </w:p>
    <w:p>
      <w:pPr>
        <w:numPr>
          <w:ilvl w:val="0"/>
          <w:numId w:val="5"/>
        </w:numPr>
        <w:spacing w:after="40"/>
      </w:pPr>
      <w:r>
        <w:rPr>
          <w:b w:val="0"/>
          <w:i w:val="0"/>
        </w:rPr>
        <w:t>Do not treat LDLT as an automatic escape from unfavorable tumor biology. Donor risk, recipient benefit and recurrence must be reviewed independently. New ICI use requires the separate B3 transplant safety decision.</w:t>
      </w:r>
    </w:p>
    <w:p>
      <w:pPr>
        <w:spacing w:after="80"/>
      </w:pPr>
      <w:r>
        <w:rPr>
          <w:b/>
          <w:i w:val="0"/>
        </w:rPr>
        <w:t xml:space="preserve">Why: </w:t>
      </w:r>
      <w:r>
        <w:rPr>
          <w:b w:val="0"/>
          <w:i w:val="0"/>
        </w:rPr>
        <w:t>AFP level and trajectory add risk information to imaging. Selected recipient cohorts support concern, not a validated AFP-only transplant-benefit cutoff.</w:t>
      </w:r>
    </w:p>
    <w:p>
      <w:pPr>
        <w:spacing w:after="80"/>
      </w:pPr>
      <w:r>
        <w:rPr>
          <w:b/>
          <w:i w:val="0"/>
        </w:rPr>
        <w:t xml:space="preserve">Against, or uncertain: </w:t>
      </w:r>
      <w:r>
        <w:rPr>
          <w:b w:val="0"/>
          <w:i w:val="0"/>
        </w:rPr>
        <w:t>Most studies excluded waitlist dropout; NYCA is a composite and excluded early deaths. Post-RFA marker episodes are not AFP-only transplant candidates.</w:t>
      </w:r>
    </w:p>
    <w:p>
      <w:pPr>
        <w:spacing w:after="80"/>
      </w:pPr>
      <w:r>
        <w:rPr>
          <w:b/>
          <w:i w:val="0"/>
        </w:rPr>
        <w:t xml:space="preserve">Certainty: </w:t>
      </w:r>
      <w:r>
        <w:rPr>
          <w:b w:val="0"/>
          <w:i w:val="0"/>
        </w:rPr>
        <w:t>Observational association; very low certainty for the proposed hold/release combination.</w:t>
      </w:r>
    </w:p>
    <w:p>
      <w:pPr>
        <w:spacing w:after="80"/>
      </w:pPr>
      <w:r>
        <w:rPr>
          <w:b/>
          <w:i w:val="0"/>
        </w:rPr>
        <w:t xml:space="preserve">Tests and records: </w:t>
      </w:r>
      <w:r>
        <w:rPr>
          <w:b w:val="0"/>
          <w:i w:val="0"/>
        </w:rPr>
        <w:t>Dated AFP series and peak; repeat same assay, liver inflammation/viral activity review; expert multiphasic CT/MRI review and alternate imaging when indicated; current allocation route; all treatment dates. Proposed 2–4-week repeat and 4-week confirmation intervals are unvalidated local choices.</w:t>
      </w:r>
    </w:p>
    <w:p>
      <w:pPr>
        <w:spacing w:after="80"/>
      </w:pPr>
      <w:r>
        <w:rPr>
          <w:b/>
          <w:i w:val="0"/>
        </w:rPr>
        <w:t xml:space="preserve">Allocation: </w:t>
      </w:r>
      <w:r>
        <w:rPr>
          <w:b w:val="0"/>
          <w:i w:val="0"/>
        </w:rPr>
        <w:t>After prior AFP &gt;1000, standardized exception requires AFP &lt;500 and remaining &lt;500. Persistent failure requires individual NLRB review, without a promise of approval. LDLT does not bypass unfavorable biology or donor-risk review.</w:t>
      </w:r>
    </w:p>
    <w:p>
      <w:pPr>
        <w:spacing w:after="40"/>
      </w:pPr>
      <w:r>
        <w:rPr>
          <w:b/>
          <w:i w:val="0"/>
        </w:rPr>
        <w:t xml:space="preserve">Basis for the proposed thresholds: </w:t>
      </w:r>
    </w:p>
    <w:p>
      <w:pPr>
        <w:numPr>
          <w:ilvl w:val="0"/>
          <w:numId w:val="5"/>
        </w:numPr>
        <w:spacing w:after="40"/>
      </w:pPr>
      <w:r>
        <w:rPr>
          <w:b w:val="0"/>
          <w:i w:val="0"/>
        </w:rPr>
        <w:t>Confirmed AFP ≥500 clinical hold; AFP ≥200 plus two rises or confirmed doubling; release after two stable/falling values ≥4 weeks apart: OPEN proposals, not validated rules.</w:t>
      </w:r>
    </w:p>
    <w:p>
      <w:pPr>
        <w:pStyle w:val="Heading3"/>
        <w:keepNext/>
        <w:spacing w:before="120" w:after="80"/>
      </w:pPr>
      <w:r>
        <w:rPr>
          <w:b w:val="0"/>
          <w:i w:val="0"/>
        </w:rPr>
        <w:t>HCC-B1.1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HCC-B2 — Previously treated portal-vein tumor invasion</w:t>
      </w:r>
    </w:p>
    <w:p>
      <w:pPr>
        <w:spacing w:after="80"/>
      </w:pPr>
      <w:r>
        <w:rPr>
          <w:b w:val="0"/>
          <w:i w:val="0"/>
          <w:color w:val="5A6069"/>
          <w:sz w:val="18"/>
        </w:rPr>
        <w:t>Different limits by invasion level · not activated · High-risk review</w:t>
      </w:r>
    </w:p>
    <w:p>
      <w:pPr>
        <w:spacing w:after="80"/>
      </w:pPr>
      <w:r>
        <w:rPr>
          <w:b/>
          <w:i w:val="0"/>
        </w:rPr>
        <w:t xml:space="preserve">Question: </w:t>
      </w:r>
      <w:r>
        <w:rPr>
          <w:b w:val="0"/>
          <w:i w:val="0"/>
        </w:rPr>
        <w:t>Which PVTT anatomy could enter a transplanting study?</w:t>
      </w:r>
    </w:p>
    <w:p>
      <w:pPr>
        <w:spacing w:after="80"/>
      </w:pPr>
      <w:r>
        <w:rPr>
          <w:b/>
          <w:i w:val="0"/>
        </w:rPr>
        <w:t xml:space="preserve">When it applies: </w:t>
      </w:r>
      <w:r>
        <w:rPr>
          <w:b w:val="0"/>
          <w:i w:val="0"/>
        </w:rPr>
        <w:t>A history of tumor invasion into the portal vein requires a separate assessment, even after a radiographic response.</w:t>
      </w:r>
    </w:p>
    <w:p>
      <w:pPr>
        <w:spacing w:after="80"/>
      </w:pPr>
      <w:r>
        <w:rPr>
          <w:b/>
          <w:i w:val="0"/>
        </w:rPr>
        <w:t xml:space="preserve">Where it is decided: </w:t>
      </w:r>
      <w:hyperlink r:id="rId36">
        <w:r>
          <w:rPr>
            <w:color w:val="0563C1"/>
            <w:u w:val="single"/>
          </w:rPr>
          <w:t xml:space="preserve">Choose treatment with curative intent</w:t>
        </w:r>
      </w:hyperlink>
    </w:p>
    <w:p>
      <w:pPr>
        <w:spacing w:after="120"/>
      </w:pPr>
      <w:r>
        <w:rPr>
          <w:b/>
          <w:i w:val="0"/>
          <w:sz w:val="18"/>
        </w:rPr>
        <w:t xml:space="preserve">Web page: </w:t>
      </w:r>
      <w:hyperlink r:id="rId5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Yoon 2026</w:t>
            </w:r>
          </w:p>
        </w:tc>
        <w:tc>
          <w:tcPr>
            <w:tcW w:type="dxa" w:w="3360"/>
            <w:tcW w:w="5480" w:type="dxa"/>
            <w:shd w:val="clear" w:color="auto" w:fill="F1F5F8"/>
          </w:tcPr>
          <w:p>
            <w:pPr>
              <w:spacing w:after="0"/>
            </w:pPr>
            <w:r>
              <w:rPr>
                <w:b w:val="0"/>
                <w:i w:val="0"/>
                <w:sz w:val="19"/>
              </w:rPr>
              <w:t>“Those with CR or PR were defined as DS responders” Yoon did not require the complete vascular clearance proposed here; 65/83 responders still had viable PVTT on explant.</w:t>
            </w:r>
          </w:p>
        </w:tc>
        <w:tc>
          <w:tcPr>
            <w:tcW w:type="dxa" w:w="3360"/>
            <w:tcW w:w="2400" w:type="dxa"/>
            <w:shd w:val="clear" w:color="auto" w:fill="F1F5F8"/>
          </w:tcPr>
          <w:p>
            <w:pPr>
              <w:spacing w:after="0"/>
            </w:pPr>
            <w:r>
              <w:rPr>
                <w:b w:val="0"/>
                <w:i w:val="0"/>
                <w:color w:val="5A6069"/>
                <w:sz w:val="18"/>
              </w:rPr>
              <w:t>Published PDF p2 / journal p7260, response assessment</w:t>
            </w:r>
          </w:p>
        </w:tc>
      </w:tr>
      <w:tr>
        <w:trPr>
          <w:cantSplit/>
        </w:trPr>
        <w:tc>
          <w:tcPr>
            <w:tcW w:type="dxa" w:w="3360"/>
            <w:tcW w:w="2200" w:type="dxa"/>
            <w:shd w:val="clear" w:color="auto" w:fill="FFFFFF"/>
          </w:tcPr>
          <w:p>
            <w:pPr>
              <w:spacing w:after="0"/>
            </w:pPr>
            <w:r>
              <w:rPr>
                <w:b/>
                <w:i w:val="0"/>
                <w:sz w:val="19"/>
              </w:rPr>
              <w:t>Yoon 2026</w:t>
            </w:r>
          </w:p>
        </w:tc>
        <w:tc>
          <w:tcPr>
            <w:tcW w:type="dxa" w:w="3360"/>
            <w:tcW w:w="5480" w:type="dxa"/>
            <w:shd w:val="clear" w:color="auto" w:fill="FFFFFF"/>
          </w:tcPr>
          <w:p>
            <w:pPr>
              <w:spacing w:after="0"/>
            </w:pPr>
            <w:r>
              <w:rPr>
                <w:b w:val="0"/>
                <w:i w:val="0"/>
                <w:sz w:val="19"/>
              </w:rPr>
              <w:t>“our study did not identify it as an independent predictor of survival.” The selected cohort did not establish a sharp anatomical survival cutoff. Vp4 five-year OS was 50.0%; small numbers and non-intention-to-treat selection prevent an equivalence claim.</w:t>
            </w:r>
          </w:p>
        </w:tc>
        <w:tc>
          <w:tcPr>
            <w:tcW w:type="dxa" w:w="3360"/>
            <w:tcW w:w="2400" w:type="dxa"/>
            <w:shd w:val="clear" w:color="auto" w:fill="FFFFFF"/>
          </w:tcPr>
          <w:p>
            <w:pPr>
              <w:spacing w:after="0"/>
            </w:pPr>
            <w:r>
              <w:rPr>
                <w:b w:val="0"/>
                <w:i w:val="0"/>
                <w:color w:val="5A6069"/>
                <w:sz w:val="18"/>
              </w:rPr>
              <w:t>Published PDF p10 / journal p7268, discussion of PVTT grade</w:t>
            </w:r>
          </w:p>
        </w:tc>
      </w:tr>
      <w:tr>
        <w:trPr>
          <w:cantSplit/>
        </w:trPr>
        <w:tc>
          <w:tcPr>
            <w:tcW w:type="dxa" w:w="3360"/>
            <w:tcW w:w="2200" w:type="dxa"/>
            <w:shd w:val="clear" w:color="auto" w:fill="F1F5F8"/>
          </w:tcPr>
          <w:p>
            <w:pPr>
              <w:spacing w:after="0"/>
            </w:pPr>
            <w:r>
              <w:rPr>
                <w:b/>
                <w:i w:val="0"/>
                <w:sz w:val="19"/>
              </w:rPr>
              <w:t>Ye 2024</w:t>
            </w:r>
          </w:p>
        </w:tc>
        <w:tc>
          <w:tcPr>
            <w:tcW w:type="dxa" w:w="3360"/>
            <w:tcW w:w="5480" w:type="dxa"/>
            <w:shd w:val="clear" w:color="auto" w:fill="F1F5F8"/>
          </w:tcPr>
          <w:p>
            <w:pPr>
              <w:spacing w:after="0"/>
            </w:pPr>
            <w:r>
              <w:rPr>
                <w:b w:val="0"/>
                <w:i w:val="0"/>
                <w:sz w:val="19"/>
              </w:rPr>
              <w:t>“lobar PVTT: tumor thrombi involving left and right branches or main portal vein” This poor-outcome group combines first-order and main-portal involvement. Its recurrence cannot be attributed to Vp3 alone; perioperative deaths were excluded.</w:t>
            </w:r>
          </w:p>
        </w:tc>
        <w:tc>
          <w:tcPr>
            <w:tcW w:type="dxa" w:w="3360"/>
            <w:tcW w:w="2400" w:type="dxa"/>
            <w:shd w:val="clear" w:color="auto" w:fill="F1F5F8"/>
          </w:tcPr>
          <w:p>
            <w:pPr>
              <w:spacing w:after="0"/>
            </w:pPr>
            <w:r>
              <w:rPr>
                <w:b w:val="0"/>
                <w:i w:val="0"/>
                <w:color w:val="5A6069"/>
                <w:sz w:val="18"/>
              </w:rPr>
              <w:t>Complete early-online PDF p3, Diagnosis of PVTT</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“minimum of 12 months” Applies to specified case-by-case exception considerations; applying this duration to every Vp1–2 study candidate is local conservatism.</w:t>
            </w:r>
          </w:p>
        </w:tc>
        <w:tc>
          <w:tcPr>
            <w:tcW w:type="dxa" w:w="3360"/>
            <w:tcW w:w="2400" w:type="dxa"/>
            <w:shd w:val="clear" w:color="auto" w:fill="FFFFFF"/>
          </w:tcPr>
          <w:p>
            <w:pPr>
              <w:spacing w:after="0"/>
            </w:pPr>
            <w:r>
              <w:rPr>
                <w:b w:val="0"/>
                <w:i w:val="0"/>
                <w:color w:val="5A6069"/>
                <w:sz w:val="18"/>
              </w:rPr>
              <w:t>December 2025 guidance p3, treated primary-branch invasion/rupture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Yoon 2026</w:t>
            </w:r>
          </w:p>
        </w:tc>
        <w:tc>
          <w:tcPr>
            <w:tcW w:type="dxa" w:w="3360"/>
            <w:tcW w:w="3900" w:type="dxa"/>
            <w:shd w:val="clear" w:color="auto" w:fill="F1F5F8"/>
          </w:tcPr>
          <w:p>
            <w:pPr>
              <w:spacing w:after="0"/>
            </w:pPr>
            <w:r>
              <w:rPr>
                <w:b w:val="0"/>
                <w:i w:val="0"/>
                <w:sz w:val="19"/>
              </w:rPr>
              <w:t>Retrospective Asan LDLT cohort, 1997–2022, 137 selected PVTT recipients; median follow-up 38.3 months. Original Vp1/Vp2/Vp3/Vp4 counts were 51/36/36/14. Overall mRECIST CR/PR defined responders, not necessarily complete vascular response.</w:t>
            </w:r>
          </w:p>
        </w:tc>
        <w:tc>
          <w:tcPr>
            <w:tcW w:type="dxa" w:w="3360"/>
            <w:tcW w:w="4180" w:type="dxa"/>
            <w:shd w:val="clear" w:color="auto" w:fill="F1F5F8"/>
          </w:tcPr>
          <w:p>
            <w:pPr>
              <w:spacing w:after="0"/>
            </w:pPr>
            <w:r>
              <w:rPr>
                <w:b w:val="0"/>
                <w:i w:val="0"/>
                <w:sz w:val="19"/>
              </w:rPr>
              <w:t>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spacing w:after="0"/>
            </w:pPr>
            <w:r>
              <w:rPr>
                <w:b w:val="0"/>
                <w:i/>
                <w:sz w:val="19"/>
              </w:rPr>
              <w:t>Limits: Recipient-only, heterogeneous treatment eras and small grade subgroups. Nonsignificant grade comparisons do not prove equivalence. Discussion/conclusion transpose responder OS and DFS; retain Results/Figure 1 values.</w:t>
            </w:r>
          </w:p>
          <w:p>
            <w:pPr>
              <w:spacing w:after="0"/>
            </w:pPr>
            <w:r>
              <w:rPr>
                <w:b w:val="0"/>
                <w:i w:val="0"/>
                <w:color w:val="5A6069"/>
                <w:sz w:val="18"/>
              </w:rPr>
              <w:t>Complete PDF: Table 1; Results p7261; Table 2 p7264; Figure 1 p7265; Discussion p7268. Preserve source/pvtt_outcomes.py values.</w:t>
            </w:r>
          </w:p>
        </w:tc>
      </w:tr>
      <w:tr>
        <w:trPr>
          <w:cantSplit/>
        </w:trPr>
        <w:tc>
          <w:tcPr>
            <w:tcW w:type="dxa" w:w="3360"/>
            <w:tcW w:w="2000" w:type="dxa"/>
            <w:shd w:val="clear" w:color="auto" w:fill="FFFFFF"/>
          </w:tcPr>
          <w:p>
            <w:pPr>
              <w:spacing w:after="0"/>
            </w:pPr>
            <w:r>
              <w:rPr>
                <w:b/>
                <w:i w:val="0"/>
                <w:sz w:val="19"/>
              </w:rPr>
              <w:t>Choi 2017</w:t>
            </w:r>
          </w:p>
        </w:tc>
        <w:tc>
          <w:tcPr>
            <w:tcW w:type="dxa" w:w="3360"/>
            <w:tcW w:w="3900" w:type="dxa"/>
            <w:shd w:val="clear" w:color="auto" w:fill="FFFFFF"/>
          </w:tcPr>
          <w:p>
            <w:pPr>
              <w:spacing w:after="0"/>
            </w:pPr>
            <w:r>
              <w:rPr>
                <w:b w:val="0"/>
                <w:i w:val="0"/>
                <w:sz w:val="19"/>
              </w:rPr>
              <w:t>Retrospective selected LDLT recipients with PVTT, n=34. Segmental involvement n=27; first-order/lobar involvement n=7. These are study-defined anatomical groups.</w:t>
            </w:r>
          </w:p>
        </w:tc>
        <w:tc>
          <w:tcPr>
            <w:tcW w:type="dxa" w:w="3360"/>
            <w:tcW w:w="4180" w:type="dxa"/>
            <w:shd w:val="clear" w:color="auto" w:fill="FFFFFF"/>
          </w:tcPr>
          <w:p>
            <w:pPr>
              <w:spacing w:after="0"/>
            </w:pPr>
            <w:r>
              <w:rPr>
                <w:b w:val="0"/>
                <w:i w:val="0"/>
                <w:sz w:val="19"/>
              </w:rPr>
              <w:t>Five-year OS was 50.3% for segmental and 14.3% for first-order/lobar involvement. Segmental five-year DFS was 63.9%; a numeric lobar DFS estimate was not available in the verified primary abstract.</w:t>
            </w:r>
          </w:p>
          <w:p>
            <w:pPr>
              <w:spacing w:after="0"/>
            </w:pPr>
            <w:r>
              <w:rPr>
                <w:b w:val="0"/>
                <w:i/>
                <w:sz w:val="19"/>
              </w:rPr>
              <w:t>Limits: Very small lobar group, retrospective recipient selection and no all-downstaging-entry denominator. OS and DFS are retained as reported, not converted into recurrence risk.</w:t>
            </w:r>
          </w:p>
          <w:p>
            <w:pPr>
              <w:spacing w:after="0"/>
            </w:pPr>
            <w:r>
              <w:rPr>
                <w:b w:val="0"/>
                <w:i w:val="0"/>
                <w:color w:val="5A6069"/>
                <w:sz w:val="18"/>
              </w:rPr>
              <w:t>Primary published abstract, PMID 28480517; full text required for endpoint definitions and patient selection.</w:t>
            </w:r>
          </w:p>
        </w:tc>
      </w:tr>
      <w:tr>
        <w:trPr>
          <w:cantSplit/>
        </w:trPr>
        <w:tc>
          <w:tcPr>
            <w:tcW w:type="dxa" w:w="3360"/>
            <w:tcW w:w="2000" w:type="dxa"/>
            <w:shd w:val="clear" w:color="auto" w:fill="F1F5F8"/>
          </w:tcPr>
          <w:p>
            <w:pPr>
              <w:spacing w:after="0"/>
            </w:pPr>
            <w:r>
              <w:rPr>
                <w:b/>
                <w:i w:val="0"/>
                <w:sz w:val="19"/>
              </w:rPr>
              <w:t>Yang 2020</w:t>
            </w:r>
          </w:p>
        </w:tc>
        <w:tc>
          <w:tcPr>
            <w:tcW w:type="dxa" w:w="3360"/>
            <w:tcW w:w="3900" w:type="dxa"/>
            <w:shd w:val="clear" w:color="auto" w:fill="F1F5F8"/>
          </w:tcPr>
          <w:p>
            <w:pPr>
              <w:spacing w:after="0"/>
            </w:pPr>
            <w:r>
              <w:rPr>
                <w:b w:val="0"/>
                <w:i w:val="0"/>
                <w:sz w:val="19"/>
              </w:rPr>
              <w:t>Retrospective 75-recipient PVTT cohort. Vp2 and Vp3 were combined; Vp4 was separately analyzed. Subgroup sample sizes remain unverified without complete text.</w:t>
            </w:r>
          </w:p>
        </w:tc>
        <w:tc>
          <w:tcPr>
            <w:tcW w:type="dxa" w:w="3360"/>
            <w:tcW w:w="4180" w:type="dxa"/>
            <w:shd w:val="clear" w:color="auto" w:fill="F1F5F8"/>
          </w:tcPr>
          <w:p>
            <w:pPr>
              <w:spacing w:after="0"/>
            </w:pPr>
            <w:r>
              <w:rPr>
                <w:b w:val="0"/>
                <w:i w:val="0"/>
                <w:sz w:val="19"/>
              </w:rPr>
              <w:t>Three-year OS/RFS were 65.4%/40.0% for Vp2–3 combined and 30.6%/21.4% for Vp4.</w:t>
            </w:r>
          </w:p>
          <w:p>
            <w:pPr>
              <w:spacing w:after="0"/>
            </w:pPr>
            <w:r>
              <w:rPr>
                <w:b w:val="0"/>
                <w:i/>
                <w:sz w:val="19"/>
              </w:rPr>
              <w:t>Limits: Do not split combined Vp2–3 results into invented grade-specific estimates. No verified all-entry denominator or grade-specific recurrence counts; endpoint death handling needs full text.</w:t>
            </w:r>
          </w:p>
          <w:p>
            <w:pPr>
              <w:spacing w:after="0"/>
            </w:pPr>
            <w:r>
              <w:rPr>
                <w:b w:val="0"/>
                <w:i w:val="0"/>
                <w:color w:val="5A6069"/>
                <w:sz w:val="18"/>
              </w:rPr>
              <w:t>Primary journal abstract, PMID 32303439, Results.</w:t>
            </w:r>
          </w:p>
        </w:tc>
      </w:tr>
      <w:tr>
        <w:trPr>
          <w:cantSplit/>
        </w:trPr>
        <w:tc>
          <w:tcPr>
            <w:tcW w:type="dxa" w:w="3360"/>
            <w:tcW w:w="2000" w:type="dxa"/>
            <w:shd w:val="clear" w:color="auto" w:fill="FFFFFF"/>
          </w:tcPr>
          <w:p>
            <w:pPr>
              <w:spacing w:after="0"/>
            </w:pPr>
            <w:r>
              <w:rPr>
                <w:b/>
                <w:i w:val="0"/>
                <w:sz w:val="19"/>
              </w:rPr>
              <w:t>Ye 2024</w:t>
            </w:r>
          </w:p>
        </w:tc>
        <w:tc>
          <w:tcPr>
            <w:tcW w:type="dxa" w:w="3360"/>
            <w:tcW w:w="3900" w:type="dxa"/>
            <w:shd w:val="clear" w:color="auto" w:fill="FFFFFF"/>
          </w:tcPr>
          <w:p>
            <w:pPr>
              <w:spacing w:after="0"/>
            </w:pPr>
            <w:r>
              <w:rPr>
                <w:b w:val="0"/>
                <w:i w:val="0"/>
                <w:sz w:val="19"/>
              </w:rPr>
              <w:t>Retrospective DDLT cohort of 141 vascular-invasion recipients: 13 segmental PVTT, 68 lobar PVTT, 60 microvascular invasion. All had HBV. Lobar PVTT included first-order branches or main portal vein; perioperative deaths and early follow-up losses were excluded.</w:t>
            </w:r>
          </w:p>
        </w:tc>
        <w:tc>
          <w:tcPr>
            <w:tcW w:type="dxa" w:w="3360"/>
            <w:tcW w:w="4180" w:type="dxa"/>
            <w:shd w:val="clear" w:color="auto" w:fill="FFFFFF"/>
          </w:tcPr>
          <w:p>
            <w:pPr>
              <w:spacing w:after="0"/>
            </w:pPr>
            <w:r>
              <w:rPr>
                <w:b w:val="0"/>
                <w:i w:val="0"/>
                <w:sz w:val="19"/>
              </w:rPr>
              <w:t>Segmental three-year OS 75.0%, RFS 58.3%, crude recurrence 4/13. Lobar three-year OS 45.9%, RFS 9.1%, crude recurrence 60/68.</w:t>
            </w:r>
          </w:p>
          <w:p>
            <w:pPr>
              <w:spacing w:after="0"/>
            </w:pPr>
            <w:r>
              <w:rPr>
                <w:b w:val="0"/>
                <w:i/>
                <w:sz w:val="19"/>
              </w:rPr>
              <w:t>Limits: Exclusion of early deaths biases recipient survival upward. Lobar is not an isolated Vp3 group. Crude recurrence and RFS are distinct measures; the cohort is not directly transportable to Western mixed-etiology candidates.</w:t>
            </w:r>
          </w:p>
          <w:p>
            <w:pPr>
              <w:spacing w:after="0"/>
            </w:pPr>
            <w:r>
              <w:rPr>
                <w:b w:val="0"/>
                <w:i w:val="0"/>
                <w:color w:val="5A6069"/>
                <w:sz w:val="18"/>
              </w:rPr>
              <w:t>Complete 12-page PDF: Methods p3, Tables 1–2 p6, Figure 4 p7.</w:t>
            </w:r>
          </w:p>
        </w:tc>
      </w:tr>
      <w:tr>
        <w:trPr>
          <w:cantSplit/>
        </w:trPr>
        <w:tc>
          <w:tcPr>
            <w:tcW w:type="dxa" w:w="3360"/>
            <w:tcW w:w="2000" w:type="dxa"/>
            <w:shd w:val="clear" w:color="auto" w:fill="F1F5F8"/>
          </w:tcPr>
          <w:p>
            <w:pPr>
              <w:spacing w:after="0"/>
            </w:pPr>
            <w:r>
              <w:rPr>
                <w:b/>
                <w:i w:val="0"/>
                <w:sz w:val="19"/>
              </w:rPr>
              <w:t>Soin 2020</w:t>
            </w:r>
          </w:p>
        </w:tc>
        <w:tc>
          <w:tcPr>
            <w:tcW w:type="dxa" w:w="3360"/>
            <w:tcW w:w="3900" w:type="dxa"/>
            <w:shd w:val="clear" w:color="auto" w:fill="F1F5F8"/>
          </w:tcPr>
          <w:p>
            <w:pPr>
              <w:spacing w:after="0"/>
            </w:pPr>
            <w:r>
              <w:rPr>
                <w:b w:val="0"/>
                <w:i w:val="0"/>
                <w:sz w:val="19"/>
              </w:rPr>
              <w:t>Cohort following a PVTT downstaging protocol: 43 treated, 27 responders, 25 LDLT recipients. Among recipients, Vp1/Vp2/Vp3/Vp4 counts were 1/12/11/1. Transplant was conditional on successful downstaging.</w:t>
            </w:r>
          </w:p>
        </w:tc>
        <w:tc>
          <w:tcPr>
            <w:tcW w:type="dxa" w:w="3360"/>
            <w:tcW w:w="4180" w:type="dxa"/>
            <w:shd w:val="clear" w:color="auto" w:fill="F1F5F8"/>
          </w:tcPr>
          <w:p>
            <w:pPr>
              <w:spacing w:after="0"/>
            </w:pPr>
            <w:r>
              <w:rPr>
                <w:b w:val="0"/>
                <w:i w:val="0"/>
                <w:sz w:val="19"/>
              </w:rPr>
              <w:t>Reported five-year OS 57% and RFS 51% exclude two postoperative deaths, leaving a 23-recipient survival subset. Recurrence occurred in 6/25 (24%) of the whole transplanted group.</w:t>
            </w:r>
          </w:p>
          <w:p>
            <w:pPr>
              <w:spacing w:after="0"/>
            </w:pPr>
            <w:r>
              <w:rPr>
                <w:b w:val="0"/>
                <w:i/>
                <w:sz w:val="19"/>
              </w:rPr>
              <w:t>Limits: Neither reported survival curve represents all 25 recipients or all 43 treatment entrants. Small selected cohort without randomized control; grade-specific outcomes unavailable.</w:t>
            </w:r>
          </w:p>
          <w:p>
            <w:pPr>
              <w:spacing w:after="0"/>
            </w:pPr>
            <w:r>
              <w:rPr>
                <w:b w:val="0"/>
                <w:i w:val="0"/>
                <w:color w:val="5A6069"/>
                <w:sz w:val="18"/>
              </w:rPr>
              <w:t>Primary publisher HTML Methods/Results and abstract, DOI 10.1097/TP.0000000000003162; complete PDF pending.</w:t>
            </w:r>
          </w:p>
        </w:tc>
      </w:tr>
      <w:tr>
        <w:trPr>
          <w:cantSplit/>
        </w:trPr>
        <w:tc>
          <w:tcPr>
            <w:tcW w:type="dxa" w:w="3360"/>
            <w:tcW w:w="2000" w:type="dxa"/>
            <w:shd w:val="clear" w:color="auto" w:fill="FFFFFF"/>
          </w:tcPr>
          <w:p>
            <w:pPr>
              <w:spacing w:after="0"/>
            </w:pPr>
            <w:r>
              <w:rPr>
                <w:b/>
                <w:i w:val="0"/>
                <w:sz w:val="19"/>
              </w:rPr>
              <w:t>Assalino 2020 · vascular invasion</w:t>
            </w:r>
          </w:p>
        </w:tc>
        <w:tc>
          <w:tcPr>
            <w:tcW w:type="dxa" w:w="3360"/>
            <w:tcW w:w="3900" w:type="dxa"/>
            <w:shd w:val="clear" w:color="auto" w:fill="FFFFFF"/>
          </w:tcPr>
          <w:p>
            <w:pPr>
              <w:spacing w:after="0"/>
            </w:pPr>
            <w:r>
              <w:rPr>
                <w:b w:val="0"/>
                <w:i w:val="0"/>
                <w:sz w:val="19"/>
              </w:rPr>
              <w:t>Multicenter retrospective series: 45 transplanted patients reviewed, 30 with centrally validated macrovascular invasion retained; 11 centers, 2004–2018. Vascular radiologic disappearance after treatment; 24 portal and six hepatic-vein cases. Portal groups: seven Vp1, 12 Vp2, five study-defined Vp3. Its Vp3 included first-order branch OR main trunk. Median downstaging-to-LT 11.4 months (range 0.8–43.3; timing available in 27).</w:t>
            </w:r>
          </w:p>
        </w:tc>
        <w:tc>
          <w:tcPr>
            <w:tcW w:type="dxa" w:w="3360"/>
            <w:tcW w:w="4180" w:type="dxa"/>
            <w:shd w:val="clear" w:color="auto" w:fill="FFFFFF"/>
          </w:tcPr>
          <w:p>
            <w:pPr>
              <w:spacing w:after="0"/>
            </w:pPr>
            <w:r>
              <w:rPr>
                <w:b w:val="0"/>
                <w:i w:val="0"/>
                <w:sz w:val="19"/>
              </w:rPr>
              <w:t>Median post-LT follow-up 39 months; one/three/five-year OS 76.7%/66.2%/59.6%; DFS 63.3%/56.3%/56.3%. Recurrence 8/30, median 6.5 months after LT. Three explants retained major vascular invasion despite radiologic clearance. An exploratory AFP &lt;10 subgroup had 11% recurrence and five-year OS 83.3%.</w:t>
            </w:r>
          </w:p>
          <w:p>
            <w:pPr>
              <w:spacing w:after="0"/>
            </w:pPr>
            <w:r>
              <w:rPr>
                <w:b w:val="0"/>
                <w:i/>
                <w:sz w:val="19"/>
              </w:rPr>
              <w:t>Limits: The 15 excluded records are not downstaging failures. No all-treated denominator. AFP threshold was post hoc; subgroup denominator not verified. Neither median waiting time nor the mixed Vp3 label validates a 12-month or modern Vp3 cutoff.</w:t>
            </w:r>
          </w:p>
          <w:p>
            <w:pPr>
              <w:spacing w:after="0"/>
            </w:pPr>
            <w:r>
              <w:rPr>
                <w:b w:val="0"/>
                <w:i w:val="0"/>
                <w:color w:val="5A6069"/>
                <w:sz w:val="18"/>
              </w:rPr>
              <w:t>New complete publisher PDF pp569–573: Methods, Table 1, explant findings and limitations.</w:t>
            </w:r>
          </w:p>
        </w:tc>
      </w:tr>
      <w:tr>
        <w:trPr>
          <w:cantSplit/>
        </w:trPr>
        <w:tc>
          <w:tcPr>
            <w:tcW w:type="dxa" w:w="3360"/>
            <w:tcW w:w="2000" w:type="dxa"/>
            <w:shd w:val="clear" w:color="auto" w:fill="F1F5F8"/>
          </w:tcPr>
          <w:p>
            <w:pPr>
              <w:spacing w:after="0"/>
            </w:pPr>
            <w:r>
              <w:rPr>
                <w:b/>
                <w:i w:val="0"/>
                <w:sz w:val="19"/>
              </w:rPr>
              <w:t>Sposito 2026</w:t>
            </w:r>
          </w:p>
        </w:tc>
        <w:tc>
          <w:tcPr>
            <w:tcW w:type="dxa" w:w="3360"/>
            <w:tcW w:w="3900" w:type="dxa"/>
            <w:shd w:val="clear" w:color="auto" w:fill="F1F5F8"/>
          </w:tcPr>
          <w:p>
            <w:pPr>
              <w:spacing w:after="0"/>
            </w:pPr>
            <w:r>
              <w:rPr>
                <w:b w:val="0"/>
                <w:i w:val="0"/>
                <w:sz w:val="19"/>
              </w:rPr>
              <w:t>Five-center Italian Y90 cohort, 2010–2023: 240 consecutive HCC/PVTT patients; 61 downstaged, 37 transplanted. Sustained vascular CR or PR for ≥6 months plus center-specific morphology/AFP requirements. Median Y90-to-LT interval 17 months.</w:t>
            </w:r>
          </w:p>
        </w:tc>
        <w:tc>
          <w:tcPr>
            <w:tcW w:type="dxa" w:w="3360"/>
            <w:tcW w:w="4180" w:type="dxa"/>
            <w:shd w:val="clear" w:color="auto" w:fill="F1F5F8"/>
          </w:tcPr>
          <w:p>
            <w:pPr>
              <w:spacing w:after="0"/>
            </w:pPr>
            <w:r>
              <w:rPr>
                <w:b w:val="0"/>
                <w:i w:val="0"/>
                <w:sz w:val="19"/>
              </w:rPr>
              <w:t>Downstaging: 61/240 (25.4%); LT: 37/240 (15.4%). Among downstaged patients, 60-month cancer death was 15.8% with LT versus 45.2% without LT (subdistribution HR .221, 95% CI .071–.683). Recipients had three/five-year OS 67.2%/61.6% and RFS 79.3%/79.3%; complete explant necrosis 56.7%.</w:t>
            </w:r>
          </w:p>
          <w:p>
            <w:pPr>
              <w:spacing w:after="0"/>
            </w:pPr>
            <w:r>
              <w:rPr>
                <w:b w:val="0"/>
                <w:i/>
                <w:sz w:val="19"/>
              </w:rPr>
              <w:t>Limits: Abstract-only verification. Grade denominators, landmark/selection adjustment and RFS death handling require full text; RFS exceeding OS must not be converted to recurrence as 1−RFS. No verified all-240 survival estimate.</w:t>
            </w:r>
          </w:p>
          <w:p>
            <w:pPr>
              <w:spacing w:after="0"/>
            </w:pPr>
            <w:r>
              <w:rPr>
                <w:b w:val="0"/>
                <w:i w:val="0"/>
                <w:color w:val="5A6069"/>
                <w:sz w:val="18"/>
              </w:rPr>
              <w:t>Published primary abstract, PMID 42228945, DOI 10.1097/HEP.0000000000001801.</w:t>
            </w:r>
          </w:p>
        </w:tc>
      </w:tr>
    </w:tbl>
    <w:p>
      <w:pPr>
        <w:spacing w:after="40"/>
      </w:pPr>
    </w:p>
    <w:p>
      <w:pPr>
        <w:pStyle w:val="Heading3"/>
        <w:keepNext/>
        <w:spacing w:before="120" w:after="80"/>
      </w:pPr>
      <w:r>
        <w:rPr>
          <w:b w:val="0"/>
          <w:i w:val="0"/>
        </w:rPr>
        <w:t>Our proposed selection (OPEN)</w:t>
      </w:r>
    </w:p>
    <w:p>
      <w:pPr>
        <w:spacing w:after="80"/>
      </w:pPr>
      <w:r>
        <w:rPr>
          <w:b w:val="0"/>
          <w:i w:val="0"/>
        </w:rPr>
        <w:t>Develop an initial Vp1–2-only transplanting study; keep Vp3 registry-first and Vp4/hepatic-vein expansion closed.</w:t>
      </w:r>
    </w:p>
    <w:p>
      <w:pPr>
        <w:numPr>
          <w:ilvl w:val="0"/>
          <w:numId w:val="5"/>
        </w:numPr>
        <w:spacing w:after="40"/>
      </w:pPr>
      <w:r>
        <w:rPr>
          <w:b w:val="0"/>
          <w:i w:val="0"/>
        </w:rPr>
        <w:t>Proposed anatomy: original Vp1 or Vp2 only, centrally confirmed. Exclude Vp3, Vp4/main or contralateral branch, hepatic-vein tumor invasion, previous tumor rupture and combined expanded-burden risk from the initial pilot. These are study boundaries, not universal declarations of futility.</w:t>
      </w:r>
    </w:p>
    <w:p>
      <w:pPr>
        <w:numPr>
          <w:ilvl w:val="0"/>
          <w:numId w:val="5"/>
        </w:numPr>
        <w:spacing w:after="40"/>
      </w:pPr>
      <w:r>
        <w:rPr>
          <w:b w:val="0"/>
          <w:i w:val="0"/>
        </w:rPr>
        <w:t>Require complete absence of enhancing viable vascular tumor, remaining viable parenchymal disease within Milan or completely nonviable, no current or previous extrahepatic disease (HCC-B5), and ≥12 continuous months meeting these conditions. Scan approximately every three months; count from the first qualifying scan.</w:t>
      </w:r>
    </w:p>
    <w:p>
      <w:pPr>
        <w:numPr>
          <w:ilvl w:val="0"/>
          <w:numId w:val="5"/>
        </w:numPr>
        <w:spacing w:after="40"/>
      </w:pPr>
      <w:r>
        <w:rPr>
          <w:b w:val="0"/>
          <w:i w:val="0"/>
        </w:rPr>
        <w:t>Any recurrent vascular enhancement or new metastasis stops progression to LT. Indeterminate thrombus or imaging discordance is a hold, not automatic clearance.</w:t>
      </w:r>
    </w:p>
    <w:p>
      <w:pPr>
        <w:spacing w:after="80"/>
      </w:pPr>
      <w:r>
        <w:rPr>
          <w:b/>
          <w:i w:val="0"/>
        </w:rPr>
        <w:t xml:space="preserve">Why: </w:t>
      </w:r>
      <w:r>
        <w:rPr>
          <w:b w:val="0"/>
          <w:i w:val="0"/>
        </w:rPr>
        <w:t>Anatomy, treatment response and biology all matter, but the available cohorts do not validate a sharp universal Vp2/Vp3 boundary or a single control-duration requirement. Several selected branch or even main-trunk recipients survived long term; this argues against a blanket futility claim. Conversely, small anatomy strata, highly selective transplantation, exclusion of perioperative deaths in some cohorts and absent entry denominators prevent a routine-policy expansion. Overall mRECIST response is not synonymous with vascular sterilization, and imaging disappearance can coexist with viable explant PVTT.</w:t>
      </w:r>
    </w:p>
    <w:p>
      <w:pPr>
        <w:spacing w:after="80"/>
      </w:pPr>
      <w:r>
        <w:rPr>
          <w:b/>
          <w:i w:val="0"/>
        </w:rPr>
        <w:t xml:space="preserve">Against, or uncertain: </w:t>
      </w:r>
      <w:r>
        <w:rPr>
          <w:b w:val="0"/>
          <w:i w:val="0"/>
        </w:rPr>
        <w:t>Poorer outcomes for lobar/main-trunk groups in Choi, Yang and Ye favor caution, while Yoon's selected Vp4 survivors and Sposito's downstaged cohort show that advanced anatomy is not invariably fatal. Assalino included hepatic-vein and mixed first-order/main-trunk disease, but its selected-recipient results cannot establish that these groups should enter an initial US pilot. Differences in anatomical definitions prevent a valid pooled Vp-grade survival estimate.</w:t>
      </w:r>
    </w:p>
    <w:p>
      <w:pPr>
        <w:spacing w:after="80"/>
      </w:pPr>
      <w:r>
        <w:rPr>
          <w:b/>
          <w:i w:val="0"/>
        </w:rPr>
        <w:t xml:space="preserve">Certainty: </w:t>
      </w:r>
      <w:r>
        <w:rPr>
          <w:b w:val="0"/>
          <w:i w:val="0"/>
        </w:rPr>
        <w:t>Very low for a specific anatomy or waiting-time threshold; low for an association between response/biologic selection and better recipient outcomes. No reviewed randomized study directly established the transplant strategy's net benefit from confirmed-PVTT treatment entry.</w:t>
      </w:r>
    </w:p>
    <w:p>
      <w:pPr>
        <w:spacing w:after="80"/>
      </w:pPr>
      <w:r>
        <w:rPr>
          <w:b/>
          <w:i w:val="0"/>
        </w:rPr>
        <w:t xml:space="preserve">Tests and records: </w:t>
      </w:r>
      <w:r>
        <w:rPr>
          <w:b w:val="0"/>
          <w:i w:val="0"/>
        </w:rPr>
        <w:t>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spacing w:after="80"/>
      </w:pPr>
      <w:r>
        <w:rPr>
          <w:b/>
          <w:i w:val="0"/>
        </w:rPr>
        <w:t xml:space="preserve">Allocation: </w:t>
      </w:r>
      <w:r>
        <w:rPr>
          <w:b w:val="0"/>
          <w:i w:val="0"/>
        </w:rPr>
        <w:t>Clinical study eligibility cannot override the main-portal/hepatic-vein exception contraindications or grant priority. Obtain a separate documented organ route.</w:t>
      </w:r>
    </w:p>
    <w:p>
      <w:pPr>
        <w:spacing w:after="40"/>
      </w:pPr>
      <w:r>
        <w:rPr>
          <w:b/>
          <w:i w:val="0"/>
        </w:rPr>
        <w:t xml:space="preserve">Basis for the proposed thresholds: </w:t>
      </w:r>
    </w:p>
    <w:p>
      <w:pPr>
        <w:numPr>
          <w:ilvl w:val="0"/>
          <w:numId w:val="5"/>
        </w:numPr>
        <w:spacing w:after="40"/>
      </w:pPr>
      <w:r>
        <w:rPr>
          <w:b w:val="0"/>
          <w:i w:val="0"/>
        </w:rPr>
        <w:t>Vp1–2 restriction, complete vascular radiographic response and 12-month control are proposed local safeguards, not a jointly tested published rule. Sposito accepted sustained vascular CR/PR for ≥6 months; Assalino reported a median, not a minimum, 11.4-month interval. NLRB guidance permits selected branch-invasion/rupture cases after prolonged stability but does not mandate clinical acceptance or convert main-trunk/hepatic-vein disease into a standard exception. Preserve separate original and current vascular extent.</w:t>
      </w:r>
    </w:p>
    <w:p>
      <w:pPr>
        <w:pStyle w:val="Heading3"/>
        <w:keepNext/>
        <w:spacing w:before="120" w:after="80"/>
      </w:pPr>
      <w:r>
        <w:rPr>
          <w:b w:val="0"/>
          <w:i w:val="0"/>
        </w:rPr>
        <w:t>HCC-B2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HCC-B3 — Previous checkpoint immunotherapy</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should prior ICI alter activation and consent?</w:t>
      </w:r>
    </w:p>
    <w:p>
      <w:pPr>
        <w:spacing w:after="80"/>
      </w:pPr>
      <w:r>
        <w:rPr>
          <w:b/>
          <w:i w:val="0"/>
        </w:rPr>
        <w:t xml:space="preserve">When it applies: </w:t>
      </w:r>
      <w:r>
        <w:rPr>
          <w:b w:val="0"/>
          <w:i w:val="0"/>
        </w:rPr>
        <w:t>Review checkpoint-inhibitor exposure before treatment selection and again before transplantation.</w:t>
      </w:r>
    </w:p>
    <w:p>
      <w:pPr>
        <w:spacing w:after="80"/>
      </w:pPr>
      <w:r>
        <w:rPr>
          <w:b/>
          <w:i w:val="0"/>
        </w:rPr>
        <w:t xml:space="preserve">Where it is decided: </w:t>
      </w:r>
      <w:hyperlink r:id="rId39">
        <w:r>
          <w:rPr>
            <w:color w:val="0563C1"/>
            <w:u w:val="single"/>
          </w:rPr>
          <w:t xml:space="preserve">Plan bridging or downstaging treatment</w:t>
        </w:r>
      </w:hyperlink>
      <w:r>
        <w:rPr>
          <w:b w:val="0"/>
          <w:i w:val="0"/>
        </w:rPr>
        <w:t xml:space="preserve"> · </w:t>
      </w:r>
      <w:hyperlink r:id="rId45">
        <w:r>
          <w:rPr>
            <w:color w:val="0563C1"/>
            <w:u w:val="single"/>
          </w:rPr>
          <w:t xml:space="preserve">Reassess while awaiting transplant</w:t>
        </w:r>
      </w:hyperlink>
    </w:p>
    <w:p>
      <w:pPr>
        <w:spacing w:after="120"/>
      </w:pPr>
      <w:r>
        <w:rPr>
          <w:b/>
          <w:i w:val="0"/>
          <w:sz w:val="18"/>
        </w:rPr>
        <w:t xml:space="preserve">Web page: </w:t>
      </w:r>
      <w:hyperlink r:id="rId5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Rezaee-Zavareh · IPD</w:t>
            </w:r>
          </w:p>
        </w:tc>
        <w:tc>
          <w:tcPr>
            <w:tcW w:type="dxa" w:w="3360"/>
            <w:tcW w:w="5480" w:type="dxa"/>
            <w:shd w:val="clear" w:color="auto" w:fill="F1F5F8"/>
          </w:tcPr>
          <w:p>
            <w:pPr>
              <w:spacing w:after="0"/>
            </w:pPr>
            <w:r>
              <w:rPr>
                <w:b w:val="0"/>
                <w:i w:val="0"/>
                <w:sz w:val="19"/>
              </w:rPr>
              <w:t>“a 3-month washout may reduce it” A risk-reduction suggestion from largely retrospective data, not a safe minimum.</w:t>
            </w:r>
          </w:p>
        </w:tc>
        <w:tc>
          <w:tcPr>
            <w:tcW w:type="dxa" w:w="3360"/>
            <w:tcW w:w="2400" w:type="dxa"/>
            <w:shd w:val="clear" w:color="auto" w:fill="F1F5F8"/>
          </w:tcPr>
          <w:p>
            <w:pPr>
              <w:spacing w:after="0"/>
            </w:pPr>
            <w:r>
              <w:rPr>
                <w:b w:val="0"/>
                <w:i w:val="0"/>
                <w:color w:val="5A6069"/>
                <w:sz w:val="18"/>
              </w:rPr>
              <w:t>Accepted PDF p10 / manuscript p7, abstract conclusion</w:t>
            </w:r>
          </w:p>
        </w:tc>
      </w:tr>
      <w:tr>
        <w:trPr>
          <w:cantSplit/>
        </w:trPr>
        <w:tc>
          <w:tcPr>
            <w:tcW w:type="dxa" w:w="3360"/>
            <w:tcW w:w="2200" w:type="dxa"/>
            <w:shd w:val="clear" w:color="auto" w:fill="FFFFFF"/>
          </w:tcPr>
          <w:p>
            <w:pPr>
              <w:spacing w:after="0"/>
            </w:pPr>
            <w:r>
              <w:rPr>
                <w:b/>
                <w:i w:val="0"/>
                <w:sz w:val="19"/>
              </w:rPr>
              <w:t>Fang · irAEs</w:t>
            </w:r>
          </w:p>
        </w:tc>
        <w:tc>
          <w:tcPr>
            <w:tcW w:type="dxa" w:w="3360"/>
            <w:tcW w:w="5480" w:type="dxa"/>
            <w:shd w:val="clear" w:color="auto" w:fill="FFFFFF"/>
          </w:tcPr>
          <w:p>
            <w:pPr>
              <w:spacing w:after="0"/>
            </w:pPr>
            <w:r>
              <w:rPr>
                <w:b w:val="0"/>
                <w:i w:val="0"/>
                <w:sz w:val="19"/>
              </w:rPr>
              <w:t>“irAEs (any grade vs non)” Prior irAEs were associated with rejection; the study did not validate the specific grade-based activation rule proposed here.</w:t>
            </w:r>
          </w:p>
        </w:tc>
        <w:tc>
          <w:tcPr>
            <w:tcW w:type="dxa" w:w="3360"/>
            <w:tcW w:w="2400" w:type="dxa"/>
            <w:shd w:val="clear" w:color="auto" w:fill="FFFFFF"/>
          </w:tcPr>
          <w:p>
            <w:pPr>
              <w:spacing w:after="0"/>
            </w:pPr>
            <w:r>
              <w:rPr>
                <w:b w:val="0"/>
                <w:i w:val="0"/>
                <w:color w:val="5A6069"/>
                <w:sz w:val="18"/>
              </w:rPr>
              <w:t>Published PDF p6, Table 4</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VITALITY · Tabrizian</w:t>
            </w:r>
          </w:p>
        </w:tc>
        <w:tc>
          <w:tcPr>
            <w:tcW w:type="dxa" w:w="3360"/>
            <w:tcW w:w="3900" w:type="dxa"/>
            <w:shd w:val="clear" w:color="auto" w:fill="F1F5F8"/>
          </w:tcPr>
          <w:p>
            <w:pPr>
              <w:spacing w:after="0"/>
            </w:pPr>
            <w:r>
              <w:rPr>
                <w:b w:val="0"/>
                <w:i w:val="0"/>
                <w:sz w:val="19"/>
              </w:rPr>
              <w:t>Multicenter observational US cohort: 117 consecutive ICI-treated HCC patients assessed for LT, 2016–2023. 86 were initially beyond Milan; 94% also received locoregional treatment. Patients were selected for transplant evaluation rather than representing all advanced HCC treated with ICI.</w:t>
            </w:r>
          </w:p>
        </w:tc>
        <w:tc>
          <w:tcPr>
            <w:tcW w:type="dxa" w:w="3360"/>
            <w:tcW w:w="4180" w:type="dxa"/>
            <w:shd w:val="clear" w:color="auto" w:fill="F1F5F8"/>
          </w:tcPr>
          <w:p>
            <w:pPr>
              <w:spacing w:after="0"/>
            </w:pPr>
            <w:r>
              <w:rPr>
                <w:b w:val="0"/>
                <w:i w:val="0"/>
                <w:sz w:val="19"/>
              </w:rPr>
              <w:t>65/86 (75.6%) beyond-Milan patients downstaged, median 5.6 months; 43/117 (36.7%) received LT. Three-year intention-to-treat survival was 71.1%; three-year recipient survival 85%. Rejection occurred in 7/43; six had last ICI &lt;3 months before LT; one rejection-associated graft loss.</w:t>
            </w:r>
          </w:p>
          <w:p>
            <w:pPr>
              <w:spacing w:after="0"/>
            </w:pPr>
            <w:r>
              <w:rPr>
                <w:b w:val="0"/>
                <w:i/>
                <w:sz w:val="19"/>
              </w:rPr>
              <w:t>Limits: The abstract's categories—18 initially within Milan plus 23 downstaged recipients—sum to 41, not 43; the two-patient discrepancy awaits full flow-diagram review. Multimodal treatment prevents attribution to ICI alone; full paper unavailable.</w:t>
            </w:r>
          </w:p>
          <w:p>
            <w:pPr>
              <w:spacing w:after="0"/>
            </w:pPr>
            <w:r>
              <w:rPr>
                <w:b w:val="0"/>
                <w:i w:val="0"/>
                <w:color w:val="5A6069"/>
                <w:sz w:val="18"/>
              </w:rPr>
              <w:t>Primary published abstract and accessible publisher material, PMID 39255928; full PDF pending.</w:t>
            </w:r>
          </w:p>
        </w:tc>
      </w:tr>
      <w:tr>
        <w:trPr>
          <w:cantSplit/>
        </w:trPr>
        <w:tc>
          <w:tcPr>
            <w:tcW w:type="dxa" w:w="3360"/>
            <w:tcW w:w="2000" w:type="dxa"/>
            <w:shd w:val="clear" w:color="auto" w:fill="FFFFFF"/>
          </w:tcPr>
          <w:p>
            <w:pPr>
              <w:spacing w:after="0"/>
            </w:pPr>
            <w:r>
              <w:rPr>
                <w:b/>
                <w:i w:val="0"/>
                <w:sz w:val="19"/>
              </w:rPr>
              <w:t>ImmunoXXL 2026</w:t>
            </w:r>
          </w:p>
        </w:tc>
        <w:tc>
          <w:tcPr>
            <w:tcW w:type="dxa" w:w="3360"/>
            <w:tcW w:w="3900" w:type="dxa"/>
            <w:shd w:val="clear" w:color="auto" w:fill="FFFFFF"/>
          </w:tcPr>
          <w:p>
            <w:pPr>
              <w:spacing w:after="0"/>
            </w:pPr>
            <w:r>
              <w:rPr>
                <w:b w:val="0"/>
                <w:i w:val="0"/>
                <w:sz w:val="19"/>
              </w:rPr>
              <w:t>Prospective phase II experience: 61 potentially eligible atezolizumab–bevacizumab-treated patients; 16 enrolled/listed/transplanted responders. The 45 not included comprised 25 treatment discontinuations (15 progression, four adverse events, six decompensation) and 20 failing downstaging criteria. Eight of 16 had portal thrombosis, grades not verified; 15 had prior locoregional treatment.</w:t>
            </w:r>
          </w:p>
        </w:tc>
        <w:tc>
          <w:tcPr>
            <w:tcW w:type="dxa" w:w="3360"/>
            <w:tcW w:w="4180" w:type="dxa"/>
            <w:shd w:val="clear" w:color="auto" w:fill="FFFFFF"/>
          </w:tcPr>
          <w:p>
            <w:pPr>
              <w:spacing w:after="0"/>
            </w:pPr>
            <w:r>
              <w:rPr>
                <w:b w:val="0"/>
                <w:i w:val="0"/>
                <w:sz w:val="19"/>
              </w:rPr>
              <w:t>Median washout 57.5 days (IQR 29–87), median follow-up 16 months. Acute rejection 4/16 (25%); three irAEs. Ninety-day morbidity 62.5%, mortality 1/16. Explants: ten complete and six partial responses; one recurrence. Two-year recipient OS 94%, RFS 90%.</w:t>
            </w:r>
          </w:p>
          <w:p>
            <w:pPr>
              <w:spacing w:after="0"/>
            </w:pPr>
            <w:r>
              <w:rPr>
                <w:b w:val="0"/>
                <w:i/>
                <w:sz w:val="19"/>
              </w:rPr>
              <w:t>Limits: These are selected-16 outcomes, not 61-patient ITT efficacy. Small, nonrandomized, short follow-up; a shorter median washout does not establish safety. Retransplantation count was not independently extractable from accessible primary text and is not asserted.</w:t>
            </w:r>
          </w:p>
          <w:p>
            <w:pPr>
              <w:spacing w:after="0"/>
            </w:pPr>
            <w:r>
              <w:rPr>
                <w:b w:val="0"/>
                <w:i w:val="0"/>
                <w:color w:val="5A6069"/>
                <w:sz w:val="18"/>
              </w:rPr>
              <w:t>Published abstract plus accessible publisher Results, PMID 41763363; full PDF needed for eligibility, flow and adverse-event denominators.</w:t>
            </w:r>
          </w:p>
        </w:tc>
      </w:tr>
      <w:tr>
        <w:trPr>
          <w:cantSplit/>
        </w:trPr>
        <w:tc>
          <w:tcPr>
            <w:tcW w:type="dxa" w:w="3360"/>
            <w:tcW w:w="2000" w:type="dxa"/>
            <w:shd w:val="clear" w:color="auto" w:fill="F1F5F8"/>
          </w:tcPr>
          <w:p>
            <w:pPr>
              <w:spacing w:after="0"/>
            </w:pPr>
            <w:r>
              <w:rPr>
                <w:b/>
                <w:i w:val="0"/>
                <w:sz w:val="19"/>
              </w:rPr>
              <w:t>Moeckli 2025</w:t>
            </w:r>
          </w:p>
        </w:tc>
        <w:tc>
          <w:tcPr>
            <w:tcW w:type="dxa" w:w="3360"/>
            <w:tcW w:w="3900" w:type="dxa"/>
            <w:shd w:val="clear" w:color="auto" w:fill="F1F5F8"/>
          </w:tcPr>
          <w:p>
            <w:pPr>
              <w:spacing w:after="0"/>
            </w:pPr>
            <w:r>
              <w:rPr>
                <w:b w:val="0"/>
                <w:i w:val="0"/>
                <w:sz w:val="19"/>
              </w:rPr>
              <w:t>International retrospective series of 119 ICI-exposed LT recipients. Only transplanted patients; washout categories &lt;30, 30–50 and &gt;50 days.</w:t>
            </w:r>
          </w:p>
        </w:tc>
        <w:tc>
          <w:tcPr>
            <w:tcW w:type="dxa" w:w="3360"/>
            <w:tcW w:w="4180" w:type="dxa"/>
            <w:shd w:val="clear" w:color="auto" w:fill="F1F5F8"/>
          </w:tcPr>
          <w:p>
            <w:pPr>
              <w:spacing w:after="0"/>
            </w:pPr>
            <w:r>
              <w:rPr>
                <w:b w:val="0"/>
                <w:i w:val="0"/>
                <w:sz w:val="19"/>
              </w:rPr>
              <w:t>Rejection occurred in 24/119 (20.2%), median nine days after LT. Six of 24 rejection cases lost the graft—6/119 (5.0%) of all recipients. Relative to &gt;50 days, univariate rejection odds ratios were 21.3 (95% CI 5.93–103) for &lt;30 days and 9.48 (2.47–46.8) for 30–50 days.</w:t>
            </w:r>
          </w:p>
          <w:p>
            <w:pPr>
              <w:spacing w:after="0"/>
            </w:pPr>
            <w:r>
              <w:rPr>
                <w:b w:val="0"/>
                <w:i/>
                <w:sz w:val="19"/>
              </w:rPr>
              <w:t>Limits: Retrospective association, broad confidence intervals and selection by transplant timing; no untreated comparator or all-ICI-treatment denominator. &gt;50 days is not a prospectively validated safe threshold.</w:t>
            </w:r>
          </w:p>
          <w:p>
            <w:pPr>
              <w:spacing w:after="0"/>
            </w:pPr>
            <w:r>
              <w:rPr>
                <w:b w:val="0"/>
                <w:i w:val="0"/>
                <w:color w:val="5A6069"/>
                <w:sz w:val="18"/>
              </w:rPr>
              <w:t>Primary abstract, PMID 40042053; complete publisher PDF inaccessible.</w:t>
            </w:r>
          </w:p>
        </w:tc>
      </w:tr>
      <w:tr>
        <w:trPr>
          <w:cantSplit/>
        </w:trPr>
        <w:tc>
          <w:tcPr>
            <w:tcW w:type="dxa" w:w="3360"/>
            <w:tcW w:w="2000" w:type="dxa"/>
            <w:shd w:val="clear" w:color="auto" w:fill="FFFFFF"/>
          </w:tcPr>
          <w:p>
            <w:pPr>
              <w:spacing w:after="0"/>
            </w:pPr>
            <w:r>
              <w:rPr>
                <w:b/>
                <w:i w:val="0"/>
                <w:sz w:val="19"/>
              </w:rPr>
              <w:t>Rezaee-Zavareh · IPD</w:t>
            </w:r>
          </w:p>
        </w:tc>
        <w:tc>
          <w:tcPr>
            <w:tcW w:type="dxa" w:w="3360"/>
            <w:tcW w:w="3900" w:type="dxa"/>
            <w:shd w:val="clear" w:color="auto" w:fill="FFFFFF"/>
          </w:tcPr>
          <w:p>
            <w:pPr>
              <w:spacing w:after="0"/>
            </w:pPr>
            <w:r>
              <w:rPr>
                <w:b w:val="0"/>
                <w:i w:val="0"/>
                <w:sz w:val="19"/>
              </w:rPr>
              <w:t>Secondary systematic review and individual-patient-data analysis: 91 recipients from 30 predominantly case reports/series and cohorts. Published ICI-exposed transplanted cases; not a randomized or consecutive all-treated population.</w:t>
            </w:r>
          </w:p>
        </w:tc>
        <w:tc>
          <w:tcPr>
            <w:tcW w:type="dxa" w:w="3360"/>
            <w:tcW w:w="4180" w:type="dxa"/>
            <w:shd w:val="clear" w:color="auto" w:fill="FFFFFF"/>
          </w:tcPr>
          <w:p>
            <w:pPr>
              <w:spacing w:after="0"/>
            </w:pPr>
            <w:r>
              <w:rPr>
                <w:b w:val="0"/>
                <w:i w:val="0"/>
                <w:sz w:val="19"/>
              </w:rPr>
              <w:t>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spacing w:after="0"/>
            </w:pPr>
            <w:r>
              <w:rPr>
                <w:b w:val="0"/>
                <w:i/>
                <w:sz w:val="19"/>
              </w:rPr>
              <w:t>Limits: Publication/selection bias, heterogeneous regimens, small events and overlap with later cohorts. A modeled ≤20% probability does not justify telling an individual that three months eliminates rejection risk.</w:t>
            </w:r>
          </w:p>
          <w:p>
            <w:pPr>
              <w:spacing w:after="0"/>
            </w:pPr>
            <w:r>
              <w:rPr>
                <w:b w:val="0"/>
                <w:i w:val="0"/>
                <w:color w:val="5A6069"/>
                <w:sz w:val="18"/>
              </w:rPr>
              <w:t>Complete local author manuscript: Results/washout model; PDF p10 (manuscript p7) conclusion. Existing V6 quotation ledger retained.</w:t>
            </w:r>
          </w:p>
        </w:tc>
      </w:tr>
      <w:tr>
        <w:trPr>
          <w:cantSplit/>
        </w:trPr>
        <w:tc>
          <w:tcPr>
            <w:tcW w:type="dxa" w:w="3360"/>
            <w:tcW w:w="2000" w:type="dxa"/>
            <w:shd w:val="clear" w:color="auto" w:fill="F1F5F8"/>
          </w:tcPr>
          <w:p>
            <w:pPr>
              <w:spacing w:after="0"/>
            </w:pPr>
            <w:r>
              <w:rPr>
                <w:b/>
                <w:i w:val="0"/>
                <w:sz w:val="19"/>
              </w:rPr>
              <w:t>Fang · irAEs</w:t>
            </w:r>
          </w:p>
        </w:tc>
        <w:tc>
          <w:tcPr>
            <w:tcW w:type="dxa" w:w="3360"/>
            <w:tcW w:w="3900" w:type="dxa"/>
            <w:shd w:val="clear" w:color="auto" w:fill="F1F5F8"/>
          </w:tcPr>
          <w:p>
            <w:pPr>
              <w:spacing w:after="0"/>
            </w:pPr>
            <w:r>
              <w:rPr>
                <w:b w:val="0"/>
                <w:i w:val="0"/>
                <w:sz w:val="19"/>
              </w:rPr>
              <w:t>Multicenter Chinese retrospective cohort, 2018–2024: 209 ICI-exposed LT recipients. Prior irAEs of any grade were recorded; six patients had grade 3–4 events.</w:t>
            </w:r>
          </w:p>
        </w:tc>
        <w:tc>
          <w:tcPr>
            <w:tcW w:type="dxa" w:w="3360"/>
            <w:tcW w:w="4180" w:type="dxa"/>
            <w:shd w:val="clear" w:color="auto" w:fill="F1F5F8"/>
          </w:tcPr>
          <w:p>
            <w:pPr>
              <w:spacing w:after="0"/>
            </w:pPr>
            <w:r>
              <w:rPr>
                <w:b w:val="0"/>
                <w:i w:val="0"/>
                <w:sz w:val="19"/>
              </w:rPr>
              <w:t>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spacing w:after="0"/>
            </w:pPr>
            <w:r>
              <w:rPr>
                <w:b w:val="0"/>
                <w:i/>
                <w:sz w:val="19"/>
              </w:rPr>
              <w:t>Limits: The discussion's 58.3%/13.3% are irAE prevalence within rejection/nonrejection groups, not rejection probabilities. Too few severe irAEs to validate a grade-specific exclusion or a recovery interval.</w:t>
            </w:r>
          </w:p>
          <w:p>
            <w:pPr>
              <w:spacing w:after="0"/>
            </w:pPr>
            <w:r>
              <w:rPr>
                <w:b w:val="0"/>
                <w:i w:val="0"/>
                <w:color w:val="5A6069"/>
                <w:sz w:val="18"/>
              </w:rPr>
              <w:t>Complete local PDF pp5–6, Tables 3–4; avoid reversed conditional denominators.</w:t>
            </w:r>
          </w:p>
        </w:tc>
      </w:tr>
      <w:tr>
        <w:trPr>
          <w:cantSplit/>
        </w:trPr>
        <w:tc>
          <w:tcPr>
            <w:tcW w:type="dxa" w:w="3360"/>
            <w:tcW w:w="2000" w:type="dxa"/>
            <w:shd w:val="clear" w:color="auto" w:fill="FFFFFF"/>
          </w:tcPr>
          <w:p>
            <w:pPr>
              <w:spacing w:after="0"/>
            </w:pPr>
            <w:r>
              <w:rPr>
                <w:b/>
                <w:i w:val="0"/>
                <w:sz w:val="19"/>
              </w:rPr>
              <w:t>Aceituno 2026</w:t>
            </w:r>
          </w:p>
        </w:tc>
        <w:tc>
          <w:tcPr>
            <w:tcW w:type="dxa" w:w="3360"/>
            <w:tcW w:w="3900" w:type="dxa"/>
            <w:shd w:val="clear" w:color="auto" w:fill="FFFFFF"/>
          </w:tcPr>
          <w:p>
            <w:pPr>
              <w:spacing w:after="0"/>
            </w:pPr>
            <w:r>
              <w:rPr>
                <w:b w:val="0"/>
                <w:i w:val="0"/>
                <w:sz w:val="19"/>
              </w:rPr>
              <w:t>Ten-center ICI series, 48 recipients, propensity matched with 144 Toronto non-ICI controls; 20/48 exposed cases previously published. Matching used age, sex, liver disease and LT year, not tumor burden or immunosuppression. Prior ICI adverse events were not captured.</w:t>
            </w:r>
          </w:p>
        </w:tc>
        <w:tc>
          <w:tcPr>
            <w:tcW w:type="dxa" w:w="3360"/>
            <w:tcW w:w="4180" w:type="dxa"/>
            <w:shd w:val="clear" w:color="auto" w:fill="FFFFFF"/>
          </w:tcPr>
          <w:p>
            <w:pPr>
              <w:spacing w:after="0"/>
            </w:pPr>
            <w:r>
              <w:rPr>
                <w:b w:val="0"/>
                <w:i w:val="0"/>
                <w:sz w:val="19"/>
              </w:rPr>
              <w:t>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spacing w:after="0"/>
            </w:pPr>
            <w:r>
              <w:rPr>
                <w:b w:val="0"/>
                <w:i/>
                <w:sz w:val="19"/>
              </w:rPr>
              <w:t>Limits: No detected difference is not equivalence. Substantial tumor-risk imbalance and published-case overlap. Abstract washout IQR 13–96 conflicts with Table 1 and appears to match rejection-onset timing; use table and flag discrepancy. It cannot reassure about prior irAE risk.</w:t>
            </w:r>
          </w:p>
          <w:p>
            <w:pPr>
              <w:spacing w:after="0"/>
            </w:pPr>
            <w:r>
              <w:rPr>
                <w:b w:val="0"/>
                <w:i w:val="0"/>
                <w:color w:val="5A6069"/>
                <w:sz w:val="18"/>
              </w:rPr>
              <w:t>Complete local PDF pp2–5, Methods and Tables 1–2.</w:t>
            </w:r>
          </w:p>
        </w:tc>
      </w:tr>
      <w:tr>
        <w:trPr>
          <w:cantSplit/>
        </w:trPr>
        <w:tc>
          <w:tcPr>
            <w:tcW w:type="dxa" w:w="3360"/>
            <w:tcW w:w="2000" w:type="dxa"/>
            <w:shd w:val="clear" w:color="auto" w:fill="F1F5F8"/>
          </w:tcPr>
          <w:p>
            <w:pPr>
              <w:spacing w:after="0"/>
            </w:pPr>
            <w:r>
              <w:rPr>
                <w:b/>
                <w:i w:val="0"/>
                <w:sz w:val="19"/>
              </w:rPr>
              <w:t>LITCHI 2026</w:t>
            </w:r>
          </w:p>
        </w:tc>
        <w:tc>
          <w:tcPr>
            <w:tcW w:type="dxa" w:w="3360"/>
            <w:tcW w:w="3900" w:type="dxa"/>
            <w:shd w:val="clear" w:color="auto" w:fill="F1F5F8"/>
          </w:tcPr>
          <w:p>
            <w:pPr>
              <w:spacing w:after="0"/>
            </w:pPr>
            <w:r>
              <w:rPr>
                <w:b w:val="0"/>
                <w:i w:val="0"/>
                <w:sz w:val="19"/>
              </w:rPr>
              <w:t>Multinational European registry, ten centers, 18 recipients, 2018–2024. 15 received atezolizumab–bevacizumab; 14/18 had washout &gt;100 days. Only two centers used routine biopsy; others used clinical/LFT triggers.</w:t>
            </w:r>
          </w:p>
        </w:tc>
        <w:tc>
          <w:tcPr>
            <w:tcW w:type="dxa" w:w="3360"/>
            <w:tcW w:w="4180" w:type="dxa"/>
            <w:shd w:val="clear" w:color="auto" w:fill="F1F5F8"/>
          </w:tcPr>
          <w:p>
            <w:pPr>
              <w:spacing w:after="0"/>
            </w:pPr>
            <w:r>
              <w:rPr>
                <w:b w:val="0"/>
                <w:i w:val="0"/>
                <w:sz w:val="19"/>
              </w:rPr>
              <w:t>Four of 18 developed biopsy-confirmed rejection (22%; 95% CI 6.4–47.6). One fatal rejection occurred 21 days after LT following 13-day washout; three other events responded to intensified immunosuppression. One HCC recurrence; one-year overall survival 77%.</w:t>
            </w:r>
          </w:p>
          <w:p>
            <w:pPr>
              <w:spacing w:after="0"/>
            </w:pPr>
            <w:r>
              <w:rPr>
                <w:b w:val="0"/>
                <w:i/>
                <w:sz w:val="19"/>
              </w:rPr>
              <w:t>Limits: Small, noncomparative and largely long-washout cohort. Late rejection and incomplete protocol-biopsy surveillance preclude a guaranteed safe interval or extrapolation of the aggregate rate to short-washout patients.</w:t>
            </w:r>
          </w:p>
          <w:p>
            <w:pPr>
              <w:spacing w:after="0"/>
            </w:pPr>
            <w:r>
              <w:rPr>
                <w:b w:val="0"/>
                <w:i w:val="0"/>
                <w:color w:val="5A6069"/>
                <w:sz w:val="18"/>
              </w:rPr>
              <w:t>Primary full HTML and indexed publisher PDF Methods/Results, DOI 10.1111/liv.70692. Complete PDF download remains blocked.</w:t>
            </w:r>
          </w:p>
        </w:tc>
      </w:tr>
      <w:tr>
        <w:trPr>
          <w:cantSplit/>
        </w:trPr>
        <w:tc>
          <w:tcPr>
            <w:tcW w:type="dxa" w:w="3360"/>
            <w:tcW w:w="2000" w:type="dxa"/>
            <w:shd w:val="clear" w:color="auto" w:fill="FFFFFF"/>
          </w:tcPr>
          <w:p>
            <w:pPr>
              <w:spacing w:after="0"/>
            </w:pPr>
            <w:r>
              <w:rPr>
                <w:b/>
                <w:i w:val="0"/>
                <w:sz w:val="19"/>
              </w:rPr>
              <w:t>HCC ICI cohort · JAMA 2026</w:t>
            </w:r>
          </w:p>
        </w:tc>
        <w:tc>
          <w:tcPr>
            <w:tcW w:type="dxa" w:w="3360"/>
            <w:tcW w:w="3900" w:type="dxa"/>
            <w:shd w:val="clear" w:color="auto" w:fill="FFFFFF"/>
          </w:tcPr>
          <w:p>
            <w:pPr>
              <w:spacing w:after="0"/>
            </w:pPr>
            <w:r>
              <w:rPr>
                <w:b w:val="0"/>
                <w:i w:val="0"/>
                <w:sz w:val="19"/>
              </w:rPr>
              <w:t>Eight-center Chinese recipient cohort, 2019–2024; initially beyond Milan; 208 ICI recipients propensity matched to 208 non-ICI recipients. Downstaging followed by actual transplantation; not treatment-entry randomization. Treatment was multimodal.</w:t>
            </w:r>
          </w:p>
        </w:tc>
        <w:tc>
          <w:tcPr>
            <w:tcW w:type="dxa" w:w="3360"/>
            <w:tcW w:w="4180" w:type="dxa"/>
            <w:shd w:val="clear" w:color="auto" w:fill="FFFFFF"/>
          </w:tcPr>
          <w:p>
            <w:pPr>
              <w:spacing w:after="0"/>
            </w:pPr>
            <w:r>
              <w:rPr>
                <w:b w:val="0"/>
                <w:i w:val="0"/>
                <w:sz w:val="19"/>
              </w:rPr>
              <w:t>Median post-LT OS 4.57 versus 2.53 years, HR .63 (95% CI .43–.92); RFS 1.47 versus .89 years, HR .59 (.44–.80); recurrence subdistribution HR .54 (.40–.72). Ninety-day rejection was 34/208 (16.3%) versus 17/208 (8.2%).</w:t>
            </w:r>
          </w:p>
          <w:p>
            <w:pPr>
              <w:spacing w:after="0"/>
            </w:pPr>
            <w:r>
              <w:rPr>
                <w:b w:val="0"/>
                <w:i/>
                <w:sz w:val="19"/>
              </w:rPr>
              <w:t>Limits: Favorable oncologic association coexists with greater rejection. Residual confounding and selection remain; there is no all-downstaging-entry ITT comparison. Possible center/year overlap with Fang and other Chinese cohorts must be checked before pooling. Abstract-only verification.</w:t>
            </w:r>
          </w:p>
          <w:p>
            <w:pPr>
              <w:spacing w:after="0"/>
            </w:pPr>
            <w:r>
              <w:rPr>
                <w:b w:val="0"/>
                <w:i w:val="0"/>
                <w:color w:val="5A6069"/>
                <w:sz w:val="18"/>
              </w:rPr>
              <w:t>Primary October 2026 JAMA Oncology abstract, PMID 42821267; full PDF pending.</w:t>
            </w:r>
          </w:p>
        </w:tc>
      </w:tr>
    </w:tbl>
    <w:p>
      <w:pPr>
        <w:spacing w:after="40"/>
      </w:pPr>
    </w:p>
    <w:p>
      <w:pPr>
        <w:pStyle w:val="Heading3"/>
        <w:keepNext/>
        <w:spacing w:before="120" w:after="80"/>
      </w:pPr>
      <w:r>
        <w:rPr>
          <w:b w:val="0"/>
          <w:i w:val="0"/>
        </w:rPr>
        <w:t>Our proposed selection (OPEN)</w:t>
      </w:r>
    </w:p>
    <w:p>
      <w:pPr>
        <w:spacing w:after="80"/>
      </w:pPr>
      <w:r>
        <w:rPr>
          <w:b w:val="0"/>
          <w:i w:val="0"/>
        </w:rPr>
        <w:t>Use ≥90 days after the last ICI dose as the elective LT planning threshold, with a separate assessment of immune toxicity.</w:t>
      </w:r>
    </w:p>
    <w:p>
      <w:pPr>
        <w:numPr>
          <w:ilvl w:val="0"/>
          <w:numId w:val="5"/>
        </w:numPr>
        <w:spacing w:after="40"/>
      </w:pPr>
      <w:r>
        <w:rPr>
          <w:b w:val="0"/>
          <w:i w:val="0"/>
        </w:rPr>
        <w:t>Proposed elective cutoff: ≥90 days from last ICI dose to LT. No interval is proven safe; a longer interval does not eliminate rejection or graft-loss risk.</w:t>
      </w:r>
    </w:p>
    <w:p>
      <w:pPr>
        <w:numPr>
          <w:ilvl w:val="0"/>
          <w:numId w:val="5"/>
        </w:numPr>
        <w:spacing w:after="40"/>
      </w:pPr>
      <w:r>
        <w:rPr>
          <w:b w:val="0"/>
          <w:i w:val="0"/>
        </w:rPr>
        <w:t>Require no active clinically significant non-endocrine immune toxicity: grade ≤1 and no escalating immunosuppression for toxicity. Stable endocrine replacement may qualify. Prior grade 3–4 non-endocrine toxicity or myocarditis is excluded from the initial pilot pending separate specialist review.</w:t>
      </w:r>
    </w:p>
    <w:p>
      <w:pPr>
        <w:numPr>
          <w:ilvl w:val="0"/>
          <w:numId w:val="5"/>
        </w:numPr>
        <w:spacing w:after="40"/>
      </w:pPr>
      <w:r>
        <w:rPr>
          <w:b w:val="0"/>
          <w:i w:val="0"/>
        </w:rPr>
        <w:t>A shorter interval has no automatic urgency waiver. An exceptional-care decision must document near-term mortality without LT, alternatives, donor/graft risk, consent and rescue capability. Biology, ICI and allocation clocks may overlap; do not add them mechanically.</w:t>
      </w:r>
    </w:p>
    <w:p>
      <w:pPr>
        <w:numPr>
          <w:ilvl w:val="0"/>
          <w:numId w:val="5"/>
        </w:numPr>
        <w:spacing w:after="40"/>
      </w:pPr>
      <w:r>
        <w:rPr>
          <w:b w:val="0"/>
          <w:i w:val="0"/>
        </w:rPr>
        <w:t>Consent must address rejection, graft loss, uncertain comparative oncologic benefit and progression during washout. Neither elapsed time nor complete radiological response guarantees immune safety. Obtain the missing primary full texts before ratifying these provisional thresholds.</w:t>
      </w:r>
    </w:p>
    <w:p>
      <w:pPr>
        <w:spacing w:after="80"/>
      </w:pPr>
      <w:r>
        <w:rPr>
          <w:b/>
          <w:i w:val="0"/>
        </w:rPr>
        <w:t xml:space="preserve">Why: </w:t>
      </w:r>
      <w:r>
        <w:rPr>
          <w:b w:val="0"/>
          <w:i w:val="0"/>
        </w:rPr>
        <w:t>ICI can help some selected patients reach transplantation, but efficacy and safety denominators must be kept separate: response among treated patients, probability of reaching LT, and rejection among recipients answer different questions. Very short washout is consistently concerning; evidence does not establish an interval at which risk becomes zero. Prior irAE adds information beyond elapsed time. Neither the apparent safety of some matched cohorts nor promising recipient survival cancels the graft-loss signal.</w:t>
      </w:r>
    </w:p>
    <w:p>
      <w:pPr>
        <w:spacing w:after="80"/>
      </w:pPr>
      <w:r>
        <w:rPr>
          <w:b/>
          <w:i w:val="0"/>
        </w:rPr>
        <w:t xml:space="preserve">Against, or uncertain: </w:t>
      </w:r>
      <w:r>
        <w:rPr>
          <w:b w:val="0"/>
          <w:i w:val="0"/>
        </w:rPr>
        <w:t>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spacing w:after="80"/>
      </w:pPr>
      <w:r>
        <w:rPr>
          <w:b/>
          <w:i w:val="0"/>
        </w:rPr>
        <w:t xml:space="preserve">Certainty: </w:t>
      </w:r>
      <w:r>
        <w:rPr>
          <w:b w:val="0"/>
          <w:i w:val="0"/>
        </w:rPr>
        <w:t>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spacing w:after="80"/>
      </w:pPr>
      <w:r>
        <w:rPr>
          <w:b/>
          <w:i w:val="0"/>
        </w:rPr>
        <w:t xml:space="preserve">Tests and records: </w:t>
      </w:r>
      <w:r>
        <w:rPr>
          <w:b w:val="0"/>
          <w:i w:val="0"/>
        </w:rPr>
        <w:t>Drug and last-dose dates; complete irAE history and grade; treatment and recovery; graft-risk review by hepatology, oncology and pharmacy; current staging.</w:t>
      </w:r>
    </w:p>
    <w:p>
      <w:pPr>
        <w:spacing w:after="80"/>
      </w:pPr>
      <w:r>
        <w:rPr>
          <w:b/>
          <w:i w:val="0"/>
        </w:rPr>
        <w:t xml:space="preserve">Allocation: </w:t>
      </w:r>
      <w:r>
        <w:rPr>
          <w:b w:val="0"/>
          <w:i w:val="0"/>
        </w:rPr>
        <w:t>Prior ICI alone is not an automatic HCC exception exclusion. The proposed clinical timing requirement is separate from tumor eligibility and allocation waiting time.</w:t>
      </w:r>
    </w:p>
    <w:p>
      <w:pPr>
        <w:spacing w:after="40"/>
      </w:pPr>
      <w:r>
        <w:rPr>
          <w:b/>
          <w:i w:val="0"/>
        </w:rPr>
        <w:t xml:space="preserve">Basis for the proposed thresholds: </w:t>
      </w:r>
    </w:p>
    <w:p>
      <w:pPr>
        <w:numPr>
          <w:ilvl w:val="0"/>
          <w:numId w:val="5"/>
        </w:numPr>
        <w:spacing w:after="40"/>
      </w:pPr>
      <w:r>
        <w:rPr>
          <w:b w:val="0"/>
          <w:i w:val="0"/>
        </w:rPr>
        <w:t>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spacing w:before="120" w:after="80"/>
      </w:pPr>
      <w:r>
        <w:rPr>
          <w:b w:val="0"/>
          <w:i w:val="0"/>
        </w:rPr>
        <w:t>HCC-B3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HCC-B4 — Survival-benefit prediction: research use only</w:t>
      </w:r>
    </w:p>
    <w:p>
      <w:pPr>
        <w:spacing w:after="80"/>
      </w:pPr>
      <w:r>
        <w:rPr>
          <w:b w:val="0"/>
          <w:i w:val="0"/>
          <w:color w:val="5A6069"/>
          <w:sz w:val="18"/>
        </w:rPr>
        <w:t>Research use only · not activated · High-risk review</w:t>
      </w:r>
    </w:p>
    <w:p>
      <w:pPr>
        <w:spacing w:after="80"/>
      </w:pPr>
      <w:r>
        <w:rPr>
          <w:b/>
          <w:i w:val="0"/>
        </w:rPr>
        <w:t xml:space="preserve">Question: </w:t>
      </w:r>
      <w:r>
        <w:rPr>
          <w:b w:val="0"/>
          <w:i w:val="0"/>
        </w:rPr>
        <w:t>Can a survival-benefit score influence organ priority?</w:t>
      </w:r>
    </w:p>
    <w:p>
      <w:pPr>
        <w:spacing w:after="80"/>
      </w:pPr>
      <w:r>
        <w:rPr>
          <w:b/>
          <w:i w:val="0"/>
        </w:rPr>
        <w:t xml:space="preserve">When it applies: </w:t>
      </w:r>
      <w:r>
        <w:rPr>
          <w:b w:val="0"/>
          <w:i w:val="0"/>
        </w:rPr>
        <w:t>Prediction models may inform research; they do not currently determine access to a graft in this proposal.</w:t>
      </w:r>
    </w:p>
    <w:p>
      <w:pPr>
        <w:spacing w:after="80"/>
      </w:pPr>
      <w:r>
        <w:rPr>
          <w:b/>
          <w:i w:val="0"/>
        </w:rPr>
        <w:t xml:space="preserve">Where it is decided: </w:t>
      </w:r>
      <w:hyperlink r:id="rId41">
        <w:r>
          <w:rPr>
            <w:color w:val="0563C1"/>
            <w:u w:val="single"/>
          </w:rPr>
          <w:t xml:space="preserve">Review listing and MELD-exception request</w:t>
        </w:r>
      </w:hyperlink>
    </w:p>
    <w:p>
      <w:pPr>
        <w:spacing w:after="120"/>
      </w:pPr>
      <w:r>
        <w:rPr>
          <w:b/>
          <w:i w:val="0"/>
          <w:sz w:val="18"/>
        </w:rPr>
        <w:t xml:space="preserve">Web page: </w:t>
      </w:r>
      <w:hyperlink r:id="rId5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Liu 2026</w:t>
            </w:r>
          </w:p>
        </w:tc>
        <w:tc>
          <w:tcPr>
            <w:tcW w:type="dxa" w:w="3360"/>
            <w:tcW w:w="5480" w:type="dxa"/>
            <w:shd w:val="clear" w:color="auto" w:fill="F1F5F8"/>
          </w:tcPr>
          <w:p>
            <w:pPr>
              <w:spacing w:after="0"/>
            </w:pPr>
            <w:r>
              <w:rPr>
                <w:b w:val="0"/>
                <w:i w:val="0"/>
                <w:sz w:val="19"/>
              </w:rPr>
              <w:t>“developed and internally validated” A split-sample internal assessment is not independent external validation.</w:t>
            </w:r>
          </w:p>
        </w:tc>
        <w:tc>
          <w:tcPr>
            <w:tcW w:type="dxa" w:w="3360"/>
            <w:tcW w:w="2400" w:type="dxa"/>
            <w:shd w:val="clear" w:color="auto" w:fill="F1F5F8"/>
          </w:tcPr>
          <w:p>
            <w:pPr>
              <w:spacing w:after="0"/>
            </w:pPr>
            <w:r>
              <w:rPr>
                <w:b w:val="0"/>
                <w:i w:val="0"/>
                <w:color w:val="5A6069"/>
                <w:sz w:val="18"/>
              </w:rPr>
              <w:t>Published PDF p2, introduction</w:t>
            </w:r>
          </w:p>
        </w:tc>
      </w:tr>
      <w:tr>
        <w:trPr>
          <w:cantSplit/>
        </w:trPr>
        <w:tc>
          <w:tcPr>
            <w:tcW w:type="dxa" w:w="3360"/>
            <w:tcW w:w="2200" w:type="dxa"/>
            <w:shd w:val="clear" w:color="auto" w:fill="FFFFFF"/>
          </w:tcPr>
          <w:p>
            <w:pPr>
              <w:spacing w:after="0"/>
            </w:pPr>
            <w:r>
              <w:rPr>
                <w:b/>
                <w:i w:val="0"/>
                <w:sz w:val="19"/>
              </w:rPr>
              <w:t>Liu 2026</w:t>
            </w:r>
          </w:p>
        </w:tc>
        <w:tc>
          <w:tcPr>
            <w:tcW w:type="dxa" w:w="3360"/>
            <w:tcW w:w="5480" w:type="dxa"/>
            <w:shd w:val="clear" w:color="auto" w:fill="FFFFFF"/>
          </w:tcPr>
          <w:p>
            <w:pPr>
              <w:spacing w:after="0"/>
            </w:pPr>
            <w:r>
              <w:rPr>
                <w:b w:val="0"/>
                <w:i w:val="0"/>
                <w:sz w:val="19"/>
              </w:rPr>
              <w:t>“Recipients of living donor liver transplantation (LDLT) were excluded” LDLT decisions are outside this model’s evaluated population.</w:t>
            </w:r>
          </w:p>
        </w:tc>
        <w:tc>
          <w:tcPr>
            <w:tcW w:type="dxa" w:w="3360"/>
            <w:tcW w:w="2400" w:type="dxa"/>
            <w:shd w:val="clear" w:color="auto" w:fill="FFFFFF"/>
          </w:tcPr>
          <w:p>
            <w:pPr>
              <w:spacing w:after="0"/>
            </w:pPr>
            <w:r>
              <w:rPr>
                <w:b w:val="0"/>
                <w:i w:val="0"/>
                <w:color w:val="5A6069"/>
                <w:sz w:val="18"/>
              </w:rPr>
              <w:t>Published PDF p2, section 1.3</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Liu 2026</w:t>
            </w:r>
          </w:p>
        </w:tc>
        <w:tc>
          <w:tcPr>
            <w:tcW w:type="dxa" w:w="3360"/>
            <w:tcW w:w="3900" w:type="dxa"/>
            <w:shd w:val="clear" w:color="auto" w:fill="F1F5F8"/>
          </w:tcPr>
          <w:p>
            <w:pPr>
              <w:spacing w:after="0"/>
            </w:pPr>
            <w:r>
              <w:rPr>
                <w:b w:val="0"/>
                <w:i w:val="0"/>
                <w:sz w:val="19"/>
              </w:rPr>
              <w:t>SRTR 2002–2022 HCC cohort restricted to Milan: 30,565 candidates, randomly split into development 15,282 and internal validation 15,283. Table 1 records 19,997 LT and 8,249 dropout events. DDLT pathway; LDLT excluded. The 30,565 are not all transplanted recipients despite inconsistent Methods wording.</w:t>
            </w:r>
          </w:p>
        </w:tc>
        <w:tc>
          <w:tcPr>
            <w:tcW w:type="dxa" w:w="3360"/>
            <w:tcW w:w="4180" w:type="dxa"/>
            <w:shd w:val="clear" w:color="auto" w:fill="F1F5F8"/>
          </w:tcPr>
          <w:p>
            <w:pPr>
              <w:spacing w:after="0"/>
            </w:pPr>
            <w:r>
              <w:rPr>
                <w:b w:val="0"/>
                <w:i w:val="0"/>
                <w:sz w:val="19"/>
              </w:rPr>
              <w:t>Proposed score: 0.65×(C-MELD−6)+1.99×(TBS−2.25)+0.68×log2(AFP). Reported internal correlation .93, R² .87 and C-index .91.</w:t>
            </w:r>
          </w:p>
          <w:p>
            <w:pPr>
              <w:spacing w:after="0"/>
            </w:pPr>
            <w:r>
              <w:rPr>
                <w:b w:val="0"/>
                <w:i/>
                <w:sz w:val="19"/>
              </w:rPr>
              <w:t>Limits: 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p>
            <w:pPr>
              <w:spacing w:after="0"/>
            </w:pPr>
            <w:r>
              <w:rPr>
                <w:b w:val="0"/>
                <w:i w:val="0"/>
                <w:color w:val="5A6069"/>
                <w:sz w:val="18"/>
              </w:rPr>
              <w:t>Complete local PDF pp2–5, §§1.3, 1.6, 1.8 and 2.3, Table 1.</w:t>
            </w:r>
          </w:p>
        </w:tc>
      </w:tr>
      <w:tr>
        <w:trPr>
          <w:cantSplit/>
        </w:trPr>
        <w:tc>
          <w:tcPr>
            <w:tcW w:type="dxa" w:w="3360"/>
            <w:tcW w:w="2000" w:type="dxa"/>
            <w:shd w:val="clear" w:color="auto" w:fill="FFFFFF"/>
          </w:tcPr>
          <w:p>
            <w:pPr>
              <w:spacing w:after="0"/>
            </w:pPr>
            <w:r>
              <w:rPr>
                <w:b/>
                <w:i w:val="0"/>
                <w:sz w:val="19"/>
              </w:rPr>
              <w:t>Liu 2025</w:t>
            </w:r>
          </w:p>
        </w:tc>
        <w:tc>
          <w:tcPr>
            <w:tcW w:type="dxa" w:w="3360"/>
            <w:tcW w:w="3900" w:type="dxa"/>
            <w:shd w:val="clear" w:color="auto" w:fill="FFFFFF"/>
          </w:tcPr>
          <w:p>
            <w:pPr>
              <w:spacing w:after="0"/>
            </w:pPr>
            <w:r>
              <w:rPr>
                <w:b w:val="0"/>
                <w:i w:val="0"/>
                <w:sz w:val="19"/>
              </w:rPr>
              <w:t>SRTR HCC-exception candidates 2002–2019, follow-up to December 2023: 36,634 candidates; 24,457 transplanted, 9,582 dropout. Tumor burden score is √(largest diameter²+number²), grouped ≤3, 3.1–5 and &gt;5. At listing, 91% were within Milan, 5.3% within UCSF but outside Milan, 3.6% beyond UCSF.</w:t>
            </w:r>
          </w:p>
        </w:tc>
        <w:tc>
          <w:tcPr>
            <w:tcW w:type="dxa" w:w="3360"/>
            <w:tcW w:w="4180" w:type="dxa"/>
            <w:shd w:val="clear" w:color="auto" w:fill="FFFFFF"/>
          </w:tcPr>
          <w:p>
            <w:pPr>
              <w:spacing w:after="0"/>
            </w:pPr>
            <w:r>
              <w:rPr>
                <w:b w:val="0"/>
                <w:i w:val="0"/>
                <w:sz w:val="19"/>
              </w:rPr>
              <w:t>Five-year unadjusted restricted-mean survival benefit was 15.7/22.1/25.0 months across increasing TBS groups. Adjusted five-year survival-probability differences were 21.9/34.5/39.4 percentage points. These are different measures, not interchangeable units.</w:t>
            </w:r>
          </w:p>
          <w:p>
            <w:pPr>
              <w:spacing w:after="0"/>
            </w:pPr>
            <w:r>
              <w:rPr>
                <w:b w:val="0"/>
                <w:i/>
                <w:sz w:val="19"/>
              </w:rPr>
              <w:t>Limits: Overlapping SRTR population is not independent validation of the 2026 score. Methods explicitly report time-dependent LT modeling; do not falsely accuse the study of ignoring treatment timing. Counterfactual assumptions and differing clocks still require scrutiny.</w:t>
            </w:r>
          </w:p>
          <w:p>
            <w:pPr>
              <w:spacing w:after="0"/>
            </w:pPr>
            <w:r>
              <w:rPr>
                <w:b w:val="0"/>
                <w:i w:val="0"/>
                <w:color w:val="5A6069"/>
                <w:sz w:val="18"/>
              </w:rPr>
              <w:t>Complete local 13-page PDF, pp4–6, cohort/Table 1 and statistical methods.</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European ten-center HCC listing cohort, 1987–2015: 2,103 listed, 1,857 transplanted; 636 outside Milan at listing. Benefit stratification used MELD, AFP, Milan status and radiological response.</w:t>
            </w:r>
          </w:p>
        </w:tc>
        <w:tc>
          <w:tcPr>
            <w:tcW w:type="dxa" w:w="3360"/>
            <w:tcW w:w="4180" w:type="dxa"/>
            <w:shd w:val="clear" w:color="auto" w:fill="F1F5F8"/>
          </w:tcPr>
          <w:p>
            <w:pPr>
              <w:spacing w:after="0"/>
            </w:pPr>
            <w:r>
              <w:rPr>
                <w:b w:val="0"/>
                <w:i w:val="0"/>
                <w:sz w:val="19"/>
              </w:rPr>
              <w:t>The model classified 405/2,103 (19.2%) as no-benefit and 108/2,103 (5.1%) as large-benefit, the latter with a modeled 60-month difference.</w:t>
            </w:r>
          </w:p>
          <w:p>
            <w:pPr>
              <w:spacing w:after="0"/>
            </w:pPr>
            <w:r>
              <w:rPr>
                <w:b w:val="0"/>
                <w:i/>
                <w:sz w:val="19"/>
              </w:rPr>
              <w:t>Limits: Non-LT counterfactual survival was imputed using MESIAH at the final LT/dropout assessment, not observed in a comparable randomized untreated group. Historical treatment eras and modeling assumptions limit transport. The paper's proposal to delist the no-benefit group is not independently validated clinical utility.</w:t>
            </w:r>
          </w:p>
          <w:p>
            <w:pPr>
              <w:spacing w:after="0"/>
            </w:pPr>
            <w:r>
              <w:rPr>
                <w:b w:val="0"/>
                <w:i w:val="0"/>
                <w:color w:val="5A6069"/>
                <w:sz w:val="18"/>
              </w:rPr>
              <w:t>New complete 10-page PDF, Methods pp1911–1913, especially p1912 (PDF p3), outcome tables.</w:t>
            </w:r>
          </w:p>
        </w:tc>
      </w:tr>
      <w:tr>
        <w:trPr>
          <w:cantSplit/>
        </w:trPr>
        <w:tc>
          <w:tcPr>
            <w:tcW w:type="dxa" w:w="3360"/>
            <w:tcW w:w="2000" w:type="dxa"/>
            <w:shd w:val="clear" w:color="auto" w:fill="FFFFFF"/>
          </w:tcPr>
          <w:p>
            <w:pPr>
              <w:spacing w:after="0"/>
            </w:pPr>
            <w:r>
              <w:rPr>
                <w:b/>
                <w:i w:val="0"/>
                <w:sz w:val="19"/>
              </w:rPr>
              <w:t>Goudsmit 2023</w:t>
            </w:r>
          </w:p>
        </w:tc>
        <w:tc>
          <w:tcPr>
            <w:tcW w:type="dxa" w:w="3360"/>
            <w:tcW w:w="3900" w:type="dxa"/>
            <w:shd w:val="clear" w:color="auto" w:fill="FFFFFF"/>
          </w:tcPr>
          <w:p>
            <w:pPr>
              <w:spacing w:after="0"/>
            </w:pPr>
            <w:r>
              <w:rPr>
                <w:b w:val="0"/>
                <w:i w:val="0"/>
                <w:sz w:val="19"/>
              </w:rPr>
              <w:t>UNOS 2010–April 2019, adult first-LT population; recipient table: 24,503 non-HCC, 6,922 T2 and 5,448 initially outside criteria. Excluded LDLT and non-HCC exceptions; longitudinal two-week sequential-trial approach with inverse-probability censoring weights; 67%/33% internal split.</w:t>
            </w:r>
          </w:p>
        </w:tc>
        <w:tc>
          <w:tcPr>
            <w:tcW w:type="dxa" w:w="3360"/>
            <w:tcW w:w="4180" w:type="dxa"/>
            <w:shd w:val="clear" w:color="auto" w:fill="FFFFFF"/>
          </w:tcPr>
          <w:p>
            <w:pPr>
              <w:spacing w:after="0"/>
            </w:pPr>
            <w:r>
              <w:rPr>
                <w:b w:val="0"/>
                <w:i w:val="0"/>
                <w:sz w:val="19"/>
              </w:rPr>
              <w:t>Estimated mean benefit over five years from LT was 2.30 years for non-HCC, 1.19 for T2 and 1.45 for initially outside-criteria HCC.</w:t>
            </w:r>
          </w:p>
          <w:p>
            <w:pPr>
              <w:spacing w:after="0"/>
            </w:pPr>
            <w:r>
              <w:rPr>
                <w:b w:val="0"/>
                <w:i/>
                <w:sz w:val="19"/>
              </w:rPr>
              <w:t>Limits: The calculator is explicitly for patients who actually underwent transplant and met study criteria; it does not directly validate prioritizing every waiting candidate. No external test in PVTT or high-risk LDLT. Do not equate an average-on-treated estimand with conditional benefit for the whole waiting list.</w:t>
            </w:r>
          </w:p>
          <w:p>
            <w:pPr>
              <w:spacing w:after="0"/>
            </w:pPr>
            <w:r>
              <w:rPr>
                <w:b w:val="0"/>
                <w:i w:val="0"/>
                <w:color w:val="5A6069"/>
                <w:sz w:val="18"/>
              </w:rPr>
              <w:t>Primary full HTML, Methods and Tables 1–2, PMC10685016; PDF download unavailable.</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r>
        <w:trPr>
          <w:cantSplit/>
        </w:trPr>
        <w:tc>
          <w:tcPr>
            <w:tcW w:type="dxa" w:w="3360"/>
            <w:tcW w:w="2000" w:type="dxa"/>
            <w:shd w:val="clear" w:color="auto" w:fill="FFFFFF"/>
          </w:tcPr>
          <w:p>
            <w:pPr>
              <w:spacing w:after="0"/>
            </w:pPr>
            <w:r>
              <w:rPr>
                <w:b/>
                <w:i w:val="0"/>
                <w:sz w:val="19"/>
              </w:rPr>
              <w:t>Prosepe 2026</w:t>
            </w:r>
          </w:p>
        </w:tc>
        <w:tc>
          <w:tcPr>
            <w:tcW w:type="dxa" w:w="3360"/>
            <w:tcW w:w="3900" w:type="dxa"/>
            <w:shd w:val="clear" w:color="auto" w:fill="FFFFFF"/>
          </w:tcPr>
          <w:p>
            <w:pPr>
              <w:spacing w:after="0"/>
            </w:pPr>
            <w:r>
              <w:rPr>
                <w:b w:val="0"/>
                <w:i w:val="0"/>
                <w:sz w:val="19"/>
              </w:rPr>
              <w:t>Methods study with simulation and Eurotransplant cirrhosis cohort, 2007–2019: 9,868 candidates; 4,998 LT, 3,013 deaths before LT, 1,361 deaths within three years after LT. Conditional three-year restricted-mean benefit at each available graft; sequential marginal structural models and time-varying treatment weighting account for candidate and donor characteristics.</w:t>
            </w:r>
          </w:p>
        </w:tc>
        <w:tc>
          <w:tcPr>
            <w:tcW w:type="dxa" w:w="3360"/>
            <w:tcW w:w="4180" w:type="dxa"/>
            <w:shd w:val="clear" w:color="auto" w:fill="FFFFFF"/>
          </w:tcPr>
          <w:p>
            <w:pPr>
              <w:spacing w:after="0"/>
            </w:pPr>
            <w:r>
              <w:rPr>
                <w:b w:val="0"/>
                <w:i w:val="0"/>
                <w:sz w:val="19"/>
              </w:rPr>
              <w:t>The in-sample allocation exercise estimated 0.46 additional life-years per graft versus MELD allocation.</w:t>
            </w:r>
          </w:p>
          <w:p>
            <w:pPr>
              <w:spacing w:after="0"/>
            </w:pPr>
            <w:r>
              <w:rPr>
                <w:b w:val="0"/>
                <w:i/>
                <w:sz w:val="19"/>
              </w:rPr>
              <w:t>Limits: Modeled, not observed implementation benefit; not HCC-specific validation. Identification requires consistency, exchangeability, positivity and correct models. The whole-waitlist conditional estimand differs from average benefit among actual recipients.</w:t>
            </w:r>
          </w:p>
          <w:p>
            <w:pPr>
              <w:spacing w:after="0"/>
            </w:pPr>
            <w:r>
              <w:rPr>
                <w:b w:val="0"/>
                <w:i w:val="0"/>
                <w:color w:val="5A6069"/>
                <w:sz w:val="18"/>
              </w:rPr>
              <w:t>Complete local 15-page PDF, §§4–5, pp9–12; DOI 10.1177/09622802261420699.</w:t>
            </w:r>
          </w:p>
        </w:tc>
      </w:tr>
    </w:tbl>
    <w:p>
      <w:pPr>
        <w:spacing w:after="40"/>
      </w:pPr>
    </w:p>
    <w:p>
      <w:pPr>
        <w:pStyle w:val="Heading3"/>
        <w:keepNext/>
        <w:spacing w:before="120" w:after="80"/>
      </w:pPr>
      <w:r>
        <w:rPr>
          <w:b w:val="0"/>
          <w:i w:val="0"/>
        </w:rPr>
        <w:t>Our proposed selection (OPEN)</w:t>
      </w:r>
    </w:p>
    <w:p>
      <w:pPr>
        <w:spacing w:after="80"/>
      </w:pPr>
      <w:r>
        <w:rPr>
          <w:b w:val="0"/>
          <w:i w:val="0"/>
        </w:rPr>
        <w:t>Give the survival-benefit score zero clinical or allocation weight now; evaluate it in research-only evaluation only.</w:t>
      </w:r>
    </w:p>
    <w:p>
      <w:pPr>
        <w:numPr>
          <w:ilvl w:val="0"/>
          <w:numId w:val="5"/>
        </w:numPr>
        <w:spacing w:after="40"/>
      </w:pPr>
      <w:r>
        <w:rPr>
          <w:b w:val="0"/>
          <w:i w:val="0"/>
        </w:rPr>
        <w:t>Proposed decision threshold: no score-driven listing, exclusion, exception priority, organ acceptance, LDLT selection or treatment change before external validation and prospective impact review.</w:t>
      </w:r>
    </w:p>
    <w:p>
      <w:pPr>
        <w:numPr>
          <w:ilvl w:val="0"/>
          <w:numId w:val="5"/>
        </w:numPr>
        <w:spacing w:after="40"/>
      </w:pPr>
      <w:r>
        <w:rPr>
          <w:b w:val="0"/>
          <w:i w:val="0"/>
        </w:rPr>
        <w:t>Require a locked reproducible formula and data dictionary, clarification of the MELD/AFP definitions and time zero, independent external calibration and utility testing against current care, equity assessment, and appropriate policy authorization before deployment.</w:t>
      </w:r>
    </w:p>
    <w:p>
      <w:pPr>
        <w:numPr>
          <w:ilvl w:val="0"/>
          <w:numId w:val="5"/>
        </w:numPr>
        <w:spacing w:after="40"/>
      </w:pPr>
      <w:r>
        <w:rPr>
          <w:b w:val="0"/>
          <w:i w:val="0"/>
        </w:rPr>
        <w:t>Do not extrapolate the within-Milan, non-LDLT model to PVTT, LDLT or other cancers. No numerical score cutoff is proposed because its clinical use is not yet justified.</w:t>
      </w:r>
    </w:p>
    <w:p>
      <w:pPr>
        <w:spacing w:after="80"/>
      </w:pPr>
      <w:r>
        <w:rPr>
          <w:b/>
          <w:i w:val="0"/>
        </w:rPr>
        <w:t xml:space="preserve">Why: </w:t>
      </w:r>
      <w:r>
        <w:rPr>
          <w:b w:val="0"/>
          <w:i w:val="0"/>
        </w:rPr>
        <w:t>Benefit modeling is clinically important because acceptable post-LT survival alone ignores deaths or progression without transplantation. However, a prognostic model, a causal benefit estimate and an allocation policy are different products. High internal discrimination or correlation cannot establish calibration, appropriate treatment-time handling, fairness or improved decisions. The existing score should therefore be studied, not used to override eligibility or priority. The UK experience provides a constructive precedent for eventual governed implementation after population-specific validation and policy integration.</w:t>
      </w:r>
    </w:p>
    <w:p>
      <w:pPr>
        <w:spacing w:after="80"/>
      </w:pPr>
      <w:r>
        <w:rPr>
          <w:b/>
          <w:i w:val="0"/>
        </w:rPr>
        <w:t xml:space="preserve">Against, or uncertain: </w:t>
      </w:r>
      <w:r>
        <w:rPr>
          <w:b w:val="0"/>
          <w:i w:val="0"/>
        </w:rPr>
        <w:t>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spacing w:after="80"/>
      </w:pPr>
      <w:r>
        <w:rPr>
          <w:b/>
          <w:i w:val="0"/>
        </w:rPr>
        <w:t xml:space="preserve">Certainty: </w:t>
      </w:r>
      <w:r>
        <w:rPr>
          <w:b w:val="0"/>
          <w:i w:val="0"/>
        </w:rPr>
        <w:t>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spacing w:after="80"/>
      </w:pPr>
      <w:r>
        <w:rPr>
          <w:b/>
          <w:i w:val="0"/>
        </w:rPr>
        <w:t xml:space="preserve">Tests and records: </w:t>
      </w:r>
      <w:r>
        <w:rPr>
          <w:b w:val="0"/>
          <w:i w:val="0"/>
        </w:rPr>
        <w:t>Reproducible model code; independent cohort; time-dependent transplant analysis; competing-event definitions; calibration, utility and subgroup audit.</w:t>
      </w:r>
    </w:p>
    <w:p>
      <w:pPr>
        <w:spacing w:after="80"/>
      </w:pPr>
      <w:r>
        <w:rPr>
          <w:b/>
          <w:i w:val="0"/>
        </w:rPr>
        <w:t xml:space="preserve">Allocation: </w:t>
      </w:r>
      <w:r>
        <w:rPr>
          <w:b w:val="0"/>
          <w:i w:val="0"/>
        </w:rPr>
        <w:t>Neither a model estimate nor an internal committee can independently rewrite national allocation priority.</w:t>
      </w:r>
    </w:p>
    <w:p>
      <w:pPr>
        <w:spacing w:after="40"/>
      </w:pPr>
      <w:r>
        <w:rPr>
          <w:b/>
          <w:i w:val="0"/>
        </w:rPr>
        <w:t xml:space="preserve">Basis for the proposed thresholds: </w:t>
      </w:r>
    </w:p>
    <w:p>
      <w:pPr>
        <w:numPr>
          <w:ilvl w:val="0"/>
          <w:numId w:val="5"/>
        </w:numPr>
        <w:spacing w:after="40"/>
      </w:pPr>
      <w:r>
        <w:rPr>
          <w:b w:val="0"/>
          <w:i w:val="0"/>
        </w:rPr>
        <w:t>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spacing w:before="120" w:after="80"/>
      </w:pPr>
      <w:r>
        <w:rPr>
          <w:b w:val="0"/>
          <w:i w:val="0"/>
        </w:rPr>
        <w:t>HCC-B4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HCC-B5 — Previously treated extrahepatic disease</w:t>
      </w:r>
    </w:p>
    <w:p>
      <w:pPr>
        <w:spacing w:after="80"/>
      </w:pPr>
      <w:r>
        <w:rPr>
          <w:b w:val="0"/>
          <w:i w:val="0"/>
          <w:color w:val="5A6069"/>
          <w:sz w:val="18"/>
        </w:rPr>
        <w:t>Closed · registry only · not activated · High-risk review</w:t>
      </w:r>
    </w:p>
    <w:p>
      <w:pPr>
        <w:spacing w:after="80"/>
      </w:pPr>
      <w:r>
        <w:rPr>
          <w:b/>
          <w:i w:val="0"/>
        </w:rPr>
        <w:t xml:space="preserve">Question: </w:t>
      </w:r>
      <w:r>
        <w:rPr>
          <w:b w:val="0"/>
          <w:i w:val="0"/>
        </w:rPr>
        <w:t>May a patient whose extrahepatic HCC (including proven lymph-node metastasis) was treated and has responded completely ever enter a transplant route, or does this history close transplantation?</w:t>
      </w:r>
    </w:p>
    <w:p>
      <w:pPr>
        <w:spacing w:after="80"/>
      </w:pPr>
      <w:r>
        <w:rPr>
          <w:b/>
          <w:i w:val="0"/>
        </w:rPr>
        <w:t xml:space="preserve">When it applies: </w:t>
      </w:r>
      <w:r>
        <w:rPr>
          <w:b w:val="0"/>
          <w:i w:val="0"/>
        </w:rPr>
        <w:t>Use when HCC has involved any site outside the liver (regional or distant lymph nodes, lung, adrenal, bone or peritoneum), including disease later resected, ablated, irradiated or in complete response to systemic therapy.</w:t>
      </w:r>
    </w:p>
    <w:p>
      <w:pPr>
        <w:spacing w:after="80"/>
      </w:pPr>
      <w:r>
        <w:rPr>
          <w:b/>
          <w:i w:val="0"/>
        </w:rPr>
        <w:t xml:space="preserve">Where it is decided: </w:t>
      </w:r>
      <w:hyperlink r:id="rId36">
        <w:r>
          <w:rPr>
            <w:color w:val="0563C1"/>
            <w:u w:val="single"/>
          </w:rPr>
          <w:t xml:space="preserve">Choose treatment with curative intent</w:t>
        </w:r>
      </w:hyperlink>
      <w:r>
        <w:rPr>
          <w:b w:val="0"/>
          <w:i w:val="0"/>
        </w:rPr>
        <w:t xml:space="preserve"> · </w:t>
      </w:r>
      <w:hyperlink r:id="rId34">
        <w:r>
          <w:rPr>
            <w:color w:val="0563C1"/>
            <w:u w:val="single"/>
          </w:rPr>
          <w:t xml:space="preserve">Check MELD-exception criteria</w:t>
        </w:r>
      </w:hyperlink>
    </w:p>
    <w:p>
      <w:pPr>
        <w:spacing w:after="120"/>
      </w:pPr>
      <w:r>
        <w:rPr>
          <w:b/>
          <w:i w:val="0"/>
          <w:sz w:val="18"/>
        </w:rPr>
        <w:t xml:space="preserve">Web page: </w:t>
      </w:r>
      <w:hyperlink r:id="rId5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Downstaging is recommended for patients beyond local criteria without extrahepatic disease and without portal-vein macrovascular invasion; immunotherapy might be used for downstaging in patients without extrahepatic disease, within trials. For Vp1–2 invasion, a minimum 12-month observation after downstaging may allow assessment of tumour biology.</w:t>
            </w:r>
          </w:p>
        </w:tc>
        <w:tc>
          <w:tcPr>
            <w:tcW w:type="dxa" w:w="3360"/>
            <w:tcW w:w="4180" w:type="dxa"/>
            <w:shd w:val="clear" w:color="auto" w:fill="F1F5F8"/>
          </w:tcPr>
          <w:p>
            <w:pPr>
              <w:spacing w:after="0"/>
            </w:pPr>
            <w:r>
              <w:rPr>
                <w:b w:val="0"/>
                <w:i w:val="0"/>
                <w:sz w:val="19"/>
              </w:rPr>
              <w:t>No statement supports transplantation after extrahepatic disease. The text notes insufficient evidence on whether complete radiological responders to immunotherapy still need transplantation or how long to observe them.</w:t>
            </w:r>
          </w:p>
          <w:p>
            <w:pPr>
              <w:spacing w:after="0"/>
            </w:pPr>
            <w:r>
              <w:rPr>
                <w:b w:val="0"/>
                <w:i/>
                <w:sz w:val="19"/>
              </w:rPr>
              <w:t>Limits: Expert consensus; the immunotherapy statements carry weak grades.</w:t>
            </w:r>
          </w:p>
          <w:p>
            <w:pPr>
              <w:spacing w:after="0"/>
            </w:pPr>
            <w:r>
              <w:rPr>
                <w:b w:val="0"/>
                <w:i w:val="0"/>
                <w:color w:val="5A6069"/>
                <w:sz w:val="18"/>
              </w:rPr>
              <w:t>Liver Transpl 2025 and Liver Cancer 2026 (PMC13271748); HCC working-group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Contraindications to an HCC exception score: macrovascular invasion of the main portal or hepatic vein, extrahepatic metastatic disease, ruptured HCC and T1 HCC. Some candidates stable for a minimum of 12 months may be considered despite rupture or primary portal-vein branch invasion.</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Silent on previously cleared extrahepatic disease.</w:t>
            </w:r>
          </w:p>
          <w:p>
            <w:pPr>
              <w:spacing w:after="0"/>
            </w:pPr>
            <w:r>
              <w:rPr>
                <w:b w:val="0"/>
                <w:i w:val="0"/>
                <w:color w:val="5A6069"/>
                <w:sz w:val="18"/>
              </w:rPr>
              <w:t>Official PDF, HCC section.</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Randomized trial of transplantation after successful downstaging of HCC beyond Milan criteria. Main tumour-related exclusions: extrahepatic spread on CT or MRI, hepatic-hilum lymph nodes with short axis &gt;2 cm, and portal-vein tumour thrombosis or invasion.</w:t>
            </w:r>
          </w:p>
        </w:tc>
        <w:tc>
          <w:tcPr>
            <w:tcW w:type="dxa" w:w="3360"/>
            <w:tcW w:w="4180" w:type="dxa"/>
            <w:shd w:val="clear" w:color="auto" w:fill="F1F5F8"/>
          </w:tcPr>
          <w:p>
            <w:pPr>
              <w:spacing w:after="0"/>
            </w:pPr>
            <w:r>
              <w:rPr>
                <w:b w:val="0"/>
                <w:i w:val="0"/>
                <w:sz w:val="19"/>
              </w:rPr>
              <w:t>Five-year overall survival 77.5% with transplantation versus 31.2% without, from randomization.</w:t>
            </w:r>
          </w:p>
          <w:p>
            <w:pPr>
              <w:spacing w:after="0"/>
            </w:pPr>
            <w:r>
              <w:rPr>
                <w:b w:val="0"/>
                <w:i/>
                <w:sz w:val="19"/>
              </w:rPr>
              <w:t>Limits: Excluded the population of interest; its benefit cannot be extrapolated to previous extrahepatic disease.</w:t>
            </w:r>
          </w:p>
          <w:p>
            <w:pPr>
              <w:spacing w:after="0"/>
            </w:pPr>
            <w:r>
              <w:rPr>
                <w:b w:val="0"/>
                <w:i w:val="0"/>
                <w:color w:val="5A6069"/>
                <w:sz w:val="18"/>
              </w:rPr>
              <w:t>Lancet Oncol 2020; Methods (exclusion criteria) and protocol appendix.</w:t>
            </w:r>
          </w:p>
        </w:tc>
      </w:tr>
      <w:tr>
        <w:trPr>
          <w:cantSplit/>
        </w:trPr>
        <w:tc>
          <w:tcPr>
            <w:tcW w:type="dxa" w:w="3360"/>
            <w:tcW w:w="2000" w:type="dxa"/>
            <w:shd w:val="clear" w:color="auto" w:fill="FFFFFF"/>
          </w:tcPr>
          <w:p>
            <w:pPr>
              <w:spacing w:after="0"/>
            </w:pPr>
            <w:r>
              <w:rPr>
                <w:b/>
                <w:i w:val="0"/>
                <w:sz w:val="19"/>
              </w:rPr>
              <w:t>Mergental 2012 · ELTR noncirrhotic HCC</w:t>
            </w:r>
          </w:p>
        </w:tc>
        <w:tc>
          <w:tcPr>
            <w:tcW w:type="dxa" w:w="3360"/>
            <w:tcW w:w="3900" w:type="dxa"/>
            <w:shd w:val="clear" w:color="auto" w:fill="FFFFFF"/>
          </w:tcPr>
          <w:p>
            <w:pPr>
              <w:spacing w:after="0"/>
            </w:pPr>
            <w:r>
              <w:rPr>
                <w:b w:val="0"/>
                <w:i w:val="0"/>
                <w:sz w:val="19"/>
              </w:rPr>
              <w:t>European Liver Transplant Registry: 105 recipients with unresectable HCC in noncirrhotic livers. Transplantation as primary treatment (62) or for intrahepatic recurrence after resection (43).</w:t>
            </w:r>
          </w:p>
        </w:tc>
        <w:tc>
          <w:tcPr>
            <w:tcW w:type="dxa" w:w="3360"/>
            <w:tcW w:w="4180" w:type="dxa"/>
            <w:shd w:val="clear" w:color="auto" w:fill="FFFFFF"/>
          </w:tcPr>
          <w:p>
            <w:pPr>
              <w:spacing w:after="0"/>
            </w:pPr>
            <w:r>
              <w:rPr>
                <w:b w:val="0"/>
                <w:i w:val="0"/>
                <w:sz w:val="19"/>
              </w:rPr>
              <w:t>Lymph-node involvement (HR 2.60) and macrovascular invasion (HR 2.55) were independently associated with death; five-year survival 59% without either.</w:t>
            </w:r>
          </w:p>
          <w:p>
            <w:pPr>
              <w:spacing w:after="0"/>
            </w:pPr>
            <w:r>
              <w:rPr>
                <w:b w:val="0"/>
                <w:i/>
                <w:sz w:val="19"/>
              </w:rPr>
              <w:t>Limits: Noncirrhotic population; nodal status as recorded by centres, not previously treated nodal disease.</w:t>
            </w:r>
          </w:p>
          <w:p>
            <w:pPr>
              <w:spacing w:after="0"/>
            </w:pPr>
            <w:r>
              <w:rPr>
                <w:b w:val="0"/>
                <w:i w:val="0"/>
                <w:color w:val="5A6069"/>
                <w:sz w:val="18"/>
              </w:rPr>
              <w:t>J Hepatol 2012; abstract.</w:t>
            </w:r>
          </w:p>
        </w:tc>
      </w:tr>
      <w:tr>
        <w:trPr>
          <w:cantSplit/>
        </w:trPr>
        <w:tc>
          <w:tcPr>
            <w:tcW w:type="dxa" w:w="3360"/>
            <w:tcW w:w="2000" w:type="dxa"/>
            <w:shd w:val="clear" w:color="auto" w:fill="F1F5F8"/>
          </w:tcPr>
          <w:p>
            <w:pPr>
              <w:spacing w:after="0"/>
            </w:pPr>
            <w:r>
              <w:rPr>
                <w:b/>
                <w:i w:val="0"/>
                <w:sz w:val="19"/>
              </w:rPr>
              <w:t>Pirozzi 2025 · case report</w:t>
            </w:r>
          </w:p>
        </w:tc>
        <w:tc>
          <w:tcPr>
            <w:tcW w:type="dxa" w:w="3360"/>
            <w:tcW w:w="3900" w:type="dxa"/>
            <w:shd w:val="clear" w:color="auto" w:fill="F1F5F8"/>
          </w:tcPr>
          <w:p>
            <w:pPr>
              <w:spacing w:after="0"/>
            </w:pPr>
            <w:r>
              <w:rPr>
                <w:b w:val="0"/>
                <w:i w:val="0"/>
                <w:sz w:val="19"/>
              </w:rPr>
              <w:t>Single case report. Advanced HCC with abdominal and mediastinal nodes, lung and bone metastases in alcohol-related cirrhosis; nivolumab for about 17 months with a best response of partial response (RECIST 1.1); bone lesions did not clearly regress; liver disease recurred about 3 months after stopping nivolumab and was ablated; transplantation about 10 months later.</w:t>
            </w:r>
          </w:p>
        </w:tc>
        <w:tc>
          <w:tcPr>
            <w:tcW w:type="dxa" w:w="3360"/>
            <w:tcW w:w="4180" w:type="dxa"/>
            <w:shd w:val="clear" w:color="auto" w:fill="F1F5F8"/>
          </w:tcPr>
          <w:p>
            <w:pPr>
              <w:spacing w:after="0"/>
            </w:pPr>
            <w:r>
              <w:rPr>
                <w:b w:val="0"/>
                <w:i w:val="0"/>
                <w:sz w:val="19"/>
              </w:rPr>
              <w:t>Free of cancer one year after transplantation.</w:t>
            </w:r>
          </w:p>
          <w:p>
            <w:pPr>
              <w:spacing w:after="0"/>
            </w:pPr>
            <w:r>
              <w:rPr>
                <w:b w:val="0"/>
                <w:i/>
                <w:sz w:val="19"/>
              </w:rPr>
              <w:t>Limits: One patient with 1-year follow-up; extrahepatic clearance was not confirmed by biopsy or PET, and no nodes were examined in the explant; the authors caution that immunosuppression may facilitate progression of extrahepatic disease.</w:t>
            </w:r>
          </w:p>
          <w:p>
            <w:pPr>
              <w:spacing w:after="0"/>
            </w:pPr>
            <w:r>
              <w:rPr>
                <w:b w:val="0"/>
                <w:i w:val="0"/>
                <w:color w:val="5A6069"/>
                <w:sz w:val="18"/>
              </w:rPr>
              <w:t>J Gastrointest Oncol 2025; case presentation (full text).</w:t>
            </w:r>
          </w:p>
        </w:tc>
      </w:tr>
      <w:tr>
        <w:trPr>
          <w:cantSplit/>
        </w:trPr>
        <w:tc>
          <w:tcPr>
            <w:tcW w:type="dxa" w:w="3360"/>
            <w:tcW w:w="2000" w:type="dxa"/>
            <w:shd w:val="clear" w:color="auto" w:fill="FFFFFF"/>
          </w:tcPr>
          <w:p>
            <w:pPr>
              <w:spacing w:after="0"/>
            </w:pPr>
            <w:r>
              <w:rPr>
                <w:b/>
                <w:i w:val="0"/>
                <w:sz w:val="19"/>
              </w:rPr>
              <w:t>AASLD HCC 2023</w:t>
            </w:r>
          </w:p>
        </w:tc>
        <w:tc>
          <w:tcPr>
            <w:tcW w:type="dxa" w:w="3360"/>
            <w:tcW w:w="3900" w:type="dxa"/>
            <w:shd w:val="clear" w:color="auto" w:fill="FFFFFF"/>
          </w:tcPr>
          <w:p>
            <w:pPr>
              <w:spacing w:after="0"/>
            </w:pPr>
            <w:r>
              <w:rPr>
                <w:b w:val="0"/>
                <w:i w:val="0"/>
                <w:sz w:val="19"/>
              </w:rPr>
              <w:t>AASLD 2023 practice guidance (relevant sections read). Table 4 lists lymph-node involvement by tumor or extrahepatic spread as downstaging failure and exclusion from transplantation.</w:t>
            </w:r>
          </w:p>
        </w:tc>
        <w:tc>
          <w:tcPr>
            <w:tcW w:type="dxa" w:w="3360"/>
            <w:tcW w:w="4180" w:type="dxa"/>
            <w:shd w:val="clear" w:color="auto" w:fill="FFFFFF"/>
          </w:tcPr>
          <w:p>
            <w:pPr>
              <w:spacing w:after="0"/>
            </w:pPr>
            <w:r>
              <w:rPr>
                <w:b w:val="0"/>
                <w:i w:val="0"/>
                <w:sz w:val="19"/>
              </w:rPr>
              <w:t>Recommends stopping immune checkpoint inhibitors at least 3 months before transplantation.</w:t>
            </w:r>
          </w:p>
          <w:p>
            <w:pPr>
              <w:spacing w:after="0"/>
            </w:pPr>
            <w:r>
              <w:rPr>
                <w:b w:val="0"/>
                <w:i/>
                <w:sz w:val="19"/>
              </w:rPr>
              <w:t>Limits: No section addresses transplantation after treated extrahepatic disease.</w:t>
            </w:r>
          </w:p>
          <w:p>
            <w:pPr>
              <w:spacing w:after="0"/>
            </w:pPr>
            <w:r>
              <w:rPr>
                <w:b w:val="0"/>
                <w:i w:val="0"/>
                <w:color w:val="5A6069"/>
                <w:sz w:val="18"/>
              </w:rPr>
              <w:t>Hepatology 2023; Table 4 and transplant section.</w:t>
            </w:r>
          </w:p>
        </w:tc>
      </w:tr>
      <w:tr>
        <w:trPr>
          <w:cantSplit/>
        </w:trPr>
        <w:tc>
          <w:tcPr>
            <w:tcW w:type="dxa" w:w="3360"/>
            <w:tcW w:w="2000" w:type="dxa"/>
            <w:shd w:val="clear" w:color="auto" w:fill="F1F5F8"/>
          </w:tcPr>
          <w:p>
            <w:pPr>
              <w:spacing w:after="0"/>
            </w:pPr>
            <w:r>
              <w:rPr>
                <w:b/>
                <w:i w:val="0"/>
                <w:sz w:val="19"/>
              </w:rPr>
              <w:t>Shao 2026 · complete responders to ICI</w:t>
            </w:r>
          </w:p>
        </w:tc>
        <w:tc>
          <w:tcPr>
            <w:tcW w:type="dxa" w:w="3360"/>
            <w:tcW w:w="3900" w:type="dxa"/>
            <w:shd w:val="clear" w:color="auto" w:fill="F1F5F8"/>
          </w:tcPr>
          <w:p>
            <w:pPr>
              <w:spacing w:after="0"/>
            </w:pPr>
            <w:r>
              <w:rPr>
                <w:b w:val="0"/>
                <w:i w:val="0"/>
                <w:sz w:val="19"/>
              </w:rPr>
              <w:t>Four-centre cohort of 160 complete responders to immunotherapy-based treatment. 58 (36%) had extrahepatic metastases when immunotherapy started.</w:t>
            </w:r>
          </w:p>
        </w:tc>
        <w:tc>
          <w:tcPr>
            <w:tcW w:type="dxa" w:w="3360"/>
            <w:tcW w:w="4180" w:type="dxa"/>
            <w:shd w:val="clear" w:color="auto" w:fill="F1F5F8"/>
          </w:tcPr>
          <w:p>
            <w:pPr>
              <w:spacing w:after="0"/>
            </w:pPr>
            <w:r>
              <w:rPr>
                <w:b w:val="0"/>
                <w:i w:val="0"/>
                <w:sz w:val="19"/>
              </w:rPr>
              <w:t>Prior extrahepatic metastasis: adjusted HR 2.00 (1.43–6.38) for recurrence after complete response; 5-year recurrence-free survival 18% in the whole cohort.</w:t>
            </w:r>
          </w:p>
          <w:p>
            <w:pPr>
              <w:spacing w:after="0"/>
            </w:pPr>
            <w:r>
              <w:rPr>
                <w:b w:val="0"/>
                <w:i/>
                <w:sz w:val="19"/>
              </w:rPr>
              <w:t>Limits: Retrospective; conversion subgroup not split by extrahepatic status; internal numeric inconsistencies.</w:t>
            </w:r>
          </w:p>
          <w:p>
            <w:pPr>
              <w:spacing w:after="0"/>
            </w:pPr>
            <w:r>
              <w:rPr>
                <w:b w:val="0"/>
                <w:i w:val="0"/>
                <w:color w:val="5A6069"/>
                <w:sz w:val="18"/>
              </w:rPr>
              <w:t>Front Oncol 2026; Tables 2–3 (full text).</w:t>
            </w:r>
          </w:p>
        </w:tc>
      </w:tr>
      <w:tr>
        <w:trPr>
          <w:cantSplit/>
        </w:trPr>
        <w:tc>
          <w:tcPr>
            <w:tcW w:type="dxa" w:w="3360"/>
            <w:tcW w:w="2000" w:type="dxa"/>
            <w:shd w:val="clear" w:color="auto" w:fill="FFFFFF"/>
          </w:tcPr>
          <w:p>
            <w:pPr>
              <w:spacing w:after="0"/>
            </w:pPr>
            <w:r>
              <w:rPr>
                <w:b/>
                <w:i w:val="0"/>
                <w:sz w:val="19"/>
              </w:rPr>
              <w:t>Ong 2026 · ICI before LT, matched cohort</w:t>
            </w:r>
          </w:p>
        </w:tc>
        <w:tc>
          <w:tcPr>
            <w:tcW w:type="dxa" w:w="3360"/>
            <w:tcW w:w="3900" w:type="dxa"/>
            <w:shd w:val="clear" w:color="auto" w:fill="FFFFFF"/>
          </w:tcPr>
          <w:p>
            <w:pPr>
              <w:spacing w:after="0"/>
            </w:pPr>
            <w:r>
              <w:rPr>
                <w:b w:val="0"/>
                <w:i w:val="0"/>
                <w:sz w:val="19"/>
              </w:rPr>
              <w:t>Eight-centre matched cohort, 416 recipients initially beyond Milan. Extrahepatic metastasis was an exclusion (9 recipients left out).</w:t>
            </w:r>
          </w:p>
        </w:tc>
        <w:tc>
          <w:tcPr>
            <w:tcW w:type="dxa" w:w="3360"/>
            <w:tcW w:w="4180" w:type="dxa"/>
            <w:shd w:val="clear" w:color="auto" w:fill="FFFFFF"/>
          </w:tcPr>
          <w:p>
            <w:pPr>
              <w:spacing w:after="0"/>
            </w:pPr>
            <w:r>
              <w:rPr>
                <w:b w:val="0"/>
                <w:i w:val="0"/>
                <w:sz w:val="19"/>
              </w:rPr>
              <w:t>Immunotherapy-based downstaging associated with better survival (HR 0.63); acute rejection 16.3% vs 8.2%, clustered with washout of 90 days or less.</w:t>
            </w:r>
          </w:p>
          <w:p>
            <w:pPr>
              <w:spacing w:after="0"/>
            </w:pPr>
            <w:r>
              <w:rPr>
                <w:b w:val="0"/>
                <w:i/>
                <w:sz w:val="19"/>
              </w:rPr>
              <w:t>Limits: Not evidence for treated extrahepatic disease; transplanted-only cohort.</w:t>
            </w:r>
          </w:p>
          <w:p>
            <w:pPr>
              <w:spacing w:after="0"/>
            </w:pPr>
            <w:r>
              <w:rPr>
                <w:b w:val="0"/>
                <w:i w:val="0"/>
                <w:color w:val="5A6069"/>
                <w:sz w:val="18"/>
              </w:rPr>
              <w:t>JAMA Oncol 2026; Figure 1 and Results (full text).</w:t>
            </w:r>
          </w:p>
        </w:tc>
      </w:tr>
      <w:tr>
        <w:trPr>
          <w:cantSplit/>
        </w:trPr>
        <w:tc>
          <w:tcPr>
            <w:tcW w:type="dxa" w:w="3360"/>
            <w:tcW w:w="2000" w:type="dxa"/>
            <w:shd w:val="clear" w:color="auto" w:fill="F1F5F8"/>
          </w:tcPr>
          <w:p>
            <w:pPr>
              <w:spacing w:after="0"/>
            </w:pPr>
            <w:r>
              <w:rPr>
                <w:b/>
                <w:i w:val="0"/>
                <w:sz w:val="19"/>
              </w:rPr>
              <w:t>Sotiropoulos 2007 · hilar nodes at LT, meta-analysis</w:t>
            </w:r>
          </w:p>
        </w:tc>
        <w:tc>
          <w:tcPr>
            <w:tcW w:type="dxa" w:w="3360"/>
            <w:tcW w:w="3900" w:type="dxa"/>
            <w:shd w:val="clear" w:color="auto" w:fill="F1F5F8"/>
          </w:tcPr>
          <w:p>
            <w:pPr>
              <w:spacing w:after="0"/>
            </w:pPr>
            <w:r>
              <w:rPr>
                <w:b w:val="0"/>
                <w:i w:val="0"/>
                <w:sz w:val="19"/>
              </w:rPr>
              <w:t>Meta-analysis of transplant series: five on recurrence and five more on survival. Hilar nodes examined at transplantation.</w:t>
            </w:r>
          </w:p>
        </w:tc>
        <w:tc>
          <w:tcPr>
            <w:tcW w:type="dxa" w:w="3360"/>
            <w:tcW w:w="4180" w:type="dxa"/>
            <w:shd w:val="clear" w:color="auto" w:fill="F1F5F8"/>
          </w:tcPr>
          <w:p>
            <w:pPr>
              <w:spacing w:after="0"/>
            </w:pPr>
            <w:r>
              <w:rPr>
                <w:b w:val="0"/>
                <w:i w:val="0"/>
                <w:sz w:val="19"/>
              </w:rPr>
              <w:t>Tumor-positive hilar nodes associated with recurrence (common odds ratio 10.44, 95% CI 3.43–38.59).</w:t>
            </w:r>
          </w:p>
          <w:p>
            <w:pPr>
              <w:spacing w:after="0"/>
            </w:pPr>
            <w:r>
              <w:rPr>
                <w:b w:val="0"/>
                <w:i/>
                <w:sz w:val="19"/>
              </w:rPr>
              <w:t>Limits: Small, older series; nodes mostly found at transplantation.</w:t>
            </w:r>
          </w:p>
          <w:p>
            <w:pPr>
              <w:spacing w:after="0"/>
            </w:pPr>
            <w:r>
              <w:rPr>
                <w:b w:val="0"/>
                <w:i w:val="0"/>
                <w:color w:val="5A6069"/>
                <w:sz w:val="18"/>
              </w:rPr>
              <w:t>Transpl Int 2007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Keep closed. Previous extrahepatic metastasis is outside the standard pathway and every HCC high-risk cohort, even after local treatment or a complete response to immunotherapy. Record durable complete responders in a registry; this edition offers no transplant route.</w:t>
      </w:r>
    </w:p>
    <w:p>
      <w:pPr>
        <w:numPr>
          <w:ilvl w:val="0"/>
          <w:numId w:val="5"/>
        </w:numPr>
        <w:spacing w:after="40"/>
      </w:pPr>
      <w:r>
        <w:rPr>
          <w:b w:val="0"/>
          <w:i w:val="0"/>
        </w:rPr>
        <w:t>“No extrahepatic disease” in HCC-B1 and HCC-B2 means no current or previous extrahepatic metastasis. Resection, ablation, radiotherapy or a complete radiological response does not clear this history.</w:t>
      </w:r>
    </w:p>
    <w:p>
      <w:pPr>
        <w:numPr>
          <w:ilvl w:val="0"/>
          <w:numId w:val="5"/>
        </w:numPr>
        <w:spacing w:after="40"/>
      </w:pPr>
      <w:r>
        <w:rPr>
          <w:b w:val="0"/>
          <w:i w:val="0"/>
        </w:rPr>
        <w:t>Count proven lymph-node metastasis, including hilar or hepatoduodenal nodes, as extrahepatic disease. Enlarged hilar nodes without proof (XXL treated a short axis &gt;2 cm as extrahepatic spread) are HOLD for characterization. A lesion later proven benign is not prior extrahepatic disease; record how it was resolved.</w:t>
      </w:r>
    </w:p>
    <w:p>
      <w:pPr>
        <w:numPr>
          <w:ilvl w:val="0"/>
          <w:numId w:val="5"/>
        </w:numPr>
        <w:spacing w:after="40"/>
      </w:pPr>
      <w:r>
        <w:rPr>
          <w:b w:val="0"/>
          <w:i w:val="0"/>
        </w:rPr>
        <w:t>Registry, not listing: enter patients with a durable complete response of extrahepatic disease, with dated imaging, AFP and treatment history. Starting points for any future study (not active): at least 12 months without evidence of disease off systemic therapy; PET or tissue confirmation that every extrahepatic site is cleared; current whole-body staging including bone; an immunotherapy washout of at least 90 days and the HCC-B3 safety review.</w:t>
      </w:r>
    </w:p>
    <w:p>
      <w:pPr>
        <w:numPr>
          <w:ilvl w:val="0"/>
          <w:numId w:val="5"/>
        </w:numPr>
        <w:spacing w:after="40"/>
      </w:pPr>
      <w:r>
        <w:rPr>
          <w:b w:val="0"/>
          <w:i w:val="0"/>
        </w:rPr>
        <w:t>Do not combine with the expanded-burden (HCC-B1) or portal-vein invasion (HCC-B2) cohorts.</w:t>
      </w:r>
    </w:p>
    <w:p>
      <w:pPr>
        <w:spacing w:after="80"/>
      </w:pPr>
      <w:r>
        <w:rPr>
          <w:b/>
          <w:i w:val="0"/>
        </w:rPr>
        <w:t xml:space="preserve">Why: </w:t>
      </w:r>
      <w:r>
        <w:rPr>
          <w:b w:val="0"/>
          <w:i w:val="0"/>
        </w:rPr>
        <w:t>Every HCC transplant framework reviewed requires absence of extrahepatic disease, and AASLD lists lymph-node involvement or extrahepatic spread as downstaging failure and an exclusion from transplantation. ILTS–ILCA recommends downstaging, and immunotherapy for downstaging, only in patients without extrahepatic disease, and the XXL trial excluded extrahepatic spread, including hepatic-hilum nodes with a short axis &gt;2 cm. Lymph-node involvement was strongly adverse after transplantation (HR 2.60 for death in noncirrhotic livers; pooled odds ratio 10.44 for recurrence with positive hilar nodes). A complete response is not cure: among 160 complete responders to immunotherapy-based treatment, prior extrahepatic metastasis doubled the risk of recurrence (adjusted HR 2.00), and 5-year recurrence-free survival in the whole cohort was 18%. The only published transplant after metastatic HCC is one case: the best response of nodal, lung and bone disease to nivolumab was partial, the bone lesions did not clearly regress, liver disease recurred off treatment and was ablated, extrahepatic clearance was never confirmed by biopsy or PET, and the recipient was free of cancer one year after transplantation.</w:t>
      </w:r>
    </w:p>
    <w:p>
      <w:pPr>
        <w:spacing w:after="80"/>
      </w:pPr>
      <w:r>
        <w:rPr>
          <w:b/>
          <w:i w:val="0"/>
        </w:rPr>
        <w:t xml:space="preserve">Against, or uncertain: </w:t>
      </w:r>
      <w:r>
        <w:rPr>
          <w:b w:val="0"/>
          <w:i w:val="0"/>
        </w:rPr>
        <w:t>Durable complete responses to checkpoint inhibitors are now seen in advanced HCC, and the case shows transplantation is feasible after such a response. The guidelines describe current extrahepatic disease only; excluding previously treated disease is this program’s inference, not a guideline statement. ILTS–ILCA notes there is not yet enough evidence to say whether patients with a complete radiological response to immunotherapy still need transplantation or how long to observe them, so a permanent bar is a policy choice rather than a proven boundary. Immunosuppression could accelerate residual microscopic extrahepatic disease, which favours a registry with long observation over case-by-case transplantation.</w:t>
      </w:r>
    </w:p>
    <w:p>
      <w:pPr>
        <w:spacing w:after="80"/>
      </w:pPr>
      <w:r>
        <w:rPr>
          <w:b/>
          <w:i w:val="0"/>
        </w:rPr>
        <w:t xml:space="preserve">Certainty: </w:t>
      </w:r>
      <w:r>
        <w:rPr>
          <w:b w:val="0"/>
          <w:i w:val="0"/>
        </w:rPr>
        <w:t>Very low for transplantation after previously treated or completely responded extrahepatic HCC (one case report). Moderate that current nodal or extrahepatic disease predicts poor post-transplant outcome.</w:t>
      </w:r>
    </w:p>
    <w:p>
      <w:pPr>
        <w:spacing w:after="80"/>
      </w:pPr>
      <w:r>
        <w:rPr>
          <w:b/>
          <w:i w:val="0"/>
        </w:rPr>
        <w:t xml:space="preserve">Tests and records: </w:t>
      </w:r>
      <w:r>
        <w:rPr>
          <w:b w:val="0"/>
          <w:i w:val="0"/>
        </w:rPr>
        <w:t>Complete extrahepatic history (site, pathology, dates, treatment, response); chest CT and bone imaging; AFP series; immunotherapy agents, response and last dose; how any indeterminate extrahepatic finding was resolved.</w:t>
      </w:r>
    </w:p>
    <w:p>
      <w:pPr>
        <w:spacing w:after="80"/>
      </w:pPr>
      <w:r>
        <w:rPr>
          <w:b/>
          <w:i w:val="0"/>
        </w:rPr>
        <w:t xml:space="preserve">Allocation: </w:t>
      </w:r>
      <w:r>
        <w:rPr>
          <w:b w:val="0"/>
          <w:i w:val="0"/>
        </w:rPr>
        <w:t>NLRB guidance lists extrahepatic metastatic disease as a contraindication to an HCC exception score, and OPTN Policy 9.5 requires a chest CT to rule out metastatic disease and CT or MRI to rule out other extrahepatic spread. Neither addresses disease that has been cleared; any future request would be an individual narrative request with no assured outcome.</w:t>
      </w:r>
    </w:p>
    <w:p>
      <w:pPr>
        <w:spacing w:after="40"/>
      </w:pPr>
      <w:r>
        <w:rPr>
          <w:b/>
          <w:i w:val="0"/>
        </w:rPr>
        <w:t xml:space="preserve">Basis for the proposed thresholds: </w:t>
      </w:r>
    </w:p>
    <w:p>
      <w:pPr>
        <w:numPr>
          <w:ilvl w:val="0"/>
          <w:numId w:val="5"/>
        </w:numPr>
        <w:spacing w:after="40"/>
      </w:pPr>
      <w:r>
        <w:rPr>
          <w:b w:val="0"/>
          <w:i w:val="0"/>
        </w:rPr>
        <w:t>The 12-month starting point mirrors the minimum 12 months of stability NLRB describes for selected candidates after ruptured HCC or primary portal-vein branch invasion, and the ILTS–ILCA 12-month observation after downstaging of Vp1–2 invasion; it is not derived from extrahepatic-disease data. The ≥90-day washout follows the AASLD advice to stop checkpoint inhibitors at least 3 months before transplantation and the rejection signal with washouts of 90 days or less in a multicentre cohort.</w:t>
      </w:r>
    </w:p>
    <w:p>
      <w:pPr>
        <w:pStyle w:val="Heading3"/>
        <w:keepNext/>
        <w:spacing w:before="120" w:after="80"/>
      </w:pPr>
      <w:r>
        <w:rPr>
          <w:b w:val="0"/>
          <w:i w:val="0"/>
        </w:rPr>
        <w:t>HCC-B5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transplant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59">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60">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61">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62">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#HOPE4LIVER</w:t>
      </w:r>
      <w:r>
        <w:rPr>
          <w:b w:val="0"/>
          <w:i w:val="0"/>
          <w:sz w:val="19"/>
        </w:rPr>
        <w:t xml:space="preserve">  </w:t>
      </w:r>
      <w:hyperlink r:id="rId63">
        <w:r>
          <w:rPr>
            <w:color w:val="0563C1"/>
            <w:u w:val="single"/>
            <w:sz w:val="19"/>
          </w:rPr>
          <w:t xml:space="preserve">PubMed</w:t>
        </w:r>
      </w:hyperlink>
    </w:p>
    <w:p>
      <w:pPr>
        <w:spacing w:after="60"/>
      </w:pPr>
      <w:r>
        <w:rPr>
          <w:b/>
          <w:i w:val="0"/>
          <w:sz w:val="19"/>
        </w:rPr>
        <w:t>AASLD 2023</w:t>
      </w:r>
      <w:r>
        <w:rPr>
          <w:b w:val="0"/>
          <w:i w:val="0"/>
          <w:sz w:val="19"/>
        </w:rPr>
        <w:t xml:space="preserve">  </w:t>
      </w:r>
      <w:hyperlink r:id="rId64">
        <w:r>
          <w:rPr>
            <w:color w:val="0563C1"/>
            <w:u w:val="single"/>
            <w:sz w:val="19"/>
          </w:rPr>
          <w:t xml:space="preserve">PubMed</w:t>
        </w:r>
      </w:hyperlink>
    </w:p>
    <w:p>
      <w:pPr>
        <w:spacing w:after="60"/>
      </w:pPr>
      <w:r>
        <w:rPr>
          <w:b/>
          <w:i w:val="0"/>
          <w:sz w:val="19"/>
        </w:rPr>
        <w:t>AASLD 2023 HCC practice guidance</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Free full text</w:t>
        </w:r>
      </w:hyperlink>
      <w:r>
        <w:rPr>
          <w:b w:val="0"/>
          <w:i w:val="0"/>
          <w:sz w:val="19"/>
        </w:rPr>
        <w:t xml:space="preserve"> · </w:t>
      </w:r>
      <w:hyperlink r:id="rId67">
        <w:r>
          <w:rPr>
            <w:color w:val="0563C1"/>
            <w:u w:val="single"/>
            <w:sz w:val="19"/>
          </w:rPr>
          <w:t xml:space="preserve">TMC library</w:t>
        </w:r>
      </w:hyperlink>
    </w:p>
    <w:p>
      <w:pPr>
        <w:spacing w:after="60"/>
      </w:pPr>
      <w:r>
        <w:rPr>
          <w:b/>
          <w:i w:val="0"/>
          <w:sz w:val="19"/>
        </w:rPr>
        <w:t>AASLD critical update</w:t>
      </w:r>
      <w:r>
        <w:rPr>
          <w:b w:val="0"/>
          <w:i w:val="0"/>
          <w:sz w:val="19"/>
        </w:rPr>
        <w:t xml:space="preserve">  </w:t>
      </w:r>
      <w:hyperlink r:id="rId68">
        <w:r>
          <w:rPr>
            <w:color w:val="0563C1"/>
            <w:u w:val="single"/>
            <w:sz w:val="19"/>
          </w:rPr>
          <w:t xml:space="preserve">PubMed</w:t>
        </w:r>
      </w:hyperlink>
    </w:p>
    <w:p>
      <w:pPr>
        <w:spacing w:after="60"/>
      </w:pPr>
      <w:r>
        <w:rPr>
          <w:b/>
          <w:i w:val="0"/>
          <w:sz w:val="19"/>
        </w:rPr>
        <w:t>AASLD HCC 2023</w:t>
      </w:r>
      <w:r>
        <w:rPr>
          <w:b w:val="0"/>
          <w:i w:val="0"/>
          <w:sz w:val="19"/>
        </w:rPr>
        <w:t xml:space="preserve"> — AASLD Practice Guidance on prevention, diagnosis, and treatment of hepatocellular carcinoma</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9">
        <w:r>
          <w:rPr>
            <w:color w:val="0563C1"/>
            <w:u w:val="single"/>
            <w:sz w:val="19"/>
          </w:rPr>
          <w:t xml:space="preserve">Free full text</w:t>
        </w:r>
      </w:hyperlink>
      <w:r>
        <w:rPr>
          <w:b w:val="0"/>
          <w:i w:val="0"/>
          <w:sz w:val="19"/>
        </w:rPr>
        <w:t xml:space="preserve"> · </w:t>
      </w:r>
      <w:hyperlink r:id="rId66">
        <w:r>
          <w:rPr>
            <w:color w:val="0563C1"/>
            <w:u w:val="single"/>
            <w:sz w:val="19"/>
          </w:rPr>
          <w:t xml:space="preserve">Source</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AASLD · HCC</w:t>
      </w:r>
      <w:r>
        <w:rPr>
          <w:b w:val="0"/>
          <w:i w:val="0"/>
          <w:sz w:val="19"/>
        </w:rPr>
        <w:t xml:space="preserve"> — AASLD Practice Guidance: prevention, diagnosis, and treatment of HCC</w:t>
      </w:r>
      <w:r>
        <w:rPr>
          <w:b w:val="0"/>
          <w:i w:val="0"/>
          <w:sz w:val="19"/>
        </w:rPr>
        <w:t xml:space="preserve">  </w:t>
      </w:r>
      <w:hyperlink r:id="rId65">
        <w:r>
          <w:rPr>
            <w:color w:val="0563C1"/>
            <w:u w:val="single"/>
            <w:sz w:val="19"/>
          </w:rPr>
          <w:t xml:space="preserve">Source</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Free full text</w:t>
        </w:r>
      </w:hyperlink>
      <w:r>
        <w:rPr>
          <w:b w:val="0"/>
          <w:i w:val="0"/>
          <w:sz w:val="19"/>
        </w:rPr>
        <w:t xml:space="preserve"> · </w:t>
      </w:r>
      <w:hyperlink r:id="rId74">
        <w:r>
          <w:rPr>
            <w:color w:val="0563C1"/>
            <w:u w:val="single"/>
            <w:sz w:val="19"/>
          </w:rPr>
          <w:t xml:space="preserve">Source</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Aceituno 2026</w:t>
      </w:r>
      <w:r>
        <w:rPr>
          <w:b w:val="0"/>
          <w:i w:val="0"/>
          <w:sz w:val="19"/>
        </w:rPr>
        <w:t xml:space="preserve"> — Safety of Immune Checkpoint Inhibitors Prior to Liver Transplantation in Hepatocellular Carcinoma</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78">
        <w:r>
          <w:rPr>
            <w:color w:val="0563C1"/>
            <w:u w:val="single"/>
            <w:sz w:val="19"/>
          </w:rPr>
          <w:t xml:space="preserve">Free full text</w:t>
        </w:r>
      </w:hyperlink>
      <w:r>
        <w:rPr>
          <w:b w:val="0"/>
          <w:i w:val="0"/>
          <w:sz w:val="19"/>
        </w:rPr>
        <w:t xml:space="preserve"> · </w:t>
      </w:r>
      <w:hyperlink r:id="rId79">
        <w:r>
          <w:rPr>
            <w:color w:val="0563C1"/>
            <w:u w:val="single"/>
            <w:sz w:val="19"/>
          </w:rPr>
          <w:t xml:space="preserve">Source</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81">
        <w:r>
          <w:rPr>
            <w:color w:val="0563C1"/>
            <w:u w:val="single"/>
            <w:sz w:val="19"/>
          </w:rPr>
          <w:t xml:space="preserve">PubMed</w:t>
        </w:r>
      </w:hyperlink>
      <w:r>
        <w:rPr>
          <w:b w:val="0"/>
          <w:i w:val="0"/>
          <w:sz w:val="19"/>
        </w:rPr>
        <w:t xml:space="preserve"> · </w:t>
      </w:r>
      <w:hyperlink r:id="rId82">
        <w:r>
          <w:rPr>
            <w:color w:val="0563C1"/>
            <w:u w:val="single"/>
            <w:sz w:val="19"/>
          </w:rPr>
          <w:t xml:space="preserve">Journal</w:t>
        </w:r>
      </w:hyperlink>
      <w:r>
        <w:rPr>
          <w:b w:val="0"/>
          <w:i w:val="0"/>
          <w:sz w:val="19"/>
        </w:rPr>
        <w:t xml:space="preserve"> · </w:t>
      </w:r>
      <w:hyperlink r:id="rId83">
        <w:r>
          <w:rPr>
            <w:color w:val="0563C1"/>
            <w:u w:val="single"/>
            <w:sz w:val="19"/>
          </w:rPr>
          <w:t xml:space="preserve">TMC library</w:t>
        </w:r>
      </w:hyperlink>
    </w:p>
    <w:p>
      <w:pPr>
        <w:spacing w:after="60"/>
      </w:pPr>
      <w:r>
        <w:rPr>
          <w:b/>
          <w:i w:val="0"/>
          <w:sz w:val="19"/>
        </w:rPr>
        <w:t>Assalino 2020 · vascular invasion</w:t>
      </w:r>
      <w:r>
        <w:rPr>
          <w:b w:val="0"/>
          <w:i w:val="0"/>
          <w:sz w:val="19"/>
        </w:rPr>
        <w:t xml:space="preserve"> — Liver transplantation for hepatocellular carcinoma after successful treatment of macrovascular invasion – a multi‐center retrospective cohort study</w:t>
      </w:r>
      <w:r>
        <w:rPr>
          <w:b w:val="0"/>
          <w:i w:val="0"/>
          <w:sz w:val="19"/>
        </w:rPr>
        <w:t xml:space="preserve">  </w:t>
      </w:r>
      <w:hyperlink r:id="rId84">
        <w:r>
          <w:rPr>
            <w:color w:val="0563C1"/>
            <w:u w:val="single"/>
            <w:sz w:val="19"/>
          </w:rPr>
          <w:t xml:space="preserve">PubMed</w:t>
        </w:r>
      </w:hyperlink>
      <w:r>
        <w:rPr>
          <w:b w:val="0"/>
          <w:i w:val="0"/>
          <w:sz w:val="19"/>
        </w:rPr>
        <w:t xml:space="preserve"> · </w:t>
      </w:r>
      <w:hyperlink r:id="rId85">
        <w:r>
          <w:rPr>
            <w:color w:val="0563C1"/>
            <w:u w:val="single"/>
            <w:sz w:val="19"/>
          </w:rPr>
          <w:t xml:space="preserve">Journal</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ASTRO EBRT</w:t>
      </w:r>
      <w:r>
        <w:rPr>
          <w:b w:val="0"/>
          <w:i w:val="0"/>
          <w:sz w:val="19"/>
        </w:rPr>
        <w:t xml:space="preserve">  </w:t>
      </w:r>
      <w:hyperlink r:id="rId87">
        <w:r>
          <w:rPr>
            <w:color w:val="0563C1"/>
            <w:u w:val="single"/>
            <w:sz w:val="19"/>
          </w:rPr>
          <w:t xml:space="preserve">PubMed</w:t>
        </w:r>
      </w:hyperlink>
    </w:p>
    <w:p>
      <w:pPr>
        <w:spacing w:after="60"/>
      </w:pPr>
      <w:r>
        <w:rPr>
          <w:b/>
          <w:i w:val="0"/>
          <w:sz w:val="19"/>
        </w:rPr>
        <w:t>Baveno VII</w:t>
      </w:r>
      <w:r>
        <w:rPr>
          <w:b w:val="0"/>
          <w:i w:val="0"/>
          <w:sz w:val="19"/>
        </w:rPr>
        <w:t xml:space="preserve">  </w:t>
      </w:r>
      <w:hyperlink r:id="rId88">
        <w:r>
          <w:rPr>
            <w:color w:val="0563C1"/>
            <w:u w:val="single"/>
            <w:sz w:val="19"/>
          </w:rPr>
          <w:t xml:space="preserve">PubMed</w:t>
        </w:r>
      </w:hyperlink>
    </w:p>
    <w:p>
      <w:pPr>
        <w:spacing w:after="60"/>
      </w:pPr>
      <w:r>
        <w:rPr>
          <w:b/>
          <w:i w:val="0"/>
          <w:sz w:val="19"/>
        </w:rPr>
        <w:t>Baveno VIII</w:t>
      </w:r>
      <w:r>
        <w:rPr>
          <w:b w:val="0"/>
          <w:i w:val="0"/>
          <w:sz w:val="19"/>
        </w:rPr>
        <w:t xml:space="preserve">  </w:t>
      </w:r>
      <w:hyperlink r:id="rId89">
        <w:r>
          <w:rPr>
            <w:color w:val="0563C1"/>
            <w:u w:val="single"/>
            <w:sz w:val="19"/>
          </w:rPr>
          <w:t xml:space="preserve">PubMed</w:t>
        </w:r>
      </w:hyperlink>
    </w:p>
    <w:p>
      <w:pPr>
        <w:spacing w:after="60"/>
      </w:pPr>
      <w:r>
        <w:rPr>
          <w:b/>
          <w:i w:val="0"/>
          <w:sz w:val="19"/>
        </w:rPr>
        <w:t>BCLC 2022</w:t>
      </w:r>
      <w:r>
        <w:rPr>
          <w:b w:val="0"/>
          <w:i w:val="0"/>
          <w:sz w:val="19"/>
        </w:rPr>
        <w:t xml:space="preserve">  </w:t>
      </w:r>
      <w:hyperlink r:id="rId90">
        <w:r>
          <w:rPr>
            <w:color w:val="0563C1"/>
            <w:u w:val="single"/>
            <w:sz w:val="19"/>
          </w:rPr>
          <w:t xml:space="preserve">PubMed</w:t>
        </w:r>
      </w:hyperlink>
    </w:p>
    <w:p>
      <w:pPr>
        <w:spacing w:after="60"/>
      </w:pPr>
      <w:r>
        <w:rPr>
          <w:b/>
          <w:i w:val="0"/>
          <w:sz w:val="19"/>
        </w:rPr>
        <w:t>BCLC 2026</w:t>
      </w:r>
      <w:r>
        <w:rPr>
          <w:b w:val="0"/>
          <w:i w:val="0"/>
          <w:sz w:val="19"/>
        </w:rPr>
        <w:t xml:space="preserve">  </w:t>
      </w:r>
      <w:hyperlink r:id="rId91">
        <w:r>
          <w:rPr>
            <w:color w:val="0563C1"/>
            <w:u w:val="single"/>
            <w:sz w:val="19"/>
          </w:rPr>
          <w:t xml:space="preserve">PubMed</w:t>
        </w:r>
      </w:hyperlink>
    </w:p>
    <w:p>
      <w:pPr>
        <w:spacing w:after="60"/>
      </w:pPr>
      <w:r>
        <w:rPr>
          <w:b/>
          <w:i w:val="0"/>
          <w:sz w:val="19"/>
        </w:rPr>
        <w:t>Berzigotti meta-analysis</w:t>
      </w:r>
      <w:r>
        <w:rPr>
          <w:b w:val="0"/>
          <w:i w:val="0"/>
          <w:sz w:val="19"/>
        </w:rPr>
        <w:t xml:space="preserve">  </w:t>
      </w:r>
      <w:hyperlink r:id="rId92">
        <w:r>
          <w:rPr>
            <w:color w:val="0563C1"/>
            <w:u w:val="single"/>
            <w:sz w:val="19"/>
          </w:rPr>
          <w:t xml:space="preserve">PubMed</w:t>
        </w:r>
      </w:hyperlink>
    </w:p>
    <w:p>
      <w:pPr>
        <w:spacing w:after="60"/>
      </w:pPr>
      <w:r>
        <w:rPr>
          <w:b/>
          <w:i w:val="0"/>
          <w:sz w:val="19"/>
        </w:rPr>
        <w:t>Bruix 1996</w:t>
      </w:r>
      <w:r>
        <w:rPr>
          <w:b w:val="0"/>
          <w:i w:val="0"/>
          <w:sz w:val="19"/>
        </w:rPr>
        <w:t xml:space="preserve">  </w:t>
      </w:r>
      <w:hyperlink r:id="rId93">
        <w:r>
          <w:rPr>
            <w:color w:val="0563C1"/>
            <w:u w:val="single"/>
            <w:sz w:val="19"/>
          </w:rPr>
          <w:t xml:space="preserve">PubMed</w:t>
        </w:r>
      </w:hyperlink>
    </w:p>
    <w:p>
      <w:pPr>
        <w:spacing w:after="60"/>
      </w:pPr>
      <w:r>
        <w:rPr>
          <w:b/>
          <w:i w:val="0"/>
          <w:sz w:val="19"/>
        </w:rPr>
        <w:t>Choi 2017</w:t>
      </w:r>
      <w:r>
        <w:rPr>
          <w:b w:val="0"/>
          <w:i w:val="0"/>
          <w:sz w:val="19"/>
        </w:rPr>
        <w:t xml:space="preserve"> — The clinical outcomes of patients with portal vein tumor thrombi after living donor liver transplantation</w:t>
      </w:r>
      <w:r>
        <w:rPr>
          <w:b w:val="0"/>
          <w:i w:val="0"/>
          <w:sz w:val="19"/>
        </w:rPr>
        <w:t xml:space="preserve">  </w:t>
      </w:r>
      <w:hyperlink r:id="rId94">
        <w:r>
          <w:rPr>
            <w:color w:val="0563C1"/>
            <w:u w:val="single"/>
            <w:sz w:val="19"/>
          </w:rPr>
          <w:t xml:space="preserve">PubMed</w:t>
        </w:r>
      </w:hyperlink>
      <w:r>
        <w:rPr>
          <w:b w:val="0"/>
          <w:i w:val="0"/>
          <w:sz w:val="19"/>
        </w:rPr>
        <w:t xml:space="preserve"> · </w:t>
      </w:r>
      <w:hyperlink r:id="rId95">
        <w:r>
          <w:rPr>
            <w:color w:val="0563C1"/>
            <w:u w:val="single"/>
            <w:sz w:val="19"/>
          </w:rPr>
          <w:t xml:space="preserve">Journal</w:t>
        </w:r>
      </w:hyperlink>
      <w:r>
        <w:rPr>
          <w:b w:val="0"/>
          <w:i w:val="0"/>
          <w:sz w:val="19"/>
        </w:rPr>
        <w:t xml:space="preserve"> · </w:t>
      </w:r>
      <w:hyperlink r:id="rId96">
        <w:r>
          <w:rPr>
            <w:color w:val="0563C1"/>
            <w:u w:val="single"/>
            <w:sz w:val="19"/>
          </w:rPr>
          <w:t xml:space="preserve">TMC library</w:t>
        </w:r>
      </w:hyperlink>
    </w:p>
    <w:p>
      <w:pPr>
        <w:spacing w:after="60"/>
      </w:pPr>
      <w:r>
        <w:rPr>
          <w:b/>
          <w:i w:val="0"/>
          <w:sz w:val="19"/>
        </w:rPr>
        <w:t>Choi 2024 · SABR for oligometastatic HCC, phase II</w:t>
      </w:r>
      <w:r>
        <w:rPr>
          <w:b w:val="0"/>
          <w:i w:val="0"/>
          <w:sz w:val="19"/>
        </w:rPr>
        <w:t xml:space="preserve">  </w:t>
      </w:r>
      <w:hyperlink r:id="rId97">
        <w:r>
          <w:rPr>
            <w:color w:val="0563C1"/>
            <w:u w:val="single"/>
            <w:sz w:val="19"/>
          </w:rPr>
          <w:t xml:space="preserve">PubMed</w:t>
        </w:r>
      </w:hyperlink>
      <w:r>
        <w:rPr>
          <w:b w:val="0"/>
          <w:i w:val="0"/>
          <w:sz w:val="19"/>
        </w:rPr>
        <w:t xml:space="preserve"> · </w:t>
      </w:r>
      <w:hyperlink r:id="rId98">
        <w:r>
          <w:rPr>
            <w:color w:val="0563C1"/>
            <w:u w:val="single"/>
            <w:sz w:val="19"/>
          </w:rPr>
          <w:t xml:space="preserve">Journal</w:t>
        </w:r>
      </w:hyperlink>
      <w:r>
        <w:rPr>
          <w:b w:val="0"/>
          <w:i w:val="0"/>
          <w:sz w:val="19"/>
        </w:rPr>
        <w:t xml:space="preserve"> · </w:t>
      </w:r>
      <w:hyperlink r:id="rId99">
        <w:r>
          <w:rPr>
            <w:color w:val="0563C1"/>
            <w:u w:val="single"/>
            <w:sz w:val="19"/>
          </w:rPr>
          <w:t xml:space="preserve">TMC library</w:t>
        </w:r>
      </w:hyperlink>
    </w:p>
    <w:p>
      <w:pPr>
        <w:spacing w:after="60"/>
      </w:pPr>
      <w:r>
        <w:rPr>
          <w:b/>
          <w:i w:val="0"/>
          <w:sz w:val="19"/>
        </w:rPr>
        <w:t>Choi 2025 · NCDB curative treatment after ICI</w:t>
      </w:r>
      <w:r>
        <w:rPr>
          <w:b w:val="0"/>
          <w:i w:val="0"/>
          <w:sz w:val="19"/>
        </w:rPr>
        <w:t xml:space="preserve">  </w:t>
      </w:r>
      <w:hyperlink r:id="rId100">
        <w:r>
          <w:rPr>
            <w:color w:val="0563C1"/>
            <w:u w:val="single"/>
            <w:sz w:val="19"/>
          </w:rPr>
          <w:t xml:space="preserve">PubMed</w:t>
        </w:r>
      </w:hyperlink>
      <w:r>
        <w:rPr>
          <w:b w:val="0"/>
          <w:i w:val="0"/>
          <w:sz w:val="19"/>
        </w:rPr>
        <w:t xml:space="preserve"> · </w:t>
      </w:r>
      <w:hyperlink r:id="rId101">
        <w:r>
          <w:rPr>
            <w:color w:val="0563C1"/>
            <w:u w:val="single"/>
            <w:sz w:val="19"/>
          </w:rPr>
          <w:t xml:space="preserve">Journal</w:t>
        </w:r>
      </w:hyperlink>
      <w:r>
        <w:rPr>
          <w:b w:val="0"/>
          <w:i w:val="0"/>
          <w:sz w:val="19"/>
        </w:rPr>
        <w:t xml:space="preserve"> · </w:t>
      </w:r>
      <w:hyperlink r:id="rId102">
        <w:r>
          <w:rPr>
            <w:color w:val="0563C1"/>
            <w:u w:val="single"/>
            <w:sz w:val="19"/>
          </w:rPr>
          <w:t xml:space="preserve">Free full text</w:t>
        </w:r>
      </w:hyperlink>
      <w:r>
        <w:rPr>
          <w:b w:val="0"/>
          <w:i w:val="0"/>
          <w:sz w:val="19"/>
        </w:rPr>
        <w:t xml:space="preserve"> · </w:t>
      </w:r>
      <w:hyperlink r:id="rId103">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104">
        <w:r>
          <w:rPr>
            <w:color w:val="0563C1"/>
            <w:u w:val="single"/>
            <w:sz w:val="19"/>
          </w:rPr>
          <w:t xml:space="preserve">PubMed</w:t>
        </w:r>
      </w:hyperlink>
      <w:r>
        <w:rPr>
          <w:b w:val="0"/>
          <w:i w:val="0"/>
          <w:sz w:val="19"/>
        </w:rPr>
        <w:t xml:space="preserve"> · </w:t>
      </w:r>
      <w:hyperlink r:id="rId105">
        <w:r>
          <w:rPr>
            <w:color w:val="0563C1"/>
            <w:u w:val="single"/>
            <w:sz w:val="19"/>
          </w:rPr>
          <w:t xml:space="preserve">Journal</w:t>
        </w:r>
      </w:hyperlink>
      <w:r>
        <w:rPr>
          <w:b w:val="0"/>
          <w:i w:val="0"/>
          <w:sz w:val="19"/>
        </w:rPr>
        <w:t xml:space="preserve"> · </w:t>
      </w:r>
      <w:hyperlink r:id="rId106">
        <w:r>
          <w:rPr>
            <w:color w:val="0563C1"/>
            <w:u w:val="single"/>
            <w:sz w:val="19"/>
          </w:rPr>
          <w:t xml:space="preserve">Free full text</w:t>
        </w:r>
      </w:hyperlink>
      <w:r>
        <w:rPr>
          <w:b w:val="0"/>
          <w:i w:val="0"/>
          <w:sz w:val="19"/>
        </w:rPr>
        <w:t xml:space="preserve"> · </w:t>
      </w:r>
      <w:hyperlink r:id="rId107">
        <w:r>
          <w:rPr>
            <w:color w:val="0563C1"/>
            <w:u w:val="single"/>
            <w:sz w:val="19"/>
          </w:rPr>
          <w:t xml:space="preserve">Source</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DOSISPHERE-01</w:t>
      </w:r>
      <w:r>
        <w:rPr>
          <w:b w:val="0"/>
          <w:i w:val="0"/>
          <w:sz w:val="19"/>
        </w:rPr>
        <w:t xml:space="preserve">  </w:t>
      </w:r>
      <w:hyperlink r:id="rId109">
        <w:r>
          <w:rPr>
            <w:color w:val="0563C1"/>
            <w:u w:val="single"/>
            <w:sz w:val="19"/>
          </w:rPr>
          <w:t xml:space="preserve">PubMed</w:t>
        </w:r>
      </w:hyperlink>
    </w:p>
    <w:p>
      <w:pPr>
        <w:spacing w:after="60"/>
      </w:pPr>
      <w:r>
        <w:rPr>
          <w:b/>
          <w:i w:val="0"/>
          <w:sz w:val="19"/>
        </w:rPr>
        <w:t>EASL 2025</w:t>
      </w:r>
      <w:r>
        <w:rPr>
          <w:b w:val="0"/>
          <w:i w:val="0"/>
          <w:sz w:val="19"/>
        </w:rPr>
        <w:t xml:space="preserve">  </w:t>
      </w:r>
      <w:hyperlink r:id="rId110">
        <w:r>
          <w:rPr>
            <w:color w:val="0563C1"/>
            <w:u w:val="single"/>
            <w:sz w:val="19"/>
          </w:rPr>
          <w:t xml:space="preserve">PubMed</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111">
        <w:r>
          <w:rPr>
            <w:color w:val="0563C1"/>
            <w:u w:val="single"/>
            <w:sz w:val="19"/>
          </w:rPr>
          <w:t xml:space="preserve">PubMed</w:t>
        </w:r>
      </w:hyperlink>
      <w:r>
        <w:rPr>
          <w:b w:val="0"/>
          <w:i w:val="0"/>
          <w:sz w:val="19"/>
        </w:rPr>
        <w:t xml:space="preserve"> · </w:t>
      </w:r>
      <w:hyperlink r:id="rId112">
        <w:r>
          <w:rPr>
            <w:color w:val="0563C1"/>
            <w:u w:val="single"/>
            <w:sz w:val="19"/>
          </w:rPr>
          <w:t xml:space="preserve">Journal</w:t>
        </w:r>
      </w:hyperlink>
      <w:r>
        <w:rPr>
          <w:b w:val="0"/>
          <w:i w:val="0"/>
          <w:sz w:val="19"/>
        </w:rPr>
        <w:t xml:space="preserve"> · </w:t>
      </w:r>
      <w:hyperlink r:id="rId113">
        <w:r>
          <w:rPr>
            <w:color w:val="0563C1"/>
            <w:u w:val="single"/>
            <w:sz w:val="19"/>
          </w:rPr>
          <w:t xml:space="preserve">Free full text</w:t>
        </w:r>
      </w:hyperlink>
      <w:r>
        <w:rPr>
          <w:b w:val="0"/>
          <w:i w:val="0"/>
          <w:sz w:val="19"/>
        </w:rPr>
        <w:t xml:space="preserve"> · </w:t>
      </w:r>
      <w:hyperlink r:id="rId114">
        <w:r>
          <w:rPr>
            <w:color w:val="0563C1"/>
            <w:u w:val="single"/>
            <w:sz w:val="19"/>
          </w:rPr>
          <w:t xml:space="preserve">Source</w:t>
        </w:r>
      </w:hyperlink>
      <w:r>
        <w:rPr>
          <w:b w:val="0"/>
          <w:i w:val="0"/>
          <w:sz w:val="19"/>
        </w:rPr>
        <w:t xml:space="preserve"> · </w:t>
      </w:r>
      <w:hyperlink r:id="rId115">
        <w:r>
          <w:rPr>
            <w:color w:val="0563C1"/>
            <w:u w:val="single"/>
            <w:sz w:val="19"/>
          </w:rPr>
          <w:t xml:space="preserve">TMC library</w:t>
        </w:r>
      </w:hyperlink>
    </w:p>
    <w:p>
      <w:pPr>
        <w:spacing w:after="60"/>
      </w:pPr>
      <w:r>
        <w:rPr>
          <w:b/>
          <w:i w:val="0"/>
          <w:sz w:val="19"/>
        </w:rPr>
        <w:t>EBRT cohort (Moon 2026)</w:t>
      </w:r>
      <w:r>
        <w:rPr>
          <w:b w:val="0"/>
          <w:i w:val="0"/>
          <w:sz w:val="19"/>
        </w:rPr>
        <w:t xml:space="preserve">  </w:t>
      </w:r>
      <w:hyperlink r:id="rId116">
        <w:r>
          <w:rPr>
            <w:color w:val="0563C1"/>
            <w:u w:val="single"/>
            <w:sz w:val="19"/>
          </w:rPr>
          <w:t xml:space="preserve">PubMed</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Source</w:t>
        </w:r>
      </w:hyperlink>
      <w:r>
        <w:rPr>
          <w:b w:val="0"/>
          <w:i w:val="0"/>
          <w:sz w:val="19"/>
        </w:rPr>
        <w:t xml:space="preserve"> · </w:t>
      </w:r>
      <w:hyperlink r:id="rId120">
        <w:r>
          <w:rPr>
            <w:color w:val="0563C1"/>
            <w:u w:val="single"/>
            <w:sz w:val="19"/>
          </w:rPr>
          <w:t xml:space="preserve">TMC library</w:t>
        </w:r>
      </w:hyperlink>
    </w:p>
    <w:p>
      <w:pPr>
        <w:spacing w:after="60"/>
      </w:pPr>
      <w:r>
        <w:rPr>
          <w:b/>
          <w:i w:val="0"/>
          <w:sz w:val="19"/>
        </w:rPr>
        <w:t>EMERALD-1</w:t>
      </w:r>
      <w:r>
        <w:rPr>
          <w:b w:val="0"/>
          <w:i w:val="0"/>
          <w:sz w:val="19"/>
        </w:rPr>
        <w:t xml:space="preserve">  </w:t>
      </w:r>
      <w:hyperlink r:id="rId121">
        <w:r>
          <w:rPr>
            <w:color w:val="0563C1"/>
            <w:u w:val="single"/>
            <w:sz w:val="19"/>
          </w:rPr>
          <w:t xml:space="preserve">PubMed</w:t>
        </w:r>
      </w:hyperlink>
    </w:p>
    <w:p>
      <w:pPr>
        <w:spacing w:after="60"/>
      </w:pPr>
      <w:r>
        <w:rPr>
          <w:b/>
          <w:i w:val="0"/>
          <w:sz w:val="19"/>
        </w:rPr>
        <w:t>EMERALD-3</w:t>
      </w:r>
      <w:r>
        <w:rPr>
          <w:b w:val="0"/>
          <w:i w:val="0"/>
          <w:sz w:val="19"/>
        </w:rPr>
        <w:t xml:space="preserve">  </w:t>
      </w:r>
      <w:hyperlink r:id="rId122">
        <w:r>
          <w:rPr>
            <w:color w:val="0563C1"/>
            <w:u w:val="single"/>
            <w:sz w:val="19"/>
          </w:rPr>
          <w:t xml:space="preserve">PubMed</w:t>
        </w:r>
      </w:hyperlink>
    </w:p>
    <w:p>
      <w:pPr>
        <w:spacing w:after="60"/>
      </w:pPr>
      <w:r>
        <w:rPr>
          <w:b/>
          <w:i w:val="0"/>
          <w:sz w:val="19"/>
        </w:rPr>
        <w:t>Fang · irAEs</w:t>
      </w:r>
      <w:r>
        <w:rPr>
          <w:b w:val="0"/>
          <w:i w:val="0"/>
          <w:sz w:val="19"/>
        </w:rPr>
        <w:t xml:space="preserve"> — Immune-related adverse events are a potent predictor of post-transplant rejection in HCC: a multicentre retrospective cohort study</w:t>
      </w:r>
      <w:r>
        <w:rPr>
          <w:b w:val="0"/>
          <w:i w:val="0"/>
          <w:sz w:val="19"/>
        </w:rPr>
        <w:t xml:space="preserve">  </w:t>
      </w:r>
      <w:hyperlink r:id="rId123">
        <w:r>
          <w:rPr>
            <w:color w:val="0563C1"/>
            <w:u w:val="single"/>
            <w:sz w:val="19"/>
          </w:rPr>
          <w:t xml:space="preserve">PubMed</w:t>
        </w:r>
      </w:hyperlink>
      <w:r>
        <w:rPr>
          <w:b w:val="0"/>
          <w:i w:val="0"/>
          <w:sz w:val="19"/>
        </w:rPr>
        <w:t xml:space="preserve"> · </w:t>
      </w:r>
      <w:hyperlink r:id="rId124">
        <w:r>
          <w:rPr>
            <w:color w:val="0563C1"/>
            <w:u w:val="single"/>
            <w:sz w:val="19"/>
          </w:rPr>
          <w:t xml:space="preserve">Journal</w:t>
        </w:r>
      </w:hyperlink>
      <w:r>
        <w:rPr>
          <w:b w:val="0"/>
          <w:i w:val="0"/>
          <w:sz w:val="19"/>
        </w:rPr>
        <w:t xml:space="preserve"> · </w:t>
      </w:r>
      <w:hyperlink r:id="rId125">
        <w:r>
          <w:rPr>
            <w:color w:val="0563C1"/>
            <w:u w:val="single"/>
            <w:sz w:val="19"/>
          </w:rPr>
          <w:t xml:space="preserve">Free full text</w:t>
        </w:r>
      </w:hyperlink>
      <w:r>
        <w:rPr>
          <w:b w:val="0"/>
          <w:i w:val="0"/>
          <w:sz w:val="19"/>
        </w:rPr>
        <w:t xml:space="preserve"> · </w:t>
      </w:r>
      <w:hyperlink r:id="rId126">
        <w:r>
          <w:rPr>
            <w:color w:val="0563C1"/>
            <w:u w:val="single"/>
            <w:sz w:val="19"/>
          </w:rPr>
          <w:t xml:space="preserve">Source</w:t>
        </w:r>
      </w:hyperlink>
      <w:r>
        <w:rPr>
          <w:b w:val="0"/>
          <w:i w:val="0"/>
          <w:sz w:val="19"/>
        </w:rPr>
        <w:t xml:space="preserve"> · </w:t>
      </w:r>
      <w:hyperlink r:id="rId127">
        <w:r>
          <w:rPr>
            <w:color w:val="0563C1"/>
            <w:u w:val="single"/>
            <w:sz w:val="19"/>
          </w:rPr>
          <w:t xml:space="preserve">TMC library</w:t>
        </w:r>
      </w:hyperlink>
    </w:p>
    <w:p>
      <w:pPr>
        <w:spacing w:after="60"/>
      </w:pPr>
      <w:r>
        <w:rPr>
          <w:b/>
          <w:i w:val="0"/>
          <w:sz w:val="19"/>
        </w:rPr>
        <w:t>Giard 2018: AFP slope</w:t>
      </w:r>
      <w:r>
        <w:rPr>
          <w:b w:val="0"/>
          <w:i w:val="0"/>
          <w:sz w:val="19"/>
        </w:rPr>
        <w:t xml:space="preserve"> — Alpha-Fetoprotein Slope &gt;7.5 ng/mL per Month Predicts Microvascular Invasion and Tumor Recurrence After Liver Transplantation for Hepatocellular Carcinoma.</w:t>
      </w:r>
      <w:r>
        <w:rPr>
          <w:b w:val="0"/>
          <w:i w:val="0"/>
          <w:sz w:val="19"/>
        </w:rPr>
        <w:t xml:space="preserve">  </w:t>
      </w:r>
      <w:hyperlink r:id="rId128">
        <w:r>
          <w:rPr>
            <w:color w:val="0563C1"/>
            <w:u w:val="single"/>
            <w:sz w:val="19"/>
          </w:rPr>
          <w:t xml:space="preserve">Source</w:t>
        </w:r>
      </w:hyperlink>
    </w:p>
    <w:p>
      <w:pPr>
        <w:spacing w:after="60"/>
      </w:pPr>
      <w:r>
        <w:rPr>
          <w:b/>
          <w:i w:val="0"/>
          <w:sz w:val="19"/>
        </w:rPr>
        <w:t>Giard 2018: AFP slope</w:t>
      </w:r>
      <w:r>
        <w:rPr>
          <w:b w:val="0"/>
          <w:i w:val="0"/>
          <w:sz w:val="19"/>
        </w:rPr>
        <w:t xml:space="preserve"> — Alpha-Fetoprotein Slope &gt;7.5 ng/mL per Month Predicts Microvascular Invasion and Tumor Recurrence After Liver Transplantation for Hepatocellular Carcinoma.</w:t>
      </w:r>
      <w:r>
        <w:rPr>
          <w:b w:val="0"/>
          <w:i w:val="0"/>
          <w:sz w:val="19"/>
        </w:rPr>
        <w:t xml:space="preserve">  </w:t>
      </w:r>
      <w:hyperlink r:id="rId129">
        <w:r>
          <w:rPr>
            <w:color w:val="0563C1"/>
            <w:u w:val="single"/>
            <w:sz w:val="19"/>
          </w:rPr>
          <w:t xml:space="preserve">PubMed</w:t>
        </w:r>
      </w:hyperlink>
      <w:r>
        <w:rPr>
          <w:b w:val="0"/>
          <w:i w:val="0"/>
          <w:sz w:val="19"/>
        </w:rPr>
        <w:t xml:space="preserve"> · </w:t>
      </w:r>
      <w:hyperlink r:id="rId128">
        <w:r>
          <w:rPr>
            <w:color w:val="0563C1"/>
            <w:u w:val="single"/>
            <w:sz w:val="19"/>
          </w:rPr>
          <w:t xml:space="preserve">Journal</w:t>
        </w:r>
      </w:hyperlink>
      <w:r>
        <w:rPr>
          <w:b w:val="0"/>
          <w:i w:val="0"/>
          <w:sz w:val="19"/>
        </w:rPr>
        <w:t xml:space="preserve"> · </w:t>
      </w:r>
      <w:hyperlink r:id="rId130">
        <w:r>
          <w:rPr>
            <w:color w:val="0563C1"/>
            <w:u w:val="single"/>
            <w:sz w:val="19"/>
          </w:rPr>
          <w:t xml:space="preserve">TMC library</w:t>
        </w:r>
      </w:hyperlink>
    </w:p>
    <w:p>
      <w:pPr>
        <w:spacing w:after="60"/>
      </w:pPr>
      <w:r>
        <w:rPr>
          <w:b/>
          <w:i w:val="0"/>
          <w:sz w:val="19"/>
        </w:rPr>
        <w:t>Goldman 2022: final AFP ≥500</w:t>
      </w:r>
      <w:r>
        <w:rPr>
          <w:b w:val="0"/>
          <w:i w:val="0"/>
          <w:sz w:val="19"/>
        </w:rPr>
        <w:t xml:space="preserve"> — Lower Alpha-Fetoprotein Threshold of 500 ng/mL for Liver Transplantation May Improve Posttransplant Outcomes in Patients With Hepatocellular Carcinoma.</w:t>
      </w:r>
      <w:r>
        <w:rPr>
          <w:b w:val="0"/>
          <w:i w:val="0"/>
          <w:sz w:val="19"/>
        </w:rPr>
        <w:t xml:space="preserve">  </w:t>
      </w:r>
      <w:hyperlink r:id="rId131">
        <w:r>
          <w:rPr>
            <w:color w:val="0563C1"/>
            <w:u w:val="single"/>
            <w:sz w:val="19"/>
          </w:rPr>
          <w:t xml:space="preserve">Source</w:t>
        </w:r>
      </w:hyperlink>
    </w:p>
    <w:p>
      <w:pPr>
        <w:spacing w:after="60"/>
      </w:pPr>
      <w:r>
        <w:rPr>
          <w:b/>
          <w:i w:val="0"/>
          <w:sz w:val="19"/>
        </w:rPr>
        <w:t>Goldman 2022: final AFP ≥500</w:t>
      </w:r>
      <w:r>
        <w:rPr>
          <w:b w:val="0"/>
          <w:i w:val="0"/>
          <w:sz w:val="19"/>
        </w:rPr>
        <w:t xml:space="preserve"> — Lower Alpha-Fetoprotein Threshold of 500 ng/mL for Liver Transplantation May Improve Posttransplant Outcomes in Patients With Hepatocellular Carcinoma.</w:t>
      </w:r>
      <w:r>
        <w:rPr>
          <w:b w:val="0"/>
          <w:i w:val="0"/>
          <w:sz w:val="19"/>
        </w:rPr>
        <w:t xml:space="preserve">  </w:t>
      </w:r>
      <w:hyperlink r:id="rId132">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Goudsmit 2023</w:t>
      </w:r>
      <w:r>
        <w:rPr>
          <w:b w:val="0"/>
          <w:i w:val="0"/>
          <w:sz w:val="19"/>
        </w:rPr>
        <w:t xml:space="preserve"> — Survival benefit from liver transplantation for patients with and without hepatocellular carcinoma</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Source</w:t>
        </w:r>
      </w:hyperlink>
      <w:r>
        <w:rPr>
          <w:b w:val="0"/>
          <w:i w:val="0"/>
          <w:sz w:val="19"/>
        </w:rPr>
        <w:t xml:space="preserve"> · </w:t>
      </w:r>
      <w:hyperlink r:id="rId137">
        <w:r>
          <w:rPr>
            <w:color w:val="0563C1"/>
            <w:u w:val="single"/>
            <w:sz w:val="19"/>
          </w:rPr>
          <w:t xml:space="preserve">TMC library</w:t>
        </w:r>
      </w:hyperlink>
    </w:p>
    <w:p>
      <w:pPr>
        <w:spacing w:after="60"/>
      </w:pPr>
      <w:r>
        <w:rPr>
          <w:b/>
          <w:i w:val="0"/>
          <w:sz w:val="19"/>
        </w:rPr>
        <w:t>Halazun 2021: dynamic AFP/NYCA</w:t>
      </w:r>
      <w:r>
        <w:rPr>
          <w:b w:val="0"/>
          <w:i w:val="0"/>
          <w:sz w:val="19"/>
        </w:rPr>
        <w:t xml:space="preserve"> — Dynamic α-Fetoprotein Response and Outcomes After Liver Transplant for Hepatocellular Carcinoma.</w:t>
      </w:r>
      <w:r>
        <w:rPr>
          <w:b w:val="0"/>
          <w:i w:val="0"/>
          <w:sz w:val="19"/>
        </w:rPr>
        <w:t xml:space="preserve">  </w:t>
      </w:r>
      <w:hyperlink r:id="rId138">
        <w:r>
          <w:rPr>
            <w:color w:val="0563C1"/>
            <w:u w:val="single"/>
            <w:sz w:val="19"/>
          </w:rPr>
          <w:t xml:space="preserve">PubMed</w:t>
        </w:r>
      </w:hyperlink>
      <w:r>
        <w:rPr>
          <w:b w:val="0"/>
          <w:i w:val="0"/>
          <w:sz w:val="19"/>
        </w:rPr>
        <w:t xml:space="preserve"> · </w:t>
      </w:r>
      <w:hyperlink r:id="rId139">
        <w:r>
          <w:rPr>
            <w:color w:val="0563C1"/>
            <w:u w:val="single"/>
            <w:sz w:val="19"/>
          </w:rPr>
          <w:t xml:space="preserve">Journal</w:t>
        </w:r>
      </w:hyperlink>
      <w:r>
        <w:rPr>
          <w:b w:val="0"/>
          <w:i w:val="0"/>
          <w:sz w:val="19"/>
        </w:rPr>
        <w:t xml:space="preserve"> · </w:t>
      </w:r>
      <w:hyperlink r:id="rId140">
        <w:r>
          <w:rPr>
            <w:color w:val="0563C1"/>
            <w:u w:val="single"/>
            <w:sz w:val="19"/>
          </w:rPr>
          <w:t xml:space="preserve">TMC library</w:t>
        </w:r>
      </w:hyperlink>
    </w:p>
    <w:p>
      <w:pPr>
        <w:spacing w:after="60"/>
      </w:pPr>
      <w:r>
        <w:rPr>
          <w:b/>
          <w:i w:val="0"/>
          <w:sz w:val="19"/>
        </w:rPr>
        <w:t>Hasegawa 2014 · node-positive HCC, Japanese survey</w:t>
      </w:r>
      <w:r>
        <w:rPr>
          <w:b w:val="0"/>
          <w:i w:val="0"/>
          <w:sz w:val="19"/>
        </w:rPr>
        <w:t xml:space="preserve">  </w:t>
      </w:r>
      <w:hyperlink r:id="rId141">
        <w:r>
          <w:rPr>
            <w:color w:val="0563C1"/>
            <w:u w:val="single"/>
            <w:sz w:val="19"/>
          </w:rPr>
          <w:t xml:space="preserve">PubMed</w:t>
        </w:r>
      </w:hyperlink>
      <w:r>
        <w:rPr>
          <w:b w:val="0"/>
          <w:i w:val="0"/>
          <w:sz w:val="19"/>
        </w:rPr>
        <w:t xml:space="preserve"> · </w:t>
      </w:r>
      <w:hyperlink r:id="rId142">
        <w:r>
          <w:rPr>
            <w:color w:val="0563C1"/>
            <w:u w:val="single"/>
            <w:sz w:val="19"/>
          </w:rPr>
          <w:t xml:space="preserve">Journal</w:t>
        </w:r>
      </w:hyperlink>
      <w:r>
        <w:rPr>
          <w:b w:val="0"/>
          <w:i w:val="0"/>
          <w:sz w:val="19"/>
        </w:rPr>
        <w:t xml:space="preserve"> · </w:t>
      </w:r>
      <w:hyperlink r:id="rId143">
        <w:r>
          <w:rPr>
            <w:color w:val="0563C1"/>
            <w:u w:val="single"/>
            <w:sz w:val="19"/>
          </w:rPr>
          <w:t xml:space="preserve">TMC library</w:t>
        </w:r>
      </w:hyperlink>
    </w:p>
    <w:p>
      <w:pPr>
        <w:spacing w:after="60"/>
      </w:pPr>
      <w:r>
        <w:rPr>
          <w:b/>
          <w:i w:val="0"/>
          <w:sz w:val="19"/>
        </w:rPr>
        <w:t>HCC ICI cohort · JAMA 2026</w:t>
      </w:r>
      <w:r>
        <w:rPr>
          <w:b w:val="0"/>
          <w:i w:val="0"/>
          <w:sz w:val="19"/>
        </w:rPr>
        <w:t xml:space="preserve"> — Immune Checkpoint Inhibitor–Based Downstaging Therapy for Hepatocellular Carcinoma</w:t>
      </w:r>
      <w:r>
        <w:rPr>
          <w:b w:val="0"/>
          <w:i w:val="0"/>
          <w:sz w:val="19"/>
        </w:rPr>
        <w:t xml:space="preserve">  </w:t>
      </w:r>
      <w:hyperlink r:id="rId144">
        <w:r>
          <w:rPr>
            <w:color w:val="0563C1"/>
            <w:u w:val="single"/>
            <w:sz w:val="19"/>
          </w:rPr>
          <w:t xml:space="preserve">PubMed</w:t>
        </w:r>
      </w:hyperlink>
      <w:r>
        <w:rPr>
          <w:b w:val="0"/>
          <w:i w:val="0"/>
          <w:sz w:val="19"/>
        </w:rPr>
        <w:t xml:space="preserve"> · </w:t>
      </w:r>
      <w:hyperlink r:id="rId145">
        <w:r>
          <w:rPr>
            <w:color w:val="0563C1"/>
            <w:u w:val="single"/>
            <w:sz w:val="19"/>
          </w:rPr>
          <w:t xml:space="preserve">Journal</w:t>
        </w:r>
      </w:hyperlink>
      <w:r>
        <w:rPr>
          <w:b w:val="0"/>
          <w:i w:val="0"/>
          <w:sz w:val="19"/>
        </w:rPr>
        <w:t xml:space="preserve"> · </w:t>
      </w:r>
      <w:hyperlink r:id="rId146">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47">
        <w:r>
          <w:rPr>
            <w:color w:val="0563C1"/>
            <w:u w:val="single"/>
            <w:sz w:val="19"/>
          </w:rPr>
          <w:t xml:space="preserve">Source</w:t>
        </w:r>
      </w:hyperlink>
    </w:p>
    <w:p>
      <w:pPr>
        <w:spacing w:after="60"/>
      </w:pPr>
      <w:r>
        <w:rPr>
          <w:b/>
          <w:i w:val="0"/>
          <w:sz w:val="19"/>
        </w:rPr>
        <w:t>Huang 2023</w:t>
      </w:r>
      <w:r>
        <w:rPr>
          <w:b w:val="0"/>
          <w:i w:val="0"/>
          <w:sz w:val="19"/>
        </w:rPr>
        <w:t xml:space="preserve"> — National Experience on Waitlist Outcomes for Down-Staging of Hepatocellular Carcinoma: High Dropout Rate in All-Comers</w:t>
      </w:r>
      <w:r>
        <w:rPr>
          <w:b w:val="0"/>
          <w:i w:val="0"/>
          <w:sz w:val="19"/>
        </w:rPr>
        <w:t xml:space="preserve">  </w:t>
      </w:r>
      <w:hyperlink r:id="rId148">
        <w:r>
          <w:rPr>
            <w:color w:val="0563C1"/>
            <w:u w:val="single"/>
            <w:sz w:val="19"/>
          </w:rPr>
          <w:t xml:space="preserve">PubMed</w:t>
        </w:r>
      </w:hyperlink>
      <w:r>
        <w:rPr>
          <w:b w:val="0"/>
          <w:i w:val="0"/>
          <w:sz w:val="19"/>
        </w:rPr>
        <w:t xml:space="preserve"> · </w:t>
      </w:r>
      <w:hyperlink r:id="rId149">
        <w:r>
          <w:rPr>
            <w:color w:val="0563C1"/>
            <w:u w:val="single"/>
            <w:sz w:val="19"/>
          </w:rPr>
          <w:t xml:space="preserve">Journal</w:t>
        </w:r>
      </w:hyperlink>
      <w:r>
        <w:rPr>
          <w:b w:val="0"/>
          <w:i w:val="0"/>
          <w:sz w:val="19"/>
        </w:rPr>
        <w:t xml:space="preserve"> · </w:t>
      </w:r>
      <w:hyperlink r:id="rId150">
        <w:r>
          <w:rPr>
            <w:color w:val="0563C1"/>
            <w:u w:val="single"/>
            <w:sz w:val="19"/>
          </w:rPr>
          <w:t xml:space="preserve">TMC library</w:t>
        </w:r>
      </w:hyperlink>
    </w:p>
    <w:p>
      <w:pPr>
        <w:spacing w:after="60"/>
      </w:pPr>
      <w:r>
        <w:rPr>
          <w:b/>
          <w:i w:val="0"/>
          <w:sz w:val="19"/>
        </w:rPr>
        <w:t>ICI after transplant (pooled review)</w:t>
      </w:r>
      <w:r>
        <w:rPr>
          <w:b w:val="0"/>
          <w:i w:val="0"/>
          <w:sz w:val="19"/>
        </w:rPr>
        <w:t xml:space="preserve">  </w:t>
      </w:r>
      <w:hyperlink r:id="rId151">
        <w:r>
          <w:rPr>
            <w:color w:val="0563C1"/>
            <w:u w:val="single"/>
            <w:sz w:val="19"/>
          </w:rPr>
          <w:t xml:space="preserve">PubMed</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152">
        <w:r>
          <w:rPr>
            <w:color w:val="0563C1"/>
            <w:u w:val="single"/>
            <w:sz w:val="19"/>
          </w:rPr>
          <w:t xml:space="preserve">PubMed</w:t>
        </w:r>
      </w:hyperlink>
      <w:r>
        <w:rPr>
          <w:b w:val="0"/>
          <w:i w:val="0"/>
          <w:sz w:val="19"/>
        </w:rPr>
        <w:t xml:space="preserve"> · </w:t>
      </w:r>
      <w:hyperlink r:id="rId153">
        <w:r>
          <w:rPr>
            <w:color w:val="0563C1"/>
            <w:u w:val="single"/>
            <w:sz w:val="19"/>
          </w:rPr>
          <w:t xml:space="preserve">Journal</w:t>
        </w:r>
      </w:hyperlink>
      <w:r>
        <w:rPr>
          <w:b w:val="0"/>
          <w:i w:val="0"/>
          <w:sz w:val="19"/>
        </w:rPr>
        <w:t xml:space="preserve"> · </w:t>
      </w:r>
      <w:hyperlink r:id="rId154">
        <w:r>
          <w:rPr>
            <w:color w:val="0563C1"/>
            <w:u w:val="single"/>
            <w:sz w:val="19"/>
          </w:rPr>
          <w:t xml:space="preserve">TMC library</w:t>
        </w:r>
      </w:hyperlink>
    </w:p>
    <w:p>
      <w:pPr>
        <w:spacing w:after="60"/>
      </w:pPr>
      <w:r>
        <w:rPr>
          <w:b/>
          <w:i w:val="0"/>
          <w:sz w:val="19"/>
        </w:rPr>
        <w:t>IMbrave050 update</w:t>
      </w:r>
      <w:r>
        <w:rPr>
          <w:b w:val="0"/>
          <w:i w:val="0"/>
          <w:sz w:val="19"/>
        </w:rPr>
        <w:t xml:space="preserve">  </w:t>
      </w:r>
      <w:hyperlink r:id="rId155">
        <w:r>
          <w:rPr>
            <w:color w:val="0563C1"/>
            <w:u w:val="single"/>
            <w:sz w:val="19"/>
          </w:rPr>
          <w:t xml:space="preserve">PubMed</w:t>
        </w:r>
      </w:hyperlink>
    </w:p>
    <w:p>
      <w:pPr>
        <w:spacing w:after="60"/>
      </w:pPr>
      <w:r>
        <w:rPr>
          <w:b/>
          <w:i w:val="0"/>
          <w:sz w:val="19"/>
        </w:rPr>
        <w:t>ImmunoXXL 2026</w:t>
      </w:r>
      <w:r>
        <w:rPr>
          <w:b w:val="0"/>
          <w:i w:val="0"/>
          <w:sz w:val="19"/>
        </w:rPr>
        <w:t xml:space="preserve"> — Efficacy of liver transplantation after response to atezolizumab-bevacizumab downstaging of intermediate and advanced hepatocellular carcinoma (ImmunoXXL)</w:t>
      </w:r>
      <w:r>
        <w:rPr>
          <w:b w:val="0"/>
          <w:i w:val="0"/>
          <w:sz w:val="19"/>
        </w:rPr>
        <w:t xml:space="preserve">  </w:t>
      </w:r>
      <w:hyperlink r:id="rId156">
        <w:r>
          <w:rPr>
            <w:color w:val="0563C1"/>
            <w:u w:val="single"/>
            <w:sz w:val="19"/>
          </w:rPr>
          <w:t xml:space="preserve">PubMed</w:t>
        </w:r>
      </w:hyperlink>
      <w:r>
        <w:rPr>
          <w:b w:val="0"/>
          <w:i w:val="0"/>
          <w:sz w:val="19"/>
        </w:rPr>
        <w:t xml:space="preserve"> · </w:t>
      </w:r>
      <w:hyperlink r:id="rId157">
        <w:r>
          <w:rPr>
            <w:color w:val="0563C1"/>
            <w:u w:val="single"/>
            <w:sz w:val="19"/>
          </w:rPr>
          <w:t xml:space="preserve">Journal</w:t>
        </w:r>
      </w:hyperlink>
      <w:r>
        <w:rPr>
          <w:b w:val="0"/>
          <w:i w:val="0"/>
          <w:sz w:val="19"/>
        </w:rPr>
        <w:t xml:space="preserve"> · </w:t>
      </w:r>
      <w:hyperlink r:id="rId158">
        <w:r>
          <w:rPr>
            <w:color w:val="0563C1"/>
            <w:u w:val="single"/>
            <w:sz w:val="19"/>
          </w:rPr>
          <w:t xml:space="preserve">TMC library</w:t>
        </w:r>
      </w:hyperlink>
    </w:p>
    <w:p>
      <w:pPr>
        <w:spacing w:after="60"/>
      </w:pPr>
      <w:r>
        <w:rPr>
          <w:b/>
          <w:i w:val="0"/>
          <w:sz w:val="19"/>
        </w:rPr>
        <w:t>JLCA/JSHBPS 2023 resectability consensus (Akahoshi 2024)</w:t>
      </w:r>
      <w:r>
        <w:rPr>
          <w:b w:val="0"/>
          <w:i w:val="0"/>
          <w:sz w:val="19"/>
        </w:rPr>
        <w:t xml:space="preserve">  </w:t>
      </w:r>
      <w:hyperlink r:id="rId159">
        <w:r>
          <w:rPr>
            <w:color w:val="0563C1"/>
            <w:u w:val="single"/>
            <w:sz w:val="19"/>
          </w:rPr>
          <w:t xml:space="preserve">PubMed</w:t>
        </w:r>
      </w:hyperlink>
      <w:r>
        <w:rPr>
          <w:b w:val="0"/>
          <w:i w:val="0"/>
          <w:sz w:val="19"/>
        </w:rPr>
        <w:t xml:space="preserve"> · </w:t>
      </w:r>
      <w:hyperlink r:id="rId160">
        <w:r>
          <w:rPr>
            <w:color w:val="0563C1"/>
            <w:u w:val="single"/>
            <w:sz w:val="19"/>
          </w:rPr>
          <w:t xml:space="preserve">Journal</w:t>
        </w:r>
      </w:hyperlink>
      <w:r>
        <w:rPr>
          <w:b w:val="0"/>
          <w:i w:val="0"/>
          <w:sz w:val="19"/>
        </w:rPr>
        <w:t xml:space="preserve"> · </w:t>
      </w:r>
      <w:hyperlink r:id="rId161">
        <w:r>
          <w:rPr>
            <w:color w:val="0563C1"/>
            <w:u w:val="single"/>
            <w:sz w:val="19"/>
          </w:rPr>
          <w:t xml:space="preserve">Free full text</w:t>
        </w:r>
      </w:hyperlink>
      <w:r>
        <w:rPr>
          <w:b w:val="0"/>
          <w:i w:val="0"/>
          <w:sz w:val="19"/>
        </w:rPr>
        <w:t xml:space="preserve"> · </w:t>
      </w:r>
      <w:hyperlink r:id="rId162">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63">
        <w:r>
          <w:rPr>
            <w:color w:val="0563C1"/>
            <w:u w:val="single"/>
            <w:sz w:val="19"/>
          </w:rPr>
          <w:t xml:space="preserve">PubMed</w:t>
        </w:r>
      </w:hyperlink>
      <w:r>
        <w:rPr>
          <w:b w:val="0"/>
          <w:i w:val="0"/>
          <w:sz w:val="19"/>
        </w:rPr>
        <w:t xml:space="preserve"> · </w:t>
      </w:r>
      <w:hyperlink r:id="rId164">
        <w:r>
          <w:rPr>
            <w:color w:val="0563C1"/>
            <w:u w:val="single"/>
            <w:sz w:val="19"/>
          </w:rPr>
          <w:t xml:space="preserve">Journal</w:t>
        </w:r>
      </w:hyperlink>
      <w:r>
        <w:rPr>
          <w:b w:val="0"/>
          <w:i w:val="0"/>
          <w:sz w:val="19"/>
        </w:rPr>
        <w:t xml:space="preserve"> · </w:t>
      </w:r>
      <w:hyperlink r:id="rId165">
        <w:r>
          <w:rPr>
            <w:color w:val="0563C1"/>
            <w:u w:val="single"/>
            <w:sz w:val="19"/>
          </w:rPr>
          <w:t xml:space="preserve">TMC library</w:t>
        </w:r>
      </w:hyperlink>
    </w:p>
    <w:p>
      <w:pPr>
        <w:spacing w:after="60"/>
      </w:pPr>
      <w:r>
        <w:rPr>
          <w:b/>
          <w:i w:val="0"/>
          <w:sz w:val="19"/>
        </w:rPr>
        <w:t>Lai 2017</w:t>
      </w:r>
      <w:r>
        <w:rPr>
          <w:b w:val="0"/>
          <w:i w:val="0"/>
          <w:sz w:val="19"/>
        </w:rPr>
        <w:t xml:space="preserve"> — Intention-to-Treat Survival Benefit of Liver Transplantation in Patients With Hepatocellular Cancer</w:t>
      </w:r>
      <w:r>
        <w:rPr>
          <w:b w:val="0"/>
          <w:i w:val="0"/>
          <w:sz w:val="19"/>
        </w:rPr>
        <w:t xml:space="preserve">  </w:t>
      </w:r>
      <w:hyperlink r:id="rId166">
        <w:r>
          <w:rPr>
            <w:color w:val="0563C1"/>
            <w:u w:val="single"/>
            <w:sz w:val="19"/>
          </w:rPr>
          <w:t xml:space="preserve">PubMed</w:t>
        </w:r>
      </w:hyperlink>
      <w:r>
        <w:rPr>
          <w:b w:val="0"/>
          <w:i w:val="0"/>
          <w:sz w:val="19"/>
        </w:rPr>
        <w:t xml:space="preserve"> · </w:t>
      </w:r>
      <w:hyperlink r:id="rId167">
        <w:r>
          <w:rPr>
            <w:color w:val="0563C1"/>
            <w:u w:val="single"/>
            <w:sz w:val="19"/>
          </w:rPr>
          <w:t xml:space="preserve">Journal</w:t>
        </w:r>
      </w:hyperlink>
      <w:r>
        <w:rPr>
          <w:b w:val="0"/>
          <w:i w:val="0"/>
          <w:sz w:val="19"/>
        </w:rPr>
        <w:t xml:space="preserve"> · </w:t>
      </w:r>
      <w:hyperlink r:id="rId168">
        <w:r>
          <w:rPr>
            <w:color w:val="0563C1"/>
            <w:u w:val="single"/>
            <w:sz w:val="19"/>
          </w:rPr>
          <w:t xml:space="preserve">TMC library</w:t>
        </w:r>
      </w:hyperlink>
    </w:p>
    <w:p>
      <w:pPr>
        <w:spacing w:after="60"/>
      </w:pPr>
      <w:r>
        <w:rPr>
          <w:b/>
          <w:i w:val="0"/>
          <w:sz w:val="19"/>
        </w:rPr>
        <w:t>LEAP-012</w:t>
      </w:r>
      <w:r>
        <w:rPr>
          <w:b w:val="0"/>
          <w:i w:val="0"/>
          <w:sz w:val="19"/>
        </w:rPr>
        <w:t xml:space="preserve">  </w:t>
      </w:r>
      <w:hyperlink r:id="rId169">
        <w:r>
          <w:rPr>
            <w:color w:val="0563C1"/>
            <w:u w:val="single"/>
            <w:sz w:val="19"/>
          </w:rPr>
          <w:t xml:space="preserve">PubMed</w:t>
        </w:r>
      </w:hyperlink>
    </w:p>
    <w:p>
      <w:pPr>
        <w:spacing w:after="60"/>
      </w:pPr>
      <w:r>
        <w:rPr>
          <w:b/>
          <w:i w:val="0"/>
          <w:sz w:val="19"/>
        </w:rPr>
        <w:t>LEAP-012 / EMERALD-1 commentary</w:t>
      </w:r>
      <w:r>
        <w:rPr>
          <w:b w:val="0"/>
          <w:i w:val="0"/>
          <w:sz w:val="19"/>
        </w:rPr>
        <w:t xml:space="preserve">  </w:t>
      </w:r>
      <w:hyperlink r:id="rId170">
        <w:r>
          <w:rPr>
            <w:color w:val="0563C1"/>
            <w:u w:val="single"/>
            <w:sz w:val="19"/>
          </w:rPr>
          <w:t xml:space="preserve">PubMed</w:t>
        </w:r>
      </w:hyperlink>
    </w:p>
    <w:p>
      <w:pPr>
        <w:spacing w:after="60"/>
      </w:pPr>
      <w:r>
        <w:rPr>
          <w:b/>
          <w:i w:val="0"/>
          <w:sz w:val="19"/>
        </w:rPr>
        <w:t>LEGACY</w:t>
      </w:r>
      <w:r>
        <w:rPr>
          <w:b w:val="0"/>
          <w:i w:val="0"/>
          <w:sz w:val="19"/>
        </w:rPr>
        <w:t xml:space="preserve">  </w:t>
      </w:r>
      <w:hyperlink r:id="rId171">
        <w:r>
          <w:rPr>
            <w:color w:val="0563C1"/>
            <w:u w:val="single"/>
            <w:sz w:val="19"/>
          </w:rPr>
          <w:t xml:space="preserve">PubMed</w:t>
        </w:r>
      </w:hyperlink>
    </w:p>
    <w:p>
      <w:pPr>
        <w:spacing w:after="60"/>
      </w:pPr>
      <w:r>
        <w:rPr>
          <w:b/>
          <w:i w:val="0"/>
          <w:sz w:val="19"/>
        </w:rPr>
        <w:t>LITCHI 2026</w:t>
      </w:r>
      <w:r>
        <w:rPr>
          <w:b w:val="0"/>
          <w:i w:val="0"/>
          <w:sz w:val="19"/>
        </w:rPr>
        <w:t xml:space="preserve"> — Liver Transplantation After Immune Checkpoint Inhibition in Hepatocellular Carcinoma-Data From the Multinational LITCHI Registry</w:t>
      </w:r>
      <w:r>
        <w:rPr>
          <w:b w:val="0"/>
          <w:i w:val="0"/>
          <w:sz w:val="19"/>
        </w:rPr>
        <w:t xml:space="preserve">  </w:t>
      </w:r>
      <w:hyperlink r:id="rId172">
        <w:r>
          <w:rPr>
            <w:color w:val="0563C1"/>
            <w:u w:val="single"/>
            <w:sz w:val="19"/>
          </w:rPr>
          <w:t xml:space="preserve">PubMed</w:t>
        </w:r>
      </w:hyperlink>
      <w:r>
        <w:rPr>
          <w:b w:val="0"/>
          <w:i w:val="0"/>
          <w:sz w:val="19"/>
        </w:rPr>
        <w:t xml:space="preserve"> · </w:t>
      </w:r>
      <w:hyperlink r:id="rId173">
        <w:r>
          <w:rPr>
            <w:color w:val="0563C1"/>
            <w:u w:val="single"/>
            <w:sz w:val="19"/>
          </w:rPr>
          <w:t xml:space="preserve">Journal</w:t>
        </w:r>
      </w:hyperlink>
      <w:r>
        <w:rPr>
          <w:b w:val="0"/>
          <w:i w:val="0"/>
          <w:sz w:val="19"/>
        </w:rPr>
        <w:t xml:space="preserve"> · </w:t>
      </w:r>
      <w:hyperlink r:id="rId174">
        <w:r>
          <w:rPr>
            <w:color w:val="0563C1"/>
            <w:u w:val="single"/>
            <w:sz w:val="19"/>
          </w:rPr>
          <w:t xml:space="preserve">TMC library</w:t>
        </w:r>
      </w:hyperlink>
    </w:p>
    <w:p>
      <w:pPr>
        <w:spacing w:after="60"/>
      </w:pPr>
      <w:r>
        <w:rPr>
          <w:b/>
          <w:i w:val="0"/>
          <w:sz w:val="19"/>
        </w:rPr>
        <w:t>Liu 2025</w:t>
      </w:r>
      <w:r>
        <w:rPr>
          <w:b w:val="0"/>
          <w:i w:val="0"/>
          <w:sz w:val="19"/>
        </w:rPr>
        <w:t xml:space="preserve"> — Survival benefit associated with liver transplantation for hepatocellular carcinoma based on tumor burden scores at listing</w:t>
      </w:r>
      <w:r>
        <w:rPr>
          <w:b w:val="0"/>
          <w:i w:val="0"/>
          <w:sz w:val="19"/>
        </w:rPr>
        <w:t xml:space="preserve">  </w:t>
      </w:r>
      <w:hyperlink r:id="rId175">
        <w:r>
          <w:rPr>
            <w:color w:val="0563C1"/>
            <w:u w:val="single"/>
            <w:sz w:val="19"/>
          </w:rPr>
          <w:t xml:space="preserve">PubMed</w:t>
        </w:r>
      </w:hyperlink>
      <w:r>
        <w:rPr>
          <w:b w:val="0"/>
          <w:i w:val="0"/>
          <w:sz w:val="19"/>
        </w:rPr>
        <w:t xml:space="preserve"> · </w:t>
      </w:r>
      <w:hyperlink r:id="rId176">
        <w:r>
          <w:rPr>
            <w:color w:val="0563C1"/>
            <w:u w:val="single"/>
            <w:sz w:val="19"/>
          </w:rPr>
          <w:t xml:space="preserve">Journal</w:t>
        </w:r>
      </w:hyperlink>
      <w:r>
        <w:rPr>
          <w:b w:val="0"/>
          <w:i w:val="0"/>
          <w:sz w:val="19"/>
        </w:rPr>
        <w:t xml:space="preserve"> · </w:t>
      </w:r>
      <w:hyperlink r:id="rId177">
        <w:r>
          <w:rPr>
            <w:color w:val="0563C1"/>
            <w:u w:val="single"/>
            <w:sz w:val="19"/>
          </w:rPr>
          <w:t xml:space="preserve">Source</w:t>
        </w:r>
      </w:hyperlink>
      <w:r>
        <w:rPr>
          <w:b w:val="0"/>
          <w:i w:val="0"/>
          <w:sz w:val="19"/>
        </w:rPr>
        <w:t xml:space="preserve"> · </w:t>
      </w:r>
      <w:hyperlink r:id="rId178">
        <w:r>
          <w:rPr>
            <w:color w:val="0563C1"/>
            <w:u w:val="single"/>
            <w:sz w:val="19"/>
          </w:rPr>
          <w:t xml:space="preserve">TMC library</w:t>
        </w:r>
      </w:hyperlink>
    </w:p>
    <w:p>
      <w:pPr>
        <w:spacing w:after="60"/>
      </w:pPr>
      <w:r>
        <w:rPr>
          <w:b/>
          <w:i w:val="0"/>
          <w:sz w:val="19"/>
        </w:rPr>
        <w:t>Liu 2026</w:t>
      </w:r>
      <w:r>
        <w:rPr>
          <w:b w:val="0"/>
          <w:i w:val="0"/>
          <w:sz w:val="19"/>
        </w:rPr>
        <w:t xml:space="preserve"> — Optimizing Liver Transplant Allocation for Hepatocellular Carcinoma: Development and Validation of a Survival Benefit‐Based Model</w:t>
      </w:r>
      <w:r>
        <w:rPr>
          <w:b w:val="0"/>
          <w:i w:val="0"/>
          <w:sz w:val="19"/>
        </w:rPr>
        <w:t xml:space="preserve">  </w:t>
      </w:r>
      <w:hyperlink r:id="rId179">
        <w:r>
          <w:rPr>
            <w:color w:val="0563C1"/>
            <w:u w:val="single"/>
            <w:sz w:val="19"/>
          </w:rPr>
          <w:t xml:space="preserve">PubMed</w:t>
        </w:r>
      </w:hyperlink>
      <w:r>
        <w:rPr>
          <w:b w:val="0"/>
          <w:i w:val="0"/>
          <w:sz w:val="19"/>
        </w:rPr>
        <w:t xml:space="preserve"> · </w:t>
      </w:r>
      <w:hyperlink r:id="rId180">
        <w:r>
          <w:rPr>
            <w:color w:val="0563C1"/>
            <w:u w:val="single"/>
            <w:sz w:val="19"/>
          </w:rPr>
          <w:t xml:space="preserve">Journal</w:t>
        </w:r>
      </w:hyperlink>
      <w:r>
        <w:rPr>
          <w:b w:val="0"/>
          <w:i w:val="0"/>
          <w:sz w:val="19"/>
        </w:rPr>
        <w:t xml:space="preserve"> · </w:t>
      </w:r>
      <w:hyperlink r:id="rId181">
        <w:r>
          <w:rPr>
            <w:color w:val="0563C1"/>
            <w:u w:val="single"/>
            <w:sz w:val="19"/>
          </w:rPr>
          <w:t xml:space="preserve">Source</w:t>
        </w:r>
      </w:hyperlink>
      <w:r>
        <w:rPr>
          <w:b w:val="0"/>
          <w:i w:val="0"/>
          <w:sz w:val="19"/>
        </w:rPr>
        <w:t xml:space="preserve"> · </w:t>
      </w:r>
      <w:hyperlink r:id="rId182">
        <w:r>
          <w:rPr>
            <w:color w:val="0563C1"/>
            <w:u w:val="single"/>
            <w:sz w:val="19"/>
          </w:rPr>
          <w:t xml:space="preserve">TMC library</w:t>
        </w:r>
      </w:hyperlink>
    </w:p>
    <w:p>
      <w:pPr>
        <w:spacing w:after="60"/>
      </w:pPr>
      <w:r>
        <w:rPr>
          <w:b/>
          <w:i w:val="0"/>
          <w:sz w:val="19"/>
        </w:rPr>
        <w:t>Mehta 2019: AFP response</w:t>
      </w:r>
      <w:r>
        <w:rPr>
          <w:b w:val="0"/>
          <w:i w:val="0"/>
          <w:sz w:val="19"/>
        </w:rPr>
        <w:t xml:space="preserve"> — Alpha-Fetoprotein Decrease from &gt; 1,000 to &lt; 500 ng/mL in Patients with Hepatocellular Carcinoma Leads to Improved Posttransplant Outcomes.</w:t>
      </w:r>
      <w:r>
        <w:rPr>
          <w:b w:val="0"/>
          <w:i w:val="0"/>
          <w:sz w:val="19"/>
        </w:rPr>
        <w:t xml:space="preserve">  </w:t>
      </w:r>
      <w:hyperlink r:id="rId183">
        <w:r>
          <w:rPr>
            <w:color w:val="0563C1"/>
            <w:u w:val="single"/>
            <w:sz w:val="19"/>
          </w:rPr>
          <w:t xml:space="preserve">PubMed</w:t>
        </w:r>
      </w:hyperlink>
      <w:r>
        <w:rPr>
          <w:b w:val="0"/>
          <w:i w:val="0"/>
          <w:sz w:val="19"/>
        </w:rPr>
        <w:t xml:space="preserve"> · </w:t>
      </w:r>
      <w:hyperlink r:id="rId184">
        <w:r>
          <w:rPr>
            <w:color w:val="0563C1"/>
            <w:u w:val="single"/>
            <w:sz w:val="19"/>
          </w:rPr>
          <w:t xml:space="preserve">Journal</w:t>
        </w:r>
      </w:hyperlink>
      <w:r>
        <w:rPr>
          <w:b w:val="0"/>
          <w:i w:val="0"/>
          <w:sz w:val="19"/>
        </w:rPr>
        <w:t xml:space="preserve"> · </w:t>
      </w:r>
      <w:hyperlink r:id="rId185">
        <w:r>
          <w:rPr>
            <w:color w:val="0563C1"/>
            <w:u w:val="single"/>
            <w:sz w:val="19"/>
          </w:rPr>
          <w:t xml:space="preserve">TMC library</w:t>
        </w:r>
      </w:hyperlink>
    </w:p>
    <w:p>
      <w:pPr>
        <w:spacing w:after="60"/>
      </w:pPr>
      <w:r>
        <w:rPr>
          <w:b/>
          <w:i w:val="0"/>
          <w:sz w:val="19"/>
        </w:rPr>
        <w:t>Mehta 2021</w:t>
      </w:r>
      <w:r>
        <w:rPr>
          <w:b w:val="0"/>
          <w:i w:val="0"/>
          <w:sz w:val="19"/>
        </w:rPr>
        <w:t xml:space="preserve"> — Downstaging Outcomes for Hepatocellular Carcinoma: Results From the Multicenter Evaluation of Reduction in Tumor Size before Liver Transplantation (MERITS-LT) Consortium</w:t>
      </w:r>
      <w:r>
        <w:rPr>
          <w:b w:val="0"/>
          <w:i w:val="0"/>
          <w:sz w:val="19"/>
        </w:rPr>
        <w:t xml:space="preserve">  </w:t>
      </w:r>
      <w:hyperlink r:id="rId186">
        <w:r>
          <w:rPr>
            <w:color w:val="0563C1"/>
            <w:u w:val="single"/>
            <w:sz w:val="19"/>
          </w:rPr>
          <w:t xml:space="preserve">PubMed</w:t>
        </w:r>
      </w:hyperlink>
      <w:r>
        <w:rPr>
          <w:b w:val="0"/>
          <w:i w:val="0"/>
          <w:sz w:val="19"/>
        </w:rPr>
        <w:t xml:space="preserve"> · </w:t>
      </w:r>
      <w:hyperlink r:id="rId187">
        <w:r>
          <w:rPr>
            <w:color w:val="0563C1"/>
            <w:u w:val="single"/>
            <w:sz w:val="19"/>
          </w:rPr>
          <w:t xml:space="preserve">Journal</w:t>
        </w:r>
      </w:hyperlink>
      <w:r>
        <w:rPr>
          <w:b w:val="0"/>
          <w:i w:val="0"/>
          <w:sz w:val="19"/>
        </w:rPr>
        <w:t xml:space="preserve"> · </w:t>
      </w:r>
      <w:hyperlink r:id="rId188">
        <w:r>
          <w:rPr>
            <w:color w:val="0563C1"/>
            <w:u w:val="single"/>
            <w:sz w:val="19"/>
          </w:rPr>
          <w:t xml:space="preserve">Free full text</w:t>
        </w:r>
      </w:hyperlink>
      <w:r>
        <w:rPr>
          <w:b w:val="0"/>
          <w:i w:val="0"/>
          <w:sz w:val="19"/>
        </w:rPr>
        <w:t xml:space="preserve"> · </w:t>
      </w:r>
      <w:hyperlink r:id="rId189">
        <w:r>
          <w:rPr>
            <w:color w:val="0563C1"/>
            <w:u w:val="single"/>
            <w:sz w:val="19"/>
          </w:rPr>
          <w:t xml:space="preserve">Source</w:t>
        </w:r>
      </w:hyperlink>
      <w:r>
        <w:rPr>
          <w:b w:val="0"/>
          <w:i w:val="0"/>
          <w:sz w:val="19"/>
        </w:rPr>
        <w:t xml:space="preserve"> · </w:t>
      </w:r>
      <w:hyperlink r:id="rId190">
        <w:r>
          <w:rPr>
            <w:color w:val="0563C1"/>
            <w:u w:val="single"/>
            <w:sz w:val="19"/>
          </w:rPr>
          <w:t xml:space="preserve">TMC library</w:t>
        </w:r>
      </w:hyperlink>
    </w:p>
    <w:p>
      <w:pPr>
        <w:spacing w:after="60"/>
      </w:pPr>
      <w:r>
        <w:rPr>
          <w:b/>
          <w:i w:val="0"/>
          <w:sz w:val="19"/>
        </w:rPr>
        <w:t>Mergental 2012 · ELTR noncirrhotic HCC</w:t>
      </w:r>
      <w:r>
        <w:rPr>
          <w:b w:val="0"/>
          <w:i w:val="0"/>
          <w:sz w:val="19"/>
        </w:rPr>
        <w:t xml:space="preserve"> — Liver transplantation for unresectable hepatocellular carcinoma in normal livers</w:t>
      </w:r>
      <w:r>
        <w:rPr>
          <w:b w:val="0"/>
          <w:i w:val="0"/>
          <w:sz w:val="19"/>
        </w:rPr>
        <w:t xml:space="preserve">  </w:t>
      </w:r>
      <w:hyperlink r:id="rId191">
        <w:r>
          <w:rPr>
            <w:color w:val="0563C1"/>
            <w:u w:val="single"/>
            <w:sz w:val="19"/>
          </w:rPr>
          <w:t xml:space="preserve">PubMed</w:t>
        </w:r>
      </w:hyperlink>
      <w:r>
        <w:rPr>
          <w:b w:val="0"/>
          <w:i w:val="0"/>
          <w:sz w:val="19"/>
        </w:rPr>
        <w:t xml:space="preserve"> · </w:t>
      </w:r>
      <w:hyperlink r:id="rId192">
        <w:r>
          <w:rPr>
            <w:color w:val="0563C1"/>
            <w:u w:val="single"/>
            <w:sz w:val="19"/>
          </w:rPr>
          <w:t xml:space="preserve">Journal</w:t>
        </w:r>
      </w:hyperlink>
      <w:r>
        <w:rPr>
          <w:b w:val="0"/>
          <w:i w:val="0"/>
          <w:sz w:val="19"/>
        </w:rPr>
        <w:t xml:space="preserve"> · </w:t>
      </w:r>
      <w:hyperlink r:id="rId193">
        <w:r>
          <w:rPr>
            <w:color w:val="0563C1"/>
            <w:u w:val="single"/>
            <w:sz w:val="19"/>
          </w:rPr>
          <w:t xml:space="preserve">TMC library</w:t>
        </w:r>
      </w:hyperlink>
    </w:p>
    <w:p>
      <w:pPr>
        <w:spacing w:after="60"/>
      </w:pPr>
      <w:r>
        <w:rPr>
          <w:b/>
          <w:i w:val="0"/>
          <w:sz w:val="19"/>
        </w:rPr>
        <w:t>MERITS-LT</w:t>
      </w:r>
      <w:r>
        <w:rPr>
          <w:b w:val="0"/>
          <w:i w:val="0"/>
          <w:sz w:val="19"/>
        </w:rPr>
        <w:t xml:space="preserve">  </w:t>
      </w:r>
      <w:hyperlink r:id="rId186">
        <w:r>
          <w:rPr>
            <w:color w:val="0563C1"/>
            <w:u w:val="single"/>
            <w:sz w:val="19"/>
          </w:rPr>
          <w:t xml:space="preserve">PubMed</w:t>
        </w:r>
      </w:hyperlink>
    </w:p>
    <w:p>
      <w:pPr>
        <w:spacing w:after="60"/>
      </w:pPr>
      <w:r>
        <w:rPr>
          <w:b/>
          <w:i w:val="0"/>
          <w:sz w:val="19"/>
        </w:rPr>
        <w:t>Midorikawa 2020 · resection of extrahepatic recurrence</w:t>
      </w:r>
      <w:r>
        <w:rPr>
          <w:b w:val="0"/>
          <w:i w:val="0"/>
          <w:sz w:val="19"/>
        </w:rPr>
        <w:t xml:space="preserve">  </w:t>
      </w:r>
      <w:hyperlink r:id="rId194">
        <w:r>
          <w:rPr>
            <w:color w:val="0563C1"/>
            <w:u w:val="single"/>
            <w:sz w:val="19"/>
          </w:rPr>
          <w:t xml:space="preserve">PubMed</w:t>
        </w:r>
      </w:hyperlink>
      <w:r>
        <w:rPr>
          <w:b w:val="0"/>
          <w:i w:val="0"/>
          <w:sz w:val="19"/>
        </w:rPr>
        <w:t xml:space="preserve"> · </w:t>
      </w:r>
      <w:hyperlink r:id="rId195">
        <w:r>
          <w:rPr>
            <w:color w:val="0563C1"/>
            <w:u w:val="single"/>
            <w:sz w:val="19"/>
          </w:rPr>
          <w:t xml:space="preserve">Journal</w:t>
        </w:r>
      </w:hyperlink>
      <w:r>
        <w:rPr>
          <w:b w:val="0"/>
          <w:i w:val="0"/>
          <w:sz w:val="19"/>
        </w:rPr>
        <w:t xml:space="preserve"> · </w:t>
      </w:r>
      <w:hyperlink r:id="rId196">
        <w:r>
          <w:rPr>
            <w:color w:val="0563C1"/>
            <w:u w:val="single"/>
            <w:sz w:val="19"/>
          </w:rPr>
          <w:t xml:space="preserve">TMC library</w:t>
        </w:r>
      </w:hyperlink>
    </w:p>
    <w:p>
      <w:pPr>
        <w:spacing w:after="60"/>
      </w:pPr>
      <w:r>
        <w:rPr>
          <w:b/>
          <w:i w:val="0"/>
          <w:sz w:val="19"/>
        </w:rPr>
        <w:t>Moeckli 2025</w:t>
      </w:r>
      <w:r>
        <w:rPr>
          <w:b w:val="0"/>
          <w:i w:val="0"/>
          <w:sz w:val="19"/>
        </w:rPr>
        <w:t xml:space="preserve"> — Determining safe washout period for immune checkpoint inhibitors prior to liver transplantation: An international retrospective cohort study</w:t>
      </w:r>
      <w:r>
        <w:rPr>
          <w:b w:val="0"/>
          <w:i w:val="0"/>
          <w:sz w:val="19"/>
        </w:rPr>
        <w:t xml:space="preserve">  </w:t>
      </w:r>
      <w:hyperlink r:id="rId197">
        <w:r>
          <w:rPr>
            <w:color w:val="0563C1"/>
            <w:u w:val="single"/>
            <w:sz w:val="19"/>
          </w:rPr>
          <w:t xml:space="preserve">PubMed</w:t>
        </w:r>
      </w:hyperlink>
      <w:r>
        <w:rPr>
          <w:b w:val="0"/>
          <w:i w:val="0"/>
          <w:sz w:val="19"/>
        </w:rPr>
        <w:t xml:space="preserve"> · </w:t>
      </w:r>
      <w:hyperlink r:id="rId198">
        <w:r>
          <w:rPr>
            <w:color w:val="0563C1"/>
            <w:u w:val="single"/>
            <w:sz w:val="19"/>
          </w:rPr>
          <w:t xml:space="preserve">Journal</w:t>
        </w:r>
      </w:hyperlink>
      <w:r>
        <w:rPr>
          <w:b w:val="0"/>
          <w:i w:val="0"/>
          <w:sz w:val="19"/>
        </w:rPr>
        <w:t xml:space="preserve"> · </w:t>
      </w:r>
      <w:hyperlink r:id="rId199">
        <w:r>
          <w:rPr>
            <w:color w:val="0563C1"/>
            <w:u w:val="single"/>
            <w:sz w:val="19"/>
          </w:rPr>
          <w:t xml:space="preserve">TMC library</w:t>
        </w:r>
      </w:hyperlink>
    </w:p>
    <w:p>
      <w:pPr>
        <w:spacing w:after="60"/>
      </w:pPr>
      <w:r>
        <w:rPr>
          <w:b/>
          <w:i w:val="0"/>
          <w:sz w:val="19"/>
        </w:rPr>
        <w:t>Moriyama 2026: markers before imaging recurrence</w:t>
      </w:r>
      <w:r>
        <w:rPr>
          <w:b w:val="0"/>
          <w:i w:val="0"/>
          <w:sz w:val="19"/>
        </w:rPr>
        <w:t xml:space="preserve"> — Management and Prognosis of HCC Patients With Elevated Tumor Markers but no Imaging Recurrence After Radiofrequency Ablation.</w:t>
      </w:r>
      <w:r>
        <w:rPr>
          <w:b w:val="0"/>
          <w:i w:val="0"/>
          <w:sz w:val="19"/>
        </w:rPr>
        <w:t xml:space="preserve">  </w:t>
      </w:r>
      <w:hyperlink r:id="rId200">
        <w:r>
          <w:rPr>
            <w:color w:val="0563C1"/>
            <w:u w:val="single"/>
            <w:sz w:val="19"/>
          </w:rPr>
          <w:t xml:space="preserve">PubMed</w:t>
        </w:r>
      </w:hyperlink>
      <w:r>
        <w:rPr>
          <w:b w:val="0"/>
          <w:i w:val="0"/>
          <w:sz w:val="19"/>
        </w:rPr>
        <w:t xml:space="preserve"> · </w:t>
      </w:r>
      <w:hyperlink r:id="rId201">
        <w:r>
          <w:rPr>
            <w:color w:val="0563C1"/>
            <w:u w:val="single"/>
            <w:sz w:val="19"/>
          </w:rPr>
          <w:t xml:space="preserve">Journal</w:t>
        </w:r>
      </w:hyperlink>
      <w:r>
        <w:rPr>
          <w:b w:val="0"/>
          <w:i w:val="0"/>
          <w:sz w:val="19"/>
        </w:rPr>
        <w:t xml:space="preserve"> · </w:t>
      </w:r>
      <w:hyperlink r:id="rId202">
        <w:r>
          <w:rPr>
            <w:color w:val="0563C1"/>
            <w:u w:val="single"/>
            <w:sz w:val="19"/>
          </w:rPr>
          <w:t xml:space="preserve">TMC library</w:t>
        </w:r>
      </w:hyperlink>
    </w:p>
    <w:p>
      <w:pPr>
        <w:spacing w:after="60"/>
      </w:pPr>
      <w:r>
        <w:rPr>
          <w:b/>
          <w:i w:val="0"/>
          <w:sz w:val="19"/>
        </w:rPr>
        <w:t>MWA vs RFA RCT (Vietti Violi)</w:t>
      </w:r>
      <w:r>
        <w:rPr>
          <w:b w:val="0"/>
          <w:i w:val="0"/>
          <w:sz w:val="19"/>
        </w:rPr>
        <w:t xml:space="preserve">  </w:t>
      </w:r>
      <w:hyperlink r:id="rId203">
        <w:r>
          <w:rPr>
            <w:color w:val="0563C1"/>
            <w:u w:val="single"/>
            <w:sz w:val="19"/>
          </w:rPr>
          <w:t xml:space="preserve">PubMed</w:t>
        </w:r>
      </w:hyperlink>
    </w:p>
    <w:p>
      <w:pPr>
        <w:spacing w:after="60"/>
      </w:pPr>
      <w:r>
        <w:rPr>
          <w:b/>
          <w:i w:val="0"/>
          <w:sz w:val="19"/>
        </w:rPr>
        <w:t>Natarajan 2023</w:t>
      </w:r>
      <w:r>
        <w:rPr>
          <w:b w:val="0"/>
          <w:i w:val="0"/>
          <w:sz w:val="19"/>
        </w:rPr>
        <w:t xml:space="preserve"> — Downstaging hepatocellular carcinoma before liver transplantation: A multicenter analysis of the “all-comers” protocol in the Multicenter Evaluation of Reduction in Tumor Size before Liver Transplantation (MERITS-LT) consortium</w:t>
      </w:r>
      <w:r>
        <w:rPr>
          <w:b w:val="0"/>
          <w:i w:val="0"/>
          <w:sz w:val="19"/>
        </w:rPr>
        <w:t xml:space="preserve">  </w:t>
      </w:r>
      <w:hyperlink r:id="rId204">
        <w:r>
          <w:rPr>
            <w:color w:val="0563C1"/>
            <w:u w:val="single"/>
            <w:sz w:val="19"/>
          </w:rPr>
          <w:t xml:space="preserve">PubMed</w:t>
        </w:r>
      </w:hyperlink>
      <w:r>
        <w:rPr>
          <w:b w:val="0"/>
          <w:i w:val="0"/>
          <w:sz w:val="19"/>
        </w:rPr>
        <w:t xml:space="preserve"> · </w:t>
      </w:r>
      <w:hyperlink r:id="rId205">
        <w:r>
          <w:rPr>
            <w:color w:val="0563C1"/>
            <w:u w:val="single"/>
            <w:sz w:val="19"/>
          </w:rPr>
          <w:t xml:space="preserve">Journal</w:t>
        </w:r>
      </w:hyperlink>
      <w:r>
        <w:rPr>
          <w:b w:val="0"/>
          <w:i w:val="0"/>
          <w:sz w:val="19"/>
        </w:rPr>
        <w:t xml:space="preserve"> · </w:t>
      </w:r>
      <w:hyperlink r:id="rId206">
        <w:r>
          <w:rPr>
            <w:color w:val="0563C1"/>
            <w:u w:val="single"/>
            <w:sz w:val="19"/>
          </w:rPr>
          <w:t xml:space="preserve">Free full text</w:t>
        </w:r>
      </w:hyperlink>
      <w:r>
        <w:rPr>
          <w:b w:val="0"/>
          <w:i w:val="0"/>
          <w:sz w:val="19"/>
        </w:rPr>
        <w:t xml:space="preserve"> · </w:t>
      </w:r>
      <w:hyperlink r:id="rId207">
        <w:r>
          <w:rPr>
            <w:color w:val="0563C1"/>
            <w:u w:val="single"/>
            <w:sz w:val="19"/>
          </w:rPr>
          <w:t xml:space="preserve">Source</w:t>
        </w:r>
      </w:hyperlink>
      <w:r>
        <w:rPr>
          <w:b w:val="0"/>
          <w:i w:val="0"/>
          <w:sz w:val="19"/>
        </w:rPr>
        <w:t xml:space="preserve"> · </w:t>
      </w:r>
      <w:hyperlink r:id="rId208">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209">
        <w:r>
          <w:rPr>
            <w:color w:val="0563C1"/>
            <w:u w:val="single"/>
            <w:sz w:val="19"/>
          </w:rPr>
          <w:t xml:space="preserve">Source</w:t>
        </w:r>
      </w:hyperlink>
    </w:p>
    <w:p>
      <w:pPr>
        <w:spacing w:after="60"/>
      </w:pPr>
      <w:r>
        <w:rPr>
          <w:b/>
          <w:i w:val="0"/>
          <w:sz w:val="19"/>
        </w:rPr>
        <w:t>NLRB · HCC</w:t>
      </w:r>
      <w:r>
        <w:rPr>
          <w:b w:val="0"/>
          <w:i w:val="0"/>
          <w:sz w:val="19"/>
        </w:rPr>
        <w:t xml:space="preserve"> — Adult MELD exception review guidance — HCC</w:t>
      </w:r>
      <w:r>
        <w:rPr>
          <w:b w:val="0"/>
          <w:i w:val="0"/>
          <w:sz w:val="19"/>
        </w:rPr>
        <w:t xml:space="preserve">  </w:t>
      </w:r>
      <w:hyperlink r:id="rId210">
        <w:r>
          <w:rPr>
            <w:color w:val="0563C1"/>
            <w:u w:val="single"/>
            <w:sz w:val="19"/>
          </w:rPr>
          <w:t xml:space="preserve">Source</w:t>
        </w:r>
      </w:hyperlink>
    </w:p>
    <w:p>
      <w:pPr>
        <w:spacing w:after="60"/>
      </w:pPr>
      <w:r>
        <w:rPr>
          <w:b/>
          <w:i w:val="0"/>
          <w:sz w:val="19"/>
        </w:rPr>
        <w:t>Ong 2026 · ICI before LT, matched cohort</w:t>
      </w:r>
      <w:r>
        <w:rPr>
          <w:b w:val="0"/>
          <w:i w:val="0"/>
          <w:sz w:val="19"/>
        </w:rPr>
        <w:t xml:space="preserve"> — Immune Checkpoint Inhibitor–Based Downstaging Therapy for Hepatocellular Carcinoma</w:t>
      </w:r>
      <w:r>
        <w:rPr>
          <w:b w:val="0"/>
          <w:i w:val="0"/>
          <w:sz w:val="19"/>
        </w:rPr>
        <w:t xml:space="preserve">  </w:t>
      </w:r>
      <w:hyperlink r:id="rId144">
        <w:r>
          <w:rPr>
            <w:color w:val="0563C1"/>
            <w:u w:val="single"/>
            <w:sz w:val="19"/>
          </w:rPr>
          <w:t xml:space="preserve">PubMed</w:t>
        </w:r>
      </w:hyperlink>
      <w:r>
        <w:rPr>
          <w:b w:val="0"/>
          <w:i w:val="0"/>
          <w:sz w:val="19"/>
        </w:rPr>
        <w:t xml:space="preserve"> · </w:t>
      </w:r>
      <w:hyperlink r:id="rId145">
        <w:r>
          <w:rPr>
            <w:color w:val="0563C1"/>
            <w:u w:val="single"/>
            <w:sz w:val="19"/>
          </w:rPr>
          <w:t xml:space="preserve">Journal</w:t>
        </w:r>
      </w:hyperlink>
      <w:r>
        <w:rPr>
          <w:b w:val="0"/>
          <w:i w:val="0"/>
          <w:sz w:val="19"/>
        </w:rPr>
        <w:t xml:space="preserve"> · </w:t>
      </w:r>
      <w:hyperlink r:id="rId146">
        <w:r>
          <w:rPr>
            <w:color w:val="0563C1"/>
            <w:u w:val="single"/>
            <w:sz w:val="19"/>
          </w:rPr>
          <w:t xml:space="preserve">TMC library</w:t>
        </w:r>
      </w:hyperlink>
    </w:p>
    <w:p>
      <w:pPr>
        <w:spacing w:after="60"/>
      </w:pPr>
      <w:r>
        <w:rPr>
          <w:b/>
          <w:i w:val="0"/>
          <w:sz w:val="19"/>
        </w:rPr>
        <w:t>OPTN 9.5.I</w:t>
      </w:r>
      <w:r>
        <w:rPr>
          <w:b w:val="0"/>
          <w:i w:val="0"/>
          <w:sz w:val="19"/>
        </w:rPr>
        <w:t xml:space="preserve"> — OPTN Policies — HCC standardized exception</w:t>
      </w:r>
      <w:r>
        <w:rPr>
          <w:b w:val="0"/>
          <w:i w:val="0"/>
          <w:sz w:val="19"/>
        </w:rPr>
        <w:t xml:space="preserve">  </w:t>
      </w:r>
      <w:hyperlink r:id="rId211">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212">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213">
        <w:r>
          <w:rPr>
            <w:color w:val="0563C1"/>
            <w:u w:val="single"/>
            <w:sz w:val="19"/>
          </w:rPr>
          <w:t xml:space="preserve">Source</w:t>
        </w:r>
      </w:hyperlink>
    </w:p>
    <w:p>
      <w:pPr>
        <w:spacing w:after="60"/>
      </w:pPr>
      <w:r>
        <w:rPr>
          <w:b/>
          <w:i w:val="0"/>
          <w:sz w:val="19"/>
        </w:rPr>
        <w:t>Pirozzi 2025 · case report</w:t>
      </w:r>
      <w:r>
        <w:rPr>
          <w:b w:val="0"/>
          <w:i w:val="0"/>
          <w:sz w:val="19"/>
        </w:rPr>
        <w:t xml:space="preserve"> — Liver transplantation in a patient with metastatic hepatocellular carcinoma after downstaging with single-agent immunotherapy: the first case report</w:t>
      </w:r>
      <w:r>
        <w:rPr>
          <w:b w:val="0"/>
          <w:i w:val="0"/>
          <w:sz w:val="19"/>
        </w:rPr>
        <w:t xml:space="preserve">  </w:t>
      </w:r>
      <w:hyperlink r:id="rId214">
        <w:r>
          <w:rPr>
            <w:color w:val="0563C1"/>
            <w:u w:val="single"/>
            <w:sz w:val="19"/>
          </w:rPr>
          <w:t xml:space="preserve">PubMed</w:t>
        </w:r>
      </w:hyperlink>
      <w:r>
        <w:rPr>
          <w:b w:val="0"/>
          <w:i w:val="0"/>
          <w:sz w:val="19"/>
        </w:rPr>
        <w:t xml:space="preserve"> · </w:t>
      </w:r>
      <w:hyperlink r:id="rId215">
        <w:r>
          <w:rPr>
            <w:color w:val="0563C1"/>
            <w:u w:val="single"/>
            <w:sz w:val="19"/>
          </w:rPr>
          <w:t xml:space="preserve">Journal</w:t>
        </w:r>
      </w:hyperlink>
      <w:r>
        <w:rPr>
          <w:b w:val="0"/>
          <w:i w:val="0"/>
          <w:sz w:val="19"/>
        </w:rPr>
        <w:t xml:space="preserve"> · </w:t>
      </w:r>
      <w:hyperlink r:id="rId216">
        <w:r>
          <w:rPr>
            <w:color w:val="0563C1"/>
            <w:u w:val="single"/>
            <w:sz w:val="19"/>
          </w:rPr>
          <w:t xml:space="preserve">Source</w:t>
        </w:r>
      </w:hyperlink>
      <w:r>
        <w:rPr>
          <w:b w:val="0"/>
          <w:i w:val="0"/>
          <w:sz w:val="19"/>
        </w:rPr>
        <w:t xml:space="preserve"> · </w:t>
      </w:r>
      <w:hyperlink r:id="rId217">
        <w:r>
          <w:rPr>
            <w:color w:val="0563C1"/>
            <w:u w:val="single"/>
            <w:sz w:val="19"/>
          </w:rPr>
          <w:t xml:space="preserve">TMC library</w:t>
        </w:r>
      </w:hyperlink>
    </w:p>
    <w:p>
      <w:pPr>
        <w:spacing w:after="60"/>
      </w:pPr>
      <w:r>
        <w:rPr>
          <w:b/>
          <w:i w:val="0"/>
          <w:sz w:val="19"/>
        </w:rPr>
        <w:t>Prosepe 2026</w:t>
      </w:r>
      <w:r>
        <w:rPr>
          <w:b w:val="0"/>
          <w:i w:val="0"/>
          <w:sz w:val="19"/>
        </w:rPr>
        <w:t xml:space="preserve"> — Estimating conditional survival benefit for the allocation of scarce resources</w:t>
      </w:r>
      <w:r>
        <w:rPr>
          <w:b w:val="0"/>
          <w:i w:val="0"/>
          <w:sz w:val="19"/>
        </w:rPr>
        <w:t xml:space="preserve">  </w:t>
      </w:r>
      <w:hyperlink r:id="rId218">
        <w:r>
          <w:rPr>
            <w:color w:val="0563C1"/>
            <w:u w:val="single"/>
            <w:sz w:val="19"/>
          </w:rPr>
          <w:t xml:space="preserve">PubMed</w:t>
        </w:r>
      </w:hyperlink>
      <w:r>
        <w:rPr>
          <w:b w:val="0"/>
          <w:i w:val="0"/>
          <w:sz w:val="19"/>
        </w:rPr>
        <w:t xml:space="preserve"> · </w:t>
      </w:r>
      <w:hyperlink r:id="rId219">
        <w:r>
          <w:rPr>
            <w:color w:val="0563C1"/>
            <w:u w:val="single"/>
            <w:sz w:val="19"/>
          </w:rPr>
          <w:t xml:space="preserve">Journal</w:t>
        </w:r>
      </w:hyperlink>
      <w:r>
        <w:rPr>
          <w:b w:val="0"/>
          <w:i w:val="0"/>
          <w:sz w:val="19"/>
        </w:rPr>
        <w:t xml:space="preserve"> · </w:t>
      </w:r>
      <w:hyperlink r:id="rId220">
        <w:r>
          <w:rPr>
            <w:color w:val="0563C1"/>
            <w:u w:val="single"/>
            <w:sz w:val="19"/>
          </w:rPr>
          <w:t xml:space="preserve">Free full text</w:t>
        </w:r>
      </w:hyperlink>
      <w:r>
        <w:rPr>
          <w:b w:val="0"/>
          <w:i w:val="0"/>
          <w:sz w:val="19"/>
        </w:rPr>
        <w:t xml:space="preserve"> · </w:t>
      </w:r>
      <w:hyperlink r:id="rId221">
        <w:r>
          <w:rPr>
            <w:color w:val="0563C1"/>
            <w:u w:val="single"/>
            <w:sz w:val="19"/>
          </w:rPr>
          <w:t xml:space="preserve">Source</w:t>
        </w:r>
      </w:hyperlink>
      <w:r>
        <w:rPr>
          <w:b w:val="0"/>
          <w:i w:val="0"/>
          <w:sz w:val="19"/>
        </w:rPr>
        <w:t xml:space="preserve"> · </w:t>
      </w:r>
      <w:hyperlink r:id="rId222">
        <w:r>
          <w:rPr>
            <w:color w:val="0563C1"/>
            <w:u w:val="single"/>
            <w:sz w:val="19"/>
          </w:rPr>
          <w:t xml:space="preserve">TMC library</w:t>
        </w:r>
      </w:hyperlink>
    </w:p>
    <w:p>
      <w:pPr>
        <w:spacing w:after="60"/>
      </w:pPr>
      <w:r>
        <w:rPr>
          <w:b/>
          <w:i w:val="0"/>
          <w:sz w:val="19"/>
        </w:rPr>
        <w:t>RASER</w:t>
      </w:r>
      <w:r>
        <w:rPr>
          <w:b w:val="0"/>
          <w:i w:val="0"/>
          <w:sz w:val="19"/>
        </w:rPr>
        <w:t xml:space="preserve">  </w:t>
      </w:r>
      <w:hyperlink r:id="rId223">
        <w:r>
          <w:rPr>
            <w:color w:val="0563C1"/>
            <w:u w:val="single"/>
            <w:sz w:val="19"/>
          </w:rPr>
          <w:t xml:space="preserve">PubMed</w:t>
        </w:r>
      </w:hyperlink>
    </w:p>
    <w:p>
      <w:pPr>
        <w:spacing w:after="60"/>
      </w:pPr>
      <w:r>
        <w:rPr>
          <w:b/>
          <w:i w:val="0"/>
          <w:sz w:val="19"/>
        </w:rPr>
        <w:t>Rezaee-Zavareh · IPD</w:t>
      </w:r>
      <w:r>
        <w:rPr>
          <w:b w:val="0"/>
          <w:i w:val="0"/>
          <w:sz w:val="19"/>
        </w:rPr>
        <w:t xml:space="preserve"> — Impact of pre-transplant immune checkpoint inhibitor use on post-transplant outcomes in HCC: A systematic review and individual patient data meta-analysis</w:t>
      </w:r>
      <w:r>
        <w:rPr>
          <w:b w:val="0"/>
          <w:i w:val="0"/>
          <w:sz w:val="19"/>
        </w:rPr>
        <w:t xml:space="preserve">  </w:t>
      </w:r>
      <w:hyperlink r:id="rId224">
        <w:r>
          <w:rPr>
            <w:color w:val="0563C1"/>
            <w:u w:val="single"/>
            <w:sz w:val="19"/>
          </w:rPr>
          <w:t xml:space="preserve">PubMed</w:t>
        </w:r>
      </w:hyperlink>
      <w:r>
        <w:rPr>
          <w:b w:val="0"/>
          <w:i w:val="0"/>
          <w:sz w:val="19"/>
        </w:rPr>
        <w:t xml:space="preserve"> · </w:t>
      </w:r>
      <w:hyperlink r:id="rId225">
        <w:r>
          <w:rPr>
            <w:color w:val="0563C1"/>
            <w:u w:val="single"/>
            <w:sz w:val="19"/>
          </w:rPr>
          <w:t xml:space="preserve">Journal</w:t>
        </w:r>
      </w:hyperlink>
      <w:r>
        <w:rPr>
          <w:b w:val="0"/>
          <w:i w:val="0"/>
          <w:sz w:val="19"/>
        </w:rPr>
        <w:t xml:space="preserve"> · </w:t>
      </w:r>
      <w:hyperlink r:id="rId226">
        <w:r>
          <w:rPr>
            <w:color w:val="0563C1"/>
            <w:u w:val="single"/>
            <w:sz w:val="19"/>
          </w:rPr>
          <w:t xml:space="preserve">Source</w:t>
        </w:r>
      </w:hyperlink>
      <w:r>
        <w:rPr>
          <w:b w:val="0"/>
          <w:i w:val="0"/>
          <w:sz w:val="19"/>
        </w:rPr>
        <w:t xml:space="preserve"> · </w:t>
      </w:r>
      <w:hyperlink r:id="rId227">
        <w:r>
          <w:rPr>
            <w:color w:val="0563C1"/>
            <w:u w:val="single"/>
            <w:sz w:val="19"/>
          </w:rPr>
          <w:t xml:space="preserve">TMC library</w:t>
        </w:r>
      </w:hyperlink>
    </w:p>
    <w:p>
      <w:pPr>
        <w:spacing w:after="60"/>
      </w:pPr>
      <w:r>
        <w:rPr>
          <w:b/>
          <w:i w:val="0"/>
          <w:sz w:val="19"/>
        </w:rPr>
        <w:t>SARAH</w:t>
      </w:r>
      <w:r>
        <w:rPr>
          <w:b w:val="0"/>
          <w:i w:val="0"/>
          <w:sz w:val="19"/>
        </w:rPr>
        <w:t xml:space="preserve">  </w:t>
      </w:r>
      <w:hyperlink r:id="rId228">
        <w:r>
          <w:rPr>
            <w:color w:val="0563C1"/>
            <w:u w:val="single"/>
            <w:sz w:val="19"/>
          </w:rPr>
          <w:t xml:space="preserve">PubMed</w:t>
        </w:r>
      </w:hyperlink>
    </w:p>
    <w:p>
      <w:pPr>
        <w:spacing w:after="60"/>
      </w:pPr>
      <w:r>
        <w:rPr>
          <w:b/>
          <w:i w:val="0"/>
          <w:sz w:val="19"/>
        </w:rPr>
        <w:t>SBRT vs RFA RCT</w:t>
      </w:r>
      <w:r>
        <w:rPr>
          <w:b w:val="0"/>
          <w:i w:val="0"/>
          <w:sz w:val="19"/>
        </w:rPr>
        <w:t xml:space="preserve">  </w:t>
      </w:r>
      <w:hyperlink r:id="rId229">
        <w:r>
          <w:rPr>
            <w:color w:val="0563C1"/>
            <w:u w:val="single"/>
            <w:sz w:val="19"/>
          </w:rPr>
          <w:t xml:space="preserve">PubMed</w:t>
        </w:r>
      </w:hyperlink>
    </w:p>
    <w:p>
      <w:pPr>
        <w:spacing w:after="60"/>
      </w:pPr>
      <w:r>
        <w:rPr>
          <w:b/>
          <w:i w:val="0"/>
          <w:sz w:val="19"/>
        </w:rPr>
        <w:t>Shao 2026 · complete responders to ICI</w:t>
      </w:r>
      <w:r>
        <w:rPr>
          <w:b w:val="0"/>
          <w:i w:val="0"/>
          <w:sz w:val="19"/>
        </w:rPr>
        <w:t xml:space="preserve"> — Imaging-defined complete response to immune checkpoint inhibitors predicts durable survival in advanced hepatocellular carcinoma</w:t>
      </w:r>
      <w:r>
        <w:rPr>
          <w:b w:val="0"/>
          <w:i w:val="0"/>
          <w:sz w:val="19"/>
        </w:rPr>
        <w:t xml:space="preserve">  </w:t>
      </w:r>
      <w:hyperlink r:id="rId230">
        <w:r>
          <w:rPr>
            <w:color w:val="0563C1"/>
            <w:u w:val="single"/>
            <w:sz w:val="19"/>
          </w:rPr>
          <w:t xml:space="preserve">PubMed</w:t>
        </w:r>
      </w:hyperlink>
      <w:r>
        <w:rPr>
          <w:b w:val="0"/>
          <w:i w:val="0"/>
          <w:sz w:val="19"/>
        </w:rPr>
        <w:t xml:space="preserve"> · </w:t>
      </w:r>
      <w:hyperlink r:id="rId231">
        <w:r>
          <w:rPr>
            <w:color w:val="0563C1"/>
            <w:u w:val="single"/>
            <w:sz w:val="19"/>
          </w:rPr>
          <w:t xml:space="preserve">Journal</w:t>
        </w:r>
      </w:hyperlink>
      <w:r>
        <w:rPr>
          <w:b w:val="0"/>
          <w:i w:val="0"/>
          <w:sz w:val="19"/>
        </w:rPr>
        <w:t xml:space="preserve"> · </w:t>
      </w:r>
      <w:hyperlink r:id="rId232">
        <w:r>
          <w:rPr>
            <w:color w:val="0563C1"/>
            <w:u w:val="single"/>
            <w:sz w:val="19"/>
          </w:rPr>
          <w:t xml:space="preserve">TMC library</w:t>
        </w:r>
      </w:hyperlink>
    </w:p>
    <w:p>
      <w:pPr>
        <w:spacing w:after="60"/>
      </w:pPr>
      <w:r>
        <w:rPr>
          <w:b/>
          <w:i w:val="0"/>
          <w:sz w:val="19"/>
        </w:rPr>
        <w:t>Shin 2024 · lung metastasectomy vs SBRT</w:t>
      </w:r>
      <w:r>
        <w:rPr>
          <w:b w:val="0"/>
          <w:i w:val="0"/>
          <w:sz w:val="19"/>
        </w:rPr>
        <w:t xml:space="preserve">  </w:t>
      </w:r>
      <w:hyperlink r:id="rId233">
        <w:r>
          <w:rPr>
            <w:color w:val="0563C1"/>
            <w:u w:val="single"/>
            <w:sz w:val="19"/>
          </w:rPr>
          <w:t xml:space="preserve">PubMed</w:t>
        </w:r>
      </w:hyperlink>
      <w:r>
        <w:rPr>
          <w:b w:val="0"/>
          <w:i w:val="0"/>
          <w:sz w:val="19"/>
        </w:rPr>
        <w:t xml:space="preserve"> · </w:t>
      </w:r>
      <w:hyperlink r:id="rId234">
        <w:r>
          <w:rPr>
            <w:color w:val="0563C1"/>
            <w:u w:val="single"/>
            <w:sz w:val="19"/>
          </w:rPr>
          <w:t xml:space="preserve">Journal</w:t>
        </w:r>
      </w:hyperlink>
      <w:r>
        <w:rPr>
          <w:b w:val="0"/>
          <w:i w:val="0"/>
          <w:sz w:val="19"/>
        </w:rPr>
        <w:t xml:space="preserve"> · </w:t>
      </w:r>
      <w:hyperlink r:id="rId235">
        <w:r>
          <w:rPr>
            <w:color w:val="0563C1"/>
            <w:u w:val="single"/>
            <w:sz w:val="19"/>
          </w:rPr>
          <w:t xml:space="preserve">TMC library</w:t>
        </w:r>
      </w:hyperlink>
    </w:p>
    <w:p>
      <w:pPr>
        <w:spacing w:after="60"/>
      </w:pPr>
      <w:r>
        <w:rPr>
          <w:b/>
          <w:i w:val="0"/>
          <w:sz w:val="19"/>
        </w:rPr>
        <w:t>Shindoh 2025 · borderline-resectable HCC</w:t>
      </w:r>
      <w:r>
        <w:rPr>
          <w:b w:val="0"/>
          <w:i w:val="0"/>
          <w:sz w:val="19"/>
        </w:rPr>
        <w:t xml:space="preserve">  </w:t>
      </w:r>
      <w:hyperlink r:id="rId236">
        <w:r>
          <w:rPr>
            <w:color w:val="0563C1"/>
            <w:u w:val="single"/>
            <w:sz w:val="19"/>
          </w:rPr>
          <w:t xml:space="preserve">PubMed</w:t>
        </w:r>
      </w:hyperlink>
      <w:r>
        <w:rPr>
          <w:b w:val="0"/>
          <w:i w:val="0"/>
          <w:sz w:val="19"/>
        </w:rPr>
        <w:t xml:space="preserve"> · </w:t>
      </w:r>
      <w:hyperlink r:id="rId237">
        <w:r>
          <w:rPr>
            <w:color w:val="0563C1"/>
            <w:u w:val="single"/>
            <w:sz w:val="19"/>
          </w:rPr>
          <w:t xml:space="preserve">Journal</w:t>
        </w:r>
      </w:hyperlink>
      <w:r>
        <w:rPr>
          <w:b w:val="0"/>
          <w:i w:val="0"/>
          <w:sz w:val="19"/>
        </w:rPr>
        <w:t xml:space="preserve"> · </w:t>
      </w:r>
      <w:hyperlink r:id="rId238">
        <w:r>
          <w:rPr>
            <w:color w:val="0563C1"/>
            <w:u w:val="single"/>
            <w:sz w:val="19"/>
          </w:rPr>
          <w:t xml:space="preserve">TMC library</w:t>
        </w:r>
      </w:hyperlink>
    </w:p>
    <w:p>
      <w:pPr>
        <w:spacing w:after="60"/>
      </w:pPr>
      <w:r>
        <w:rPr>
          <w:b/>
          <w:i w:val="0"/>
          <w:sz w:val="19"/>
        </w:rPr>
        <w:t>Sinha 2019</w:t>
      </w:r>
      <w:r>
        <w:rPr>
          <w:b w:val="0"/>
          <w:i w:val="0"/>
          <w:sz w:val="19"/>
        </w:rPr>
        <w:t xml:space="preserve"> — Are There Upper Limits in Tumor Burden for Down‐Staging of Hepatocellular Carcinoma to Liver Transplant? Analysis of the All‐Comers Protocol</w:t>
      </w:r>
      <w:r>
        <w:rPr>
          <w:b w:val="0"/>
          <w:i w:val="0"/>
          <w:sz w:val="19"/>
        </w:rPr>
        <w:t xml:space="preserve">  </w:t>
      </w:r>
      <w:hyperlink r:id="rId239">
        <w:r>
          <w:rPr>
            <w:color w:val="0563C1"/>
            <w:u w:val="single"/>
            <w:sz w:val="19"/>
          </w:rPr>
          <w:t xml:space="preserve">PubMed</w:t>
        </w:r>
      </w:hyperlink>
      <w:r>
        <w:rPr>
          <w:b w:val="0"/>
          <w:i w:val="0"/>
          <w:sz w:val="19"/>
        </w:rPr>
        <w:t xml:space="preserve"> · </w:t>
      </w:r>
      <w:hyperlink r:id="rId240">
        <w:r>
          <w:rPr>
            <w:color w:val="0563C1"/>
            <w:u w:val="single"/>
            <w:sz w:val="19"/>
          </w:rPr>
          <w:t xml:space="preserve">Journal</w:t>
        </w:r>
      </w:hyperlink>
      <w:r>
        <w:rPr>
          <w:b w:val="0"/>
          <w:i w:val="0"/>
          <w:sz w:val="19"/>
        </w:rPr>
        <w:t xml:space="preserve"> · </w:t>
      </w:r>
      <w:hyperlink r:id="rId241">
        <w:r>
          <w:rPr>
            <w:color w:val="0563C1"/>
            <w:u w:val="single"/>
            <w:sz w:val="19"/>
          </w:rPr>
          <w:t xml:space="preserve">TMC library</w:t>
        </w:r>
      </w:hyperlink>
    </w:p>
    <w:p>
      <w:pPr>
        <w:spacing w:after="60"/>
      </w:pPr>
      <w:r>
        <w:rPr>
          <w:b/>
          <w:i w:val="0"/>
          <w:sz w:val="19"/>
        </w:rPr>
        <w:t>Soin 2020</w:t>
      </w:r>
      <w:r>
        <w:rPr>
          <w:b w:val="0"/>
          <w:i w:val="0"/>
          <w:sz w:val="19"/>
        </w:rPr>
        <w:t xml:space="preserve"> — Experience With LDLT in Patients With Hepatocellular Carcinoma and Portal Vein Tumor Thrombosis Postdownstaging</w:t>
      </w:r>
      <w:r>
        <w:rPr>
          <w:b w:val="0"/>
          <w:i w:val="0"/>
          <w:sz w:val="19"/>
        </w:rPr>
        <w:t xml:space="preserve">  </w:t>
      </w:r>
      <w:hyperlink r:id="rId242">
        <w:r>
          <w:rPr>
            <w:color w:val="0563C1"/>
            <w:u w:val="single"/>
            <w:sz w:val="19"/>
          </w:rPr>
          <w:t xml:space="preserve">PubMed</w:t>
        </w:r>
      </w:hyperlink>
      <w:r>
        <w:rPr>
          <w:b w:val="0"/>
          <w:i w:val="0"/>
          <w:sz w:val="19"/>
        </w:rPr>
        <w:t xml:space="preserve"> · </w:t>
      </w:r>
      <w:hyperlink r:id="rId243">
        <w:r>
          <w:rPr>
            <w:color w:val="0563C1"/>
            <w:u w:val="single"/>
            <w:sz w:val="19"/>
          </w:rPr>
          <w:t xml:space="preserve">Journal</w:t>
        </w:r>
      </w:hyperlink>
      <w:r>
        <w:rPr>
          <w:b w:val="0"/>
          <w:i w:val="0"/>
          <w:sz w:val="19"/>
        </w:rPr>
        <w:t xml:space="preserve"> · </w:t>
      </w:r>
      <w:hyperlink r:id="rId244">
        <w:r>
          <w:rPr>
            <w:color w:val="0563C1"/>
            <w:u w:val="single"/>
            <w:sz w:val="19"/>
          </w:rPr>
          <w:t xml:space="preserve">TMC library</w:t>
        </w:r>
      </w:hyperlink>
    </w:p>
    <w:p>
      <w:pPr>
        <w:spacing w:after="60"/>
      </w:pPr>
      <w:r>
        <w:rPr>
          <w:b/>
          <w:i w:val="0"/>
          <w:sz w:val="19"/>
        </w:rPr>
        <w:t>Sotiropoulos 2007 · hilar nodes at LT, meta-analysis</w:t>
      </w:r>
      <w:r>
        <w:rPr>
          <w:b w:val="0"/>
          <w:i w:val="0"/>
          <w:sz w:val="19"/>
        </w:rPr>
        <w:t xml:space="preserve"> —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w:t>
      </w:r>
      <w:r>
        <w:rPr>
          <w:b w:val="0"/>
          <w:i w:val="0"/>
          <w:sz w:val="19"/>
        </w:rPr>
        <w:t xml:space="preserve">  </w:t>
      </w:r>
      <w:hyperlink r:id="rId245">
        <w:r>
          <w:rPr>
            <w:color w:val="0563C1"/>
            <w:u w:val="single"/>
            <w:sz w:val="19"/>
          </w:rPr>
          <w:t xml:space="preserve">PubMed</w:t>
        </w:r>
      </w:hyperlink>
      <w:r>
        <w:rPr>
          <w:b w:val="0"/>
          <w:i w:val="0"/>
          <w:sz w:val="19"/>
        </w:rPr>
        <w:t xml:space="preserve"> · </w:t>
      </w:r>
      <w:hyperlink r:id="rId246">
        <w:r>
          <w:rPr>
            <w:color w:val="0563C1"/>
            <w:u w:val="single"/>
            <w:sz w:val="19"/>
          </w:rPr>
          <w:t xml:space="preserve">Journal</w:t>
        </w:r>
      </w:hyperlink>
      <w:r>
        <w:rPr>
          <w:b w:val="0"/>
          <w:i w:val="0"/>
          <w:sz w:val="19"/>
        </w:rPr>
        <w:t xml:space="preserve"> · </w:t>
      </w:r>
      <w:hyperlink r:id="rId247">
        <w:r>
          <w:rPr>
            <w:color w:val="0563C1"/>
            <w:u w:val="single"/>
            <w:sz w:val="19"/>
          </w:rPr>
          <w:t xml:space="preserve">TMC library</w:t>
        </w:r>
      </w:hyperlink>
    </w:p>
    <w:p>
      <w:pPr>
        <w:spacing w:after="60"/>
      </w:pPr>
      <w:r>
        <w:rPr>
          <w:b/>
          <w:i w:val="0"/>
          <w:sz w:val="19"/>
        </w:rPr>
        <w:t>Sposito 2026</w:t>
      </w:r>
      <w:r>
        <w:rPr>
          <w:b w:val="0"/>
          <w:i w:val="0"/>
          <w:sz w:val="19"/>
        </w:rPr>
        <w:t xml:space="preserve"> — Outcomes of Y90-radioembolization as downstaging to liver transplantation in patients with hepatocellular carcinoma and tumoral portal vein thrombosis</w:t>
      </w:r>
      <w:r>
        <w:rPr>
          <w:b w:val="0"/>
          <w:i w:val="0"/>
          <w:sz w:val="19"/>
        </w:rPr>
        <w:t xml:space="preserve">  </w:t>
      </w:r>
      <w:hyperlink r:id="rId248">
        <w:r>
          <w:rPr>
            <w:color w:val="0563C1"/>
            <w:u w:val="single"/>
            <w:sz w:val="19"/>
          </w:rPr>
          <w:t xml:space="preserve">PubMed</w:t>
        </w:r>
      </w:hyperlink>
      <w:r>
        <w:rPr>
          <w:b w:val="0"/>
          <w:i w:val="0"/>
          <w:sz w:val="19"/>
        </w:rPr>
        <w:t xml:space="preserve"> · </w:t>
      </w:r>
      <w:hyperlink r:id="rId249">
        <w:r>
          <w:rPr>
            <w:color w:val="0563C1"/>
            <w:u w:val="single"/>
            <w:sz w:val="19"/>
          </w:rPr>
          <w:t xml:space="preserve">Journal</w:t>
        </w:r>
      </w:hyperlink>
      <w:r>
        <w:rPr>
          <w:b w:val="0"/>
          <w:i w:val="0"/>
          <w:sz w:val="19"/>
        </w:rPr>
        <w:t xml:space="preserve"> · </w:t>
      </w:r>
      <w:hyperlink r:id="rId250">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251">
        <w:r>
          <w:rPr>
            <w:color w:val="0563C1"/>
            <w:u w:val="single"/>
            <w:sz w:val="19"/>
          </w:rPr>
          <w:t xml:space="preserve">PubMed</w:t>
        </w:r>
      </w:hyperlink>
      <w:r>
        <w:rPr>
          <w:b w:val="0"/>
          <w:i w:val="0"/>
          <w:sz w:val="19"/>
        </w:rPr>
        <w:t xml:space="preserve"> · </w:t>
      </w:r>
      <w:hyperlink r:id="rId252">
        <w:r>
          <w:rPr>
            <w:color w:val="0563C1"/>
            <w:u w:val="single"/>
            <w:sz w:val="19"/>
          </w:rPr>
          <w:t xml:space="preserve">Journal</w:t>
        </w:r>
      </w:hyperlink>
      <w:r>
        <w:rPr>
          <w:b w:val="0"/>
          <w:i w:val="0"/>
          <w:sz w:val="19"/>
        </w:rPr>
        <w:t xml:space="preserve"> · </w:t>
      </w:r>
      <w:hyperlink r:id="rId253">
        <w:r>
          <w:rPr>
            <w:color w:val="0563C1"/>
            <w:u w:val="single"/>
            <w:sz w:val="19"/>
          </w:rPr>
          <w:t xml:space="preserve">Free full text</w:t>
        </w:r>
      </w:hyperlink>
      <w:r>
        <w:rPr>
          <w:b w:val="0"/>
          <w:i w:val="0"/>
          <w:sz w:val="19"/>
        </w:rPr>
        <w:t xml:space="preserve"> · </w:t>
      </w:r>
      <w:hyperlink r:id="rId254">
        <w:r>
          <w:rPr>
            <w:color w:val="0563C1"/>
            <w:u w:val="single"/>
            <w:sz w:val="19"/>
          </w:rPr>
          <w:t xml:space="preserve">Source</w:t>
        </w:r>
      </w:hyperlink>
      <w:r>
        <w:rPr>
          <w:b w:val="0"/>
          <w:i w:val="0"/>
          <w:sz w:val="19"/>
        </w:rPr>
        <w:t xml:space="preserve"> · </w:t>
      </w:r>
      <w:hyperlink r:id="rId255">
        <w:r>
          <w:rPr>
            <w:color w:val="0563C1"/>
            <w:u w:val="single"/>
            <w:sz w:val="19"/>
          </w:rPr>
          <w:t xml:space="preserve">TMC library</w:t>
        </w:r>
      </w:hyperlink>
    </w:p>
    <w:p>
      <w:pPr>
        <w:spacing w:after="60"/>
      </w:pPr>
      <w:r>
        <w:rPr>
          <w:b/>
          <w:i w:val="0"/>
          <w:sz w:val="19"/>
        </w:rPr>
        <w:t>Tabrizian 2022</w:t>
      </w:r>
      <w:r>
        <w:rPr>
          <w:b w:val="0"/>
          <w:i w:val="0"/>
          <w:sz w:val="19"/>
        </w:rPr>
        <w:t xml:space="preserve"> — Ten-Year Outcomes of Liver Transplant and Downstaging for Hepatocellular Carcinoma</w:t>
      </w:r>
      <w:r>
        <w:rPr>
          <w:b w:val="0"/>
          <w:i w:val="0"/>
          <w:sz w:val="19"/>
        </w:rPr>
        <w:t xml:space="preserve">  </w:t>
      </w:r>
      <w:hyperlink r:id="rId256">
        <w:r>
          <w:rPr>
            <w:color w:val="0563C1"/>
            <w:u w:val="single"/>
            <w:sz w:val="19"/>
          </w:rPr>
          <w:t xml:space="preserve">PubMed</w:t>
        </w:r>
      </w:hyperlink>
      <w:r>
        <w:rPr>
          <w:b w:val="0"/>
          <w:i w:val="0"/>
          <w:sz w:val="19"/>
        </w:rPr>
        <w:t xml:space="preserve"> · </w:t>
      </w:r>
      <w:hyperlink r:id="rId257">
        <w:r>
          <w:rPr>
            <w:color w:val="0563C1"/>
            <w:u w:val="single"/>
            <w:sz w:val="19"/>
          </w:rPr>
          <w:t xml:space="preserve">Journal</w:t>
        </w:r>
      </w:hyperlink>
      <w:r>
        <w:rPr>
          <w:b w:val="0"/>
          <w:i w:val="0"/>
          <w:sz w:val="19"/>
        </w:rPr>
        <w:t xml:space="preserve"> · </w:t>
      </w:r>
      <w:hyperlink r:id="rId258">
        <w:r>
          <w:rPr>
            <w:color w:val="0563C1"/>
            <w:u w:val="single"/>
            <w:sz w:val="19"/>
          </w:rPr>
          <w:t xml:space="preserve">Source</w:t>
        </w:r>
      </w:hyperlink>
      <w:r>
        <w:rPr>
          <w:b w:val="0"/>
          <w:i w:val="0"/>
          <w:sz w:val="19"/>
        </w:rPr>
        <w:t xml:space="preserve"> · </w:t>
      </w:r>
      <w:hyperlink r:id="rId259">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260">
        <w:r>
          <w:rPr>
            <w:color w:val="0563C1"/>
            <w:u w:val="single"/>
            <w:sz w:val="19"/>
          </w:rPr>
          <w:t xml:space="preserve">PubMed</w:t>
        </w:r>
      </w:hyperlink>
      <w:r>
        <w:rPr>
          <w:b w:val="0"/>
          <w:i w:val="0"/>
          <w:sz w:val="19"/>
        </w:rPr>
        <w:t xml:space="preserve"> · </w:t>
      </w:r>
      <w:hyperlink r:id="rId261">
        <w:r>
          <w:rPr>
            <w:color w:val="0563C1"/>
            <w:u w:val="single"/>
            <w:sz w:val="19"/>
          </w:rPr>
          <w:t xml:space="preserve">Journal</w:t>
        </w:r>
      </w:hyperlink>
      <w:r>
        <w:rPr>
          <w:b w:val="0"/>
          <w:i w:val="0"/>
          <w:sz w:val="19"/>
        </w:rPr>
        <w:t xml:space="preserve"> · </w:t>
      </w:r>
      <w:hyperlink r:id="rId262">
        <w:r>
          <w:rPr>
            <w:color w:val="0563C1"/>
            <w:u w:val="single"/>
            <w:sz w:val="19"/>
          </w:rPr>
          <w:t xml:space="preserve">TMC library</w:t>
        </w:r>
      </w:hyperlink>
    </w:p>
    <w:p>
      <w:pPr>
        <w:spacing w:after="60"/>
      </w:pPr>
      <w:r>
        <w:rPr>
          <w:b/>
          <w:i w:val="0"/>
          <w:sz w:val="19"/>
        </w:rPr>
        <w:t>VITALITY · Tabrizian</w:t>
      </w:r>
      <w:r>
        <w:rPr>
          <w:b w:val="0"/>
          <w:i w:val="0"/>
          <w:sz w:val="19"/>
        </w:rPr>
        <w:t xml:space="preserve"> — Intention-to-treat outcomes of patients with hepatocellular carcinoma receiving immunotherapy before liver transplant: The multicenter VITALITY study</w:t>
      </w:r>
      <w:r>
        <w:rPr>
          <w:b w:val="0"/>
          <w:i w:val="0"/>
          <w:sz w:val="19"/>
        </w:rPr>
        <w:t xml:space="preserve">  </w:t>
      </w:r>
      <w:hyperlink r:id="rId263">
        <w:r>
          <w:rPr>
            <w:color w:val="0563C1"/>
            <w:u w:val="single"/>
            <w:sz w:val="19"/>
          </w:rPr>
          <w:t xml:space="preserve">PubMed</w:t>
        </w:r>
      </w:hyperlink>
      <w:r>
        <w:rPr>
          <w:b w:val="0"/>
          <w:i w:val="0"/>
          <w:sz w:val="19"/>
        </w:rPr>
        <w:t xml:space="preserve"> · </w:t>
      </w:r>
      <w:hyperlink r:id="rId264">
        <w:r>
          <w:rPr>
            <w:color w:val="0563C1"/>
            <w:u w:val="single"/>
            <w:sz w:val="19"/>
          </w:rPr>
          <w:t xml:space="preserve">Journal</w:t>
        </w:r>
      </w:hyperlink>
      <w:r>
        <w:rPr>
          <w:b w:val="0"/>
          <w:i w:val="0"/>
          <w:sz w:val="19"/>
        </w:rPr>
        <w:t xml:space="preserve"> · </w:t>
      </w:r>
      <w:hyperlink r:id="rId265">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266">
        <w:r>
          <w:rPr>
            <w:color w:val="0563C1"/>
            <w:u w:val="single"/>
            <w:sz w:val="19"/>
          </w:rPr>
          <w:t xml:space="preserve">PubMed</w:t>
        </w:r>
      </w:hyperlink>
      <w:r>
        <w:rPr>
          <w:b w:val="0"/>
          <w:i w:val="0"/>
          <w:sz w:val="19"/>
        </w:rPr>
        <w:t xml:space="preserve"> · </w:t>
      </w:r>
      <w:hyperlink r:id="rId267">
        <w:r>
          <w:rPr>
            <w:color w:val="0563C1"/>
            <w:u w:val="single"/>
            <w:sz w:val="19"/>
          </w:rPr>
          <w:t xml:space="preserve">Journal</w:t>
        </w:r>
      </w:hyperlink>
      <w:r>
        <w:rPr>
          <w:b w:val="0"/>
          <w:i w:val="0"/>
          <w:sz w:val="19"/>
        </w:rPr>
        <w:t xml:space="preserve"> · </w:t>
      </w:r>
      <w:hyperlink r:id="rId268">
        <w:r>
          <w:rPr>
            <w:color w:val="0563C1"/>
            <w:u w:val="single"/>
            <w:sz w:val="19"/>
          </w:rPr>
          <w:t xml:space="preserve">TMC library</w:t>
        </w:r>
      </w:hyperlink>
    </w:p>
    <w:p>
      <w:pPr>
        <w:spacing w:after="60"/>
      </w:pPr>
      <w:r>
        <w:rPr>
          <w:b/>
          <w:i w:val="0"/>
          <w:sz w:val="19"/>
        </w:rPr>
        <w:t>Xu 2025 · all-comers</w:t>
      </w:r>
      <w:r>
        <w:rPr>
          <w:b w:val="0"/>
          <w:i w:val="0"/>
          <w:sz w:val="19"/>
        </w:rPr>
        <w:t xml:space="preserve"> — Downstaging of hepatocellular carcinoma before liver transplantation: Results from a national multicenter prospective cohort study</w:t>
      </w:r>
      <w:r>
        <w:rPr>
          <w:b w:val="0"/>
          <w:i w:val="0"/>
          <w:sz w:val="19"/>
        </w:rPr>
        <w:t xml:space="preserve">  </w:t>
      </w:r>
      <w:hyperlink r:id="rId269">
        <w:r>
          <w:rPr>
            <w:color w:val="0563C1"/>
            <w:u w:val="single"/>
            <w:sz w:val="19"/>
          </w:rPr>
          <w:t xml:space="preserve">PubMed</w:t>
        </w:r>
      </w:hyperlink>
      <w:r>
        <w:rPr>
          <w:b w:val="0"/>
          <w:i w:val="0"/>
          <w:sz w:val="19"/>
        </w:rPr>
        <w:t xml:space="preserve"> · </w:t>
      </w:r>
      <w:hyperlink r:id="rId270">
        <w:r>
          <w:rPr>
            <w:color w:val="0563C1"/>
            <w:u w:val="single"/>
            <w:sz w:val="19"/>
          </w:rPr>
          <w:t xml:space="preserve">Journal</w:t>
        </w:r>
      </w:hyperlink>
      <w:r>
        <w:rPr>
          <w:b w:val="0"/>
          <w:i w:val="0"/>
          <w:sz w:val="19"/>
        </w:rPr>
        <w:t xml:space="preserve"> · </w:t>
      </w:r>
      <w:hyperlink r:id="rId271">
        <w:r>
          <w:rPr>
            <w:color w:val="0563C1"/>
            <w:u w:val="single"/>
            <w:sz w:val="19"/>
          </w:rPr>
          <w:t xml:space="preserve">Free full text</w:t>
        </w:r>
      </w:hyperlink>
      <w:r>
        <w:rPr>
          <w:b w:val="0"/>
          <w:i w:val="0"/>
          <w:sz w:val="19"/>
        </w:rPr>
        <w:t xml:space="preserve"> · </w:t>
      </w:r>
      <w:hyperlink r:id="rId272">
        <w:r>
          <w:rPr>
            <w:color w:val="0563C1"/>
            <w:u w:val="single"/>
            <w:sz w:val="19"/>
          </w:rPr>
          <w:t xml:space="preserve">Source</w:t>
        </w:r>
      </w:hyperlink>
      <w:r>
        <w:rPr>
          <w:b w:val="0"/>
          <w:i w:val="0"/>
          <w:sz w:val="19"/>
        </w:rPr>
        <w:t xml:space="preserve"> · </w:t>
      </w:r>
      <w:hyperlink r:id="rId273">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274">
        <w:r>
          <w:rPr>
            <w:color w:val="0563C1"/>
            <w:u w:val="single"/>
            <w:sz w:val="19"/>
          </w:rPr>
          <w:t xml:space="preserve">PubMed</w:t>
        </w:r>
      </w:hyperlink>
      <w:r>
        <w:rPr>
          <w:b w:val="0"/>
          <w:i w:val="0"/>
          <w:sz w:val="19"/>
        </w:rPr>
        <w:t xml:space="preserve"> · </w:t>
      </w:r>
      <w:hyperlink r:id="rId275">
        <w:r>
          <w:rPr>
            <w:color w:val="0563C1"/>
            <w:u w:val="single"/>
            <w:sz w:val="19"/>
          </w:rPr>
          <w:t xml:space="preserve">Journal</w:t>
        </w:r>
      </w:hyperlink>
      <w:r>
        <w:rPr>
          <w:b w:val="0"/>
          <w:i w:val="0"/>
          <w:sz w:val="19"/>
        </w:rPr>
        <w:t xml:space="preserve"> · </w:t>
      </w:r>
      <w:hyperlink r:id="rId276">
        <w:r>
          <w:rPr>
            <w:color w:val="0563C1"/>
            <w:u w:val="single"/>
            <w:sz w:val="19"/>
          </w:rPr>
          <w:t xml:space="preserve">TMC library</w:t>
        </w:r>
      </w:hyperlink>
    </w:p>
    <w:p>
      <w:pPr>
        <w:spacing w:after="60"/>
      </w:pPr>
      <w:r>
        <w:rPr>
          <w:b/>
          <w:i w:val="0"/>
          <w:sz w:val="19"/>
        </w:rPr>
        <w:t>Yang 2020</w:t>
      </w:r>
      <w:r>
        <w:rPr>
          <w:b w:val="0"/>
          <w:i w:val="0"/>
          <w:sz w:val="19"/>
        </w:rPr>
        <w:t xml:space="preserve"> — Alpha-fetoprotein and 18F-FDG standard uptake value predict tumor recurrence after liver transplantation for hepatocellular carcinoma with portal vein tumor thrombosis: Preliminary experience</w:t>
      </w:r>
      <w:r>
        <w:rPr>
          <w:b w:val="0"/>
          <w:i w:val="0"/>
          <w:sz w:val="19"/>
        </w:rPr>
        <w:t xml:space="preserve">  </w:t>
      </w:r>
      <w:hyperlink r:id="rId277">
        <w:r>
          <w:rPr>
            <w:color w:val="0563C1"/>
            <w:u w:val="single"/>
            <w:sz w:val="19"/>
          </w:rPr>
          <w:t xml:space="preserve">PubMed</w:t>
        </w:r>
      </w:hyperlink>
      <w:r>
        <w:rPr>
          <w:b w:val="0"/>
          <w:i w:val="0"/>
          <w:sz w:val="19"/>
        </w:rPr>
        <w:t xml:space="preserve"> · </w:t>
      </w:r>
      <w:hyperlink r:id="rId278">
        <w:r>
          <w:rPr>
            <w:color w:val="0563C1"/>
            <w:u w:val="single"/>
            <w:sz w:val="19"/>
          </w:rPr>
          <w:t xml:space="preserve">Journal</w:t>
        </w:r>
      </w:hyperlink>
      <w:r>
        <w:rPr>
          <w:b w:val="0"/>
          <w:i w:val="0"/>
          <w:sz w:val="19"/>
        </w:rPr>
        <w:t xml:space="preserve"> · </w:t>
      </w:r>
      <w:hyperlink r:id="rId279">
        <w:r>
          <w:rPr>
            <w:color w:val="0563C1"/>
            <w:u w:val="single"/>
            <w:sz w:val="19"/>
          </w:rPr>
          <w:t xml:space="preserve">TMC library</w:t>
        </w:r>
      </w:hyperlink>
    </w:p>
    <w:p>
      <w:pPr>
        <w:spacing w:after="60"/>
      </w:pPr>
      <w:r>
        <w:rPr>
          <w:b/>
          <w:i w:val="0"/>
          <w:sz w:val="19"/>
        </w:rPr>
        <w:t>Yao 2015</w:t>
      </w:r>
      <w:r>
        <w:rPr>
          <w:b w:val="0"/>
          <w:i w:val="0"/>
          <w:sz w:val="19"/>
        </w:rPr>
        <w:t xml:space="preserve"> — Downstaging of hepatocellular cancer before liver transplant: Long‐term outcome compared to tumors within Milan criteria</w:t>
      </w:r>
      <w:r>
        <w:rPr>
          <w:b w:val="0"/>
          <w:i w:val="0"/>
          <w:sz w:val="19"/>
        </w:rPr>
        <w:t xml:space="preserve">  </w:t>
      </w:r>
      <w:hyperlink r:id="rId280">
        <w:r>
          <w:rPr>
            <w:color w:val="0563C1"/>
            <w:u w:val="single"/>
            <w:sz w:val="19"/>
          </w:rPr>
          <w:t xml:space="preserve">PubMed</w:t>
        </w:r>
      </w:hyperlink>
      <w:r>
        <w:rPr>
          <w:b w:val="0"/>
          <w:i w:val="0"/>
          <w:sz w:val="19"/>
        </w:rPr>
        <w:t xml:space="preserve"> · </w:t>
      </w:r>
      <w:hyperlink r:id="rId281">
        <w:r>
          <w:rPr>
            <w:color w:val="0563C1"/>
            <w:u w:val="single"/>
            <w:sz w:val="19"/>
          </w:rPr>
          <w:t xml:space="preserve">Journal</w:t>
        </w:r>
      </w:hyperlink>
      <w:r>
        <w:rPr>
          <w:b w:val="0"/>
          <w:i w:val="0"/>
          <w:sz w:val="19"/>
        </w:rPr>
        <w:t xml:space="preserve"> · </w:t>
      </w:r>
      <w:hyperlink r:id="rId282">
        <w:r>
          <w:rPr>
            <w:color w:val="0563C1"/>
            <w:u w:val="single"/>
            <w:sz w:val="19"/>
          </w:rPr>
          <w:t xml:space="preserve">Free full text</w:t>
        </w:r>
      </w:hyperlink>
      <w:r>
        <w:rPr>
          <w:b w:val="0"/>
          <w:i w:val="0"/>
          <w:sz w:val="19"/>
        </w:rPr>
        <w:t xml:space="preserve"> · </w:t>
      </w:r>
      <w:hyperlink r:id="rId283">
        <w:r>
          <w:rPr>
            <w:color w:val="0563C1"/>
            <w:u w:val="single"/>
            <w:sz w:val="19"/>
          </w:rPr>
          <w:t xml:space="preserve">Source</w:t>
        </w:r>
      </w:hyperlink>
      <w:r>
        <w:rPr>
          <w:b w:val="0"/>
          <w:i w:val="0"/>
          <w:sz w:val="19"/>
        </w:rPr>
        <w:t xml:space="preserve"> · </w:t>
      </w:r>
      <w:hyperlink r:id="rId284">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285">
        <w:r>
          <w:rPr>
            <w:color w:val="0563C1"/>
            <w:u w:val="single"/>
            <w:sz w:val="19"/>
          </w:rPr>
          <w:t xml:space="preserve">PubMed</w:t>
        </w:r>
      </w:hyperlink>
      <w:r>
        <w:rPr>
          <w:b w:val="0"/>
          <w:i w:val="0"/>
          <w:sz w:val="19"/>
        </w:rPr>
        <w:t xml:space="preserve"> · </w:t>
      </w:r>
      <w:hyperlink r:id="rId286">
        <w:r>
          <w:rPr>
            <w:color w:val="0563C1"/>
            <w:u w:val="single"/>
            <w:sz w:val="19"/>
          </w:rPr>
          <w:t xml:space="preserve">Journal</w:t>
        </w:r>
      </w:hyperlink>
      <w:r>
        <w:rPr>
          <w:b w:val="0"/>
          <w:i w:val="0"/>
          <w:sz w:val="19"/>
        </w:rPr>
        <w:t xml:space="preserve"> · </w:t>
      </w:r>
      <w:hyperlink r:id="rId287">
        <w:r>
          <w:rPr>
            <w:color w:val="0563C1"/>
            <w:u w:val="single"/>
            <w:sz w:val="19"/>
          </w:rPr>
          <w:t xml:space="preserve">Free full text</w:t>
        </w:r>
      </w:hyperlink>
      <w:r>
        <w:rPr>
          <w:b w:val="0"/>
          <w:i w:val="0"/>
          <w:sz w:val="19"/>
        </w:rPr>
        <w:t xml:space="preserve"> · </w:t>
      </w:r>
      <w:hyperlink r:id="rId288">
        <w:r>
          <w:rPr>
            <w:color w:val="0563C1"/>
            <w:u w:val="single"/>
            <w:sz w:val="19"/>
          </w:rPr>
          <w:t xml:space="preserve">Source</w:t>
        </w:r>
      </w:hyperlink>
      <w:r>
        <w:rPr>
          <w:b w:val="0"/>
          <w:i w:val="0"/>
          <w:sz w:val="19"/>
        </w:rPr>
        <w:t xml:space="preserve"> · </w:t>
      </w:r>
      <w:hyperlink r:id="rId289">
        <w:r>
          <w:rPr>
            <w:color w:val="0563C1"/>
            <w:u w:val="single"/>
            <w:sz w:val="19"/>
          </w:rPr>
          <w:t xml:space="preserve">TMC library</w:t>
        </w:r>
      </w:hyperlink>
    </w:p>
    <w:p>
      <w:pPr>
        <w:spacing w:after="60"/>
      </w:pPr>
      <w:r>
        <w:rPr>
          <w:b/>
          <w:i w:val="0"/>
          <w:sz w:val="19"/>
        </w:rPr>
        <w:t>Ye 2024</w:t>
      </w:r>
      <w:r>
        <w:rPr>
          <w:b w:val="0"/>
          <w:i w:val="0"/>
          <w:sz w:val="19"/>
        </w:rPr>
        <w:t xml:space="preserve"> — The clinical outcomes of patients with vascular invasion after deceased donor liver transplantation</w:t>
      </w:r>
      <w:r>
        <w:rPr>
          <w:b w:val="0"/>
          <w:i w:val="0"/>
          <w:sz w:val="19"/>
        </w:rPr>
        <w:t xml:space="preserve">  </w:t>
      </w:r>
      <w:hyperlink r:id="rId290">
        <w:r>
          <w:rPr>
            <w:color w:val="0563C1"/>
            <w:u w:val="single"/>
            <w:sz w:val="19"/>
          </w:rPr>
          <w:t xml:space="preserve">PubMed</w:t>
        </w:r>
      </w:hyperlink>
      <w:r>
        <w:rPr>
          <w:b w:val="0"/>
          <w:i w:val="0"/>
          <w:sz w:val="19"/>
        </w:rPr>
        <w:t xml:space="preserve"> · </w:t>
      </w:r>
      <w:hyperlink r:id="rId291">
        <w:r>
          <w:rPr>
            <w:color w:val="0563C1"/>
            <w:u w:val="single"/>
            <w:sz w:val="19"/>
          </w:rPr>
          <w:t xml:space="preserve">Journal</w:t>
        </w:r>
      </w:hyperlink>
      <w:r>
        <w:rPr>
          <w:b w:val="0"/>
          <w:i w:val="0"/>
          <w:sz w:val="19"/>
        </w:rPr>
        <w:t xml:space="preserve"> · </w:t>
      </w:r>
      <w:hyperlink r:id="rId292">
        <w:r>
          <w:rPr>
            <w:color w:val="0563C1"/>
            <w:u w:val="single"/>
            <w:sz w:val="19"/>
          </w:rPr>
          <w:t xml:space="preserve">Free full text</w:t>
        </w:r>
      </w:hyperlink>
      <w:r>
        <w:rPr>
          <w:b w:val="0"/>
          <w:i w:val="0"/>
          <w:sz w:val="19"/>
        </w:rPr>
        <w:t xml:space="preserve"> · </w:t>
      </w:r>
      <w:hyperlink r:id="rId293">
        <w:r>
          <w:rPr>
            <w:color w:val="0563C1"/>
            <w:u w:val="single"/>
            <w:sz w:val="19"/>
          </w:rPr>
          <w:t xml:space="preserve">Source</w:t>
        </w:r>
      </w:hyperlink>
      <w:r>
        <w:rPr>
          <w:b w:val="0"/>
          <w:i w:val="0"/>
          <w:sz w:val="19"/>
        </w:rPr>
        <w:t xml:space="preserve"> · </w:t>
      </w:r>
      <w:hyperlink r:id="rId294">
        <w:r>
          <w:rPr>
            <w:color w:val="0563C1"/>
            <w:u w:val="single"/>
            <w:sz w:val="19"/>
          </w:rPr>
          <w:t xml:space="preserve">TMC library</w:t>
        </w:r>
      </w:hyperlink>
    </w:p>
    <w:p>
      <w:pPr>
        <w:spacing w:after="60"/>
      </w:pPr>
      <w:r>
        <w:rPr>
          <w:b/>
          <w:i w:val="0"/>
          <w:sz w:val="19"/>
        </w:rPr>
        <w:t>Yoon 2026</w:t>
      </w:r>
      <w:r>
        <w:rPr>
          <w:b w:val="0"/>
          <w:i w:val="0"/>
          <w:sz w:val="19"/>
        </w:rPr>
        <w:t xml:space="preserve"> — Living-donor liver transplantation in hepatocellular carcinoma with portal-vein tumor thrombosis</w:t>
      </w:r>
      <w:r>
        <w:rPr>
          <w:b w:val="0"/>
          <w:i w:val="0"/>
          <w:sz w:val="19"/>
        </w:rPr>
        <w:t xml:space="preserve">  </w:t>
      </w:r>
      <w:hyperlink r:id="rId295">
        <w:r>
          <w:rPr>
            <w:color w:val="0563C1"/>
            <w:u w:val="single"/>
            <w:sz w:val="19"/>
          </w:rPr>
          <w:t xml:space="preserve">PubMed</w:t>
        </w:r>
      </w:hyperlink>
      <w:r>
        <w:rPr>
          <w:b w:val="0"/>
          <w:i w:val="0"/>
          <w:sz w:val="19"/>
        </w:rPr>
        <w:t xml:space="preserve"> · </w:t>
      </w:r>
      <w:hyperlink r:id="rId296">
        <w:r>
          <w:rPr>
            <w:color w:val="0563C1"/>
            <w:u w:val="single"/>
            <w:sz w:val="19"/>
          </w:rPr>
          <w:t xml:space="preserve">Journal</w:t>
        </w:r>
      </w:hyperlink>
      <w:r>
        <w:rPr>
          <w:b w:val="0"/>
          <w:i w:val="0"/>
          <w:sz w:val="19"/>
        </w:rPr>
        <w:t xml:space="preserve"> · </w:t>
      </w:r>
      <w:hyperlink r:id="rId297">
        <w:r>
          <w:rPr>
            <w:color w:val="0563C1"/>
            <w:u w:val="single"/>
            <w:sz w:val="19"/>
          </w:rPr>
          <w:t xml:space="preserve">TMC library</w:t>
        </w:r>
      </w:hyperlink>
    </w:p>
    <w:p>
      <w:pPr>
        <w:spacing w:after="60"/>
      </w:pPr>
      <w:r>
        <w:rPr>
          <w:b/>
          <w:i w:val="0"/>
          <w:sz w:val="19"/>
        </w:rPr>
        <w:t>Yuan 2024 RCT</w:t>
      </w:r>
      <w:r>
        <w:rPr>
          <w:b w:val="0"/>
          <w:i w:val="0"/>
          <w:sz w:val="19"/>
        </w:rPr>
        <w:t xml:space="preserve">  </w:t>
      </w:r>
      <w:hyperlink r:id="rId298">
        <w:r>
          <w:rPr>
            <w:color w:val="0563C1"/>
            <w:u w:val="single"/>
            <w:sz w:val="19"/>
          </w:rPr>
          <w:t xml:space="preserve">PubMed</w:t>
        </w:r>
      </w:hyperlink>
    </w:p>
    <w:p>
      <w:pPr>
        <w:spacing w:after="60"/>
      </w:pPr>
      <w:r>
        <w:rPr>
          <w:b/>
          <w:i w:val="0"/>
          <w:sz w:val="19"/>
        </w:rPr>
        <w:t>Zhang 2024 · surgery after response with EHD</w:t>
      </w:r>
      <w:r>
        <w:rPr>
          <w:b w:val="0"/>
          <w:i w:val="0"/>
          <w:sz w:val="19"/>
        </w:rPr>
        <w:t xml:space="preserve">  </w:t>
      </w:r>
      <w:hyperlink r:id="rId299">
        <w:r>
          <w:rPr>
            <w:color w:val="0563C1"/>
            <w:u w:val="single"/>
            <w:sz w:val="19"/>
          </w:rPr>
          <w:t xml:space="preserve">PubMed</w:t>
        </w:r>
      </w:hyperlink>
      <w:r>
        <w:rPr>
          <w:b w:val="0"/>
          <w:i w:val="0"/>
          <w:sz w:val="19"/>
        </w:rPr>
        <w:t xml:space="preserve"> · </w:t>
      </w:r>
      <w:hyperlink r:id="rId300">
        <w:r>
          <w:rPr>
            <w:color w:val="0563C1"/>
            <w:u w:val="single"/>
            <w:sz w:val="19"/>
          </w:rPr>
          <w:t xml:space="preserve">Journal</w:t>
        </w:r>
      </w:hyperlink>
      <w:r>
        <w:rPr>
          <w:b w:val="0"/>
          <w:i w:val="0"/>
          <w:sz w:val="19"/>
        </w:rPr>
        <w:t xml:space="preserve"> · </w:t>
      </w:r>
      <w:hyperlink r:id="rId301">
        <w:r>
          <w:rPr>
            <w:color w:val="0563C1"/>
            <w:u w:val="single"/>
            <w:sz w:val="19"/>
          </w:rPr>
          <w:t xml:space="preserve">Free full text</w:t>
        </w:r>
      </w:hyperlink>
      <w:r>
        <w:rPr>
          <w:b w:val="0"/>
          <w:i w:val="0"/>
          <w:sz w:val="19"/>
        </w:rPr>
        <w:t xml:space="preserve"> · </w:t>
      </w:r>
      <w:hyperlink r:id="rId302">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cc/#question-HCC-R1" TargetMode="External"/><Relationship Id="rId9" Type="http://schemas.openxmlformats.org/officeDocument/2006/relationships/hyperlink" Target="https://drliuhao.github.io/mh-liver-pathways/hcc/#question-HCC-D1" TargetMode="External"/><Relationship Id="rId10" Type="http://schemas.openxmlformats.org/officeDocument/2006/relationships/hyperlink" Target="https://drliuhao.github.io/mh-liver-pathways/hcc/#question-HCC-D2" TargetMode="External"/><Relationship Id="rId11" Type="http://schemas.openxmlformats.org/officeDocument/2006/relationships/hyperlink" Target="https://drliuhao.github.io/mh-liver-pathways/hcc/#decision-0" TargetMode="External"/><Relationship Id="rId12" Type="http://schemas.openxmlformats.org/officeDocument/2006/relationships/hyperlink" Target="https://drliuhao.github.io/mh-liver-pathways/hcc/#decision-A" TargetMode="External"/><Relationship Id="rId13" Type="http://schemas.openxmlformats.org/officeDocument/2006/relationships/hyperlink" Target="https://drliuhao.github.io/mh-liver-pathways/hcc/#decision-B" TargetMode="External"/><Relationship Id="rId14" Type="http://schemas.openxmlformats.org/officeDocument/2006/relationships/hyperlink" Target="https://drliuhao.github.io/mh-liver-pathways/hcc/#decision-C" TargetMode="External"/><Relationship Id="rId15" Type="http://schemas.openxmlformats.org/officeDocument/2006/relationships/hyperlink" Target="https://drliuhao.github.io/mh-liver-pathways/hcc/#question-HCC-D3" TargetMode="External"/><Relationship Id="rId16" Type="http://schemas.openxmlformats.org/officeDocument/2006/relationships/hyperlink" Target="https://drliuhao.github.io/mh-liver-pathways/hcc/#question-HCC-D4" TargetMode="External"/><Relationship Id="rId17" Type="http://schemas.openxmlformats.org/officeDocument/2006/relationships/hyperlink" Target="https://drliuhao.github.io/mh-liver-pathways/hcc/#question-HCC-D5" TargetMode="External"/><Relationship Id="rId18" Type="http://schemas.openxmlformats.org/officeDocument/2006/relationships/hyperlink" Target="https://drliuhao.github.io/mh-liver-pathways/hcc/#question-HCC-D6" TargetMode="External"/><Relationship Id="rId19" Type="http://schemas.openxmlformats.org/officeDocument/2006/relationships/hyperlink" Target="https://drliuhao.github.io/mh-liver-pathways/hcc/#question-HCC-D7" TargetMode="External"/><Relationship Id="rId20" Type="http://schemas.openxmlformats.org/officeDocument/2006/relationships/hyperlink" Target="https://drliuhao.github.io/mh-liver-pathways/hcc/#question-HCC-D8" TargetMode="External"/><Relationship Id="rId21" Type="http://schemas.openxmlformats.org/officeDocument/2006/relationships/hyperlink" Target="https://drliuhao.github.io/mh-liver-pathways/hcc/#question-HCC-D9" TargetMode="External"/><Relationship Id="rId22" Type="http://schemas.openxmlformats.org/officeDocument/2006/relationships/hyperlink" Target="https://drliuhao.github.io/mh-liver-pathways/hcc/#question-HCC-D10" TargetMode="External"/><Relationship Id="rId23" Type="http://schemas.openxmlformats.org/officeDocument/2006/relationships/hyperlink" Target="https://drliuhao.github.io/mh-liver-pathways/hcc/#question-HCC-D11" TargetMode="External"/><Relationship Id="rId24" Type="http://schemas.openxmlformats.org/officeDocument/2006/relationships/hyperlink" Target="https://drliuhao.github.io/mh-liver-pathways/hcc/#question-HCC-D12" TargetMode="External"/><Relationship Id="rId25" Type="http://schemas.openxmlformats.org/officeDocument/2006/relationships/hyperlink" Target="https://drliuhao.github.io/mh-liver-pathways/hcc/#question-HCC-D13" TargetMode="External"/><Relationship Id="rId26" Type="http://schemas.openxmlformats.org/officeDocument/2006/relationships/hyperlink" Target="https://drliuhao.github.io/mh-liver-pathways/hcc/#question-HCC-D14" TargetMode="External"/><Relationship Id="rId27" Type="http://schemas.openxmlformats.org/officeDocument/2006/relationships/hyperlink" Target="https://drliuhao.github.io/mh-liver-pathways/hcc/#question-HCC-D15" TargetMode="External"/><Relationship Id="rId28" Type="http://schemas.openxmlformats.org/officeDocument/2006/relationships/hyperlink" Target="https://drliuhao.github.io/mh-liver-pathways/hcc/#question-HCC-D16" TargetMode="External"/><Relationship Id="rId29" Type="http://schemas.openxmlformats.org/officeDocument/2006/relationships/hyperlink" Target="https://drliuhao.github.io/mh-liver-pathways/hcc/#question-HCC-D17" TargetMode="External"/><Relationship Id="rId30" Type="http://schemas.openxmlformats.org/officeDocument/2006/relationships/hyperlink" Target="https://drliuhao.github.io/mh-liver-pathways/hcc/#question-HCC-D18" TargetMode="External"/><Relationship Id="rId31" Type="http://schemas.openxmlformats.org/officeDocument/2006/relationships/hyperlink" Target="https://drliuhao.github.io/mh-liver-pathways/hcc/#question-HCC-D19" TargetMode="External"/><Relationship Id="rId32" Type="http://schemas.openxmlformats.org/officeDocument/2006/relationships/hyperlink" Target="https://drliuhao.github.io/mh-liver-pathways/hcc/#question-HCC-D20" TargetMode="External"/><Relationship Id="rId33" Type="http://schemas.openxmlformats.org/officeDocument/2006/relationships/hyperlink" Target="https://drliuhao.github.io/mh-liver-pathways/transplant/hcc/#diagnosis" TargetMode="External"/><Relationship Id="rId34" Type="http://schemas.openxmlformats.org/officeDocument/2006/relationships/hyperlink" Target="https://drliuhao.github.io/mh-liver-pathways/transplant/hcc/#allocation" TargetMode="External"/><Relationship Id="rId35" Type="http://schemas.openxmlformats.org/officeDocument/2006/relationships/hyperlink" Target="https://drliuhao.github.io/mh-liver-pathways/transplant/hcc/#meeting-lesion-counting" TargetMode="External"/><Relationship Id="rId36" Type="http://schemas.openxmlformats.org/officeDocument/2006/relationships/hyperlink" Target="https://drliuhao.github.io/mh-liver-pathways/transplant/hcc/#curative-route" TargetMode="External"/><Relationship Id="rId37" Type="http://schemas.openxmlformats.org/officeDocument/2006/relationships/hyperlink" Target="https://drliuhao.github.io/mh-liver-pathways/transplant/hcc/#meeting-curative-route" TargetMode="External"/><Relationship Id="rId38" Type="http://schemas.openxmlformats.org/officeDocument/2006/relationships/hyperlink" Target="https://drliuhao.github.io/mh-liver-pathways/transplant/hcc/#meeting-beyond-downstaging" TargetMode="External"/><Relationship Id="rId39" Type="http://schemas.openxmlformats.org/officeDocument/2006/relationships/hyperlink" Target="https://drliuhao.github.io/mh-liver-pathways/transplant/hcc/#treatment" TargetMode="External"/><Relationship Id="rId40" Type="http://schemas.openxmlformats.org/officeDocument/2006/relationships/hyperlink" Target="https://drliuhao.github.io/mh-liver-pathways/transplant/hcc/#meeting-bridging" TargetMode="External"/><Relationship Id="rId41" Type="http://schemas.openxmlformats.org/officeDocument/2006/relationships/hyperlink" Target="https://drliuhao.github.io/mh-liver-pathways/transplant/hcc/#listing" TargetMode="External"/><Relationship Id="rId42" Type="http://schemas.openxmlformats.org/officeDocument/2006/relationships/hyperlink" Target="https://drliuhao.github.io/mh-liver-pathways/transplant/hcc/#meeting-checkpoint" TargetMode="External"/><Relationship Id="rId43" Type="http://schemas.openxmlformats.org/officeDocument/2006/relationships/hyperlink" Target="https://drliuhao.github.io/mh-liver-pathways/transplant/hcc/#after-transplant" TargetMode="External"/><Relationship Id="rId44" Type="http://schemas.openxmlformats.org/officeDocument/2006/relationships/hyperlink" Target="https://drliuhao.github.io/mh-liver-pathways/transplant/hcc/#meeting-ownership" TargetMode="External"/><Relationship Id="rId45" Type="http://schemas.openxmlformats.org/officeDocument/2006/relationships/hyperlink" Target="https://drliuhao.github.io/mh-liver-pathways/transplant/hcc/#waitlist" TargetMode="External"/><Relationship Id="rId46" Type="http://schemas.openxmlformats.org/officeDocument/2006/relationships/hyperlink" Target="https://drliuhao.github.io/mh-liver-pathways/transplant/hcc/#meeting-response-uncertainty" TargetMode="External"/><Relationship Id="rId47" Type="http://schemas.openxmlformats.org/officeDocument/2006/relationships/hyperlink" Target="https://drliuhao.github.io/mh-liver-pathways/transplant/hcc/#meeting-afp-b1-1a" TargetMode="External"/><Relationship Id="rId48" Type="http://schemas.openxmlformats.org/officeDocument/2006/relationships/hyperlink" Target="https://drliuhao.github.io/mh-liver-pathways/transplant/hcc/#meeting-afp-b1-1b" TargetMode="External"/><Relationship Id="rId49" Type="http://schemas.openxmlformats.org/officeDocument/2006/relationships/hyperlink" Target="https://drliuhao.github.io/mh-liver-pathways/transplant/hcc/#meeting-afp-b1-1c" TargetMode="External"/><Relationship Id="rId50" Type="http://schemas.openxmlformats.org/officeDocument/2006/relationships/hyperlink" Target="https://drliuhao.github.io/mh-liver-pathways/transplant/hcc/#meeting-afp-b1-1d" TargetMode="External"/><Relationship Id="rId51" Type="http://schemas.openxmlformats.org/officeDocument/2006/relationships/hyperlink" Target="https://drliuhao.github.io/mh-liver-pathways/transplant/hcc/#meeting-afp-b1-1e" TargetMode="External"/><Relationship Id="rId52" Type="http://schemas.openxmlformats.org/officeDocument/2006/relationships/hyperlink" Target="https://drliuhao.github.io/mh-liver-pathways/transplant/hcc/#meeting-afp-b1-1f" TargetMode="External"/><Relationship Id="rId53" Type="http://schemas.openxmlformats.org/officeDocument/2006/relationships/hyperlink" Target="https://drliuhao.github.io/mh-liver-pathways/transplant/hcc/#high-risk-hcc-b1" TargetMode="External"/><Relationship Id="rId54" Type="http://schemas.openxmlformats.org/officeDocument/2006/relationships/hyperlink" Target="https://drliuhao.github.io/mh-liver-pathways/transplant/hcc/#high-risk-hcc-b1-1" TargetMode="External"/><Relationship Id="rId55" Type="http://schemas.openxmlformats.org/officeDocument/2006/relationships/hyperlink" Target="https://drliuhao.github.io/mh-liver-pathways/transplant/hcc/#high-risk-hcc-b2" TargetMode="External"/><Relationship Id="rId56" Type="http://schemas.openxmlformats.org/officeDocument/2006/relationships/hyperlink" Target="https://drliuhao.github.io/mh-liver-pathways/transplant/hcc/#high-risk-hcc-b3" TargetMode="External"/><Relationship Id="rId57" Type="http://schemas.openxmlformats.org/officeDocument/2006/relationships/hyperlink" Target="https://drliuhao.github.io/mh-liver-pathways/transplant/hcc/#high-risk-hcc-b4" TargetMode="External"/><Relationship Id="rId58" Type="http://schemas.openxmlformats.org/officeDocument/2006/relationships/hyperlink" Target="https://drliuhao.github.io/mh-liver-pathways/transplant/hcc/#high-risk-hcc-b5" TargetMode="External"/><Relationship Id="rId59" Type="http://schemas.openxmlformats.org/officeDocument/2006/relationships/hyperlink" Target="https://drliuhao.github.io/mh-liver-pathways/transplant/hcc/#high-risk-alloc-b1" TargetMode="External"/><Relationship Id="rId60" Type="http://schemas.openxmlformats.org/officeDocument/2006/relationships/hyperlink" Target="https://drliuhao.github.io/mh-liver-pathways/transplant/hcc/#high-risk-alloc-b2" TargetMode="External"/><Relationship Id="rId61" Type="http://schemas.openxmlformats.org/officeDocument/2006/relationships/hyperlink" Target="https://drliuhao.github.io/mh-liver-pathways/transplant/hcc/#high-risk-alloc-b3" TargetMode="External"/><Relationship Id="rId62" Type="http://schemas.openxmlformats.org/officeDocument/2006/relationships/hyperlink" Target="https://drliuhao.github.io/mh-liver-pathways/transplant/hcc/#high-risk-alloc-b4" TargetMode="External"/><Relationship Id="rId63" Type="http://schemas.openxmlformats.org/officeDocument/2006/relationships/hyperlink" Target="https://pubmed.ncbi.nlm.nih.gov/39225612/" TargetMode="External"/><Relationship Id="rId64" Type="http://schemas.openxmlformats.org/officeDocument/2006/relationships/hyperlink" Target="https://pubmed.ncbi.nlm.nih.gov/37199193/" TargetMode="External"/><Relationship Id="rId65" Type="http://schemas.openxmlformats.org/officeDocument/2006/relationships/hyperlink" Target="https://doi.org/10.1097/HEP.0000000000000466" TargetMode="External"/><Relationship Id="rId66" Type="http://schemas.openxmlformats.org/officeDocument/2006/relationships/hyperlink" Target="https://pmc.ncbi.nlm.nih.gov/articles/PMC10663390/" TargetMode="External"/><Relationship Id="rId67" Type="http://schemas.openxmlformats.org/officeDocument/2006/relationships/hyperlink" Target="https://libkey.io/libraries/480/10.1097/HEP.0000000000000466" TargetMode="External"/><Relationship Id="rId68" Type="http://schemas.openxmlformats.org/officeDocument/2006/relationships/hyperlink" Target="https://pubmed.ncbi.nlm.nih.gov/39992051/" TargetMode="External"/><Relationship Id="rId69" Type="http://schemas.openxmlformats.org/officeDocument/2006/relationships/hyperlink" Target="https://pmc.ncbi.nlm.nih.gov/articles/PMC10663390/pdf/nihms-1931411.pdf" TargetMode="External"/><Relationship Id="rId70" Type="http://schemas.openxmlformats.org/officeDocument/2006/relationships/hyperlink" Target="https://thslc-houston.primo.exlibrisgroup.com/discovery/search?vid=01TEXASHEALTH_HOUSTON%3ATMC_INST&amp;query=any,contains,10.1097%2FHEP.0000000000000466&amp;lang=en" TargetMode="External"/><Relationship Id="rId71" Type="http://schemas.openxmlformats.org/officeDocument/2006/relationships/hyperlink" Target="https://pubmed.ncbi.nlm.nih.gov/22335782/" TargetMode="External"/><Relationship Id="rId72" Type="http://schemas.openxmlformats.org/officeDocument/2006/relationships/hyperlink" Target="https://doi.org/10.1111/j.1600-6143.2011.03972.x" TargetMode="External"/><Relationship Id="rId73" Type="http://schemas.openxmlformats.org/officeDocument/2006/relationships/hyperlink" Target="https://pmc.ncbi.nlm.nih.gov/articles/PMC3732171/pdf/nihms-491154.pdf" TargetMode="External"/><Relationship Id="rId74" Type="http://schemas.openxmlformats.org/officeDocument/2006/relationships/hyperlink" Target="https://pmc.ncbi.nlm.nih.gov/articles/PMC3732171/" TargetMode="External"/><Relationship Id="rId75" Type="http://schemas.openxmlformats.org/officeDocument/2006/relationships/hyperlink" Target="https://thslc-houston.primo.exlibrisgroup.com/discovery/search?vid=01TEXASHEALTH_HOUSTON%3ATMC_INST&amp;query=any,contains,10.1111%2Fj.1600-6143.2011.03972.x&amp;lang=en" TargetMode="External"/><Relationship Id="rId76" Type="http://schemas.openxmlformats.org/officeDocument/2006/relationships/hyperlink" Target="https://pubmed.ncbi.nlm.nih.gov/41640254/" TargetMode="External"/><Relationship Id="rId77" Type="http://schemas.openxmlformats.org/officeDocument/2006/relationships/hyperlink" Target="https://doi.org/10.1111/apt.70528" TargetMode="External"/><Relationship Id="rId78" Type="http://schemas.openxmlformats.org/officeDocument/2006/relationships/hyperlink" Target="https://pmc.ncbi.nlm.nih.gov/articles/PMC13127848/pdf/APT-63-1369.pdf" TargetMode="External"/><Relationship Id="rId79" Type="http://schemas.openxmlformats.org/officeDocument/2006/relationships/hyperlink" Target="https://pmc.ncbi.nlm.nih.gov/articles/PMC13127848/" TargetMode="External"/><Relationship Id="rId80" Type="http://schemas.openxmlformats.org/officeDocument/2006/relationships/hyperlink" Target="https://thslc-houston.primo.exlibrisgroup.com/discovery/search?vid=01TEXASHEALTH_HOUSTON%3ATMC_INST&amp;query=any,contains,10.1111%2Fapt.70528&amp;lang=en" TargetMode="External"/><Relationship Id="rId81" Type="http://schemas.openxmlformats.org/officeDocument/2006/relationships/hyperlink" Target="https://pubmed.ncbi.nlm.nih.gov/38521169/" TargetMode="External"/><Relationship Id="rId82" Type="http://schemas.openxmlformats.org/officeDocument/2006/relationships/hyperlink" Target="https://doi.org/10.1016/j.jhep.2024.03.020" TargetMode="External"/><Relationship Id="rId83" Type="http://schemas.openxmlformats.org/officeDocument/2006/relationships/hyperlink" Target="https://thslc-houston.primo.exlibrisgroup.com/discovery/search?vid=01TEXASHEALTH_HOUSTON%3ATMC_INST&amp;query=any,contains,10.1016%2Fj.jhep.2024.03.020&amp;lang=en" TargetMode="External"/><Relationship Id="rId84" Type="http://schemas.openxmlformats.org/officeDocument/2006/relationships/hyperlink" Target="https://pubmed.ncbi.nlm.nih.gov/31994238/" TargetMode="External"/><Relationship Id="rId85" Type="http://schemas.openxmlformats.org/officeDocument/2006/relationships/hyperlink" Target="https://doi.org/10.1111/tri.13586" TargetMode="External"/><Relationship Id="rId86" Type="http://schemas.openxmlformats.org/officeDocument/2006/relationships/hyperlink" Target="https://thslc-houston.primo.exlibrisgroup.com/discovery/search?vid=01TEXASHEALTH_HOUSTON%3ATMC_INST&amp;query=any,contains,10.1111%2Ftri.13586&amp;lang=en" TargetMode="External"/><Relationship Id="rId87" Type="http://schemas.openxmlformats.org/officeDocument/2006/relationships/hyperlink" Target="https://pubmed.ncbi.nlm.nih.gov/34688956/" TargetMode="External"/><Relationship Id="rId88" Type="http://schemas.openxmlformats.org/officeDocument/2006/relationships/hyperlink" Target="https://pubmed.ncbi.nlm.nih.gov/35120736/" TargetMode="External"/><Relationship Id="rId89" Type="http://schemas.openxmlformats.org/officeDocument/2006/relationships/hyperlink" Target="https://pubmed.ncbi.nlm.nih.gov/42624290/" TargetMode="External"/><Relationship Id="rId90" Type="http://schemas.openxmlformats.org/officeDocument/2006/relationships/hyperlink" Target="https://pubmed.ncbi.nlm.nih.gov/34801630/" TargetMode="External"/><Relationship Id="rId91" Type="http://schemas.openxmlformats.org/officeDocument/2006/relationships/hyperlink" Target="https://pubmed.ncbi.nlm.nih.gov/41151697/" TargetMode="External"/><Relationship Id="rId92" Type="http://schemas.openxmlformats.org/officeDocument/2006/relationships/hyperlink" Target="https://pubmed.ncbi.nlm.nih.gov/25212123/" TargetMode="External"/><Relationship Id="rId93" Type="http://schemas.openxmlformats.org/officeDocument/2006/relationships/hyperlink" Target="https://pubmed.ncbi.nlm.nih.gov/8831597/" TargetMode="External"/><Relationship Id="rId94" Type="http://schemas.openxmlformats.org/officeDocument/2006/relationships/hyperlink" Target="https://pubmed.ncbi.nlm.nih.gov/28480517/" TargetMode="External"/><Relationship Id="rId95" Type="http://schemas.openxmlformats.org/officeDocument/2006/relationships/hyperlink" Target="https://doi.org/10.1002/lt.24782" TargetMode="External"/><Relationship Id="rId96" Type="http://schemas.openxmlformats.org/officeDocument/2006/relationships/hyperlink" Target="https://thslc-houston.primo.exlibrisgroup.com/discovery/search?vid=01TEXASHEALTH_HOUSTON%3ATMC_INST&amp;query=any,contains,10.1002%2Flt.24782&amp;lang=en" TargetMode="External"/><Relationship Id="rId97" Type="http://schemas.openxmlformats.org/officeDocument/2006/relationships/hyperlink" Target="https://pubmed.ncbi.nlm.nih.gov/38467379/" TargetMode="External"/><Relationship Id="rId98" Type="http://schemas.openxmlformats.org/officeDocument/2006/relationships/hyperlink" Target="https://doi.org/10.1016/j.jhep.2024.03.003" TargetMode="External"/><Relationship Id="rId99" Type="http://schemas.openxmlformats.org/officeDocument/2006/relationships/hyperlink" Target="https://libkey.io/libraries/480/10.1016/j.jhep.2024.03.003" TargetMode="External"/><Relationship Id="rId100" Type="http://schemas.openxmlformats.org/officeDocument/2006/relationships/hyperlink" Target="https://pubmed.ncbi.nlm.nih.gov/41063730/" TargetMode="External"/><Relationship Id="rId101" Type="http://schemas.openxmlformats.org/officeDocument/2006/relationships/hyperlink" Target="https://doi.org/10.1159/000547230" TargetMode="External"/><Relationship Id="rId102" Type="http://schemas.openxmlformats.org/officeDocument/2006/relationships/hyperlink" Target="https://pmc.ncbi.nlm.nih.gov/articles/PMC12503716/" TargetMode="External"/><Relationship Id="rId103" Type="http://schemas.openxmlformats.org/officeDocument/2006/relationships/hyperlink" Target="https://libkey.io/libraries/480/10.1159/000547230" TargetMode="External"/><Relationship Id="rId104" Type="http://schemas.openxmlformats.org/officeDocument/2006/relationships/hyperlink" Target="https://pubmed.ncbi.nlm.nih.gov/27647626/" TargetMode="External"/><Relationship Id="rId105" Type="http://schemas.openxmlformats.org/officeDocument/2006/relationships/hyperlink" Target="https://doi.org/10.1111/ajt.14055" TargetMode="External"/><Relationship Id="rId106" Type="http://schemas.openxmlformats.org/officeDocument/2006/relationships/hyperlink" Target="https://pmc.ncbi.nlm.nih.gov/articles/PMC5359081/pdf/nihms818467.pdf" TargetMode="External"/><Relationship Id="rId107" Type="http://schemas.openxmlformats.org/officeDocument/2006/relationships/hyperlink" Target="https://pmc.ncbi.nlm.nih.gov/articles/PMC5359081/" TargetMode="External"/><Relationship Id="rId108" Type="http://schemas.openxmlformats.org/officeDocument/2006/relationships/hyperlink" Target="https://thslc-houston.primo.exlibrisgroup.com/discovery/search?vid=01TEXASHEALTH_HOUSTON%3ATMC_INST&amp;query=any,contains,10.1111%2Fajt.14055&amp;lang=en" TargetMode="External"/><Relationship Id="rId109" Type="http://schemas.openxmlformats.org/officeDocument/2006/relationships/hyperlink" Target="https://pubmed.ncbi.nlm.nih.gov/33166497/" TargetMode="External"/><Relationship Id="rId110" Type="http://schemas.openxmlformats.org/officeDocument/2006/relationships/hyperlink" Target="https://pubmed.ncbi.nlm.nih.gov/39690085/" TargetMode="External"/><Relationship Id="rId111" Type="http://schemas.openxmlformats.org/officeDocument/2006/relationships/hyperlink" Target="https://pubmed.ncbi.nlm.nih.gov/42270817/" TargetMode="External"/><Relationship Id="rId112" Type="http://schemas.openxmlformats.org/officeDocument/2006/relationships/hyperlink" Target="https://doi.org/10.1038/s41571-026-01160-z" TargetMode="External"/><Relationship Id="rId113" Type="http://schemas.openxmlformats.org/officeDocument/2006/relationships/hyperlink" Target="https://pmc.ncbi.nlm.nih.gov/articles/PMC13665261/pdf/nihms-2192929.pdf" TargetMode="External"/><Relationship Id="rId114" Type="http://schemas.openxmlformats.org/officeDocument/2006/relationships/hyperlink" Target="https://pmc.ncbi.nlm.nih.gov/articles/PMC13665261/" TargetMode="External"/><Relationship Id="rId115" Type="http://schemas.openxmlformats.org/officeDocument/2006/relationships/hyperlink" Target="https://thslc-houston.primo.exlibrisgroup.com/discovery/search?vid=01TEXASHEALTH_HOUSTON%3ATMC_INST&amp;query=any,contains,10.1038%2Fs41571-026-01160-z&amp;lang=en" TargetMode="External"/><Relationship Id="rId116" Type="http://schemas.openxmlformats.org/officeDocument/2006/relationships/hyperlink" Target="https://pubmed.ncbi.nlm.nih.gov/42139645/" TargetMode="External"/><Relationship Id="rId117" Type="http://schemas.openxmlformats.org/officeDocument/2006/relationships/hyperlink" Target="https://pubmed.ncbi.nlm.nih.gov/27777223/" TargetMode="External"/><Relationship Id="rId118" Type="http://schemas.openxmlformats.org/officeDocument/2006/relationships/hyperlink" Target="https://doi.org/10.1136/bmj.i5239" TargetMode="External"/><Relationship Id="rId119" Type="http://schemas.openxmlformats.org/officeDocument/2006/relationships/hyperlink" Target="https://pmc.ncbi.nlm.nih.gov/articles/PMC5076380/" TargetMode="External"/><Relationship Id="rId120" Type="http://schemas.openxmlformats.org/officeDocument/2006/relationships/hyperlink" Target="https://thslc-houston.primo.exlibrisgroup.com/discovery/search?vid=01TEXASHEALTH_HOUSTON%3ATMC_INST&amp;query=any,contains,10.1136%2Fbmj.i5239&amp;lang=en" TargetMode="External"/><Relationship Id="rId121" Type="http://schemas.openxmlformats.org/officeDocument/2006/relationships/hyperlink" Target="https://pubmed.ncbi.nlm.nih.gov/39798579/" TargetMode="External"/><Relationship Id="rId122" Type="http://schemas.openxmlformats.org/officeDocument/2006/relationships/hyperlink" Target="https://pubmed.ncbi.nlm.nih.gov/42636832/" TargetMode="External"/><Relationship Id="rId123" Type="http://schemas.openxmlformats.org/officeDocument/2006/relationships/hyperlink" Target="https://pubmed.ncbi.nlm.nih.gov/41193174/" TargetMode="External"/><Relationship Id="rId124" Type="http://schemas.openxmlformats.org/officeDocument/2006/relationships/hyperlink" Target="https://doi.org/10.1136/gutjnl-2025-336719" TargetMode="External"/><Relationship Id="rId125" Type="http://schemas.openxmlformats.org/officeDocument/2006/relationships/hyperlink" Target="https://pmc.ncbi.nlm.nih.gov/articles/PMC13217134/pdf/gutjnl-75-6.pdf" TargetMode="External"/><Relationship Id="rId126" Type="http://schemas.openxmlformats.org/officeDocument/2006/relationships/hyperlink" Target="https://pmc.ncbi.nlm.nih.gov/articles/PMC13217134/" TargetMode="External"/><Relationship Id="rId127" Type="http://schemas.openxmlformats.org/officeDocument/2006/relationships/hyperlink" Target="https://thslc-houston.primo.exlibrisgroup.com/discovery/search?vid=01TEXASHEALTH_HOUSTON%3ATMC_INST&amp;query=any,contains,10.1136%2Fgutjnl-2025-336719&amp;lang=en" TargetMode="External"/><Relationship Id="rId128" Type="http://schemas.openxmlformats.org/officeDocument/2006/relationships/hyperlink" Target="https://doi.org/10.1097/TP.0000000000002094" TargetMode="External"/><Relationship Id="rId129" Type="http://schemas.openxmlformats.org/officeDocument/2006/relationships/hyperlink" Target="https://pubmed.ncbi.nlm.nih.gov/29505494/" TargetMode="External"/><Relationship Id="rId130" Type="http://schemas.openxmlformats.org/officeDocument/2006/relationships/hyperlink" Target="https://libkey.io/libraries/480/10.1097/TP.0000000000002094" TargetMode="External"/><Relationship Id="rId131" Type="http://schemas.openxmlformats.org/officeDocument/2006/relationships/hyperlink" Target="https://doi.org/10.1002/lt.26392" TargetMode="External"/><Relationship Id="rId132" Type="http://schemas.openxmlformats.org/officeDocument/2006/relationships/hyperlink" Target="https://pubmed.ncbi.nlm.nih.gov/34927344/" TargetMode="External"/><Relationship Id="rId133" Type="http://schemas.openxmlformats.org/officeDocument/2006/relationships/hyperlink" Target="https://libkey.io/libraries/480/10.1002/lt.26392" TargetMode="External"/><Relationship Id="rId134" Type="http://schemas.openxmlformats.org/officeDocument/2006/relationships/hyperlink" Target="https://pubmed.ncbi.nlm.nih.gov/38034881/" TargetMode="External"/><Relationship Id="rId135" Type="http://schemas.openxmlformats.org/officeDocument/2006/relationships/hyperlink" Target="https://doi.org/10.1016/j.jhepr.2023.100907" TargetMode="External"/><Relationship Id="rId136" Type="http://schemas.openxmlformats.org/officeDocument/2006/relationships/hyperlink" Target="https://pmc.ncbi.nlm.nih.gov/articles/PMC10685016/" TargetMode="External"/><Relationship Id="rId137" Type="http://schemas.openxmlformats.org/officeDocument/2006/relationships/hyperlink" Target="https://thslc-houston.primo.exlibrisgroup.com/discovery/search?vid=01TEXASHEALTH_HOUSTON%3ATMC_INST&amp;query=any,contains,10.1016%2Fj.jhepr.2023.100907&amp;lang=en" TargetMode="External"/><Relationship Id="rId138" Type="http://schemas.openxmlformats.org/officeDocument/2006/relationships/hyperlink" Target="https://pubmed.ncbi.nlm.nih.gov/33950167/" TargetMode="External"/><Relationship Id="rId139" Type="http://schemas.openxmlformats.org/officeDocument/2006/relationships/hyperlink" Target="https://doi.org/10.1001/jamasurg.2021.0954" TargetMode="External"/><Relationship Id="rId140" Type="http://schemas.openxmlformats.org/officeDocument/2006/relationships/hyperlink" Target="https://libkey.io/libraries/480/10.1001/jamasurg.2021.0954" TargetMode="External"/><Relationship Id="rId141" Type="http://schemas.openxmlformats.org/officeDocument/2006/relationships/hyperlink" Target="https://pubmed.ncbi.nlm.nih.gov/23532111/" TargetMode="External"/><Relationship Id="rId142" Type="http://schemas.openxmlformats.org/officeDocument/2006/relationships/hyperlink" Target="https://doi.org/10.1097/SLA.0b013e31828d4960" TargetMode="External"/><Relationship Id="rId143" Type="http://schemas.openxmlformats.org/officeDocument/2006/relationships/hyperlink" Target="https://libkey.io/libraries/480/10.1097/SLA.0b013e31828d4960" TargetMode="External"/><Relationship Id="rId144" Type="http://schemas.openxmlformats.org/officeDocument/2006/relationships/hyperlink" Target="https://pubmed.ncbi.nlm.nih.gov/42821267/" TargetMode="External"/><Relationship Id="rId145" Type="http://schemas.openxmlformats.org/officeDocument/2006/relationships/hyperlink" Target="https://doi.org/10.1001/jamaoncol.2026.3901" TargetMode="External"/><Relationship Id="rId146" Type="http://schemas.openxmlformats.org/officeDocument/2006/relationships/hyperlink" Target="https://thslc-houston.primo.exlibrisgroup.com/discovery/search?vid=01TEXASHEALTH_HOUSTON%3ATMC_INST&amp;query=any,contains,10.1001%2Fjamaoncol.2026.3901&amp;lang=en" TargetMode="External"/><Relationship Id="rId147" Type="http://schemas.openxmlformats.org/officeDocument/2006/relationships/hyperlink" Target="https://www.ecfr.gov/current/title-45/subtitle-A/subchapter-A/part-46/subpart-A/section-46.111" TargetMode="External"/><Relationship Id="rId148" Type="http://schemas.openxmlformats.org/officeDocument/2006/relationships/hyperlink" Target="https://pubmed.ncbi.nlm.nih.gov/36038129/" TargetMode="External"/><Relationship Id="rId149" Type="http://schemas.openxmlformats.org/officeDocument/2006/relationships/hyperlink" Target="https://doi.org/10.1016/j.cgh.2022.08.023" TargetMode="External"/><Relationship Id="rId150" Type="http://schemas.openxmlformats.org/officeDocument/2006/relationships/hyperlink" Target="https://thslc-houston.primo.exlibrisgroup.com/discovery/search?vid=01TEXASHEALTH_HOUSTON%3ATMC_INST&amp;query=any,contains,10.1016%2Fj.cgh.2022.08.023&amp;lang=en" TargetMode="External"/><Relationship Id="rId151" Type="http://schemas.openxmlformats.org/officeDocument/2006/relationships/hyperlink" Target="https://pubmed.ncbi.nlm.nih.gov/36102312/" TargetMode="External"/><Relationship Id="rId152" Type="http://schemas.openxmlformats.org/officeDocument/2006/relationships/hyperlink" Target="https://pubmed.ncbi.nlm.nih.gov/40014003/" TargetMode="External"/><Relationship Id="rId153" Type="http://schemas.openxmlformats.org/officeDocument/2006/relationships/hyperlink" Target="https://doi.org/10.1097/LVT.0000000000000589" TargetMode="External"/><Relationship Id="rId154" Type="http://schemas.openxmlformats.org/officeDocument/2006/relationships/hyperlink" Target="https://thslc-houston.primo.exlibrisgroup.com/discovery/search?vid=01TEXASHEALTH_HOUSTON%3ATMC_INST&amp;query=any,contains,10.1097%2FLVT.0000000000000589&amp;lang=en" TargetMode="External"/><Relationship Id="rId155" Type="http://schemas.openxmlformats.org/officeDocument/2006/relationships/hyperlink" Target="https://pubmed.ncbi.nlm.nih.gov/41580093/" TargetMode="External"/><Relationship Id="rId156" Type="http://schemas.openxmlformats.org/officeDocument/2006/relationships/hyperlink" Target="https://pubmed.ncbi.nlm.nih.gov/41763363/" TargetMode="External"/><Relationship Id="rId157" Type="http://schemas.openxmlformats.org/officeDocument/2006/relationships/hyperlink" Target="https://doi.org/10.1016/j.jhep.2026.02.019" TargetMode="External"/><Relationship Id="rId158" Type="http://schemas.openxmlformats.org/officeDocument/2006/relationships/hyperlink" Target="https://thslc-houston.primo.exlibrisgroup.com/discovery/search?vid=01TEXASHEALTH_HOUSTON%3ATMC_INST&amp;query=any,contains,10.1016%2Fj.jhep.2026.02.019&amp;lang=en" TargetMode="External"/><Relationship Id="rId159" Type="http://schemas.openxmlformats.org/officeDocument/2006/relationships/hyperlink" Target="https://pubmed.ncbi.nlm.nih.gov/39524972/" TargetMode="External"/><Relationship Id="rId160" Type="http://schemas.openxmlformats.org/officeDocument/2006/relationships/hyperlink" Target="https://doi.org/10.1159/000538627" TargetMode="External"/><Relationship Id="rId161" Type="http://schemas.openxmlformats.org/officeDocument/2006/relationships/hyperlink" Target="https://pmc.ncbi.nlm.nih.gov/articles/PMC11547340/" TargetMode="External"/><Relationship Id="rId162" Type="http://schemas.openxmlformats.org/officeDocument/2006/relationships/hyperlink" Target="https://libkey.io/libraries/480/10.1159/000538627" TargetMode="External"/><Relationship Id="rId163" Type="http://schemas.openxmlformats.org/officeDocument/2006/relationships/hyperlink" Target="https://pubmed.ncbi.nlm.nih.gov/42835360/" TargetMode="External"/><Relationship Id="rId164" Type="http://schemas.openxmlformats.org/officeDocument/2006/relationships/hyperlink" Target="https://doi.org/10.1155/joot/2545887" TargetMode="External"/><Relationship Id="rId165" Type="http://schemas.openxmlformats.org/officeDocument/2006/relationships/hyperlink" Target="https://thslc-houston.primo.exlibrisgroup.com/discovery/search?vid=01TEXASHEALTH_HOUSTON%3ATMC_INST&amp;query=any,contains,10.1155%2Fjoot%2F2545887&amp;lang=en" TargetMode="External"/><Relationship Id="rId166" Type="http://schemas.openxmlformats.org/officeDocument/2006/relationships/hyperlink" Target="https://pubmed.ncbi.nlm.nih.gov/28653750/" TargetMode="External"/><Relationship Id="rId167" Type="http://schemas.openxmlformats.org/officeDocument/2006/relationships/hyperlink" Target="https://doi.org/10.1002/hep.29342" TargetMode="External"/><Relationship Id="rId168" Type="http://schemas.openxmlformats.org/officeDocument/2006/relationships/hyperlink" Target="https://thslc-houston.primo.exlibrisgroup.com/discovery/search?vid=01TEXASHEALTH_HOUSTON%3ATMC_INST&amp;query=any,contains,10.1002%2Fhep.29342&amp;lang=en" TargetMode="External"/><Relationship Id="rId169" Type="http://schemas.openxmlformats.org/officeDocument/2006/relationships/hyperlink" Target="https://pubmed.ncbi.nlm.nih.gov/39798578/" TargetMode="External"/><Relationship Id="rId170" Type="http://schemas.openxmlformats.org/officeDocument/2006/relationships/hyperlink" Target="https://pubmed.ncbi.nlm.nih.gov/41503570/" TargetMode="External"/><Relationship Id="rId171" Type="http://schemas.openxmlformats.org/officeDocument/2006/relationships/hyperlink" Target="https://pubmed.ncbi.nlm.nih.gov/33739462/" TargetMode="External"/><Relationship Id="rId172" Type="http://schemas.openxmlformats.org/officeDocument/2006/relationships/hyperlink" Target="https://pubmed.ncbi.nlm.nih.gov/42156355/" TargetMode="External"/><Relationship Id="rId173" Type="http://schemas.openxmlformats.org/officeDocument/2006/relationships/hyperlink" Target="https://doi.org/10.1111/liv.70692" TargetMode="External"/><Relationship Id="rId174" Type="http://schemas.openxmlformats.org/officeDocument/2006/relationships/hyperlink" Target="https://thslc-houston.primo.exlibrisgroup.com/discovery/search?vid=01TEXASHEALTH_HOUSTON%3ATMC_INST&amp;query=any,contains,10.1111%2Fliv.70692&amp;lang=en" TargetMode="External"/><Relationship Id="rId175" Type="http://schemas.openxmlformats.org/officeDocument/2006/relationships/hyperlink" Target="https://pubmed.ncbi.nlm.nih.gov/39774957/" TargetMode="External"/><Relationship Id="rId176" Type="http://schemas.openxmlformats.org/officeDocument/2006/relationships/hyperlink" Target="https://doi.org/10.1097/HC9.0000000000000619" TargetMode="External"/><Relationship Id="rId177" Type="http://schemas.openxmlformats.org/officeDocument/2006/relationships/hyperlink" Target="https://pmc.ncbi.nlm.nih.gov/articles/PMC11717502/" TargetMode="External"/><Relationship Id="rId178" Type="http://schemas.openxmlformats.org/officeDocument/2006/relationships/hyperlink" Target="https://thslc-houston.primo.exlibrisgroup.com/discovery/search?vid=01TEXASHEALTH_HOUSTON%3ATMC_INST&amp;query=any,contains,10.1097%2FHC9.0000000000000619&amp;lang=en" TargetMode="External"/><Relationship Id="rId179" Type="http://schemas.openxmlformats.org/officeDocument/2006/relationships/hyperlink" Target="https://pubmed.ncbi.nlm.nih.gov/41738362/" TargetMode="External"/><Relationship Id="rId180" Type="http://schemas.openxmlformats.org/officeDocument/2006/relationships/hyperlink" Target="https://doi.org/10.1111/ctr.70488" TargetMode="External"/><Relationship Id="rId181" Type="http://schemas.openxmlformats.org/officeDocument/2006/relationships/hyperlink" Target="https://pmc.ncbi.nlm.nih.gov/articles/PMC12933510/" TargetMode="External"/><Relationship Id="rId182" Type="http://schemas.openxmlformats.org/officeDocument/2006/relationships/hyperlink" Target="https://thslc-houston.primo.exlibrisgroup.com/discovery/search?vid=01TEXASHEALTH_HOUSTON%3ATMC_INST&amp;query=any,contains,10.1111%2Fctr.70488&amp;lang=en" TargetMode="External"/><Relationship Id="rId183" Type="http://schemas.openxmlformats.org/officeDocument/2006/relationships/hyperlink" Target="https://pubmed.ncbi.nlm.nih.gov/30548884/" TargetMode="External"/><Relationship Id="rId184" Type="http://schemas.openxmlformats.org/officeDocument/2006/relationships/hyperlink" Target="https://doi.org/10.1002/hep.30413" TargetMode="External"/><Relationship Id="rId185" Type="http://schemas.openxmlformats.org/officeDocument/2006/relationships/hyperlink" Target="https://libkey.io/libraries/480/10.1002/hep.30413" TargetMode="External"/><Relationship Id="rId186" Type="http://schemas.openxmlformats.org/officeDocument/2006/relationships/hyperlink" Target="https://pubmed.ncbi.nlm.nih.gov/34331914/" TargetMode="External"/><Relationship Id="rId187" Type="http://schemas.openxmlformats.org/officeDocument/2006/relationships/hyperlink" Target="https://doi.org/10.1053/j.gastro.2021.07.033" TargetMode="External"/><Relationship Id="rId188" Type="http://schemas.openxmlformats.org/officeDocument/2006/relationships/hyperlink" Target="https://pmc.ncbi.nlm.nih.gov/articles/PMC8545832/pdf/nihms-1730099.pdf" TargetMode="External"/><Relationship Id="rId189" Type="http://schemas.openxmlformats.org/officeDocument/2006/relationships/hyperlink" Target="https://pmc.ncbi.nlm.nih.gov/articles/PMC8545832/" TargetMode="External"/><Relationship Id="rId190" Type="http://schemas.openxmlformats.org/officeDocument/2006/relationships/hyperlink" Target="https://thslc-houston.primo.exlibrisgroup.com/discovery/search?vid=01TEXASHEALTH_HOUSTON%3ATMC_INST&amp;query=any,contains,10.1053%2Fj.gastro.2021.07.033&amp;lang=en" TargetMode="External"/><Relationship Id="rId191" Type="http://schemas.openxmlformats.org/officeDocument/2006/relationships/hyperlink" Target="https://pubmed.ncbi.nlm.nih.gov/22521348/" TargetMode="External"/><Relationship Id="rId192" Type="http://schemas.openxmlformats.org/officeDocument/2006/relationships/hyperlink" Target="https://doi.org/10.1016/j.jhep.2012.03.022" TargetMode="External"/><Relationship Id="rId193" Type="http://schemas.openxmlformats.org/officeDocument/2006/relationships/hyperlink" Target="https://thslc-houston.primo.exlibrisgroup.com/discovery/search?vid=01TEXASHEALTH_HOUSTON%3ATMC_INST&amp;query=any,contains,10.1016%2Fj.jhep.2012.03.022&amp;lang=en" TargetMode="External"/><Relationship Id="rId194" Type="http://schemas.openxmlformats.org/officeDocument/2006/relationships/hyperlink" Target="https://pubmed.ncbi.nlm.nih.gov/32573905/" TargetMode="External"/><Relationship Id="rId195" Type="http://schemas.openxmlformats.org/officeDocument/2006/relationships/hyperlink" Target="https://doi.org/10.1111/hepr.13526" TargetMode="External"/><Relationship Id="rId196" Type="http://schemas.openxmlformats.org/officeDocument/2006/relationships/hyperlink" Target="https://libkey.io/libraries/480/10.1111/hepr.13526" TargetMode="External"/><Relationship Id="rId197" Type="http://schemas.openxmlformats.org/officeDocument/2006/relationships/hyperlink" Target="https://pubmed.ncbi.nlm.nih.gov/40042053/" TargetMode="External"/><Relationship Id="rId198" Type="http://schemas.openxmlformats.org/officeDocument/2006/relationships/hyperlink" Target="https://doi.org/10.1097/HEP.0000000000001289" TargetMode="External"/><Relationship Id="rId199" Type="http://schemas.openxmlformats.org/officeDocument/2006/relationships/hyperlink" Target="https://thslc-houston.primo.exlibrisgroup.com/discovery/search?vid=01TEXASHEALTH_HOUSTON%3ATMC_INST&amp;query=any,contains,10.1097%2FHEP.0000000000001289&amp;lang=en" TargetMode="External"/><Relationship Id="rId200" Type="http://schemas.openxmlformats.org/officeDocument/2006/relationships/hyperlink" Target="https://pubmed.ncbi.nlm.nih.gov/42010805/" TargetMode="External"/><Relationship Id="rId201" Type="http://schemas.openxmlformats.org/officeDocument/2006/relationships/hyperlink" Target="https://doi.org/10.1002/cam4.71812" TargetMode="External"/><Relationship Id="rId202" Type="http://schemas.openxmlformats.org/officeDocument/2006/relationships/hyperlink" Target="https://libkey.io/libraries/480/10.1002/cam4.71812" TargetMode="External"/><Relationship Id="rId203" Type="http://schemas.openxmlformats.org/officeDocument/2006/relationships/hyperlink" Target="https://pubmed.ncbi.nlm.nih.gov/29503247/" TargetMode="External"/><Relationship Id="rId204" Type="http://schemas.openxmlformats.org/officeDocument/2006/relationships/hyperlink" Target="https://pubmed.ncbi.nlm.nih.gov/37532179/" TargetMode="External"/><Relationship Id="rId205" Type="http://schemas.openxmlformats.org/officeDocument/2006/relationships/hyperlink" Target="https://doi.org/10.1016/j.ajt.2023.07.021" TargetMode="External"/><Relationship Id="rId206" Type="http://schemas.openxmlformats.org/officeDocument/2006/relationships/hyperlink" Target="https://pmc.ncbi.nlm.nih.gov/articles/PMC10998692/pdf/nihms-1981991.pdf" TargetMode="External"/><Relationship Id="rId207" Type="http://schemas.openxmlformats.org/officeDocument/2006/relationships/hyperlink" Target="https://pmc.ncbi.nlm.nih.gov/articles/PMC10998692/" TargetMode="External"/><Relationship Id="rId208" Type="http://schemas.openxmlformats.org/officeDocument/2006/relationships/hyperlink" Target="https://thslc-houston.primo.exlibrisgroup.com/discovery/search?vid=01TEXASHEALTH_HOUSTON%3ATMC_INST&amp;query=any,contains,10.1016%2Fj.ajt.2023.07.021&amp;lang=en" TargetMode="External"/><Relationship Id="rId209" Type="http://schemas.openxmlformats.org/officeDocument/2006/relationships/hyperlink" Target="https://www.hrsa.gov/sites/default/files/hrsa/optn/adult-meld-exception-transplant-oncology-review-guidance.pdf" TargetMode="External"/><Relationship Id="rId210" Type="http://schemas.openxmlformats.org/officeDocument/2006/relationships/hyperlink" Target="https://www.hrsa.gov/sites/default/files/hrsa/optn/adult-meld-exception-transplant-oncology-review-guidance.pdf#page=2" TargetMode="External"/><Relationship Id="rId211" Type="http://schemas.openxmlformats.org/officeDocument/2006/relationships/hyperlink" Target="https://www.hrsa.gov/sites/default/files/hrsa/optn/optn_policies.pdf#page=196" TargetMode="External"/><Relationship Id="rId212" Type="http://schemas.openxmlformats.org/officeDocument/2006/relationships/hyperlink" Target="https://www.hrsa.gov/optn/professionals/resources/ethical-considerations/ethical-principles-in-the-allocation-of-human-organs" TargetMode="External"/><Relationship Id="rId213" Type="http://schemas.openxmlformats.org/officeDocument/2006/relationships/hyperlink" Target="https://www.hrsa.gov/sites/default/files/hrsa/optn/optn_policies.pdf" TargetMode="External"/><Relationship Id="rId214" Type="http://schemas.openxmlformats.org/officeDocument/2006/relationships/hyperlink" Target="https://pubmed.ncbi.nlm.nih.gov/40672077/" TargetMode="External"/><Relationship Id="rId215" Type="http://schemas.openxmlformats.org/officeDocument/2006/relationships/hyperlink" Target="https://doi.org/10.21037/jgo-24-764" TargetMode="External"/><Relationship Id="rId216" Type="http://schemas.openxmlformats.org/officeDocument/2006/relationships/hyperlink" Target="https://pmc.ncbi.nlm.nih.gov/articles/PMC12261024/" TargetMode="External"/><Relationship Id="rId217" Type="http://schemas.openxmlformats.org/officeDocument/2006/relationships/hyperlink" Target="https://thslc-houston.primo.exlibrisgroup.com/discovery/search?vid=01TEXASHEALTH_HOUSTON%3ATMC_INST&amp;query=any,contains,10.21037%2Fjgo-24-764&amp;lang=en" TargetMode="External"/><Relationship Id="rId218" Type="http://schemas.openxmlformats.org/officeDocument/2006/relationships/hyperlink" Target="https://pubmed.ncbi.nlm.nih.gov/41700702/" TargetMode="External"/><Relationship Id="rId219" Type="http://schemas.openxmlformats.org/officeDocument/2006/relationships/hyperlink" Target="https://doi.org/10.1177/09622802261420699" TargetMode="External"/><Relationship Id="rId220" Type="http://schemas.openxmlformats.org/officeDocument/2006/relationships/hyperlink" Target="https://pmc.ncbi.nlm.nih.gov/articles/PMC13161485/pdf/10.1177_09622802261420699.pdf" TargetMode="External"/><Relationship Id="rId221" Type="http://schemas.openxmlformats.org/officeDocument/2006/relationships/hyperlink" Target="https://pmc.ncbi.nlm.nih.gov/articles/PMC13161485/" TargetMode="External"/><Relationship Id="rId222" Type="http://schemas.openxmlformats.org/officeDocument/2006/relationships/hyperlink" Target="https://thslc-houston.primo.exlibrisgroup.com/discovery/search?vid=01TEXASHEALTH_HOUSTON%3ATMC_INST&amp;query=any,contains,10.1177%2F09622802261420699&amp;lang=en" TargetMode="External"/><Relationship Id="rId223" Type="http://schemas.openxmlformats.org/officeDocument/2006/relationships/hyperlink" Target="https://pubmed.ncbi.nlm.nih.gov/35617978/" TargetMode="External"/><Relationship Id="rId224" Type="http://schemas.openxmlformats.org/officeDocument/2006/relationships/hyperlink" Target="https://pubmed.ncbi.nlm.nih.gov/38996924/" TargetMode="External"/><Relationship Id="rId225" Type="http://schemas.openxmlformats.org/officeDocument/2006/relationships/hyperlink" Target="https://doi.org/10.1016/j.jhep.2024.06.042" TargetMode="External"/><Relationship Id="rId226" Type="http://schemas.openxmlformats.org/officeDocument/2006/relationships/hyperlink" Target="https://pmc.ncbi.nlm.nih.gov/articles/PMC11655254/" TargetMode="External"/><Relationship Id="rId227" Type="http://schemas.openxmlformats.org/officeDocument/2006/relationships/hyperlink" Target="https://thslc-houston.primo.exlibrisgroup.com/discovery/search?vid=01TEXASHEALTH_HOUSTON%3ATMC_INST&amp;query=any,contains,10.1016%2Fj.jhep.2024.06.042&amp;lang=en" TargetMode="External"/><Relationship Id="rId228" Type="http://schemas.openxmlformats.org/officeDocument/2006/relationships/hyperlink" Target="https://pubmed.ncbi.nlm.nih.gov/29107679/" TargetMode="External"/><Relationship Id="rId229" Type="http://schemas.openxmlformats.org/officeDocument/2006/relationships/hyperlink" Target="https://pubmed.ncbi.nlm.nih.gov/39693584/" TargetMode="External"/><Relationship Id="rId230" Type="http://schemas.openxmlformats.org/officeDocument/2006/relationships/hyperlink" Target="https://pubmed.ncbi.nlm.nih.gov/41755988/" TargetMode="External"/><Relationship Id="rId231" Type="http://schemas.openxmlformats.org/officeDocument/2006/relationships/hyperlink" Target="https://doi.org/10.3389/fonc.2025.1687449" TargetMode="External"/><Relationship Id="rId232" Type="http://schemas.openxmlformats.org/officeDocument/2006/relationships/hyperlink" Target="https://thslc-houston.primo.exlibrisgroup.com/discovery/search?vid=01TEXASHEALTH_HOUSTON%3ATMC_INST&amp;query=any,contains,10.3389%2Ffonc.2025.1687449&amp;lang=en" TargetMode="External"/><Relationship Id="rId233" Type="http://schemas.openxmlformats.org/officeDocument/2006/relationships/hyperlink" Target="https://pubmed.ncbi.nlm.nih.gov/39299553/" TargetMode="External"/><Relationship Id="rId234" Type="http://schemas.openxmlformats.org/officeDocument/2006/relationships/hyperlink" Target="https://doi.org/10.1016/j.ijrobp.2024.09.022" TargetMode="External"/><Relationship Id="rId235" Type="http://schemas.openxmlformats.org/officeDocument/2006/relationships/hyperlink" Target="https://libkey.io/libraries/480/10.1016/j.ijrobp.2024.09.022" TargetMode="External"/><Relationship Id="rId236" Type="http://schemas.openxmlformats.org/officeDocument/2006/relationships/hyperlink" Target="https://pubmed.ncbi.nlm.nih.gov/40105312/" TargetMode="External"/><Relationship Id="rId237" Type="http://schemas.openxmlformats.org/officeDocument/2006/relationships/hyperlink" Target="https://doi.org/10.1002/jhbp.12138" TargetMode="External"/><Relationship Id="rId238" Type="http://schemas.openxmlformats.org/officeDocument/2006/relationships/hyperlink" Target="https://libkey.io/libraries/480/10.1002/jhbp.12138" TargetMode="External"/><Relationship Id="rId239" Type="http://schemas.openxmlformats.org/officeDocument/2006/relationships/hyperlink" Target="https://pubmed.ncbi.nlm.nih.gov/30779440/" TargetMode="External"/><Relationship Id="rId240" Type="http://schemas.openxmlformats.org/officeDocument/2006/relationships/hyperlink" Target="https://doi.org/10.1002/hep.30570" TargetMode="External"/><Relationship Id="rId241" Type="http://schemas.openxmlformats.org/officeDocument/2006/relationships/hyperlink" Target="https://thslc-houston.primo.exlibrisgroup.com/discovery/search?vid=01TEXASHEALTH_HOUSTON%3ATMC_INST&amp;query=any,contains,10.1002%2Fhep.30570&amp;lang=en" TargetMode="External"/><Relationship Id="rId242" Type="http://schemas.openxmlformats.org/officeDocument/2006/relationships/hyperlink" Target="https://pubmed.ncbi.nlm.nih.gov/32032291/" TargetMode="External"/><Relationship Id="rId243" Type="http://schemas.openxmlformats.org/officeDocument/2006/relationships/hyperlink" Target="https://doi.org/10.1097/TP.0000000000003162" TargetMode="External"/><Relationship Id="rId244" Type="http://schemas.openxmlformats.org/officeDocument/2006/relationships/hyperlink" Target="https://thslc-houston.primo.exlibrisgroup.com/discovery/search?vid=01TEXASHEALTH_HOUSTON%3ATMC_INST&amp;query=any,contains,10.1097%2FTP.0000000000003162&amp;lang=en" TargetMode="External"/><Relationship Id="rId245" Type="http://schemas.openxmlformats.org/officeDocument/2006/relationships/hyperlink" Target="https://pubmed.ncbi.nlm.nih.gov/17239022/" TargetMode="External"/><Relationship Id="rId246" Type="http://schemas.openxmlformats.org/officeDocument/2006/relationships/hyperlink" Target="https://doi.org/10.1111/j.1432-2277.2006.00412.x" TargetMode="External"/><Relationship Id="rId247" Type="http://schemas.openxmlformats.org/officeDocument/2006/relationships/hyperlink" Target="https://thslc-houston.primo.exlibrisgroup.com/discovery/search?vid=01TEXASHEALTH_HOUSTON%3ATMC_INST&amp;query=any,contains,10.1111%2Fj.1432-2277.2006.00412.x&amp;lang=en" TargetMode="External"/><Relationship Id="rId248" Type="http://schemas.openxmlformats.org/officeDocument/2006/relationships/hyperlink" Target="https://pubmed.ncbi.nlm.nih.gov/42228945/" TargetMode="External"/><Relationship Id="rId249" Type="http://schemas.openxmlformats.org/officeDocument/2006/relationships/hyperlink" Target="https://doi.org/10.1097/HEP.0000000000001801" TargetMode="External"/><Relationship Id="rId250" Type="http://schemas.openxmlformats.org/officeDocument/2006/relationships/hyperlink" Target="https://thslc-houston.primo.exlibrisgroup.com/discovery/search?vid=01TEXASHEALTH_HOUSTON%3ATMC_INST&amp;query=any,contains,10.1097%2FHEP.0000000000001801&amp;lang=en" TargetMode="External"/><Relationship Id="rId251" Type="http://schemas.openxmlformats.org/officeDocument/2006/relationships/hyperlink" Target="https://pubmed.ncbi.nlm.nih.gov/39544321/" TargetMode="External"/><Relationship Id="rId252" Type="http://schemas.openxmlformats.org/officeDocument/2006/relationships/hyperlink" Target="https://doi.org/10.3389/ti.2024.13641" TargetMode="External"/><Relationship Id="rId253" Type="http://schemas.openxmlformats.org/officeDocument/2006/relationships/hyperlink" Target="https://pmc.ncbi.nlm.nih.gov/articles/PMC11560448/pdf/ti-37-13641.pdf" TargetMode="External"/><Relationship Id="rId254" Type="http://schemas.openxmlformats.org/officeDocument/2006/relationships/hyperlink" Target="https://pmc.ncbi.nlm.nih.gov/articles/PMC11560448/" TargetMode="External"/><Relationship Id="rId255" Type="http://schemas.openxmlformats.org/officeDocument/2006/relationships/hyperlink" Target="https://thslc-houston.primo.exlibrisgroup.com/discovery/search?vid=01TEXASHEALTH_HOUSTON%3ATMC_INST&amp;query=any,contains,10.3389%2Fti.2024.13641&amp;lang=en" TargetMode="External"/><Relationship Id="rId256" Type="http://schemas.openxmlformats.org/officeDocument/2006/relationships/hyperlink" Target="https://pubmed.ncbi.nlm.nih.gov/35857294/" TargetMode="External"/><Relationship Id="rId257" Type="http://schemas.openxmlformats.org/officeDocument/2006/relationships/hyperlink" Target="https://doi.org/10.1001/jamasurg.2022.2800" TargetMode="External"/><Relationship Id="rId258" Type="http://schemas.openxmlformats.org/officeDocument/2006/relationships/hyperlink" Target="https://pmc.ncbi.nlm.nih.gov/articles/PMC9301590/" TargetMode="External"/><Relationship Id="rId259" Type="http://schemas.openxmlformats.org/officeDocument/2006/relationships/hyperlink" Target="https://thslc-houston.primo.exlibrisgroup.com/discovery/search?vid=01TEXASHEALTH_HOUSTON%3ATMC_INST&amp;query=any,contains,10.1001%2Fjamasurg.2022.2800&amp;lang=en" TargetMode="External"/><Relationship Id="rId260" Type="http://schemas.openxmlformats.org/officeDocument/2006/relationships/hyperlink" Target="https://pubmed.ncbi.nlm.nih.gov/39306468/" TargetMode="External"/><Relationship Id="rId261" Type="http://schemas.openxmlformats.org/officeDocument/2006/relationships/hyperlink" Target="https://doi.org/10.1016/S0140-6736(24)01595-2" TargetMode="External"/><Relationship Id="rId262" Type="http://schemas.openxmlformats.org/officeDocument/2006/relationships/hyperlink" Target="https://thslc-houston.primo.exlibrisgroup.com/discovery/search?vid=01TEXASHEALTH_HOUSTON%3ATMC_INST&amp;query=any,contains,10.1016%2FS0140-6736%2824%2901595-2&amp;lang=en" TargetMode="External"/><Relationship Id="rId263" Type="http://schemas.openxmlformats.org/officeDocument/2006/relationships/hyperlink" Target="https://pubmed.ncbi.nlm.nih.gov/39255928/" TargetMode="External"/><Relationship Id="rId264" Type="http://schemas.openxmlformats.org/officeDocument/2006/relationships/hyperlink" Target="https://doi.org/10.1016/j.jhep.2024.09.003" TargetMode="External"/><Relationship Id="rId265" Type="http://schemas.openxmlformats.org/officeDocument/2006/relationships/hyperlink" Target="https://thslc-houston.primo.exlibrisgroup.com/discovery/search?vid=01TEXASHEALTH_HOUSTON%3ATMC_INST&amp;query=any,contains,10.1016%2Fj.jhep.2024.09.003&amp;lang=en" TargetMode="External"/><Relationship Id="rId266" Type="http://schemas.openxmlformats.org/officeDocument/2006/relationships/hyperlink" Target="https://pubmed.ncbi.nlm.nih.gov/38015449/" TargetMode="External"/><Relationship Id="rId267" Type="http://schemas.openxmlformats.org/officeDocument/2006/relationships/hyperlink" Target="https://doi.org/10.1097/LVT.0000000000000303" TargetMode="External"/><Relationship Id="rId268" Type="http://schemas.openxmlformats.org/officeDocument/2006/relationships/hyperlink" Target="https://thslc-houston.primo.exlibrisgroup.com/discovery/search?vid=01TEXASHEALTH_HOUSTON%3ATMC_INST&amp;query=any,contains,10.1097%2FLVT.0000000000000303&amp;lang=en" TargetMode="External"/><Relationship Id="rId269" Type="http://schemas.openxmlformats.org/officeDocument/2006/relationships/hyperlink" Target="https://pubmed.ncbi.nlm.nih.gov/39808828/" TargetMode="External"/><Relationship Id="rId270" Type="http://schemas.openxmlformats.org/officeDocument/2006/relationships/hyperlink" Target="https://doi.org/10.1097/HEP.0000000000001231" TargetMode="External"/><Relationship Id="rId271" Type="http://schemas.openxmlformats.org/officeDocument/2006/relationships/hyperlink" Target="https://pmc.ncbi.nlm.nih.gov/articles/PMC12256641/pdf/nihms-2047233.pdf" TargetMode="External"/><Relationship Id="rId272" Type="http://schemas.openxmlformats.org/officeDocument/2006/relationships/hyperlink" Target="https://pmc.ncbi.nlm.nih.gov/articles/PMC12256641/" TargetMode="External"/><Relationship Id="rId273" Type="http://schemas.openxmlformats.org/officeDocument/2006/relationships/hyperlink" Target="https://thslc-houston.primo.exlibrisgroup.com/discovery/search?vid=01TEXASHEALTH_HOUSTON%3ATMC_INST&amp;query=any,contains,10.1097%2FHEP.0000000000001231&amp;lang=en" TargetMode="External"/><Relationship Id="rId274" Type="http://schemas.openxmlformats.org/officeDocument/2006/relationships/hyperlink" Target="https://pubmed.ncbi.nlm.nih.gov/32615109/" TargetMode="External"/><Relationship Id="rId275" Type="http://schemas.openxmlformats.org/officeDocument/2006/relationships/hyperlink" Target="https://doi.org/10.1016/S1470-2045(20)30224-2" TargetMode="External"/><Relationship Id="rId276" Type="http://schemas.openxmlformats.org/officeDocument/2006/relationships/hyperlink" Target="https://thslc-houston.primo.exlibrisgroup.com/discovery/search?vid=01TEXASHEALTH_HOUSTON%3ATMC_INST&amp;query=any,contains,10.1016%2FS1470-2045%2820%2930224-2&amp;lang=en" TargetMode="External"/><Relationship Id="rId277" Type="http://schemas.openxmlformats.org/officeDocument/2006/relationships/hyperlink" Target="https://pubmed.ncbi.nlm.nih.gov/32303439/" TargetMode="External"/><Relationship Id="rId278" Type="http://schemas.openxmlformats.org/officeDocument/2006/relationships/hyperlink" Target="https://doi.org/10.1016/j.hbpd.2020.03.009" TargetMode="External"/><Relationship Id="rId279" Type="http://schemas.openxmlformats.org/officeDocument/2006/relationships/hyperlink" Target="https://thslc-houston.primo.exlibrisgroup.com/discovery/search?vid=01TEXASHEALTH_HOUSTON%3ATMC_INST&amp;query=any,contains,10.1016%2Fj.hbpd.2020.03.009&amp;lang=en" TargetMode="External"/><Relationship Id="rId280" Type="http://schemas.openxmlformats.org/officeDocument/2006/relationships/hyperlink" Target="https://pubmed.ncbi.nlm.nih.gov/25689978/" TargetMode="External"/><Relationship Id="rId281" Type="http://schemas.openxmlformats.org/officeDocument/2006/relationships/hyperlink" Target="https://doi.org/10.1002/hep.27752" TargetMode="External"/><Relationship Id="rId282" Type="http://schemas.openxmlformats.org/officeDocument/2006/relationships/hyperlink" Target="https://pmc.ncbi.nlm.nih.gov/articles/PMC4809192/pdf/nihms667031.pdf" TargetMode="External"/><Relationship Id="rId283" Type="http://schemas.openxmlformats.org/officeDocument/2006/relationships/hyperlink" Target="https://pmc.ncbi.nlm.nih.gov/articles/PMC4809192/" TargetMode="External"/><Relationship Id="rId284" Type="http://schemas.openxmlformats.org/officeDocument/2006/relationships/hyperlink" Target="https://thslc-houston.primo.exlibrisgroup.com/discovery/search?vid=01TEXASHEALTH_HOUSTON%3ATMC_INST&amp;query=any,contains,10.1002%2Fhep.27752&amp;lang=en" TargetMode="External"/><Relationship Id="rId285" Type="http://schemas.openxmlformats.org/officeDocument/2006/relationships/hyperlink" Target="https://pubmed.ncbi.nlm.nih.gov/40099404/" TargetMode="External"/><Relationship Id="rId286" Type="http://schemas.openxmlformats.org/officeDocument/2006/relationships/hyperlink" Target="https://doi.org/10.1093/bjs/znaf054" TargetMode="External"/><Relationship Id="rId287" Type="http://schemas.openxmlformats.org/officeDocument/2006/relationships/hyperlink" Target="https://pmc.ncbi.nlm.nih.gov/articles/PMC11914714/pdf/znaf054.pdf" TargetMode="External"/><Relationship Id="rId288" Type="http://schemas.openxmlformats.org/officeDocument/2006/relationships/hyperlink" Target="https://pmc.ncbi.nlm.nih.gov/articles/PMC11914714/" TargetMode="External"/><Relationship Id="rId289" Type="http://schemas.openxmlformats.org/officeDocument/2006/relationships/hyperlink" Target="https://thslc-houston.primo.exlibrisgroup.com/discovery/search?vid=01TEXASHEALTH_HOUSTON%3ATMC_INST&amp;query=any,contains,10.1093%2Fbjs%2Fznaf054&amp;lang=en" TargetMode="External"/><Relationship Id="rId290" Type="http://schemas.openxmlformats.org/officeDocument/2006/relationships/hyperlink" Target="https://pubmed.ncbi.nlm.nih.gov/39279926/" TargetMode="External"/><Relationship Id="rId291" Type="http://schemas.openxmlformats.org/officeDocument/2006/relationships/hyperlink" Target="https://doi.org/10.21037/jgo-24-328" TargetMode="External"/><Relationship Id="rId292" Type="http://schemas.openxmlformats.org/officeDocument/2006/relationships/hyperlink" Target="https://pmc.ncbi.nlm.nih.gov/articles/PMC11399840/pdf/jgo-15-04-1686.pdf" TargetMode="External"/><Relationship Id="rId293" Type="http://schemas.openxmlformats.org/officeDocument/2006/relationships/hyperlink" Target="https://pmc.ncbi.nlm.nih.gov/articles/PMC11399840/" TargetMode="External"/><Relationship Id="rId294" Type="http://schemas.openxmlformats.org/officeDocument/2006/relationships/hyperlink" Target="https://thslc-houston.primo.exlibrisgroup.com/discovery/search?vid=01TEXASHEALTH_HOUSTON%3ATMC_INST&amp;query=any,contains,10.21037%2Fjgo-24-328&amp;lang=en" TargetMode="External"/><Relationship Id="rId295" Type="http://schemas.openxmlformats.org/officeDocument/2006/relationships/hyperlink" Target="https://pubmed.ncbi.nlm.nih.gov/41706698/" TargetMode="External"/><Relationship Id="rId296" Type="http://schemas.openxmlformats.org/officeDocument/2006/relationships/hyperlink" Target="https://doi.org/10.1097/JS9.0000000000004077" TargetMode="External"/><Relationship Id="rId297" Type="http://schemas.openxmlformats.org/officeDocument/2006/relationships/hyperlink" Target="https://thslc-houston.primo.exlibrisgroup.com/discovery/search?vid=01TEXASHEALTH_HOUSTON%3ATMC_INST&amp;query=any,contains,10.1097%2FJS9.0000000000004077&amp;lang=en" TargetMode="External"/><Relationship Id="rId298" Type="http://schemas.openxmlformats.org/officeDocument/2006/relationships/hyperlink" Target="https://pubmed.ncbi.nlm.nih.gov/39322951/" TargetMode="External"/><Relationship Id="rId299" Type="http://schemas.openxmlformats.org/officeDocument/2006/relationships/hyperlink" Target="https://pubmed.ncbi.nlm.nih.gov/38679630/" TargetMode="External"/><Relationship Id="rId300" Type="http://schemas.openxmlformats.org/officeDocument/2006/relationships/hyperlink" Target="https://doi.org/10.1038/s41598-024-60379-x" TargetMode="External"/><Relationship Id="rId301" Type="http://schemas.openxmlformats.org/officeDocument/2006/relationships/hyperlink" Target="https://pmc.ncbi.nlm.nih.gov/articles/PMC11056363/" TargetMode="External"/><Relationship Id="rId302" Type="http://schemas.openxmlformats.org/officeDocument/2006/relationships/hyperlink" Target="https://libkey.io/libraries/480/10.1038/s41598-024-60379-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