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 Memorial Hermann — Hepatic epithelioid hemangioendothelioma Standard / Guidance-Aligned Transplant Protocol V16</w:t>
      </w:r>
    </w:p>
    <w:p>
      <w:pPr>
        <w:pStyle w:val="Normal"/>
        <w:widowControl/>
      </w:pPr>
      <w:r>
        <w:t xml:space="preserve">Complete clinical-operational draft. Standard policy and nonstandard guidance categories are identified separately; local changes require institutional ratification. No experimental pathway is activated by this update.</w:t>
      </w:r>
    </w:p>
    <w:p>
      <w:pPr>
        <w:spacing w:after="120"/>
      </w:pPr>
      <w:r>
        <w:rPr>
          <w:i/>
          <w:sz w:val="18"/>
        </w:rPr>
        <w:t xml:space="preserve">Standardized document set, 29 October 2026: this is the full-content document for the standard transplant pathway. Questions for consensus: HEHE_4_Standard_Transplant_Questions.docx. Decision discussion for all settings: HEHE_7_Decision_Discussion.docx. Web page: https://drliuhao.github.io/mh-liver-pathways/transplant/hehe/</w:t>
      </w:r>
    </w:p>
    <w:p>
      <w:pPr>
        <w:pStyle w:val="Normal"/>
        <w:widowControl/>
      </w:pPr>
      <w:r>
        <w:t xml:space="preserve">Version 16  |  Revised 2026-10-29 09:21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OWZlMDk2Yi0xN2ZlLTViYmYtYWQ2ZC1hYmI2N2EyOGM0NWI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OWZlMDk2Yi0xN2ZlLTViYmYtYWQ2ZC1hYmI2N2EyOGM0N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Clinical pathway and allocation requirements</w:t>
      </w:r>
    </w:p>
    <w:p>
      <w:pPr>
        <w:pStyle w:val="Normal"/>
        <w:widowControl/>
      </w:pPr>
      <w:r>
        <w:t xml:space="preserve">GUIDANCE-ALIGNED NON-STANDARD EXCEPTION. Hepatic epithelioid hemangioendothelioma (HEHE) is not a standardized diagnosis under OPTN Policy 9.5. The December 2025 transplant-oncology guidance supports Adult Transplant Oncology NLRB consideration when HEHE is biopsy proven, hepatic angiosarcoma/hemangiosarcoma is excluded, the lesions are unresectable, and macrovascular invasion is absent. Recommended score: MMaT-3. Approval and extension are not automatic.</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OWZlMDk2Yi0xN2ZlLTViYmYtYWQ2ZC1hYmI2N2EyOGM0NWI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OWZlMDk2Yi0xN2ZlLTViYmYtYWQ2ZC1hYmI2N2EyOGM0N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Policy posting checked 24 October 2026: OPTN policy effective 1 October 2026 and transplant-oncology NLRB guidance December 2025. HCC and qualifying pCCA have standardized policy routes; iCCA, CRLM, NET, HEHE and HCA use nonstandard review. NLRB guidance is not OPTN policy or a clinical standard. Clinical candidacy, exception approval, donor clearance and research authorization are separate. Recheck the live source before submission.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OWZlMDk2Yi0xN2ZlLTViYmYtYWQ2ZC1hYmI2N2EyOGM0NWI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OWZlMDk2Yi0xN2ZlLTViYmYtYWQ2ZC1hYmI2N2EyOGM0N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This protocol separates a guidance-aligned lower-risk institutional cohort from an individualized high-risk cohort. The OPTN guidance states that extrahepatic disease is not an absolute contraindication, while international EHE consensus is more restrictive; therefore, any extrahepatic HEHE is handled only through the high-risk pathway with explicit rationale and consent. No macrovascular-invasion cohort is permitted.</w:t>
      </w:r>
    </w:p>
    <w:p>
      <w:pPr>
        <w:pStyle w:val="Normal"/>
        <w:widowControl/>
      </w:pPr>
      <w:r>
        <w:t xml:space="preserve">Evidence note on extrahepatic disease. The position that extrahepatic HEHE is not an absolute contraindication rests on the ELTR registry analysis, in which pre-transplant extrahepatic disease was NOT a significant independent risk factor for post-transplant recurrence (n = 149; the significant factors were macrovascular invasion, waiting time of 120 days or less, and hilar-node invasion). That is a retrospective registry finding in a rare disease, where a non-significant result reflects limited power as much as absence of effect, and it is not concordant with the more restrictive international EHE consensus. That divergence, not a settled evidence base, is why extrahepatic disease is routed exclusively through the high-risk individualized pathway with separate ethics review and disease-specific consent.</w:t>
      </w:r>
    </w:p>
    <w:p>
      <w:pPr>
        <w:pStyle w:val="Heading2"/>
        <w:keepNext/>
        <w:widowControl/>
      </w:pPr>
      <w:r>
        <w:t xml:space="preserve">PROTOCOL: HEPATIC EPITHELIOID HEMANGIOENDOTHELIOMA (HEHE)</w:t>
      </w:r>
    </w:p>
    <w:p>
      <w:pPr>
        <w:pStyle w:val="Heading3"/>
        <w:keepNext/>
        <w:widowControl/>
      </w:pPr>
      <w:r>
        <w:t xml:space="preserve">1. Purpose and scope</w:t>
      </w:r>
    </w:p>
    <w:p>
      <w:pPr>
        <w:pStyle w:val="Normal"/>
        <w:widowControl/>
      </w:pPr>
      <w:r>
        <w:t xml:space="preserve">This protocol defines adult evaluation, NLRB exception submission, transplantation, and surveillance for carefully selected patients with unresectable HEHE. Resection remains preferred when a complete oncologic resection is feasible with an adequate liver remnant. Liver transplantation is reserved for diffuse, multifocal, bilobar, or anatomically unresectable disease after multidisciplinary review.</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OWZlMDk2Yi0xN2ZlLTViYmYtYWQ2ZC1hYmI2N2EyOGM0NWI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OWZlMDk2Yi0xN2ZlLTViYmYtYWQ2ZC1hYmI2N2EyOGM0N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M8L1JlY051bT48RGlzcGxheVRleHQ+W1YxNi0zXTwvRGlzcGxheVRleHQ+PHJlY29yZD48cmVjLW51bWJlcj4zPC9yZWMtbnVtYmVyPjxmb3JlaWduLWtleXM+PGtleSBhcHA9IkVOIiBkYi1pZD0iNzlmZTA5NmItMTdmZS01YmJmLWFkNmQtYWJiNjdhMjhjNDViIiB0aW1lc3RhbXA9IjE3OTMyODM2ODYiPjM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Heading3"/>
        <w:keepNext/>
        <w:widowControl/>
      </w:pPr>
      <w:r>
        <w:t xml:space="preserve">2. Mandatory guidance criteria</w:t>
      </w:r>
    </w:p>
    <w:p>
      <w:pPr>
        <w:pStyle w:val="Normal"/>
        <w:widowControl/>
      </w:pPr>
      <w:r>
        <w:t xml:space="preserve">All criteria below are required for the guidance-aligned NLRB request:</w:t>
      </w:r>
    </w:p>
    <w:p>
      <w:pPr>
        <w:pStyle w:val="Normal"/>
        <w:widowControl/>
        <w:numPr>
          <w:ilvl w:val="0"/>
          <w:numId w:val="3"/>
        </w:numPr>
      </w:pPr>
      <w:r>
        <w:t xml:space="preserve">Biopsy-proven HEHE confirmed by expert hepatobiliary and/or sarcoma pathology review.</w:t>
      </w:r>
    </w:p>
    <w:p>
      <w:pPr>
        <w:pStyle w:val="Normal"/>
        <w:widowControl/>
        <w:numPr>
          <w:ilvl w:val="0"/>
          <w:numId w:val="3"/>
        </w:numPr>
      </w:pPr>
      <w:r>
        <w:t xml:space="preserve">Hepatic angiosarcoma/hemangiosarcoma and other malignant vascular, epithelial, and benign vascular mimics are excluded.</w:t>
      </w:r>
    </w:p>
    <w:p>
      <w:pPr>
        <w:pStyle w:val="Normal"/>
        <w:widowControl/>
        <w:numPr>
          <w:ilvl w:val="0"/>
          <w:numId w:val="3"/>
        </w:numPr>
      </w:pPr>
      <w:r>
        <w:t xml:space="preserve">The hepatic lesions are unresectable, with the anatomical and oncologic reasons documented by hepatobiliary surgery.</w:t>
      </w:r>
    </w:p>
    <w:p>
      <w:pPr>
        <w:pStyle w:val="Normal"/>
        <w:widowControl/>
        <w:numPr>
          <w:ilvl w:val="0"/>
          <w:numId w:val="3"/>
        </w:numPr>
      </w:pPr>
      <w:r>
        <w:t xml:space="preserve">No macrovascular invasion on multiphasic imaging or biopsy. Macrovascular invasion is an exclusion under this protocol.</w:t>
      </w:r>
    </w:p>
    <w:p>
      <w:pPr>
        <w:pStyle w:val="Normal"/>
        <w:widowControl/>
        <w:numPr>
          <w:ilvl w:val="0"/>
          <w:numId w:val="3"/>
        </w:numPr>
      </w:pPr>
      <w:r>
        <w:t xml:space="preserve">The candidate otherwise meets current institutional adult liver-transplant selection criteria.</w:t>
      </w:r>
    </w:p>
    <w:p>
      <w:pPr>
        <w:pStyle w:val="Heading3"/>
        <w:keepNext/>
        <w:widowControl/>
      </w:pPr>
      <w:r>
        <w:t xml:space="preserve">3. Pathology confirmation</w:t>
      </w:r>
    </w:p>
    <w:p>
      <w:pPr>
        <w:pStyle w:val="Normal"/>
        <w:widowControl/>
        <w:numPr>
          <w:ilvl w:val="0"/>
          <w:numId w:val="3"/>
        </w:numPr>
      </w:pPr>
      <w:r>
        <w:t xml:space="preserve">Review morphology and endothelial differentiation; CD31 and ERG/FLI1 are preferred endothelial markers, with CD34 supportive but not specific.</w:t>
      </w:r>
    </w:p>
    <w:p>
      <w:pPr>
        <w:pStyle w:val="Normal"/>
        <w:widowControl/>
        <w:numPr>
          <w:ilvl w:val="0"/>
          <w:numId w:val="3"/>
        </w:numPr>
      </w:pPr>
      <w:r>
        <w:t xml:space="preserve">Document CAMTA1 nuclear expression or WWTR1::CAMTA1 fusion when available. Evaluate TFE3 and YAP1::TFE3 when morphology is compatible and CAMTA1 is negative or atypical.</w:t>
      </w:r>
    </w:p>
    <w:p>
      <w:pPr>
        <w:pStyle w:val="Normal"/>
        <w:widowControl/>
        <w:numPr>
          <w:ilvl w:val="0"/>
          <w:numId w:val="3"/>
        </w:numPr>
      </w:pPr>
      <w:r>
        <w:t xml:space="preserve">Resolve diagnostic uncertainty before listing. Small or necrotic samples should be re-biopsied or reviewed centrally when the diagnosis cannot be distinguished confidently from angiosarcoma.</w:t>
      </w:r>
    </w:p>
    <w:p>
      <w:pPr>
        <w:pStyle w:val="Normal"/>
        <w:widowControl/>
        <w:numPr>
          <w:ilvl w:val="0"/>
          <w:numId w:val="3"/>
        </w:numPr>
      </w:pPr>
      <w:r>
        <w:t xml:space="preserve">Record differentiation, mitotic activity, necrosis, vascular invasion, and any features concerning for higher-grade behavior.</w:t>
      </w:r>
    </w:p>
    <w:p>
      <w:pPr>
        <w:pStyle w:val="Heading3"/>
        <w:keepNext/>
        <w:widowControl/>
      </w:pPr>
      <w:r>
        <w:t xml:space="preserve">4. Staging and resectability workup</w:t>
      </w:r>
    </w:p>
    <w:p>
      <w:pPr>
        <w:pStyle w:val="Normal"/>
        <w:widowControl/>
        <w:numPr>
          <w:ilvl w:val="0"/>
          <w:numId w:val="3"/>
        </w:numPr>
      </w:pPr>
      <w:r>
        <w:t xml:space="preserve">Multiphase contrast-enhanced liver MRI, or multiphase CT when MRI is contraindicated, documenting lesion number, largest lesion, distribution, capsular rupture, hilar nodes, and vessel involvement.</w:t>
      </w:r>
    </w:p>
    <w:p>
      <w:pPr>
        <w:pStyle w:val="Normal"/>
        <w:widowControl/>
        <w:numPr>
          <w:ilvl w:val="0"/>
          <w:numId w:val="3"/>
        </w:numPr>
      </w:pPr>
      <w:r>
        <w:t xml:space="preserve">CT chest, abdomen, and pelvis for complete staging.</w:t>
      </w:r>
    </w:p>
    <w:p>
      <w:pPr>
        <w:pStyle w:val="Normal"/>
        <w:widowControl/>
        <w:numPr>
          <w:ilvl w:val="0"/>
          <w:numId w:val="3"/>
        </w:numPr>
      </w:pPr>
      <w:r>
        <w:t xml:space="preserve">Whole-body MRI or FDG-PET/CT when available to assess bone and soft-tissue disease; targeted brain or bone imaging when symptoms or baseline findings warrant.</w:t>
      </w:r>
    </w:p>
    <w:p>
      <w:pPr>
        <w:pStyle w:val="Normal"/>
        <w:widowControl/>
        <w:numPr>
          <w:ilvl w:val="0"/>
          <w:numId w:val="3"/>
        </w:numPr>
      </w:pPr>
      <w:r>
        <w:t xml:space="preserve">Biopsy suspicious hilar nodes or extrahepatic lesions when the result would change risk classification or candidacy.</w:t>
      </w:r>
    </w:p>
    <w:p>
      <w:pPr>
        <w:pStyle w:val="Normal"/>
        <w:widowControl/>
        <w:numPr>
          <w:ilvl w:val="0"/>
          <w:numId w:val="3"/>
        </w:numPr>
      </w:pPr>
      <w:r>
        <w:t xml:space="preserve">Formal transplant-oncology conference review including transplant hepatology, transplant and hepatobiliary surgery, medical oncology/sarcoma, radiology, and pathology.</w:t>
      </w:r>
    </w:p>
    <w:p>
      <w:pPr>
        <w:pStyle w:val="Heading3"/>
        <w:keepNext/>
        <w:widowControl/>
      </w:pPr>
      <w:r>
        <w:t xml:space="preserve">5. Risk-stratified cohorts</w:t>
      </w:r>
    </w:p>
    <w:p>
      <w:pPr>
        <w:pStyle w:val="Heading3"/>
        <w:keepNext/>
        <w:widowControl/>
      </w:pPr>
      <w:r>
        <w:t xml:space="preserve">5.1 Guidance-aligned lower-risk institutional cohort</w:t>
      </w:r>
    </w:p>
    <w:p>
      <w:pPr>
        <w:pStyle w:val="Normal"/>
        <w:widowControl/>
        <w:numPr>
          <w:ilvl w:val="0"/>
          <w:numId w:val="3"/>
        </w:numPr>
      </w:pPr>
      <w:r>
        <w:t xml:space="preserve">Liver-only HEHE.</w:t>
      </w:r>
    </w:p>
    <w:p>
      <w:pPr>
        <w:pStyle w:val="Normal"/>
        <w:widowControl/>
        <w:numPr>
          <w:ilvl w:val="0"/>
          <w:numId w:val="3"/>
        </w:numPr>
      </w:pPr>
      <w:r>
        <w:t xml:space="preserve">No suspicious or proven hilar lymph-node involvement and no prior tumor rupture.</w:t>
      </w:r>
    </w:p>
    <w:p>
      <w:pPr>
        <w:pStyle w:val="Normal"/>
        <w:widowControl/>
        <w:numPr>
          <w:ilvl w:val="0"/>
          <w:numId w:val="3"/>
        </w:numPr>
      </w:pPr>
      <w:r>
        <w:t xml:space="preserve">No macrovascular invasion.</w:t>
      </w:r>
    </w:p>
    <w:p>
      <w:pPr>
        <w:pStyle w:val="Normal"/>
        <w:widowControl/>
        <w:numPr>
          <w:ilvl w:val="0"/>
          <w:numId w:val="3"/>
        </w:numPr>
      </w:pPr>
      <w:r>
        <w:t xml:space="preserve">An interval of more than 120 days before transplantation is preferred ONLY as an opportunity to observe disease behaviour when observation is clinically safe. The registry association between short waiting time and recurrence (HR 2.6) is confounded by indication — rapid transplantation selects for aggressive or symptomatic disease — and provides no evidence that deliberately delaying transplantation reduces recurrence. Do NOT impose or extend a waiting interval in a candidate with progressive disease, deteriorating liver function or symptomatic burden; in those candidates the short interval is a marker of risk, to be reflected in counselling and in the high-risk surveillance schedule, not a modifiable exposure. This is a center safeguard, not an OPTN requirement.</w:t>
      </w:r>
    </w:p>
    <w:p>
      <w:pPr>
        <w:pStyle w:val="Normal"/>
        <w:widowControl/>
        <w:numPr>
          <w:ilvl w:val="0"/>
          <w:numId w:val="3"/>
        </w:numPr>
      </w:pPr>
      <w:r>
        <w:t xml:space="preserve">HEHE-LT score is not a prospectively validated imaging-only pretransplant eligibility gate. Document available imaging/tissue features and uncertainty; do not assume an unknown pathological feature is absent. Use recurrence-risk discussion alongside clinical benefit and expert staging.</w:t>
      </w:r>
      <w:r>
        <w:t xml:space="preserve"> </w:t>
      </w:r>
      <w:r>
        <w:t xml:space="preserve"> </w:t>
      </w:r>
      <w:r>
        <w:fldChar w:fldCharType="begin"/>
      </w:r>
      <w:r>
        <w:instrText xml:space="preserve"> ADDIN EN.CITE </w:instrText>
      </w:r>
      <w:r>
        <w:fldChar w:fldCharType="begin">
          <w:fldData>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Heading3"/>
        <w:keepNext/>
        <w:widowControl/>
      </w:pPr>
      <w:r>
        <w:t xml:space="preserve">5.2 High-risk individualized cohort</w:t>
      </w:r>
    </w:p>
    <w:p>
      <w:pPr>
        <w:pStyle w:val="Normal"/>
        <w:widowControl/>
        <w:numPr>
          <w:ilvl w:val="0"/>
          <w:numId w:val="3"/>
        </w:numPr>
      </w:pPr>
      <w:r>
        <w:t xml:space="preserve">Limited, biopsy-characterized extrahepatic HEHE that is stable or locally controlled; uncontrolled or progressive extrahepatic disease is excluded.</w:t>
      </w:r>
    </w:p>
    <w:p>
      <w:pPr>
        <w:pStyle w:val="Normal"/>
        <w:widowControl/>
        <w:numPr>
          <w:ilvl w:val="0"/>
          <w:numId w:val="3"/>
        </w:numPr>
      </w:pPr>
      <w:r>
        <w:t xml:space="preserve">Observation interval of 120 days or less, prior clinically meaningful progression, treated hilar nodal disease, prior systemic therapy to obtain control, or uncertain rupture history.</w:t>
      </w:r>
    </w:p>
    <w:p>
      <w:pPr>
        <w:pStyle w:val="Normal"/>
        <w:widowControl/>
        <w:numPr>
          <w:ilvl w:val="0"/>
          <w:numId w:val="3"/>
        </w:numPr>
      </w:pPr>
      <w:r>
        <w:t xml:space="preserve">Requires central pathology confirmation, separate transplant-oncology and allocation-ethics approval, explicit donor-source review, and informed consent addressing increased recurrence uncertainty.</w:t>
      </w:r>
    </w:p>
    <w:p>
      <w:pPr>
        <w:pStyle w:val="Normal"/>
        <w:widowControl/>
        <w:numPr>
          <w:ilvl w:val="0"/>
          <w:numId w:val="3"/>
        </w:numPr>
      </w:pPr>
      <w:r>
        <w:t xml:space="preserve">OPEN local boundary proposal: where clinically safe, observe an individualized stable course before considering extrahepatic HEHE. Six months is a conservative proposal, not a national requirement or proven optimum. Deterioration requires benefit reassessment rather than mandatory waiting. Any expansion requires separate explicit approval.</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OWZlMDk2Yi0xN2ZlLTViYmYtYWQ2ZC1hYmI2N2EyOGM0N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hwYi4xMjIwMj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p>
    <w:p>
      <w:pPr>
        <w:pStyle w:val="Normal"/>
        <w:widowControl/>
        <w:numPr>
          <w:ilvl w:val="0"/>
          <w:numId w:val="3"/>
        </w:numPr>
      </w:pPr>
      <w:r>
        <w:t xml:space="preserve">The request must state clearly that this is a high-risk non-standard case. Living donation does not remove recipient-selection or independent donor-risk obligations.</w:t>
      </w:r>
    </w:p>
    <w:p>
      <w:pPr>
        <w:pStyle w:val="Heading3"/>
        <w:keepNext/>
        <w:widowControl/>
      </w:pPr>
      <w:r>
        <w:t xml:space="preserve">6. Exclusion and deferral criteria</w:t>
      </w:r>
    </w:p>
    <w:p>
      <w:pPr>
        <w:pStyle w:val="Normal"/>
        <w:widowControl/>
        <w:numPr>
          <w:ilvl w:val="0"/>
          <w:numId w:val="3"/>
        </w:numPr>
      </w:pPr>
      <w:r>
        <w:t xml:space="preserve">Hepatic angiosarcoma/hemangiosarcoma or unresolved pathology.</w:t>
      </w:r>
    </w:p>
    <w:p>
      <w:pPr>
        <w:pStyle w:val="Normal"/>
        <w:widowControl/>
        <w:numPr>
          <w:ilvl w:val="0"/>
          <w:numId w:val="3"/>
        </w:numPr>
      </w:pPr>
      <w:r>
        <w:t xml:space="preserve">Macrovascular invasion.</w:t>
      </w:r>
    </w:p>
    <w:p>
      <w:pPr>
        <w:pStyle w:val="Normal"/>
        <w:widowControl/>
        <w:numPr>
          <w:ilvl w:val="0"/>
          <w:numId w:val="3"/>
        </w:numPr>
      </w:pPr>
      <w:r>
        <w:t xml:space="preserve">Clearly resectable disease without a contraindication to oncologic resection.</w:t>
      </w:r>
    </w:p>
    <w:p>
      <w:pPr>
        <w:pStyle w:val="Normal"/>
        <w:widowControl/>
        <w:numPr>
          <w:ilvl w:val="0"/>
          <w:numId w:val="3"/>
        </w:numPr>
      </w:pPr>
      <w:r>
        <w:t xml:space="preserve">Uncontrolled or rapidly progressive extrahepatic disease, untreated suspicious hilar nodes, or active tumor rupture/peritoneal dissemination concern.</w:t>
      </w:r>
    </w:p>
    <w:p>
      <w:pPr>
        <w:pStyle w:val="Normal"/>
        <w:widowControl/>
        <w:numPr>
          <w:ilvl w:val="0"/>
          <w:numId w:val="3"/>
        </w:numPr>
      </w:pPr>
      <w:r>
        <w:t xml:space="preserve">Medical, psychosocial, infectious, or adherence contraindication to transplantation or immunosuppression.</w:t>
      </w:r>
    </w:p>
    <w:p>
      <w:pPr>
        <w:pStyle w:val="Normal"/>
        <w:widowControl/>
        <w:numPr>
          <w:ilvl w:val="0"/>
          <w:numId w:val="3"/>
        </w:numPr>
      </w:pPr>
      <w:r>
        <w:t xml:space="preserve">Defer for new lesions, acceleration, or diagnostic uncertainty until the multidisciplinary team re-establishes suitability.</w:t>
      </w:r>
    </w:p>
    <w:p>
      <w:pPr>
        <w:pStyle w:val="Heading3"/>
        <w:keepNext/>
        <w:widowControl/>
      </w:pPr>
      <w:r>
        <w:t xml:space="preserve">7. Pretransplant treatment and stability</w:t>
      </w:r>
    </w:p>
    <w:p>
      <w:pPr>
        <w:pStyle w:val="Normal"/>
        <w:widowControl/>
        <w:numPr>
          <w:ilvl w:val="0"/>
          <w:numId w:val="3"/>
        </w:numPr>
      </w:pPr>
      <w:r>
        <w:t xml:space="preserve">No mandatory neoadjuvant regimen is established. Observation, ablation, embolization, radiation, or systemic therapy should be selected by the sarcoma/transplant multidisciplinary team.</w:t>
      </w:r>
      <w:r>
        <w:t xml:space="preserve"> </w:t>
      </w:r>
      <w:r>
        <w:t xml:space="preserve"> </w:t>
      </w:r>
      <w:r>
        <w:fldChar w:fldCharType="begin"/>
      </w:r>
      <w:r>
        <w:instrText xml:space="preserve"> ADDIN EN.CITE </w:instrText>
      </w:r>
      <w:r>
        <w:fldChar w:fldCharType="begin">
          <w:fldData>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Restage every 3 months while listed and before each exception extension; include liver imaging and CT chest, and repeat whole-body imaging for previously positive or clinically suspicious sites.</w:t>
      </w:r>
    </w:p>
    <w:p>
      <w:pPr>
        <w:pStyle w:val="Normal"/>
        <w:widowControl/>
        <w:numPr>
          <w:ilvl w:val="0"/>
          <w:numId w:val="3"/>
        </w:numPr>
      </w:pPr>
      <w:r>
        <w:t xml:space="preserve">Immediately re-review candidacy for macrovascular invasion, rupture, new or progressive extrahepatic disease, or marked change in growth kinetics.</w:t>
      </w:r>
    </w:p>
    <w:p>
      <w:pPr>
        <w:pStyle w:val="Heading3"/>
        <w:keepNext/>
        <w:widowControl/>
      </w:pPr>
      <w:r>
        <w:t xml:space="preserve">8. NLRB exception request and extension</w:t>
      </w:r>
    </w:p>
    <w:p>
      <w:pPr>
        <w:pStyle w:val="Normal"/>
        <w:widowControl/>
        <w:numPr>
          <w:ilvl w:val="0"/>
          <w:numId w:val="3"/>
        </w:numPr>
      </w:pPr>
      <w:r>
        <w:t xml:space="preserve">Select the HEHE diagnosis option and submit a written justification narrative.</w:t>
      </w:r>
    </w:p>
    <w:p>
      <w:pPr>
        <w:pStyle w:val="Normal"/>
        <w:widowControl/>
        <w:numPr>
          <w:ilvl w:val="0"/>
          <w:numId w:val="3"/>
        </w:numPr>
      </w:pPr>
      <w:r>
        <w:t xml:space="preserve">Request MMaT-3 as recommended by the December 2025 guidance; do not describe the score as guaranteed or standardized.</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OWZlMDk2Yi0xN2ZlLTViYmYtYWQ2ZC1hYmI2N2EyOGM0NWIiIHRpbWVzdGFtcD0iMTc5MzI4MzY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OWZlMDk2Yi0xN2ZlLTViYmYtYWQ2ZC1hYmI2N2EyOGM0NWIiIHRpbWVzdGFtcD0iMTc5MzI4MzY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Include pathology confirmation and angiosarcoma exclusion; specific reasons for unresectability; dated multiphasic imaging showing no macrovascular invasion; complete staging; all extrahepatic and hilar-node findings; treatments; stability interval; and risk-cohort designation.</w:t>
      </w:r>
    </w:p>
    <w:p>
      <w:pPr>
        <w:pStyle w:val="Normal"/>
        <w:widowControl/>
        <w:numPr>
          <w:ilvl w:val="0"/>
          <w:numId w:val="3"/>
        </w:numPr>
      </w:pPr>
      <w:r>
        <w:t xml:space="preserve">Submit exception extensions on the applicable OPTN 90-day schedule with updated disease-specific evidence and continued suitability. Nonstandard oncology extensions require review; do not assume the standardized HCC auto-extension rule applies. Confirm operational deadlines in the live allocation system.</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3OWZlMDk2Yi0xN2ZlLTViYmYtYWQ2ZC1hYmI2N2EyOGM0NWIiIHRpbWVzdGFtcD0iMTc5MzI4MzY4N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3OWZlMDk2Yi0xN2ZlLTViYmYtYWQ2ZC1hYmI2N2EyOGM0NWIiIHRpbWVzdGFtcD0iMTc5MzI4MzY4N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Heading3"/>
        <w:keepNext/>
        <w:widowControl/>
      </w:pPr>
      <w:r>
        <w:t xml:space="preserve">9. Transplant and post-transplant management</w:t>
      </w:r>
    </w:p>
    <w:p>
      <w:pPr>
        <w:pStyle w:val="Normal"/>
        <w:widowControl/>
        <w:numPr>
          <w:ilvl w:val="0"/>
          <w:numId w:val="3"/>
        </w:numPr>
      </w:pPr>
      <w:r>
        <w:t xml:space="preserve">Deceased- or living-donor transplantation must comply with current OPTN allocation requirements and institutional donor-source ethics review.</w:t>
      </w:r>
    </w:p>
    <w:p>
      <w:pPr>
        <w:pStyle w:val="Normal"/>
        <w:widowControl/>
        <w:numPr>
          <w:ilvl w:val="0"/>
          <w:numId w:val="3"/>
        </w:numPr>
      </w:pPr>
      <w:r>
        <w:t xml:space="preserve">Perform complete recipient hepatectomy without tumor disruption; inspect and sample suspicious hilar nodes or peritoneal lesions and abort transplantation if intraoperative findings materially violate the approved risk pathway.</w:t>
      </w:r>
    </w:p>
    <w:p>
      <w:pPr>
        <w:pStyle w:val="Normal"/>
        <w:widowControl/>
        <w:numPr>
          <w:ilvl w:val="0"/>
          <w:numId w:val="3"/>
        </w:numPr>
      </w:pPr>
      <w:r>
        <w:t xml:space="preserve">Use the current institutional immunosuppression protocol. There is insufficient evidence to mandate a tumor-specific or mTOR-based regimen; minimize oncologically unnecessary immunosuppression when clinically feasible.</w:t>
      </w:r>
    </w:p>
    <w:p>
      <w:pPr>
        <w:pStyle w:val="Normal"/>
        <w:widowControl/>
        <w:numPr>
          <w:ilvl w:val="0"/>
          <w:numId w:val="3"/>
        </w:numPr>
      </w:pPr>
      <w:r>
        <w:t xml:space="preserve">Record waiting-list interval and explant/pathological macrovascular and hilar-node findings. The retrospective HEHE-LT score combines macrovascular invasion (5 points), waiting time ≤120 days (3) and hilar-node invasion (2); five-year DFS was 93.9% for score ≤2 versus 38.5% for ≥6. These selected-recipient/pathology-associated estimates do not validate a pre-LT imaging-only cutoff or prove benefit from delaying LT.</w:t>
      </w:r>
      <w:r>
        <w:t xml:space="preserve"> </w:t>
      </w:r>
      <w:r>
        <w:t xml:space="preserve"> </w:t>
      </w:r>
      <w:r>
        <w:fldChar w:fldCharType="begin"/>
      </w:r>
      <w:r>
        <w:instrText xml:space="preserve"> ADDIN EN.CITE </w:instrText>
      </w:r>
      <w:r>
        <w:fldChar w:fldCharType="begin">
          <w:fldData>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Report explant distribution, vascular invasion, hilar nodes and rupture; state whether each risk feature was known before LT or only found at explant. Pathological risk may inform follow-up, with pre/post-LT discordance recorded explicitly. Do not claim that explant information invalidates the score or that a score alone dictates transplantation.</w:t>
      </w:r>
      <w:r>
        <w:t xml:space="preserve"> </w:t>
      </w:r>
      <w:r>
        <w:t xml:space="preserve"> </w:t>
      </w:r>
      <w:r>
        <w:fldChar w:fldCharType="begin"/>
      </w:r>
      <w:r>
        <w:instrText xml:space="preserve"> ADDIN EN.CITE </w:instrText>
      </w:r>
      <w:r>
        <w:fldChar w:fldCharType="begin">
          <w:fldData>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p>
    <w:p>
      <w:pPr>
        <w:pStyle w:val="Heading3"/>
        <w:keepNext/>
        <w:widowControl/>
      </w:pPr>
      <w:r>
        <w:t xml:space="preserve">10. Post-transplant surveillance</w:t>
      </w:r>
    </w:p>
    <w:p>
      <w:pPr>
        <w:pStyle w:val="Normal"/>
        <w:widowControl/>
        <w:numPr>
          <w:ilvl w:val="0"/>
          <w:numId w:val="3"/>
        </w:numPr>
      </w:pPr>
      <w:r>
        <w:t xml:space="preserve">Lower-risk cohort: CT chest/abdomen/pelvis plus liver MRI every 6 months for 5 years, then annually. Late recurrence is possible; continued annual imaging is preferred.</w:t>
      </w:r>
    </w:p>
    <w:p>
      <w:pPr>
        <w:pStyle w:val="Normal"/>
        <w:widowControl/>
        <w:numPr>
          <w:ilvl w:val="0"/>
          <w:numId w:val="3"/>
        </w:numPr>
      </w:pPr>
      <w:r>
        <w:t xml:space="preserve">High-risk cohort: CT chest/abdomen/pelvis plus liver MRI every 3 to 4 months for 2 years, every 6 months during years 3 to 5, then annually.</w:t>
      </w:r>
    </w:p>
    <w:p>
      <w:pPr>
        <w:pStyle w:val="Normal"/>
        <w:widowControl/>
        <w:numPr>
          <w:ilvl w:val="0"/>
          <w:numId w:val="3"/>
        </w:numPr>
      </w:pPr>
      <w:r>
        <w:t xml:space="preserve">Repeat PET/CT or whole-body MRI when it was positive at baseline or when symptoms suggest bone or soft-tissue recurrence. There is no validated serum HEHE tumor marker.</w:t>
      </w:r>
    </w:p>
    <w:p>
      <w:pPr>
        <w:pStyle w:val="Normal"/>
        <w:widowControl/>
        <w:numPr>
          <w:ilvl w:val="0"/>
          <w:numId w:val="3"/>
        </w:numPr>
      </w:pPr>
      <w:r>
        <w:t xml:space="preserve">Surveillance intervals are institutional risk-based extrapolations; the international consensus notes that no HEHE-specific interval has been validated.</w:t>
      </w:r>
      <w:r>
        <w:t xml:space="preserve"> </w:t>
      </w:r>
      <w:r>
        <w:t xml:space="preserve"> </w:t>
      </w:r>
      <w:r>
        <w:fldChar w:fldCharType="begin"/>
      </w:r>
      <w:r>
        <w:instrText xml:space="preserve"> ADDIN EN.CITE </w:instrText>
      </w:r>
      <w:r>
        <w:fldChar w:fldCharType="begin">
          <w:fldData>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Heading3"/>
        <w:keepNext/>
        <w:widowControl/>
      </w:pPr>
      <w:r>
        <w:t xml:space="preserve">11. Governance and quality review</w:t>
      </w:r>
    </w:p>
    <w:p>
      <w:pPr>
        <w:pStyle w:val="Normal"/>
        <w:widowControl/>
        <w:numPr>
          <w:ilvl w:val="0"/>
          <w:numId w:val="3"/>
        </w:numPr>
      </w:pPr>
      <w:r>
        <w:t xml:space="preserve">This is a clinical-operational draft, not patient-specific medical advice or final institutional policy.</w:t>
      </w:r>
    </w:p>
    <w:p>
      <w:pPr>
        <w:pStyle w:val="Normal"/>
        <w:widowControl/>
        <w:numPr>
          <w:ilvl w:val="0"/>
          <w:numId w:val="3"/>
        </w:numPr>
      </w:pPr>
      <w:r>
        <w:t xml:space="preserve">Require current review by the transplant selection committee and transplant-oncology conference before activation and at every major change in disease status.</w:t>
      </w:r>
    </w:p>
    <w:p>
      <w:pPr>
        <w:pStyle w:val="Normal"/>
        <w:widowControl/>
        <w:numPr>
          <w:ilvl w:val="0"/>
          <w:numId w:val="3"/>
        </w:numPr>
      </w:pPr>
      <w:r>
        <w:t xml:space="preserve">Track waitlist dropout, NLRB decisions, donor source, perioperative mortality, rejection, recurrence site and timing, graft survival, patient survival, and quality of life.</w:t>
      </w:r>
    </w:p>
    <w:p>
      <w:pPr>
        <w:pStyle w:val="Normal"/>
        <w:widowControl/>
        <w:numPr>
          <w:ilvl w:val="0"/>
          <w:numId w:val="3"/>
        </w:numPr>
      </w:pPr>
      <w:r>
        <w:t xml:space="preserve">Recheck the live OPTN policy and guidance immediately before committee adoption, exception submission, or extension.</w:t>
      </w:r>
    </w:p>
    <w:p>
      <w:pPr>
        <w:pStyle w:val="Heading2"/>
        <w:keepNext/>
        <w:widowControl/>
      </w:pPr>
      <w:r>
        <w:t xml:space="preserve">Full-text evidence update — interpret within the standard boundary</w:t>
      </w:r>
    </w:p>
    <w:p>
      <w:pPr>
        <w:pStyle w:val="Normal"/>
        <w:widowControl/>
      </w:pPr>
      <w:r>
        <w:t xml:space="preserve">The following new full-text findings qualify outcome counseling and operational decisions. Evidence from expanded or experimental cohorts does not enlarge this standard pathway. For proposed boundary changes, use the separately linked OPEN meeting record.</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C1E4F5"/>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C1E4F5"/>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ACG 2024</w:t>
            </w:r>
            <w:r>
              <w:t xml:space="preserve"> </w:t>
            </w:r>
            <w:r>
              <w:t xml:space="preserve"> </w:t>
            </w:r>
            <w:r>
              <w:fldChar w:fldCharType="begin"/>
            </w:r>
            <w:r>
              <w:instrText xml:space="preserve"> ADDIN EN.CITE </w:instrText>
            </w:r>
            <w:r>
              <w:fldChar w:fldCharType="begin">
                <w:fldData>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0MzA5L2FqZy4wMDAwMDAwMDAwMDAyODU3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spacing w:before="60" w:after="20"/>
            </w:pPr>
            <w:r>
              <w:t xml:space="preserve">ACG 2024 focal liver lesion guideline, key concepts 34–36.</w:t>
            </w:r>
          </w:p>
          <w:p>
            <w:pPr>
              <w:pStyle w:val="Normal"/>
              <w:widowControl/>
              <w:spacing w:before="60" w:after="20"/>
            </w:pPr>
            <w:r>
              <w:t xml:space="preserve">Selection: Whole-body CT/MRI staging; recognize variable, sometimes low PET avidity.</w:t>
            </w:r>
          </w:p>
          <w:p>
            <w:pPr>
              <w:pStyle w:val="Normal"/>
              <w:widowControl/>
              <w:spacing w:before="60" w:after="20"/>
            </w:pPr>
            <w:hyperlink r:id="rId23">
              <w:r>
                <w:rPr>
                  <w:color w:val="77230C"/>
                  <w:sz w:val="20"/>
                  <w:u w:val="single"/>
                </w:rPr>
                <w:t>Primary source</w:t>
              </w:r>
            </w:hyperlink>
            <w:r>
              <w:t xml:space="preserve"> | </w:t>
            </w:r>
            <w:hyperlink r:id="rId24">
              <w:r>
                <w:rPr>
                  <w:color w:val="77230C"/>
                  <w:sz w:val="20"/>
                  <w:u w:val="single"/>
                </w:rPr>
                <w:t>Full-text PDF</w:t>
              </w:r>
            </w:hyperlink>
          </w:p>
          <w:p>
            <w:pPr>
              <w:pStyle w:val="Normal"/>
              <w:widowControl/>
              <w:spacing w:before="60" w:after="20"/>
            </w:pPr>
            <w:r>
              <w:t xml:space="preserve">Locator: PDF pp4–5 key concepts, pp10–16 HCA, pp20–22 HEHE; full clinical text through p30 reviewed. Tables/figure captions and reference lists inspected.</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ACG recommends multidisciplinary characterization of uncertain lesions. HCA: MRI cannot reliably subtype beta-catenin lesions or separate them from well-differentiated HCC; suspicious change warrants tissue/MDT evaluation. Selected women with ≥5-cm HCA can have 6–12-month risk-factor modification; suspicion of malignancy should not wait. Resection remains preferred where feasible, with embolization/ablation alternatives when not. LT is reserved for selected unresectable complicated/molecular-risk disease. HEHE key concept 35 permits LT including selected extrahepatic disease.</w:t>
            </w:r>
          </w:p>
          <w:p>
            <w:pPr>
              <w:pStyle w:val="Normal"/>
              <w:widowControl/>
              <w:spacing w:before="60" w:after="20"/>
            </w:pPr>
            <w:r>
              <w:rPr>
                <w:b/>
              </w:rPr>
              <w:t xml:space="preserve">Do not infer: </w:t>
            </w:r>
            <w:r>
              <w:t xml:space="preserve">HCA and HEHE LT statements are ungraded key concepts, not high-certainty GRADE recommendations or allocation policy. ACG cites older OPTN guidance as policy; apply current HRSA/NLRB source separately. ACG ≥10 adenomatosis definition is not interchangeable with NLRB &gt;10. HEHE permissive wording conflicts with the disease-specific EHE consensus; do not erase that disagreement.</w:t>
            </w:r>
          </w:p>
        </w:tc>
      </w:tr>
      <w:tr>
        <w:trPr/>
        <w:tc>
          <w:tcPr>
            <w:tcW w:w="3400" w:type="dxa"/>
            <w:tcMar>
              <w:top w:w="90" w:type="dxa"/>
              <w:left w:w="90" w:type="dxa"/>
              <w:bottom w:w="90" w:type="dxa"/>
              <w:right w:w="90" w:type="dxa"/>
            </w:tcMar>
          </w:tcPr>
          <w:p>
            <w:pPr>
              <w:pStyle w:val="Normal"/>
              <w:widowControl/>
              <w:spacing w:before="60" w:after="20"/>
            </w:pPr>
            <w:r>
              <w:rPr>
                <w:b/>
              </w:rPr>
              <w:t xml:space="preserve">AASLD/AST candidate evaluation</w:t>
            </w:r>
            <w:r>
              <w:t xml:space="preserve"> </w:t>
            </w:r>
            <w:r>
              <w:t xml:space="preserve"> </w:t>
            </w:r>
            <w:r>
              <w:fldChar w:fldCharType="begin"/>
            </w:r>
            <w:r>
              <w:instrText xml:space="preserve"> ADDIN EN.CITE </w:instrText>
            </w:r>
            <w:r>
              <w:fldChar w:fldCharType="begin">
                <w:fldData>PEVuZE5vdGU+PENpdGU+PEF1dGhvcj5Eb3ZlPC9BdXRob3I+PFllYXI+MjAyNjwvWWVhcj48UmVjTnVtPjM8L1JlY051bT48RGlzcGxheVRleHQ+W1YxNi0zXTwvRGlzcGxheVRleHQ+PHJlY29yZD48cmVjLW51bWJlcj4zPC9yZWMtbnVtYmVyPjxmb3JlaWduLWtleXM+PGtleSBhcHA9IkVOIiBkYi1pZD0iNzlmZTA5NmItMTdmZS01YmJmLWFkNmQtYWJiNjdhMjhjNDViIiB0aW1lc3RhbXA9IjE3OTMyODM2ODciPjM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AASLD/AST practice guideline, not an original patient cohort. Multidisciplinary evidence review with Oxford evidence levels; searches included a January 23, 2025 refresher. Recommendations combine evidence quality, benefit–risk assessment and patient preferences.</w:t>
            </w:r>
          </w:p>
          <w:p>
            <w:pPr>
              <w:pStyle w:val="Normal"/>
              <w:widowControl/>
              <w:spacing w:before="60" w:after="20"/>
            </w:pPr>
            <w:r>
              <w:t xml:space="preserve">Selection: pCCA statement 9: unresectable disease with radial diameter &lt;3 cm (Strong, Level 3). Statement 10: neoadjuvant radiation plus chemotherapy and operative staging (Strong, Level 3). iCCA/mixed HCC–CCA statement 11: biopsy-proven unresectable tumor, maximum diameter &lt;3 cm, no extrahepatic disease (Weak, Level 4); the explanatory paragraph adds solitary disease and underlying cirrhosis.</w:t>
            </w:r>
          </w:p>
          <w:p>
            <w:pPr>
              <w:pStyle w:val="Normal"/>
              <w:widowControl/>
              <w:spacing w:before="60" w:after="20"/>
            </w:pPr>
            <w:hyperlink r:id="rId25">
              <w:r>
                <w:rPr>
                  <w:color w:val="77230C"/>
                  <w:sz w:val="20"/>
                  <w:u w:val="single"/>
                </w:rPr>
                <w:t>Primary source</w:t>
              </w:r>
            </w:hyperlink>
            <w:r>
              <w:t xml:space="preserve"> | </w:t>
            </w:r>
            <w:hyperlink r:id="rId26">
              <w:r>
                <w:rPr>
                  <w:color w:val="77230C"/>
                  <w:sz w:val="20"/>
                  <w:u w:val="single"/>
                </w:rPr>
                <w:t>Full-text PDF</w:t>
              </w:r>
            </w:hyperlink>
          </w:p>
          <w:p>
            <w:pPr>
              <w:pStyle w:val="Normal"/>
              <w:widowControl/>
              <w:spacing w:before="60" w:after="20"/>
            </w:pPr>
            <w:r>
              <w:t xml:space="preserve">Locator: 60-page local author manuscript: pp1–3 publication identity, scope and methods; pp6–8 HCC/CCA statements; pp8–9 CCA rationale and multidisciplinary evaluation; pp25–27 LDLT statements 50–53 and safety/ethical considerations; pp27–28 selected nonhepatic malignancy guidance.</w:t>
            </w:r>
          </w:p>
          <w:p>
            <w:pPr>
              <w:pStyle w:val="Normal"/>
              <w:widowControl/>
              <w:spacing w:before="60" w:after="20"/>
            </w:pPr>
            <w:r>
              <w:t xml:space="preserve">Review depth: Complete 60-page author-manuscript PDF is present. Fresh targeted full-page reading of pp1–3, 6–9 and 25–28; the remaining guideline sections and complete reference list were not reread in this bounded supplemental review. This is a relevant-section review, not a claim of fresh cover-to-cover review.</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new treatment-effect denominator or original survival endpoint. The guidance supports narrowly selected CCA candidacy rather than a validated advanced-iCCA expansion. It recommends multidisciplinary assessment of expected benefit, medical/psychosocial feasibility and patient wishes; for LDLT, donor safety and expected recipient outcome must be assessed together.</w:t>
            </w:r>
          </w:p>
          <w:p>
            <w:pPr>
              <w:pStyle w:val="Normal"/>
              <w:widowControl/>
              <w:spacing w:before="60" w:after="20"/>
            </w:pPr>
            <w:r>
              <w:rPr>
                <w:b/>
              </w:rPr>
              <w:t xml:space="preserve">Do not infer: </w:t>
            </w:r>
            <w:r>
              <w:t xml:space="preserve">Clinical guidance is distinct from binding OPTN policy and current NLRB recommendations. The manuscript links an older February 2025 NLRB posting. Its &lt;3 cm iCCA wording should not be silently changed to ≤3 cm to match another source; exact-boundary discrepancies require explicit source comparison. The broad pCCA-background list concerning prior chemotherapy/radiation must not be generalized to exclude all protocol-directed NAT, which statement 10 expressly recommends. Time origin: The iCCA rationale describes six months of imaging stability after locoregional or systemic therapy and cross-sectional imaging every three months while listed. This is the guideline's formulation, not a resolution of differently worded current allocation clock language. No new study survival clock exists for this guideline card.</w:t>
            </w:r>
          </w:p>
        </w:tc>
      </w:tr>
      <w:tr>
        <w:trPr/>
        <w:tc>
          <w:tcPr>
            <w:tcW w:w="3400" w:type="dxa"/>
            <w:tcMar>
              <w:top w:w="90" w:type="dxa"/>
              <w:left w:w="90" w:type="dxa"/>
              <w:bottom w:w="90" w:type="dxa"/>
              <w:right w:w="90" w:type="dxa"/>
            </w:tcMar>
          </w:tcPr>
          <w:p>
            <w:pPr>
              <w:pStyle w:val="Normal"/>
              <w:widowControl/>
              <w:spacing w:before="60" w:after="20"/>
            </w:pPr>
            <w:r>
              <w:rPr>
                <w:b/>
              </w:rPr>
              <w:t xml:space="preserve">Abecassis 2012</w:t>
            </w:r>
            <w:r>
              <w:t xml:space="preserve"> </w:t>
            </w:r>
            <w:r>
              <w:t xml:space="preserve"> </w:t>
            </w:r>
            <w:r>
              <w:fldChar w:fldCharType="begin"/>
            </w:r>
            <w:r>
              <w:instrText xml:space="preserve"> ADDIN EN.CITE </w:instrText>
            </w:r>
            <w:r>
              <w:fldChar w:fldCharType="begin">
                <w:fldData>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PHVybD5odHRwczovL2RvaS5vcmcvMTAuMTExMS9qLjE2MDAtNjE0My4yMDExLjAzOTcyLng8L3VybD48L3JlbGF0ZWQtdXJscz48cGRmLXVybHMvPjwvdXJscz48L3JlY29yZD48L0NpdGU+PC9FbmROb3RlPg==</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A2ALL cohort: 760 donor operations begun; 740 completed, mostly right lobes.</w:t>
            </w:r>
          </w:p>
          <w:p>
            <w:pPr>
              <w:pStyle w:val="Normal"/>
              <w:widowControl/>
              <w:spacing w:before="60" w:after="20"/>
            </w:pPr>
            <w:r>
              <w:t xml:space="preserve">Selection: Multicenter selected donors, older era; standardized complication ascertainment.</w:t>
            </w:r>
          </w:p>
          <w:p>
            <w:pPr>
              <w:pStyle w:val="Normal"/>
              <w:widowControl/>
              <w:spacing w:before="60" w:after="20"/>
            </w:pPr>
            <w:hyperlink r:id="rId27">
              <w:r>
                <w:rPr>
                  <w:color w:val="77230C"/>
                  <w:sz w:val="20"/>
                  <w:u w:val="single"/>
                </w:rPr>
                <w:t>Primary source</w:t>
              </w:r>
            </w:hyperlink>
            <w:r>
              <w:t xml:space="preserve"> | </w:t>
            </w:r>
            <w:hyperlink r:id="rId28">
              <w:r>
                <w:rPr>
                  <w:color w:val="77230C"/>
                  <w:sz w:val="20"/>
                  <w:u w:val="single"/>
                </w:rPr>
                <w:t>Full-text PDF</w:t>
              </w:r>
            </w:hyperlink>
          </w:p>
          <w:p>
            <w:pPr>
              <w:pStyle w:val="Normal"/>
              <w:widowControl/>
              <w:spacing w:before="60" w:after="20"/>
            </w:pPr>
            <w:r>
              <w:t xml:space="preserve">Locator: PDF pp2–8; Methods, donor flow, complications and late-events Discussion.</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A2ALL: 760 operations initiated, 20 aborted and 740 donations completed. Among completed donations, 296/740 (40%) had at least one complication (557 events); 140 had multiple events. Historical four-tier Clavien grade 3 residual disability occurred in 5 and grade 4 death in 3; one death was perioperative and two were late psychological deaths. An aborted donor also suffered bile leak/infection/abscess and was outside the 740-completion analysis.</w:t>
            </w:r>
          </w:p>
          <w:p>
            <w:pPr>
              <w:pStyle w:val="Normal"/>
              <w:widowControl/>
              <w:spacing w:before="60" w:after="20"/>
            </w:pPr>
            <w:r>
              <w:rPr>
                <w:b/>
              </w:rPr>
              <w:t xml:space="preserve">Do not infer: </w:t>
            </w:r>
            <w:r>
              <w:t xml:space="preserve">Historical classification is NOT modern Clavien–Dindo ≥III; 8/740 cannot be labeled a contemporary major-complication rate. Older expert-center cohort and mixed follow-up; late hernia/psychological events occurred years later. Use contemporary local donor outcomes as well as published estimates; never promise zero risk.</w:t>
            </w:r>
          </w:p>
        </w:tc>
      </w:tr>
      <w:tr>
        <w:trPr/>
        <w:tc>
          <w:tcPr>
            <w:tcW w:w="3400" w:type="dxa"/>
            <w:tcMar>
              <w:top w:w="90" w:type="dxa"/>
              <w:left w:w="90" w:type="dxa"/>
              <w:bottom w:w="90" w:type="dxa"/>
              <w:right w:w="90" w:type="dxa"/>
            </w:tcMar>
          </w:tcPr>
          <w:p>
            <w:pPr>
              <w:pStyle w:val="Normal"/>
              <w:widowControl/>
              <w:spacing w:before="60" w:after="20"/>
            </w:pPr>
            <w:r>
              <w:rPr>
                <w:b/>
              </w:rPr>
              <w:t xml:space="preserve">DiMartini 2017</w:t>
            </w:r>
            <w:r>
              <w:t xml:space="preserve"> </w:t>
            </w:r>
            <w:r>
              <w:t xml:space="preserve"> </w:t>
            </w:r>
            <w:r>
              <w:fldChar w:fldCharType="begin"/>
            </w:r>
            <w:r>
              <w:instrText xml:space="preserve"> ADDIN EN.CITE </w:instrText>
            </w:r>
            <w:r>
              <w:fldChar w:fldCharType="begin">
                <w:fldData>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YWp0LjE0MDU1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p>
          <w:p>
            <w:pPr>
              <w:pStyle w:val="Normal"/>
              <w:widowControl/>
              <w:spacing w:before="60" w:after="20"/>
            </w:pPr>
            <w:r>
              <w:t xml:space="preserve">Prospective A2ALL-2 interviews: 271/297 eligible donors, before and through 24 months after donation.</w:t>
            </w:r>
          </w:p>
          <w:p>
            <w:pPr>
              <w:pStyle w:val="Normal"/>
              <w:widowControl/>
              <w:spacing w:before="60" w:after="20"/>
            </w:pPr>
            <w:r>
              <w:t xml:space="preserve">Selection: Costs and social recovery reported by participants, not randomized financial support.</w:t>
            </w:r>
          </w:p>
          <w:p>
            <w:pPr>
              <w:pStyle w:val="Normal"/>
              <w:widowControl/>
              <w:spacing w:before="60" w:after="20"/>
            </w:pPr>
            <w:hyperlink r:id="rId29">
              <w:r>
                <w:rPr>
                  <w:color w:val="77230C"/>
                  <w:sz w:val="20"/>
                  <w:u w:val="single"/>
                </w:rPr>
                <w:t>Primary source</w:t>
              </w:r>
            </w:hyperlink>
            <w:r>
              <w:t xml:space="preserve"> | </w:t>
            </w:r>
            <w:hyperlink r:id="rId30">
              <w:r>
                <w:rPr>
                  <w:color w:val="77230C"/>
                  <w:sz w:val="20"/>
                  <w:u w:val="single"/>
                </w:rPr>
                <w:t>Full-text PDF</w:t>
              </w:r>
            </w:hyperlink>
          </w:p>
          <w:p>
            <w:pPr>
              <w:pStyle w:val="Normal"/>
              <w:widowControl/>
              <w:spacing w:before="60" w:after="20"/>
            </w:pPr>
            <w:r>
              <w:t xml:space="preserve">Locator: PDF pp2–14; Figure 1, Tables 3–4 and 7,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Prospective A2ALL-2 surveys: 271 donors with ≥1 survey, 263 with postdonation data and 245 with both pre/post data; 139 interviews at two years. Cumulatively 75% reported nonmedical out-of-pocket expenses, 45% lost wages, 37% uncovered medical expenses and 44% burdensome costs at ≥1 assessment. Burden was 39.6% at three months (99/250) and 19.4% at two years (27/139). Among 196 employed before donation, 40% ever modified work/jobs.</w:t>
            </w:r>
          </w:p>
          <w:p>
            <w:pPr>
              <w:pStyle w:val="Normal"/>
              <w:widowControl/>
              <w:spacing w:before="60" w:after="20"/>
            </w:pPr>
            <w:r>
              <w:rPr>
                <w:b/>
              </w:rPr>
              <w:t xml:space="preserve">Do not infer: </w:t>
            </w:r>
            <w:r>
              <w:t xml:space="preserve">Self-report, variable denominators, administrative censoring/attrition, English-only selected donors and two-year horizon. These are not all 271 donors reporting each endpoint at a single time. Positive relationships do not offset financial harms. Historical 2017 insurance/assistance descriptions must not be presented as current law or current benefit eligibility.</w:t>
            </w:r>
          </w:p>
        </w:tc>
      </w:tr>
      <w:tr>
        <w:trPr/>
        <w:tc>
          <w:tcPr>
            <w:tcW w:w="3400" w:type="dxa"/>
            <w:tcMar>
              <w:top w:w="90" w:type="dxa"/>
              <w:left w:w="90" w:type="dxa"/>
              <w:bottom w:w="90" w:type="dxa"/>
              <w:right w:w="90" w:type="dxa"/>
            </w:tcMar>
          </w:tcPr>
          <w:p>
            <w:pPr>
              <w:pStyle w:val="Normal"/>
              <w:widowControl/>
              <w:spacing w:before="60" w:after="20"/>
            </w:pPr>
            <w:r>
              <w:rPr>
                <w:b/>
              </w:rPr>
              <w:t xml:space="preserve">Xiao 2024</w:t>
            </w:r>
            <w:r>
              <w:t xml:space="preserve"> </w:t>
            </w:r>
            <w:r>
              <w:t xml:space="preserve"> </w:t>
            </w:r>
            <w:r>
              <w:fldChar w:fldCharType="begin"/>
            </w:r>
            <w:r>
              <w:instrText xml:space="preserve"> ADDIN EN.CITE </w:instrText>
            </w:r>
            <w:r>
              <w:fldChar w:fldCharType="begin">
                <w:fldData>PEVuZE5vdGU+PENpdGU+PEF1dGhvcj5YaWFvPC9BdXRob3I+PFllYXI+MjAyNDwvWWVhcj48UmVjTnVtPjEwPC9SZWNOdW0+PERpc3BsYXlUZXh0PltWMTYtMTBdPC9EaXNwbGF5VGV4dD48cmVjb3JkPjxyZWMtbnVtYmVyPjEwPC9yZWMtbnVtYmVyPjxmb3JlaWduLWtleXM+PGtleSBhcHA9IkVOIiBkYi1pZD0iNzlmZTA5NmItMTdmZS01YmJmLWFkNmQtYWJiNjdhMjhjNDViIiB0aW1lc3RhbXA9IjE3OTMyODM2ODciPjEw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Published meta-analysis of 60,829 donors; primary abstract reports 87 articles.</w:t>
            </w:r>
          </w:p>
          <w:p>
            <w:pPr>
              <w:pStyle w:val="Normal"/>
              <w:widowControl/>
              <w:spacing w:before="60" w:after="20"/>
            </w:pPr>
            <w:r>
              <w:t xml:space="preserve">Selection: Heterogeneous centers, eras and complication definitions; full overlap audit pending.</w:t>
            </w:r>
          </w:p>
          <w:p>
            <w:pPr>
              <w:pStyle w:val="Normal"/>
              <w:widowControl/>
              <w:spacing w:before="60" w:after="20"/>
            </w:pPr>
            <w:hyperlink r:id="rId31">
              <w:r>
                <w:rPr>
                  <w:color w:val="77230C"/>
                  <w:sz w:val="20"/>
                  <w:u w:val="single"/>
                </w:rPr>
                <w:t>Primary source</w:t>
              </w:r>
            </w:hyperlink>
            <w:r>
              <w:t xml:space="preserve"> | </w:t>
            </w:r>
            <w:hyperlink r:id="rId32">
              <w:r>
                <w:rPr>
                  <w:color w:val="77230C"/>
                  <w:sz w:val="20"/>
                  <w:u w:val="single"/>
                </w:rPr>
                <w:t>Full-text PDF</w:t>
              </w:r>
            </w:hyperlink>
          </w:p>
          <w:p>
            <w:pPr>
              <w:pStyle w:val="Normal"/>
              <w:widowControl/>
              <w:spacing w:before="60" w:after="20"/>
            </w:pPr>
            <w:r>
              <w:t xml:space="preserve">Locator: PDF pp3–10; Methods, Tables 1–3,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Meta-analysis reports 187 articles/60,829 donors in full-text Results (abstract says 87). Endpoint denominators differ: any complication 24.7% (95% CI 21.6–28.1; 163 studies/34,317 donors), major Clavien–Dindo III–V 5.5% (4.5–6.7; 105/27,571), mortality 0.06% (0.0–0.1; 111/49,027). Psychological complications 7.6% (4.9–11.5; 35/17,171).</w:t>
            </w:r>
          </w:p>
          <w:p>
            <w:pPr>
              <w:pStyle w:val="Normal"/>
              <w:widowControl/>
              <w:spacing w:before="60" w:after="20"/>
            </w:pPr>
            <w:r>
              <w:rPr>
                <w:b/>
              </w:rPr>
              <w:t xml:space="preserve">Do not infer: </w:t>
            </w:r>
            <w:r>
              <w:t xml:space="preserve">Heterogeneous observational reports, variable follow-up, duplicate-cohort sensitivity analysis, underreporting and limited new-vs-preexisting psychiatric detail. No common 60,829-person denominator for every endpoint. Right/left graft comparisons are selected, not causal. Several textual inconsistencies (study count and operation duration) require Table-specific reporting.</w:t>
            </w:r>
          </w:p>
        </w:tc>
      </w:tr>
      <w:tr>
        <w:trPr/>
        <w:tc>
          <w:tcPr>
            <w:tcW w:w="3400" w:type="dxa"/>
            <w:tcMar>
              <w:top w:w="90" w:type="dxa"/>
              <w:left w:w="90" w:type="dxa"/>
              <w:bottom w:w="90" w:type="dxa"/>
              <w:right w:w="90" w:type="dxa"/>
            </w:tcMar>
          </w:tcPr>
          <w:p>
            <w:pPr>
              <w:pStyle w:val="Normal"/>
              <w:widowControl/>
              <w:spacing w:before="60" w:after="20"/>
            </w:pPr>
            <w:r>
              <w:rPr>
                <w:b/>
              </w:rPr>
              <w:t xml:space="preserve">Brahmbhatt 2020</w:t>
            </w:r>
            <w:r>
              <w:t xml:space="preserve"> </w:t>
            </w:r>
            <w:r>
              <w:t xml:space="preserve"> </w:t>
            </w:r>
            <w:r>
              <w:fldChar w:fldCharType="begin"/>
            </w:r>
            <w:r>
              <w:instrText xml:space="preserve"> ADDIN EN.CITE </w:instrText>
            </w:r>
            <w:r>
              <w:fldChar w:fldCharType="begin">
                <w:fldData>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1RQLjAwMDAwMDAwMDAwMDI5ODI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pStyle w:val="Normal"/>
              <w:widowControl/>
              <w:spacing w:before="60" w:after="20"/>
            </w:pPr>
            <w:r>
              <w:t xml:space="preserve">UNOS 2002–2018: 131 adults listed; 88 transplanted.</w:t>
            </w:r>
          </w:p>
          <w:p>
            <w:pPr>
              <w:pStyle w:val="Normal"/>
              <w:widowControl/>
              <w:spacing w:before="60" w:after="20"/>
            </w:pPr>
            <w:r>
              <w:t xml:space="preserve">Selection: Median MELD 7 and waiting time 78.5 days. Body describes 121 exception applications, one withdrawn, and 120 receiving approval at least once; the abstract reports 120 applications.</w:t>
            </w:r>
          </w:p>
          <w:p>
            <w:pPr>
              <w:pStyle w:val="Normal"/>
              <w:widowControl/>
              <w:spacing w:before="60" w:after="20"/>
            </w:pPr>
            <w:hyperlink r:id="rId33">
              <w:r>
                <w:rPr>
                  <w:color w:val="77230C"/>
                  <w:sz w:val="20"/>
                  <w:u w:val="single"/>
                </w:rPr>
                <w:t>Primary source</w:t>
              </w:r>
            </w:hyperlink>
            <w:r>
              <w:t xml:space="preserve"> | </w:t>
            </w:r>
            <w:hyperlink r:id="rId34">
              <w:r>
                <w:rPr>
                  <w:color w:val="77230C"/>
                  <w:sz w:val="20"/>
                  <w:u w:val="single"/>
                </w:rPr>
                <w:t>Full-text PDF</w:t>
              </w:r>
            </w:hyperlink>
          </w:p>
          <w:p>
            <w:pPr>
              <w:pStyle w:val="Normal"/>
              <w:widowControl/>
              <w:spacing w:before="60" w:after="20"/>
            </w:pPr>
            <w:r>
              <w:t xml:space="preserve">Locator: PDF pp2–5: Methods, Results, Figure 1, graft and recipient outcomes.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UNOS: 131 listed, 88 received LT (83 deceased-donor, 5 living-donor); 14/131 died or became too sick before LT. Reported initial-LT survival at 1/3/5 years was 88.6%/78.9%/77.2%; Methods combined patient death/graft failure, so this is not an unqualified patient-OS estimate. Early HAT-related graft failure: 4/88 (4.5%) versus 372/78,505 (0.5%). Seven recipients required retransplantation, two a third LT.</w:t>
            </w:r>
          </w:p>
          <w:p>
            <w:pPr>
              <w:pStyle w:val="Normal"/>
              <w:widowControl/>
              <w:spacing w:before="60" w:after="20"/>
            </w:pPr>
            <w:r>
              <w:rPr>
                <w:b/>
              </w:rPr>
              <w:t xml:space="preserve">Do not infer: </w:t>
            </w:r>
            <w:r>
              <w:t xml:space="preserve">Recipient selection and overlapping UNOS eras; limited disease-extent data and no causal timing or extrahepatic-disease comparison. Keep initial-graft and recipient endpoints distinct. Do not describe low laboratory MELD or exception approval as proof of individual transplant benefit.</w:t>
            </w:r>
          </w:p>
        </w:tc>
      </w:tr>
      <w:tr>
        <w:trPr/>
        <w:tc>
          <w:tcPr>
            <w:tcW w:w="3400" w:type="dxa"/>
            <w:tcMar>
              <w:top w:w="90" w:type="dxa"/>
              <w:left w:w="90" w:type="dxa"/>
              <w:bottom w:w="90" w:type="dxa"/>
              <w:right w:w="90" w:type="dxa"/>
            </w:tcMar>
          </w:tcPr>
          <w:p>
            <w:pPr>
              <w:pStyle w:val="Normal"/>
              <w:widowControl/>
              <w:spacing w:before="60" w:after="20"/>
            </w:pPr>
            <w:r>
              <w:rPr>
                <w:b/>
              </w:rPr>
              <w:t xml:space="preserve">Liu 2024</w:t>
            </w:r>
            <w:r>
              <w:t xml:space="preserve"> </w:t>
            </w:r>
            <w:r>
              <w:t xml:space="preserve"> </w:t>
            </w:r>
            <w:r>
              <w:fldChar w:fldCharType="begin"/>
            </w:r>
            <w:r>
              <w:instrText xml:space="preserve"> ADDIN EN.CITE </w:instrText>
            </w:r>
            <w:r>
              <w:fldChar w:fldCharType="begin">
                <w:fldData>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p>
          <w:p>
            <w:pPr>
              <w:pStyle w:val="Normal"/>
              <w:widowControl/>
              <w:spacing w:before="60" w:after="20"/>
            </w:pPr>
            <w:r>
              <w:t xml:space="preserve">Single-team retrospective cohort 2014–2024: 228 evaluable; LT 8, resection/ablation 49, nonsurgical 171.</w:t>
            </w:r>
          </w:p>
          <w:p>
            <w:pPr>
              <w:pStyle w:val="Normal"/>
              <w:widowControl/>
              <w:spacing w:before="60" w:after="20"/>
            </w:pPr>
            <w:r>
              <w:t xml:space="preserve">Selection: Half the eight LT patients had a lesion &gt;10 cm, versus 10% of non-LT patients.</w:t>
            </w:r>
          </w:p>
          <w:p>
            <w:pPr>
              <w:pStyle w:val="Normal"/>
              <w:widowControl/>
              <w:spacing w:before="60" w:after="20"/>
            </w:pPr>
            <w:hyperlink r:id="rId35">
              <w:r>
                <w:rPr>
                  <w:color w:val="77230C"/>
                  <w:sz w:val="20"/>
                  <w:u w:val="single"/>
                </w:rPr>
                <w:t>Primary source</w:t>
              </w:r>
            </w:hyperlink>
            <w:r>
              <w:t xml:space="preserve"> | </w:t>
            </w:r>
            <w:hyperlink r:id="rId36">
              <w:r>
                <w:rPr>
                  <w:color w:val="77230C"/>
                  <w:sz w:val="20"/>
                  <w:u w:val="single"/>
                </w:rPr>
                <w:t>Full-text PDF</w:t>
              </w:r>
            </w:hyperlink>
          </w:p>
          <w:p>
            <w:pPr>
              <w:pStyle w:val="Normal"/>
              <w:widowControl/>
              <w:spacing w:before="60" w:after="20"/>
            </w:pPr>
            <w:r>
              <w:t xml:space="preserve">Locator: PDF pp2–7; Tables 1–3, Survival Outcomes, Figure 2.</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228 evaluable patients: nonsurgical 171, resection/ablation 49, LT 8. Overall five-year OS 84.9%; non-LT five-year OS 87.8%; LT one/three-year OS 62.5%/25%. Four of eight LT patients had tumors &gt;10 cm versus 10% of non-LT patients. Recurrence in 41/49 concerns the resection/ablation group, NOT the eight LT recipients.</w:t>
            </w:r>
          </w:p>
          <w:p>
            <w:pPr>
              <w:pStyle w:val="Normal"/>
              <w:widowControl/>
              <w:spacing w:before="60" w:after="20"/>
            </w:pPr>
            <w:r>
              <w:rPr>
                <w:b/>
              </w:rPr>
              <w:t xml:space="preserve">Do not infer: </w:t>
            </w:r>
            <w:r>
              <w:t xml:space="preserve">Severe confounding by indication and only eight recipients; no demonstrated LT-caused harm or validated size/futility cutoff. The reported survival time origin is insufficiently explicit for a direct post-LT comparison. No controlled evidence that extrahepatic disease is harmless.</w:t>
            </w:r>
          </w:p>
        </w:tc>
      </w:tr>
      <w:tr>
        <w:trPr/>
        <w:tc>
          <w:tcPr>
            <w:tcW w:w="3400" w:type="dxa"/>
            <w:tcMar>
              <w:top w:w="90" w:type="dxa"/>
              <w:left w:w="90" w:type="dxa"/>
              <w:bottom w:w="90" w:type="dxa"/>
              <w:right w:w="90" w:type="dxa"/>
            </w:tcMar>
          </w:tcPr>
          <w:p>
            <w:pPr>
              <w:pStyle w:val="Normal"/>
              <w:widowControl/>
              <w:spacing w:before="60" w:after="20"/>
            </w:pPr>
            <w:r>
              <w:rPr>
                <w:b/>
              </w:rPr>
              <w:t xml:space="preserve">Thomas 2014</w:t>
            </w:r>
            <w:r>
              <w:t xml:space="preserve"> </w:t>
            </w:r>
            <w:r>
              <w:t xml:space="preserve"> </w:t>
            </w:r>
            <w:r>
              <w:fldChar w:fldCharType="begin"/>
            </w:r>
            <w:r>
              <w:instrText xml:space="preserve"> ADDIN EN.CITE </w:instrText>
            </w:r>
            <w:r>
              <w:fldChar w:fldCharType="begin">
                <w:fldData>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hwYi4xMjIwMjwvdXJsPjwvcmVsYXRlZC11cmxzPjxwZGYtdXJscy8+PC91cmxzPjwvcmVjb3JkPjwvQ2l0ZT48L0VuZE5vdGU+</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Single-center retrospective cohort, n=50; initial surgery 7, systemic/embolization 18, observation 25.</w:t>
            </w:r>
          </w:p>
          <w:p>
            <w:pPr>
              <w:pStyle w:val="Normal"/>
              <w:widowControl/>
              <w:spacing w:before="60" w:after="20"/>
            </w:pPr>
            <w:r>
              <w:t xml:space="preserve">Selection: Histologically confirmed EHE; 24/50 metastatic at diagnosis; treatment selected clinically.</w:t>
            </w:r>
          </w:p>
          <w:p>
            <w:pPr>
              <w:pStyle w:val="Normal"/>
              <w:widowControl/>
              <w:spacing w:before="60" w:after="20"/>
            </w:pPr>
            <w:hyperlink r:id="rId37">
              <w:r>
                <w:rPr>
                  <w:color w:val="77230C"/>
                  <w:sz w:val="20"/>
                  <w:u w:val="single"/>
                </w:rPr>
                <w:t>Primary source</w:t>
              </w:r>
            </w:hyperlink>
            <w:r>
              <w:t xml:space="preserve"> | </w:t>
            </w:r>
            <w:hyperlink r:id="rId38">
              <w:r>
                <w:rPr>
                  <w:color w:val="77230C"/>
                  <w:sz w:val="20"/>
                  <w:u w:val="single"/>
                </w:rPr>
                <w:t>Full-text PDF</w:t>
              </w:r>
            </w:hyperlink>
          </w:p>
          <w:p>
            <w:pPr>
              <w:pStyle w:val="Normal"/>
              <w:widowControl/>
              <w:spacing w:before="60" w:after="20"/>
            </w:pPr>
            <w:r>
              <w:t xml:space="preserve">Locator: PDF pp2–7, Table 1, Table 3 and Figure 3; survival time zero is diagnosis.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Fifty patients: initial observation 25, chemotherapy/embolization 18, surgery 7 (only one immediate LT). Five-year survival from diagnosis was 72.4%, 71.3%, and 83.3%, respectively (P=.9). Fourteen of 25 initially observed patients progressed; one died rapidly and 13 changed treatment.</w:t>
            </w:r>
          </w:p>
          <w:p>
            <w:pPr>
              <w:pStyle w:val="Normal"/>
              <w:widowControl/>
              <w:spacing w:before="60" w:after="20"/>
            </w:pPr>
            <w:r>
              <w:rPr>
                <w:b/>
              </w:rPr>
              <w:t xml:space="preserve">Do not infer: </w:t>
            </w:r>
            <w:r>
              <w:t xml:space="preserve">Nonrandomized, very small and clinically selected groups. Lack of statistical difference is not equivalence or proof that treatment harms survival. The proposed 6–12-month observation approach is an author algorithm, not a tested transplant waiting cutoff. Extrahepatic-disease survival figures differ between text and Table 3; do not use them as precise LT subgroup outcomes.</w:t>
            </w:r>
          </w:p>
        </w:tc>
      </w:tr>
    </w:tbl>
    <w:p>
      <w:pPr>
        <w:pStyle w:val="Normal"/>
        <w:widowControl/>
      </w:pPr>
      <w:hyperlink r:id="rId39">
        <w:r>
          <w:rPr>
            <w:color w:val="77230C"/>
            <w:sz w:val="20"/>
            <w:u w:val="single"/>
          </w:rPr>
          <w:t>Separate evidence/alignment meeting record — OPEN boundary decisions</w:t>
        </w:r>
      </w:hyperlink>
    </w:p>
    <w:p>
      <w:pPr>
        <w:pStyle w:val="Normal"/>
        <w:widowControl/>
      </w:pPr>
      <w:r>
        <w:t xml:space="preserve">Evidence review record: </w:t>
      </w:r>
      <w:hyperlink r:id="rId40">
        <w:r>
          <w:rPr>
            <w:color w:val="77230C"/>
            <w:sz w:val="20"/>
            <w:u w:val="single"/>
          </w:rPr>
          <w:t>Five analyst comments and reconciliation</w:t>
        </w:r>
      </w:hyperlink>
      <w:r>
        <w:t xml:space="preserve">  |  </w:t>
      </w:r>
      <w:hyperlink r:id="rId41">
        <w:r>
          <w:rPr>
            <w:color w:val="77230C"/>
            <w:sz w:val="20"/>
            <w:u w:val="single"/>
          </w:rPr>
          <w:t>Prospective outcomes dataset</w:t>
        </w:r>
      </w:hyperlink>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Standard-route clarification. The standardized pathway requires no extrahepatic disease. This section states how previously treated, responded extrahepatic disease is handled, and records the program position proposed for review.</w:t>
      </w:r>
    </w:p>
    <w:p>
      <w:pPr>
        <w:pStyle w:val="Heading2"/>
        <w:widowControl/>
        <w:keepNext/>
      </w:pPr>
      <w:bookmarkStart w:id="16010" w:name="HEHE_B2"/>
      <w:r>
        <w:t xml:space="preserve">HEHE-B2 — Extrahepatic disease (EHD component)</w:t>
      </w:r>
      <w:bookmarkEnd w:id="16010"/>
    </w:p>
    <w:p>
      <w:pPr>
        <w:pStyle w:val="Normal"/>
        <w:widowControl/>
        <w:spacing w:after="120"/>
      </w:pPr>
      <w:r>
        <w:t xml:space="preserve">Status: Defined, not activated. OPEN proposal for multidisciplinary review; not activated.</w:t>
      </w:r>
    </w:p>
    <w:p>
      <w:pPr>
        <w:pStyle w:val="Normal"/>
        <w:widowControl/>
        <w:spacing w:after="120"/>
      </w:pPr>
      <w:r>
        <w:t xml:space="preserve">Question: Should a lung-only extrahepatic stratum be activated for hepatic EHE, given the conflict between the 2021 consensus (no transplantation with extrahepatic disease) and the registry data?</w:t>
      </w:r>
    </w:p>
    <w:p>
      <w:pPr>
        <w:pStyle w:val="Normal"/>
        <w:widowControl/>
        <w:spacing w:after="120"/>
      </w:pPr>
      <w:r>
        <w:t xml:space="preserve">Proposed position (OPEN): Start with liver-only disease and no macrovascular invasion. Keep the lung-only stratum defined but not activated: limited lung disease that is stable through an observation period or completely resected. Nodal (beyond hilar), pleural or other serosal, bone, peritoneal, progressive or symptomatic disease stays closed. The explant-based HEHE-LT score is for post-transplant surveillance, not selection.</w:t>
      </w:r>
    </w:p>
    <w:p>
      <w:pPr>
        <w:pStyle w:val="Heading3"/>
        <w:widowControl/>
        <w:keepNext/>
      </w:pPr>
      <w:r>
        <w:t xml:space="preserve">Proposed rules</w:t>
      </w:r>
    </w:p>
    <w:p>
      <w:pPr>
        <w:pStyle w:val="Normal"/>
        <w:widowControl/>
        <w:spacing w:after="120"/>
        <w:numPr>
          <w:ilvl w:val="0"/>
          <w:numId w:val="4"/>
        </w:numPr>
      </w:pPr>
      <w:r>
        <w:t xml:space="preserve">Lung-only stratum (not active): asymptomatic, no pleural involvement, stable on serial imaging for ≥6 months or completely resected or ablated with no recurrence for ≥6 months; independent expert review and a written comparison with observation or systemic therapy.</w:t>
      </w:r>
    </w:p>
    <w:p>
      <w:pPr>
        <w:pStyle w:val="Normal"/>
        <w:widowControl/>
        <w:spacing w:after="120"/>
        <w:numPr>
          <w:ilvl w:val="0"/>
          <w:numId w:val="4"/>
        </w:numPr>
      </w:pPr>
      <w:r>
        <w:t xml:space="preserve">A waiting time longer than 120 days is a usable pre-transplant test of time; shorter waits were associated with recurrence.</w:t>
      </w:r>
    </w:p>
    <w:p>
      <w:pPr>
        <w:pStyle w:val="Normal"/>
        <w:widowControl/>
        <w:spacing w:after="120"/>
        <w:numPr>
          <w:ilvl w:val="0"/>
          <w:numId w:val="4"/>
        </w:numPr>
      </w:pPr>
      <w:r>
        <w:t xml:space="preserve">Hilar nodal involvement is a recurrence risk factor, not an extrahepatic exclusion; plan hilar lymphadenectomy. Nodes beyond the hilum are extrahepatic disease and are closed.</w:t>
      </w:r>
    </w:p>
    <w:p>
      <w:pPr>
        <w:pStyle w:val="Normal"/>
        <w:widowControl/>
        <w:spacing w:after="120"/>
        <w:numPr>
          <w:ilvl w:val="0"/>
          <w:numId w:val="4"/>
        </w:numPr>
      </w:pPr>
      <w:r>
        <w:t xml:space="preserve">Record the guideline–registry disagreement in every case.</w:t>
      </w:r>
    </w:p>
    <w:p>
      <w:pPr>
        <w:pStyle w:val="Normal"/>
        <w:widowControl/>
        <w:spacing w:after="120"/>
      </w:pPr>
      <w:r>
        <w:t xml:space="preserve">Why: The registry finding that extrahepatic disease was not adverse is an absence of evidence: it was mostly untreated lung disease and the hazard ratio was 1.5 with a wide interval. The consensus exclusion is expert opinion.</w:t>
      </w:r>
    </w:p>
    <w:p>
      <w:pPr>
        <w:pStyle w:val="Heading3"/>
        <w:widowControl/>
        <w:keepNext/>
      </w:pPr>
      <w:r>
        <w:t xml:space="preserve">Evidence</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Source</w:t>
            </w:r>
          </w:p>
        </w:tc>
        <w:tc>
          <w:tcPr>
            <w:tcW w:w="3582"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3743"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Lai 2017 · ELTR HEHE-LT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European registry, 149 recipients. Pre-transplant extrahepatic disease on imaging in 40 (lung 23, nodes 8); only 5 had lung surgery beforehand.</w:t>
            </w:r>
          </w:p>
        </w:tc>
        <w:tc>
          <w:tcPr>
            <w:tcW w:w="3743" w:type="dxa"/>
            <w:vAlign w:val="top"/>
            <w:shd w:fill="F1F5F8"/>
          </w:tcPr>
          <w:p>
            <w:pPr>
              <w:pStyle w:val="Normal"/>
              <w:widowControl/>
              <w:spacing w:after="55" w:line="240" w:lineRule="auto"/>
              <w:keepNext w:val="0"/>
              <w:keepLines/>
            </w:pPr>
            <w:r>
              <w:rPr>
                <w:sz w:val="21"/>
                <w:szCs w:val="21"/>
              </w:rPr>
              <w:t xml:space="preserve">Results: Extrahepatic disease HR 1.5 (0.8–3.0), not retained; hilar nodes HR 2.2; waiting ≤120 days HR 2.5; the HEHE-LT score uses explant pathology.</w:t>
            </w:r>
          </w:p>
          <w:p>
            <w:pPr>
              <w:pStyle w:val="Normal"/>
              <w:widowControl/>
              <w:spacing w:after="55" w:line="240" w:lineRule="auto"/>
              <w:keepNext w:val="0"/>
              <w:keepLines/>
            </w:pPr>
            <w:r>
              <w:rPr>
                <w:sz w:val="21"/>
                <w:szCs w:val="21"/>
              </w:rPr>
              <w:t xml:space="preserve">Limits: Absence of evidence, not equivalence; registry without dropouts.</w:t>
            </w:r>
          </w:p>
          <w:p>
            <w:pPr>
              <w:pStyle w:val="Normal"/>
              <w:widowControl/>
              <w:spacing w:after="55" w:line="240" w:lineRule="auto"/>
              <w:keepNext w:val="0"/>
              <w:keepLines/>
            </w:pPr>
            <w:r>
              <w:rPr>
                <w:sz w:val="21"/>
                <w:szCs w:val="21"/>
              </w:rPr>
              <w:t xml:space="preserve">Transplantation 2017; Tables 3, 5–6.</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r>
              <w:br/>
            </w:r>
            <w:hyperlink r:id="rId66">
              <w:r>
                <w:rPr>
                  <w:color w:val="0563C1"/>
                  <w:u w:val="single"/>
                </w:rPr>
                <w:t>Source</w:t>
              </w:r>
            </w:hyperlink>
            <w:r>
              <w:t xml:space="preserve"> · </w:t>
            </w:r>
            <w:hyperlink r:id="rId67">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EHE global consensus 2021</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2021 global EHE consensus. Transplantation “should not be proposed” with extrahepatic disease [V, A].</w:t>
            </w:r>
          </w:p>
        </w:tc>
        <w:tc>
          <w:tcPr>
            <w:tcW w:w="3743" w:type="dxa"/>
            <w:vAlign w:val="top"/>
            <w:shd w:fill="FFFFFF"/>
          </w:tcPr>
          <w:p>
            <w:pPr>
              <w:pStyle w:val="Normal"/>
              <w:widowControl/>
              <w:spacing w:after="55" w:line="240" w:lineRule="auto"/>
              <w:keepNext w:val="0"/>
              <w:keepLines/>
            </w:pPr>
            <w:r>
              <w:rPr>
                <w:sz w:val="21"/>
                <w:szCs w:val="21"/>
              </w:rPr>
              <w:t xml:space="preserve">Results: Level V evidence (expert opinion) with grade A strength.</w:t>
            </w:r>
          </w:p>
          <w:p>
            <w:pPr>
              <w:pStyle w:val="Normal"/>
              <w:widowControl/>
              <w:spacing w:after="55" w:line="240" w:lineRule="auto"/>
              <w:keepNext w:val="0"/>
              <w:keepLines/>
            </w:pPr>
            <w:r>
              <w:rPr>
                <w:sz w:val="21"/>
                <w:szCs w:val="21"/>
              </w:rPr>
              <w:t xml:space="preserve">Limits: No treated-vs-untreated distinction.</w:t>
            </w:r>
          </w:p>
          <w:p>
            <w:pPr>
              <w:pStyle w:val="Normal"/>
              <w:widowControl/>
              <w:spacing w:after="55" w:line="240" w:lineRule="auto"/>
              <w:keepNext w:val="0"/>
              <w:keepLines/>
            </w:pPr>
            <w:r>
              <w:rPr>
                <w:sz w:val="21"/>
                <w:szCs w:val="21"/>
              </w:rPr>
              <w:t xml:space="preserve">ESMO Open 2021; liver section.</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r>
              <w:br/>
            </w:r>
            <w:hyperlink r:id="rId68">
              <w:r>
                <w:rPr>
                  <w:color w:val="0563C1"/>
                  <w:u w:val="single"/>
                </w:rPr>
                <w:t>Source</w:t>
              </w:r>
            </w:hyperlink>
            <w:r>
              <w:t xml:space="preserve"> · </w:t>
            </w:r>
            <w:hyperlink r:id="rId69">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Rosenbaum 2019 · EHE molecular subsets</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MSKCC, 93 EHE (all sites). Nodal and pleural disease recorded.</w:t>
            </w:r>
          </w:p>
        </w:tc>
        <w:tc>
          <w:tcPr>
            <w:tcW w:w="3743" w:type="dxa"/>
            <w:vAlign w:val="top"/>
            <w:shd w:fill="F1F5F8"/>
          </w:tcPr>
          <w:p>
            <w:pPr>
              <w:pStyle w:val="Normal"/>
              <w:widowControl/>
              <w:spacing w:after="55" w:line="240" w:lineRule="auto"/>
              <w:keepNext w:val="0"/>
              <w:keepLines/>
            </w:pPr>
            <w:r>
              <w:rPr>
                <w:sz w:val="21"/>
                <w:szCs w:val="21"/>
              </w:rPr>
              <w:t xml:space="preserve">Results: Nodal involvement HR 2.7; 5-year survival 30% with nodal and 22% with pleural disease.</w:t>
            </w:r>
          </w:p>
          <w:p>
            <w:pPr>
              <w:pStyle w:val="Normal"/>
              <w:widowControl/>
              <w:spacing w:after="55" w:line="240" w:lineRule="auto"/>
              <w:keepNext w:val="0"/>
              <w:keepLines/>
            </w:pPr>
            <w:r>
              <w:rPr>
                <w:sz w:val="21"/>
                <w:szCs w:val="21"/>
              </w:rPr>
              <w:t xml:space="preserve">Limits: Mixed sites; one transplant.</w:t>
            </w:r>
          </w:p>
          <w:p>
            <w:pPr>
              <w:pStyle w:val="Normal"/>
              <w:widowControl/>
              <w:spacing w:after="55" w:line="240" w:lineRule="auto"/>
              <w:keepNext w:val="0"/>
              <w:keepLines/>
            </w:pPr>
            <w:r>
              <w:rPr>
                <w:sz w:val="21"/>
                <w:szCs w:val="21"/>
              </w:rPr>
              <w:t xml:space="preserve">Mod Pathol 2019;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DM4L3M0MTM3OS0wMTktMDM2OC04PC91cmw+PC9yZWxhdGVkLXVybHM+PC91cmxzPjwvcmVjb3JkPjwvQ2l0ZT48L0VuZE5vdGU+</w:fldData>
              </w:fldChar>
            </w:r>
            <w:r>
              <w:instrText xml:space="preserve"> ADDIN EN.CITE.DATA </w:instrText>
            </w:r>
            <w:r>
              <w:fldChar w:fldCharType="end"/>
            </w:r>
            <w:r>
              <w:fldChar w:fldCharType="separate"/>
            </w:r>
            <w:r>
              <w:t xml:space="preserve">[V16-13]</w:t>
            </w:r>
            <w:r>
              <w:fldChar w:fldCharType="end"/>
            </w:r>
            <w:r>
              <w:br/>
            </w:r>
            <w:hyperlink r:id="rId70">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Liu 2024 · 228 HEHE</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Single centre, 228 HEHE. Extrahepatic disease on imaging in 49%, mostly lung; most patients had non-surgical, largely systemic therapy, and local treatment of extrahepatic sites is not reported.</w:t>
            </w:r>
          </w:p>
        </w:tc>
        <w:tc>
          <w:tcPr>
            <w:tcW w:w="3743" w:type="dxa"/>
            <w:vAlign w:val="top"/>
            <w:shd w:fill="FFFFFF"/>
          </w:tcPr>
          <w:p>
            <w:pPr>
              <w:pStyle w:val="Normal"/>
              <w:widowControl/>
              <w:spacing w:after="55" w:line="240" w:lineRule="auto"/>
              <w:keepNext w:val="0"/>
              <w:keepLines/>
            </w:pPr>
            <w:r>
              <w:rPr>
                <w:sz w:val="21"/>
                <w:szCs w:val="21"/>
              </w:rPr>
              <w:t xml:space="preserve">Results: Extrahepatic disease not prognostic on univariable analysis of the whole cohort, 96% managed without transplant (HR 1.32, 95% CI 0.64–2.73); 8 transplants, confounded.</w:t>
            </w:r>
          </w:p>
          <w:p>
            <w:pPr>
              <w:pStyle w:val="Normal"/>
              <w:widowControl/>
              <w:spacing w:after="55" w:line="240" w:lineRule="auto"/>
              <w:keepNext w:val="0"/>
              <w:keepLines/>
            </w:pPr>
            <w:r>
              <w:rPr>
                <w:sz w:val="21"/>
                <w:szCs w:val="21"/>
              </w:rPr>
              <w:t xml:space="preserve">Limits: Few transplants.</w:t>
            </w:r>
          </w:p>
          <w:p>
            <w:pPr>
              <w:pStyle w:val="Normal"/>
              <w:widowControl/>
              <w:spacing w:after="55" w:line="240" w:lineRule="auto"/>
              <w:keepNext w:val="0"/>
              <w:keepLines/>
            </w:pPr>
            <w:r>
              <w:rPr>
                <w:sz w:val="21"/>
                <w:szCs w:val="21"/>
              </w:rPr>
              <w:t xml:space="preserve">BMC Cancer 2024; Table 4.</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</w:fldData>
              </w:fldChar>
            </w:r>
            <w:r>
              <w:instrText xml:space="preserve"> ADDIN EN.CITE.DATA </w:instrText>
            </w:r>
            <w:r>
              <w:fldChar w:fldCharType="end"/>
            </w:r>
            <w:r>
              <w:fldChar w:fldCharType="separate"/>
            </w:r>
            <w:r>
              <w:t xml:space="preserve">[V16-12]</w:t>
            </w:r>
            <w:r>
              <w:fldChar w:fldCharType="end"/>
            </w:r>
            <w:r>
              <w:br/>
            </w:r>
            <w:hyperlink r:id="rId71">
              <w:r>
                <w:rPr>
                  <w:color w:val="0563C1"/>
                  <w:u w:val="single"/>
                </w:rPr>
                <w:t>Source</w:t>
              </w:r>
            </w:hyperlink>
            <w:r>
              <w:t xml:space="preserve"> · </w:t>
            </w:r>
            <w:hyperlink r:id="rId72">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Lerut 2007 · ELTR HEHE</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1F5F8"/>
          </w:tcPr>
          <w:p>
            <w:pPr>
              <w:pStyle w:val="Normal"/>
              <w:widowControl/>
              <w:spacing w:after="55" w:line="240" w:lineRule="auto"/>
              <w:keepNext w:val="0"/>
              <w:keepLines/>
            </w:pPr>
            <w:r>
              <w:rPr>
                <w:sz w:val="21"/>
                <w:szCs w:val="21"/>
              </w:rPr>
              <w:t xml:space="preserve">European registry, 59 recipients. 10 had extrahepatic disease before or at transplant.</w:t>
            </w:r>
          </w:p>
        </w:tc>
        <w:tc>
          <w:tcPr>
            <w:tcW w:w="3743" w:type="dxa"/>
            <w:vAlign w:val="top"/>
            <w:shd w:fill="F1F5F8"/>
          </w:tcPr>
          <w:p>
            <w:pPr>
              <w:pStyle w:val="Normal"/>
              <w:widowControl/>
              <w:spacing w:after="55" w:line="240" w:lineRule="auto"/>
              <w:keepNext w:val="0"/>
              <w:keepLines/>
            </w:pPr>
            <w:r>
              <w:rPr>
                <w:sz w:val="21"/>
                <w:szCs w:val="21"/>
              </w:rPr>
              <w:t xml:space="preserve">Results: 1-, 5- and 10-year survival 90%, 80% and 80% with vs 94%, 83% and 70% without.</w:t>
            </w:r>
          </w:p>
          <w:p>
            <w:pPr>
              <w:pStyle w:val="Normal"/>
              <w:widowControl/>
              <w:spacing w:after="55" w:line="240" w:lineRule="auto"/>
              <w:keepNext w:val="0"/>
              <w:keepLines/>
            </w:pPr>
            <w:r>
              <w:rPr>
                <w:sz w:val="21"/>
                <w:szCs w:val="21"/>
              </w:rPr>
              <w:t xml:space="preserve">Limits: Small subgroup.</w:t>
            </w:r>
          </w:p>
          <w:p>
            <w:pPr>
              <w:pStyle w:val="Normal"/>
              <w:widowControl/>
              <w:spacing w:after="55" w:line="240" w:lineRule="auto"/>
              <w:keepNext w:val="0"/>
              <w:keepLines/>
            </w:pPr>
            <w:r>
              <w:rPr>
                <w:sz w:val="21"/>
                <w:szCs w:val="21"/>
              </w:rPr>
              <w:t xml:space="preserve">Ann Surg 2007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</w:fldData>
              </w:fldChar>
            </w:r>
            <w:r>
              <w:instrText xml:space="preserve"> ADDIN EN.CITE.DATA </w:instrText>
            </w:r>
            <w:r>
              <w:fldChar w:fldCharType="end"/>
            </w:r>
            <w:r>
              <w:fldChar w:fldCharType="separate"/>
            </w:r>
            <w:r>
              <w:t xml:space="preserve">[V16-14]</w:t>
            </w:r>
            <w:r>
              <w:fldChar w:fldCharType="end"/>
            </w:r>
            <w:r>
              <w:br/>
            </w:r>
            <w:hyperlink r:id="rId73">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Sawma 2024 · Mayo HEHE</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FFFFF"/>
          </w:tcPr>
          <w:p>
            <w:pPr>
              <w:pStyle w:val="Normal"/>
              <w:widowControl/>
              <w:spacing w:after="55" w:line="240" w:lineRule="auto"/>
              <w:keepNext w:val="0"/>
              <w:keepLines/>
            </w:pPr>
            <w:r>
              <w:rPr>
                <w:sz w:val="21"/>
                <w:szCs w:val="21"/>
              </w:rPr>
              <w:t xml:space="preserve">Mayo, 80 HEHE. Extrahepatic metastases in 26 at diagnosis.</w:t>
            </w:r>
          </w:p>
        </w:tc>
        <w:tc>
          <w:tcPr>
            <w:tcW w:w="3743" w:type="dxa"/>
            <w:vAlign w:val="top"/>
            <w:shd w:fill="FFFFFF"/>
          </w:tcPr>
          <w:p>
            <w:pPr>
              <w:pStyle w:val="Normal"/>
              <w:widowControl/>
              <w:spacing w:after="55" w:line="240" w:lineRule="auto"/>
              <w:keepNext w:val="0"/>
              <w:keepLines/>
            </w:pPr>
            <w:r>
              <w:rPr>
                <w:sz w:val="21"/>
                <w:szCs w:val="21"/>
              </w:rPr>
              <w:t xml:space="preserve">Results: Bone metastasis HR 6.3; lung not adverse (HR 0.8).</w:t>
            </w:r>
          </w:p>
          <w:p>
            <w:pPr>
              <w:pStyle w:val="Normal"/>
              <w:widowControl/>
              <w:spacing w:after="55" w:line="240" w:lineRule="auto"/>
              <w:keepNext w:val="0"/>
              <w:keepLines/>
            </w:pPr>
            <w:r>
              <w:rPr>
                <w:sz w:val="21"/>
                <w:szCs w:val="21"/>
              </w:rPr>
              <w:t xml:space="preserve">Limits: All treatments, not transplant-specific.</w:t>
            </w:r>
          </w:p>
          <w:p>
            <w:pPr>
              <w:pStyle w:val="Normal"/>
              <w:widowControl/>
              <w:spacing w:after="55" w:line="240" w:lineRule="auto"/>
              <w:keepNext w:val="0"/>
              <w:keepLines/>
            </w:pPr>
            <w:r>
              <w:rPr>
                <w:sz w:val="21"/>
                <w:szCs w:val="21"/>
              </w:rPr>
              <w:t xml:space="preserve">J Surg Oncol 2024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</w:fldData>
              </w:fldChar>
            </w:r>
            <w:r>
              <w:instrText xml:space="preserve"> ADDIN EN.CITE.DATA </w:instrText>
            </w:r>
            <w:r>
              <w:fldChar w:fldCharType="end"/>
            </w:r>
            <w:r>
              <w:fldChar w:fldCharType="separate"/>
            </w:r>
            <w:r>
              <w:t xml:space="preserve">[V16-15]</w:t>
            </w:r>
            <w:r>
              <w:fldChar w:fldCharType="end"/>
            </w:r>
            <w:r>
              <w:br/>
            </w:r>
            <w:hyperlink r:id="rId74">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Registry survival with pre-transplant extrahepatic disease (mostly lung) is good, so a blanket bar may be too strict.</w:t>
      </w:r>
    </w:p>
    <w:p>
      <w:pPr>
        <w:pStyle w:val="Normal"/>
        <w:widowControl/>
        <w:spacing w:after="120"/>
      </w:pPr>
      <w:r>
        <w:t xml:space="preserve">Certainty: Low for prognostic association; very low for benefit of transplantation with extrahepatic disease.</w:t>
      </w:r>
    </w:p>
    <w:p>
      <w:pPr>
        <w:pStyle w:val="Normal"/>
        <w:widowControl/>
        <w:spacing w:after="120"/>
      </w:pPr>
      <w:r>
        <w:t xml:space="preserve">What would change the answer: Prospective outcomes of transplantation with limited lung disease after observation.</w:t>
      </w:r>
    </w:p>
    <w:p>
      <w:pPr>
        <w:pStyle w:val="Normal"/>
        <w:widowControl/>
        <w:spacing w:after="120"/>
      </w:pPr>
      <w:r>
        <w:t xml:space="preserve">Meeting question HEHE-B2, with blank decision fields, is in the corresponding meeting record and the V16 decision worksheet.</w:t>
      </w:r>
    </w:p>
    <w:p>
      <w:pPr>
        <w:pStyle w:val="Heading1"/>
        <w:keepNext/>
        <w:widowControl/>
        <w:keepLines/>
      </w:pPr>
      <w: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HEHE survival and waiting-score reports could imply automatic benefit or a validated pre-LT gate. </w:t>
      </w:r>
      <w:r>
        <w:rPr>
          <w:b/>
        </w:rPr>
        <w:t xml:space="preserve">Correction and reason: </w:t>
      </w:r>
      <w:r>
        <w:t xml:space="preserve">Separated initial-graft/recipient endpoints, confounding by treatment selection, monitored observation and pathological score limitations.</w:t>
      </w:r>
    </w:p>
    <w:p>
      <w:pPr>
        <w:pStyle w:val="Normal"/>
        <w:keepNext/>
        <w:widowControl/>
        <w:keepLines/>
      </w:pPr>
      <w:r>
        <w:rPr>
          <w:b/>
        </w:rPr>
        <w:t xml:space="preserve">Problem: </w:t>
      </w:r>
      <w:r>
        <w:t xml:space="preserve">The HEHE-LT score was treated as an imaging-only pre-LT gate. </w:t>
      </w:r>
      <w:r>
        <w:rPr>
          <w:b/>
        </w:rPr>
        <w:t xml:space="preserve">Correction and reason: </w:t>
      </w:r>
      <w:r>
        <w:t xml:space="preserve">Restored its pathological/selected-recipient context, recorded unknown features and separated risk association from proven benefit of waiting.</w:t>
      </w:r>
    </w:p>
    <w:p>
      <w:pPr>
        <w:pStyle w:val="Normal"/>
        <w:keepNext/>
        <w:widowControl/>
        <w:keepLines/>
      </w:pPr>
      <w:r>
        <w:rPr>
          <w:b/>
        </w:rPr>
        <w:t xml:space="preserve">Problem: </w:t>
      </w:r>
      <w:r>
        <w:t xml:space="preserve">Extrahepatic-disease and waiting rules could be mistaken for national requirements. </w:t>
      </w:r>
      <w:r>
        <w:rPr>
          <w:b/>
        </w:rPr>
        <w:t xml:space="preserve">Correction and reason: </w:t>
      </w:r>
      <w:r>
        <w:t xml:space="preserve">Distinguished allocation guidance, expert-consensus disagreement and conservative OPEN local boundaries.</w:t>
      </w:r>
    </w:p>
    <w:p>
      <w:pPr>
        <w:pStyle w:val="Normal"/>
        <w:keepNext/>
        <w:widowControl/>
        <w:keepLines/>
      </w:pPr>
      <w:r>
        <w:rPr>
          <w:b/>
        </w:rPr>
        <w:t xml:space="preserve">Problem: </w:t>
      </w:r>
      <w:r>
        <w:t xml:space="preserve">The new full texts were not linked to an updated evidence appraisal. </w:t>
      </w:r>
      <w:r>
        <w:rPr>
          <w:b/>
        </w:rPr>
        <w:t xml:space="preserve">Correction and reason: </w:t>
      </w:r>
      <w:r>
        <w:t xml:space="preserve">Added study-level outcomes, harms, denominators, source-specific limitations and depot links; the detailed paragraph reconciliation is retained in source/standard_body_reconciliation.json.</w:t>
      </w:r>
    </w:p>
    <w:p>
      <w:pPr>
        <w:pStyle w:val="Normal"/>
        <w:keepNext/>
        <w:widowControl/>
        <w:keepLines/>
      </w:pPr>
      <w:r>
        <w:rPr>
          <w:b/>
        </w:rPr>
        <w:t xml:space="preserve">Problem: </w:t>
      </w:r>
      <w:r>
        <w:t xml:space="preserve">Citation fields and source versions needed a consistent rebuild. </w:t>
      </w:r>
      <w:r>
        <w:rPr>
          <w:b/>
        </w:rPr>
        <w:t xml:space="preserve">Correction and reason: </w:t>
      </w:r>
      <w:r>
        <w:t xml:space="preserve">Populated structured EndNote citations and references, individual XML/RIS libraries and actual DOCX/PDF copies. Native Word/EndNote updating remains untested.</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Organ Procurement and Transplantation Network. OPTN Policies: liver allocation and living donation. HRSA/OPTN. 2026. </w:t>
      </w:r>
      <w:hyperlink r:id="rId75">
        <w:r>
          <w:rPr>
            <w:color w:val="0563C1"/>
            <w:u w:val="single"/>
          </w:rPr>
          <w:t>Source</w:t>
        </w:r>
      </w:hyperlink>
      <w:r>
        <w:t xml:space="preserve"> | </w:t>
      </w:r>
      <w:hyperlink r:id="rId76">
        <w:r>
          <w:rPr>
            <w:color w:val="0563C1"/>
            <w:u w:val="single"/>
          </w:rPr>
          <w:t>Full-text access</w:t>
        </w:r>
      </w:hyperlink>
    </w:p>
    <w:p>
      <w:pPr>
        <w:pStyle w:val="Normal"/>
        <w:widowControl/>
        <w:spacing w:after="120"/>
      </w:pPr>
      <w:r>
        <w:t xml:space="preserve"/>
      </w:r>
      <w:r>
        <w:t xml:space="preserve">[V16-2] Organ Procurement and Transplantation Network. Adult MELD Exceptions for Transplant Oncology. HRSA/OPTN. 2025. </w:t>
      </w:r>
      <w:hyperlink r:id="rId77">
        <w:r>
          <w:rPr>
            <w:color w:val="0563C1"/>
            <w:u w:val="single"/>
          </w:rPr>
          <w:t>Source</w:t>
        </w:r>
      </w:hyperlink>
      <w:r>
        <w:t xml:space="preserve"> | </w:t>
      </w:r>
      <w:hyperlink r:id="rId78">
        <w:r>
          <w:rPr>
            <w:color w:val="0563C1"/>
            <w:u w:val="single"/>
          </w:rPr>
          <w:t>Full-text access</w:t>
        </w:r>
      </w:hyperlink>
    </w:p>
    <w:p>
      <w:pPr>
        <w:pStyle w:val="Normal"/>
        <w:widowControl/>
        <w:spacing w:after="120"/>
      </w:pPr>
      <w:r>
        <w:t xml:space="preserve"/>
      </w:r>
      <w:r>
        <w:t xml:space="preserve">[V16-3] Dove, Lorna; Chadha, Ryan M.; Lai, Jennifer C.; et al. AASLD AST Practice Guideline on adult liver transplantation: Candidate evaluation. Hepatology. 2026; 83(6):1609-1645. </w:t>
      </w:r>
      <w:hyperlink r:id="rId79">
        <w:r>
          <w:rPr>
            <w:color w:val="0563C1"/>
            <w:u w:val="single"/>
          </w:rPr>
          <w:t>Source</w:t>
        </w:r>
      </w:hyperlink>
      <w:r>
        <w:t xml:space="preserve"> | </w:t>
      </w:r>
      <w:hyperlink r:id="rId80">
        <w:r>
          <w:rPr>
            <w:color w:val="0563C1"/>
            <w:u w:val="single"/>
          </w:rPr>
          <w:t>Full-text access</w:t>
        </w:r>
      </w:hyperlink>
    </w:p>
    <w:p>
      <w:pPr>
        <w:pStyle w:val="Normal"/>
        <w:widowControl/>
        <w:spacing w:after="120"/>
      </w:pPr>
      <w:r>
        <w:t xml:space="preserve"/>
      </w:r>
      <w:r>
        <w:t xml:space="preserve">[V16-4] Lai, Quirino; Feys, Estelle; Karam, Vincent; et al. Hepatic Epithelioid Hemangioendothelioma and Adult Liver Transplantation: Proposal for a Prognostic Score Based on the Analysis of the ELTR-ELITA Registry. Transplantation. 2017; 101(3):555-564. </w:t>
      </w:r>
      <w:hyperlink r:id="rId81">
        <w:r>
          <w:rPr>
            <w:color w:val="0563C1"/>
            <w:u w:val="single"/>
          </w:rPr>
          <w:t>Source</w:t>
        </w:r>
      </w:hyperlink>
      <w:r>
        <w:t xml:space="preserve"> | </w:t>
      </w:r>
      <w:hyperlink r:id="rId82">
        <w:r>
          <w:rPr>
            <w:color w:val="0563C1"/>
            <w:u w:val="single"/>
          </w:rPr>
          <w:t>Full-text access</w:t>
        </w:r>
      </w:hyperlink>
    </w:p>
    <w:p>
      <w:pPr>
        <w:pStyle w:val="Normal"/>
        <w:widowControl/>
        <w:spacing w:after="120"/>
      </w:pPr>
      <w:r>
        <w:t xml:space="preserve"/>
      </w:r>
      <w:r>
        <w:t xml:space="preserve">[V16-5] Stacchiotti, S.; Miah, A.B.; Frezza, A.M.; et al. Epithelioid hemangioendothelioma, an ultra-rare cancer: a consensus paper from the community of experts. ESMO Open. 2021; 6(3):100170. </w:t>
      </w:r>
      <w:hyperlink r:id="rId83">
        <w:r>
          <w:rPr>
            <w:color w:val="0563C1"/>
            <w:u w:val="single"/>
          </w:rPr>
          <w:t>Source</w:t>
        </w:r>
      </w:hyperlink>
      <w:r>
        <w:t xml:space="preserve"> | </w:t>
      </w:r>
      <w:hyperlink r:id="rId84">
        <w:r>
          <w:rPr>
            <w:color w:val="0563C1"/>
            <w:u w:val="single"/>
          </w:rPr>
          <w:t>Full-text access</w:t>
        </w:r>
      </w:hyperlink>
    </w:p>
    <w:p>
      <w:pPr>
        <w:pStyle w:val="Normal"/>
        <w:widowControl/>
        <w:spacing w:after="120"/>
      </w:pPr>
      <w:r>
        <w:t xml:space="preserve"/>
      </w:r>
      <w:r>
        <w:t xml:space="preserve">[V16-6] Thomas, Ryan M.; Aloia, Thomas A.; Truty, Mark J.; et al. Treatment sequencing strategy for hepatic epithelioid haemangioendothelioma. HPB. 2014; 16(7):677-685. </w:t>
      </w:r>
      <w:hyperlink r:id="rId85">
        <w:r>
          <w:rPr>
            <w:color w:val="0563C1"/>
            <w:u w:val="single"/>
          </w:rPr>
          <w:t>Source</w:t>
        </w:r>
      </w:hyperlink>
      <w:r>
        <w:t xml:space="preserve"> | </w:t>
      </w:r>
      <w:hyperlink r:id="rId86">
        <w:r>
          <w:rPr>
            <w:color w:val="0563C1"/>
            <w:u w:val="single"/>
          </w:rPr>
          <w:t>Full-text access</w:t>
        </w:r>
      </w:hyperlink>
    </w:p>
    <w:p>
      <w:pPr>
        <w:pStyle w:val="Normal"/>
        <w:widowControl/>
        <w:spacing w:after="120"/>
      </w:pPr>
      <w:r>
        <w:t xml:space="preserve"/>
      </w:r>
      <w:r>
        <w:t xml:space="preserve">[V16-7] Frenette, Catherine; Mendiratta-Lala, Mishal; Salgia, Reena; et al. ACG Clinical Guideline: Focal Liver Lesions. American Journal of Gastroenterology. 2024; 119(7):1235-1271. </w:t>
      </w:r>
      <w:hyperlink r:id="rId87">
        <w:r>
          <w:rPr>
            <w:color w:val="0563C1"/>
            <w:u w:val="single"/>
          </w:rPr>
          <w:t>Source</w:t>
        </w:r>
      </w:hyperlink>
      <w:r>
        <w:t xml:space="preserve"> | </w:t>
      </w:r>
      <w:hyperlink r:id="rId88">
        <w:r>
          <w:rPr>
            <w:color w:val="0563C1"/>
            <w:u w:val="single"/>
          </w:rPr>
          <w:t>Full-text access</w:t>
        </w:r>
      </w:hyperlink>
    </w:p>
    <w:p>
      <w:pPr>
        <w:pStyle w:val="Normal"/>
        <w:widowControl/>
        <w:spacing w:after="120"/>
      </w:pPr>
      <w:r>
        <w:t xml:space="preserve"/>
      </w:r>
      <w:r>
        <w:t xml:space="preserve">[V16-8] Abecassis, M.M.; Fisher, R.A.; Olthoff, K.M.; et al. Complications of Living Donor Hepatic Lobectomy—A Comprehensive Report. American Journal of Transplantation. 2012; 12(5):1208-1217. </w:t>
      </w:r>
      <w:hyperlink r:id="rId89">
        <w:r>
          <w:rPr>
            <w:color w:val="0563C1"/>
            <w:u w:val="single"/>
          </w:rPr>
          <w:t>Source</w:t>
        </w:r>
      </w:hyperlink>
      <w:r>
        <w:t xml:space="preserve"> | </w:t>
      </w:r>
      <w:hyperlink r:id="rId90">
        <w:r>
          <w:rPr>
            <w:color w:val="0563C1"/>
            <w:u w:val="single"/>
          </w:rPr>
          <w:t>Full-text access</w:t>
        </w:r>
      </w:hyperlink>
    </w:p>
    <w:p>
      <w:pPr>
        <w:pStyle w:val="Normal"/>
        <w:widowControl/>
        <w:spacing w:after="120"/>
      </w:pPr>
      <w:r>
        <w:t xml:space="preserve"/>
      </w:r>
      <w:r>
        <w:t xml:space="preserve">[V16-9] DiMartini, A.; Dew, M.A.; Liu, Q.; et al. Social and Financial Outcomes of Living Liver Donation: A Prospective Investigation Within the Adult-to-Adult Living Donor Liver Transplantation Cohort Study 2 (A2ALL-2). American Journal of Transplantation. 2017; 17(4):1081-1096. </w:t>
      </w:r>
      <w:hyperlink r:id="rId91">
        <w:r>
          <w:rPr>
            <w:color w:val="0563C1"/>
            <w:u w:val="single"/>
          </w:rPr>
          <w:t>Source</w:t>
        </w:r>
      </w:hyperlink>
      <w:r>
        <w:t xml:space="preserve"> | </w:t>
      </w:r>
      <w:hyperlink r:id="rId92">
        <w:r>
          <w:rPr>
            <w:color w:val="0563C1"/>
            <w:u w:val="single"/>
          </w:rPr>
          <w:t>Full-text access</w:t>
        </w:r>
      </w:hyperlink>
    </w:p>
    <w:p>
      <w:pPr>
        <w:pStyle w:val="Normal"/>
        <w:widowControl/>
        <w:spacing w:after="120"/>
      </w:pPr>
      <w:r>
        <w:t xml:space="preserve"/>
      </w:r>
      <w:r>
        <w:t xml:space="preserve">[V16-10] Xiao, Jieling; Zeng, Rebecca Wenling; Lim, Wen Hui; et al. The incidence of adverse outcome in donors after living donor liver transplantation: A meta-analysis of 60,829 donors. Liver Transplantation. 2024; 30(5):493-504. </w:t>
      </w:r>
      <w:hyperlink r:id="rId93">
        <w:r>
          <w:rPr>
            <w:color w:val="0563C1"/>
            <w:u w:val="single"/>
          </w:rPr>
          <w:t>Source</w:t>
        </w:r>
      </w:hyperlink>
      <w:r>
        <w:t xml:space="preserve"> | </w:t>
      </w:r>
      <w:hyperlink r:id="rId94">
        <w:r>
          <w:rPr>
            <w:color w:val="0563C1"/>
            <w:u w:val="single"/>
          </w:rPr>
          <w:t>Full-text access</w:t>
        </w:r>
      </w:hyperlink>
    </w:p>
    <w:p>
      <w:pPr>
        <w:pStyle w:val="Normal"/>
        <w:widowControl/>
        <w:spacing w:after="120"/>
      </w:pPr>
      <w:r>
        <w:t xml:space="preserve"/>
      </w:r>
      <w:r>
        <w:t xml:space="preserve">[V16-11] Brahmbhatt, Mihir; Prenner, Stacey; Bittermann, Therese. Liver Transplantation for Hepatic Epithelioid Hemangioendothelioma Is Facilitated by Exception Points With Acceptable Long-term Outcomes. Transplantation. 2020; 104(6):1187-1192. </w:t>
      </w:r>
      <w:hyperlink r:id="rId95">
        <w:r>
          <w:rPr>
            <w:color w:val="0563C1"/>
            <w:u w:val="single"/>
          </w:rPr>
          <w:t>Source</w:t>
        </w:r>
      </w:hyperlink>
      <w:r>
        <w:t xml:space="preserve"> | </w:t>
      </w:r>
      <w:hyperlink r:id="rId96">
        <w:r>
          <w:rPr>
            <w:color w:val="0563C1"/>
            <w:u w:val="single"/>
          </w:rPr>
          <w:t>Full-text access</w:t>
        </w:r>
      </w:hyperlink>
    </w:p>
    <w:p>
      <w:pPr>
        <w:pStyle w:val="Normal"/>
        <w:widowControl/>
        <w:spacing w:after="120"/>
      </w:pPr>
      <w:r>
        <w:t xml:space="preserve"/>
      </w:r>
      <w:r>
        <w:t xml:space="preserve">[V16-12] Liu, Xiaolei; Yang, Peijun; Liu, Liguo; et al. Long-term prognosis and treatment modalities of hepatic epithelioid hemangioendothelioma: a retrospective study of 228 patients. BMC Cancer. 2024; 24(1):1285. </w:t>
      </w:r>
      <w:hyperlink r:id="rId97">
        <w:r>
          <w:rPr>
            <w:color w:val="0563C1"/>
            <w:u w:val="single"/>
          </w:rPr>
          <w:t>Source</w:t>
        </w:r>
      </w:hyperlink>
      <w:r>
        <w:t xml:space="preserve"> | </w:t>
      </w:r>
      <w:hyperlink r:id="rId98">
        <w:r>
          <w:rPr>
            <w:color w:val="0563C1"/>
            <w:u w:val="single"/>
          </w:rPr>
          <w:t>Full-text access</w:t>
        </w:r>
      </w:hyperlink>
    </w:p>
    <w:p>
      <w:pPr>
        <w:pStyle w:val="Normal"/>
        <w:widowControl/>
        <w:spacing w:after="120"/>
      </w:pPr>
      <w:r>
        <w:t xml:space="preserve"/>
      </w:r>
      <w:r>
        <w:t xml:space="preserve">[V16-13] Rosenbaum, Evan; Jadeja, Bhumika; Xu, Bin; et al. Prognostic stratification of clinical and molecular epithelioid hemangioendothelioma subsets. Modern pathology : an official journal of the United States and Canadian Academy of Pathology, Inc. 2019; 33(4):591-602. </w:t>
      </w:r>
      <w:hyperlink r:id="rId99">
        <w:r>
          <w:rPr>
            <w:color w:val="0563C1"/>
            <w:u w:val="single"/>
          </w:rPr>
          <w:t>Source</w:t>
        </w:r>
      </w:hyperlink>
      <w:r>
        <w:t xml:space="preserve"> | Local PDF not available in this update</w:t>
      </w:r>
    </w:p>
    <w:p>
      <w:pPr>
        <w:pStyle w:val="Normal"/>
        <w:widowControl/>
        <w:spacing w:after="120"/>
      </w:pPr>
      <w:r>
        <w:t xml:space="preserve"/>
      </w:r>
      <w:r>
        <w:t xml:space="preserve">[V16-14] Lerut, Jan P.; Orlando, Giuseppe; Adam, Rene; et al. The Place of Liver Transplantation in the Treatment of Hepatic Epitheloid Hemangioendothelioma. Annals of Surgery. 2007; 246(6):949-957. </w:t>
      </w:r>
      <w:hyperlink r:id="rId100">
        <w:r>
          <w:rPr>
            <w:color w:val="0563C1"/>
            <w:u w:val="single"/>
          </w:rPr>
          <w:t>Source</w:t>
        </w:r>
      </w:hyperlink>
      <w:r>
        <w:t xml:space="preserve"> | Local PDF not available in this update</w:t>
      </w:r>
    </w:p>
    <w:p>
      <w:pPr>
        <w:pStyle w:val="Normal"/>
        <w:widowControl/>
        <w:spacing w:after="120"/>
      </w:pPr>
      <w:r>
        <w:t xml:space="preserve"/>
      </w:r>
      <w:r>
        <w:t xml:space="preserve">[V16-15] Sawma, Tedy; Sultan, Ahmer; Abdulmoneim, Samer; et al. Management and Long-Term Outcomes of Patients With Hepatic Epithelioid Hemangioendothelioma. Journal of surgical oncology. 2024; 130(5):1062-1069. </w:t>
      </w:r>
      <w:hyperlink r:id="rId101">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HEHE-B2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4 cited study lines rest on full-text reading (complete main text; relevant complete sections of long guidelines) and 2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type w:val="continuous"/>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ds-wdsufqyxf2rxmes6dj" Type="http://schemas.openxmlformats.org/officeDocument/2006/relationships/hyperlink" Target="https://doi.org/10.1097/HEP.0000000000001644" TargetMode="External"/><Relationship Id="rIdtcfr3obbkkcbhxhuzpwy-" Type="http://schemas.openxmlformats.org/officeDocument/2006/relationships/hyperlink" Target="https://jamanetwork.com/journals/jamasurgery/fullarticle/10.1001/jamasurg.2023.6083?utm_source=openevidence&amp;utm_medium=referral" TargetMode="External"/><Relationship Id="rIdeznrhtsq7h54sptqk9n88" Type="http://schemas.openxmlformats.org/officeDocument/2006/relationships/hyperlink" Target="https://pubmed.ncbi.nlm.nih.gov/39547997" TargetMode="External"/><Relationship Id="rIdrqftlgqc6gh4johdfomxs" Type="http://schemas.openxmlformats.org/officeDocument/2006/relationships/hyperlink" Target="https://pubmed.ncbi.nlm.nih.gov/35975918" TargetMode="External"/><Relationship Id="rIdsexfqrynmopwsnzwcaeby" Type="http://schemas.openxmlformats.org/officeDocument/2006/relationships/hyperlink" Target="https://pubmed.ncbi.nlm.nih.gov/24384494" TargetMode="External"/><Relationship Id="rIdqqjatj-j_qy8ssb2ncq4x" Type="http://schemas.openxmlformats.org/officeDocument/2006/relationships/hyperlink" Target="https://www.nccn.org/professionals/physician_gls/pdf/neuroendocrine.pdf#page=85" TargetMode="External"/><Relationship Id="rIdwnn-irhqxyamozrph8ip0" Type="http://schemas.openxmlformats.org/officeDocument/2006/relationships/hyperlink" Target="https://meetings.asco.org/abstracts-presentations/265146" TargetMode="External"/><Relationship Id="rIdpeghdabylkcldl_men63k" Type="http://schemas.openxmlformats.org/officeDocument/2006/relationships/hyperlink" Target="https://pubmed.ncbi.nlm.nih.gov/32520679" TargetMode="External"/><Relationship Id="rIduotsek3z0zjbexxxhz4ed" Type="http://schemas.openxmlformats.org/officeDocument/2006/relationships/hyperlink" Target="https://pubmed.ncbi.nlm.nih.gov/39306468" TargetMode="External"/><Relationship Id="rId6ich49yccmu90slafwzqn" Type="http://schemas.openxmlformats.org/officeDocument/2006/relationships/hyperlink" Target="https://pubmed.ncbi.nlm.nih.gov/28230639" TargetMode="External"/><Relationship Id="rIdmk6hdw8gnueekylov--lw" Type="http://schemas.openxmlformats.org/officeDocument/2006/relationships/hyperlink" Target="https://doi.org/10.1097/LVT.0000000000000715" TargetMode="External"/><Relationship Id="rId_j0ycn_h3oziqsj3ofsz8" Type="http://schemas.openxmlformats.org/officeDocument/2006/relationships/hyperlink" Target="https://pubmed.ncbi.nlm.nih.gov/33908381" TargetMode="External"/><Relationship Id="rIdyrr_m5zb_ygx24k-h0q47" Type="http://schemas.openxmlformats.org/officeDocument/2006/relationships/hyperlink" Target="https://pubmed.ncbi.nlm.nih.gov/41760506" TargetMode="External"/><Relationship Id="rIdjetizatnpmv9j7si54kpj" Type="http://schemas.openxmlformats.org/officeDocument/2006/relationships/hyperlink" Target="https://pubmed.ncbi.nlm.nih.gov/37208101" TargetMode="External"/><Relationship Id="rIdw1jzn_g1vtqsmv9yqhjte" Type="http://schemas.openxmlformats.org/officeDocument/2006/relationships/hyperlink" Target="https://pubmed.ncbi.nlm.nih.gov/42234009" TargetMode="External"/><Relationship Id="rIdvicdzinwhbffzc-amx4ne" Type="http://schemas.openxmlformats.org/officeDocument/2006/relationships/hyperlink" Target="https://pubmed.ncbi.nlm.nih.gov/32213292" TargetMode="External"/><Relationship Id="rId22" Type="http://schemas.openxmlformats.org/officeDocument/2006/relationships/fontTable" Target="fontTable.xml"/><Relationship Id="rId6" Type="http://schemas.openxmlformats.org/officeDocument/2006/relationships/hyperlink" Target="https://www.hrsa.gov/sites/default/files/hrsa/optn/adult-meld-exception-transplant-oncology-review-guidance.pdf" TargetMode="External"/><Relationship Id="rId7" Type="http://schemas.openxmlformats.org/officeDocument/2006/relationships/hyperlink" Target="https://doi.org/10.1097/TP.0000000000001603" TargetMode="External"/><Relationship Id="rId8" Type="http://schemas.openxmlformats.org/officeDocument/2006/relationships/hyperlink" Target="https://doi.org/10.1016/j.esmoop.2021.100170" TargetMode="External"/><Relationship Id="rId9" Type="http://schemas.openxmlformats.org/officeDocument/2006/relationships/hyperlink" Target="https://www.hrsa.gov/sites/default/files/hrsa/optn/optn_policies.pdf" TargetMode="External"/><Relationship Id="rId10" Type="http://schemas.openxmlformats.org/officeDocument/2006/relationships/hyperlink" Target="https://doi.org/10.1155/2008/418485" TargetMode="External"/><Relationship Id="rId11" Type="http://schemas.openxmlformats.org/officeDocument/2006/relationships/hyperlink" Target="https://doi.org/10.4285/kjt.20.0049" TargetMode="External"/><Relationship Id="rId12" Type="http://schemas.openxmlformats.org/officeDocument/2006/relationships/hyperlink" Target="https://doi.org/10.1097/SLA.0b013e31815c2a70" TargetMode="External"/><Relationship Id="rId23" Type="http://schemas.openxmlformats.org/officeDocument/2006/relationships/hyperlink" Target="https://doi.org/10.14309/ajg.0000000000002857" TargetMode="External"/><Relationship Id="rId24" Type="http://schemas.openxmlformats.org/officeDocument/2006/relationships/hyperlink" Target="https://drliuhao.github.io/mh-liver-pathways/evidence-libraries/" TargetMode="External"/><Relationship Id="rId25" Type="http://schemas.openxmlformats.org/officeDocument/2006/relationships/hyperlink" Target="https://doi.org/10.1097/HEP.0000000000001644" TargetMode="External"/><Relationship Id="rId26" Type="http://schemas.openxmlformats.org/officeDocument/2006/relationships/hyperlink" Target="https://drliuhao.github.io/mh-liver-pathways/evidence-libraries/" TargetMode="External"/><Relationship Id="rId27" Type="http://schemas.openxmlformats.org/officeDocument/2006/relationships/hyperlink" Target="https://doi.org/10.1111/j.1600-6143.2011.03972.x" TargetMode="External"/><Relationship Id="rId28" Type="http://schemas.openxmlformats.org/officeDocument/2006/relationships/hyperlink" Target="https://drliuhao.github.io/mh-liver-pathways/evidence-libraries/" TargetMode="External"/><Relationship Id="rId29" Type="http://schemas.openxmlformats.org/officeDocument/2006/relationships/hyperlink" Target="https://doi.org/10.1111/ajt.14055" TargetMode="External"/><Relationship Id="rId30" Type="http://schemas.openxmlformats.org/officeDocument/2006/relationships/hyperlink" Target="https://drliuhao.github.io/mh-liver-pathways/evidence-libraries/" TargetMode="External"/><Relationship Id="rId31" Type="http://schemas.openxmlformats.org/officeDocument/2006/relationships/hyperlink" Target="https://doi.org/10.1097/LVT.0000000000000303" TargetMode="External"/><Relationship Id="rId32" Type="http://schemas.openxmlformats.org/officeDocument/2006/relationships/hyperlink" Target="https://drliuhao.github.io/mh-liver-pathways/evidence-libraries/" TargetMode="External"/><Relationship Id="rId33" Type="http://schemas.openxmlformats.org/officeDocument/2006/relationships/hyperlink" Target="https://doi.org/10.1097/TP.0000000000002982" TargetMode="External"/><Relationship Id="rId34" Type="http://schemas.openxmlformats.org/officeDocument/2006/relationships/hyperlink" Target="https://drliuhao.github.io/mh-liver-pathways/evidence-libraries/" TargetMode="External"/><Relationship Id="rId35" Type="http://schemas.openxmlformats.org/officeDocument/2006/relationships/hyperlink" Target="https://doi.org/10.1186/s12885-024-13053-4" TargetMode="External"/><Relationship Id="rId36" Type="http://schemas.openxmlformats.org/officeDocument/2006/relationships/hyperlink" Target="https://drliuhao.github.io/mh-liver-pathways/evidence-libraries/" TargetMode="External"/><Relationship Id="rId37" Type="http://schemas.openxmlformats.org/officeDocument/2006/relationships/hyperlink" Target="https://doi.org/10.1111/hpb.12202" TargetMode="External"/><Relationship Id="rId38" Type="http://schemas.openxmlformats.org/officeDocument/2006/relationships/hyperlink" Target="https://drliuhao.github.io/mh-liver-pathways/evidence-libraries/" TargetMode="External"/><Relationship Id="rId39" Type="http://schemas.openxmlformats.org/officeDocument/2006/relationships/hyperlink" Target="https://drliuhao.github.io/mh-liver-pathways/evidence-libraries/" TargetMode="External"/><Relationship Id="rId40" Type="http://schemas.openxmlformats.org/officeDocument/2006/relationships/hyperlink" Target="https://drliuhao.github.io/mh-liver-pathways/evidence-libraries/" TargetMode="External"/><Relationship Id="rId41" Type="http://schemas.openxmlformats.org/officeDocument/2006/relationships/hyperlink" Target="https://drliuhao.github.io/mh-liver-pathways/evidence-libraries/" TargetMode="External"/><Relationship Id="rId42" Type="http://schemas.openxmlformats.org/officeDocument/2006/relationships/hyperlink" Target="https://www.hrsa.gov/sites/default/files/hrsa/optn/optn_policies.pdf" TargetMode="External"/><Relationship Id="rId43" Type="http://schemas.openxmlformats.org/officeDocument/2006/relationships/hyperlink" Target="https://drliuhao.github.io/mh-liver-pathways/evidence-libraries/" TargetMode="External"/><Relationship Id="rId44" Type="http://schemas.openxmlformats.org/officeDocument/2006/relationships/hyperlink" Target="https://www.hrsa.gov/sites/default/files/hrsa/optn/adult-meld-exception-transplant-oncology-review-guidance.pdf" TargetMode="External"/><Relationship Id="rId45" Type="http://schemas.openxmlformats.org/officeDocument/2006/relationships/hyperlink" Target="https://drliuhao.github.io/mh-liver-pathways/evidence-libraries/" TargetMode="External"/><Relationship Id="rId46" Type="http://schemas.openxmlformats.org/officeDocument/2006/relationships/hyperlink" Target="https://doi.org/10.1097/HEP.0000000000001644" TargetMode="External"/><Relationship Id="rId47" Type="http://schemas.openxmlformats.org/officeDocument/2006/relationships/hyperlink" Target="https://drliuhao.github.io/mh-liver-pathways/evidence-libraries/" TargetMode="External"/><Relationship Id="rId48" Type="http://schemas.openxmlformats.org/officeDocument/2006/relationships/hyperlink" Target="https://doi.org/10.1097/TP.0000000000001603" TargetMode="External"/><Relationship Id="rId49" Type="http://schemas.openxmlformats.org/officeDocument/2006/relationships/hyperlink" Target="https://drliuhao.github.io/mh-liver-pathways/evidence-libraries/" TargetMode="External"/><Relationship Id="rId50" Type="http://schemas.openxmlformats.org/officeDocument/2006/relationships/hyperlink" Target="https://doi.org/10.1016/j.esmoop.2021.100170" TargetMode="External"/><Relationship Id="rId51" Type="http://schemas.openxmlformats.org/officeDocument/2006/relationships/hyperlink" Target="https://drliuhao.github.io/mh-liver-pathways/evidence-libraries/" TargetMode="External"/><Relationship Id="rId52" Type="http://schemas.openxmlformats.org/officeDocument/2006/relationships/hyperlink" Target="https://doi.org/10.1111/hpb.12202" TargetMode="External"/><Relationship Id="rId53" Type="http://schemas.openxmlformats.org/officeDocument/2006/relationships/hyperlink" Target="https://drliuhao.github.io/mh-liver-pathways/evidence-libraries/" TargetMode="External"/><Relationship Id="rId54" Type="http://schemas.openxmlformats.org/officeDocument/2006/relationships/hyperlink" Target="https://doi.org/10.14309/ajg.0000000000002857" TargetMode="External"/><Relationship Id="rId55" Type="http://schemas.openxmlformats.org/officeDocument/2006/relationships/hyperlink" Target="https://drliuhao.github.io/mh-liver-pathways/evidence-libraries/" TargetMode="External"/><Relationship Id="rId56" Type="http://schemas.openxmlformats.org/officeDocument/2006/relationships/hyperlink" Target="https://doi.org/10.1111/j.1600-6143.2011.03972.x" TargetMode="External"/><Relationship Id="rId57" Type="http://schemas.openxmlformats.org/officeDocument/2006/relationships/hyperlink" Target="https://drliuhao.github.io/mh-liver-pathways/evidence-libraries/" TargetMode="External"/><Relationship Id="rId58" Type="http://schemas.openxmlformats.org/officeDocument/2006/relationships/hyperlink" Target="https://doi.org/10.1111/ajt.14055" TargetMode="External"/><Relationship Id="rId59" Type="http://schemas.openxmlformats.org/officeDocument/2006/relationships/hyperlink" Target="https://drliuhao.github.io/mh-liver-pathways/evidence-libraries/" TargetMode="External"/><Relationship Id="rId60" Type="http://schemas.openxmlformats.org/officeDocument/2006/relationships/hyperlink" Target="https://doi.org/10.1097/LVT.0000000000000303" TargetMode="External"/><Relationship Id="rId61" Type="http://schemas.openxmlformats.org/officeDocument/2006/relationships/hyperlink" Target="https://drliuhao.github.io/mh-liver-pathways/evidence-libraries/" TargetMode="External"/><Relationship Id="rId62" Type="http://schemas.openxmlformats.org/officeDocument/2006/relationships/hyperlink" Target="https://doi.org/10.1097/TP.0000000000002982" TargetMode="External"/><Relationship Id="rId63" Type="http://schemas.openxmlformats.org/officeDocument/2006/relationships/hyperlink" Target="https://drliuhao.github.io/mh-liver-pathways/evidence-libraries/" TargetMode="External"/><Relationship Id="rId64" Type="http://schemas.openxmlformats.org/officeDocument/2006/relationships/hyperlink" Target="https://doi.org/10.1186/s12885-024-13053-4" TargetMode="External"/><Relationship Id="rId65" Type="http://schemas.openxmlformats.org/officeDocument/2006/relationships/hyperlink" Target="https://drliuhao.github.io/mh-liver-pathways/evidence-libraries/" TargetMode="External"/><Relationship Id="rId66" Type="http://schemas.openxmlformats.org/officeDocument/2006/relationships/hyperlink" Target="https://doi.org/10.1097/TP.0000000000001603" TargetMode="External"/><Relationship Id="rId67" Type="http://schemas.openxmlformats.org/officeDocument/2006/relationships/hyperlink" Target="https://drliuhao.github.io/mh-liver-pathways/evidence-libraries/" TargetMode="External"/><Relationship Id="rId68" Type="http://schemas.openxmlformats.org/officeDocument/2006/relationships/hyperlink" Target="https://doi.org/10.1016/j.esmoop.2021.100170" TargetMode="External"/><Relationship Id="rId69" Type="http://schemas.openxmlformats.org/officeDocument/2006/relationships/hyperlink" Target="https://drliuhao.github.io/mh-liver-pathways/evidence-libraries/" TargetMode="External"/><Relationship Id="rId70" Type="http://schemas.openxmlformats.org/officeDocument/2006/relationships/hyperlink" Target="https://doi.org/10.1038/s41379-019-0368-8" TargetMode="External"/><Relationship Id="rId71" Type="http://schemas.openxmlformats.org/officeDocument/2006/relationships/hyperlink" Target="https://doi.org/10.1186/s12885-024-13053-4" TargetMode="External"/><Relationship Id="rId72" Type="http://schemas.openxmlformats.org/officeDocument/2006/relationships/hyperlink" Target="https://drliuhao.github.io/mh-liver-pathways/evidence-libraries/" TargetMode="External"/><Relationship Id="rId73" Type="http://schemas.openxmlformats.org/officeDocument/2006/relationships/hyperlink" Target="https://doi.org/10.1097/sla.0b013e31815c2a70" TargetMode="External"/><Relationship Id="rId74" Type="http://schemas.openxmlformats.org/officeDocument/2006/relationships/hyperlink" Target="https://doi.org/10.1002/jso.27807" TargetMode="External"/><Relationship Id="rId75" Type="http://schemas.openxmlformats.org/officeDocument/2006/relationships/hyperlink" Target="https://www.hrsa.gov/sites/default/files/hrsa/optn/optn_policies.pdf" TargetMode="External"/><Relationship Id="rId76" Type="http://schemas.openxmlformats.org/officeDocument/2006/relationships/hyperlink" Target="https://drliuhao.github.io/mh-liver-pathways/evidence-libraries/" TargetMode="External"/><Relationship Id="rId77" Type="http://schemas.openxmlformats.org/officeDocument/2006/relationships/hyperlink" Target="https://www.hrsa.gov/sites/default/files/hrsa/optn/adult-meld-exception-transplant-oncology-review-guidance.pdf" TargetMode="External"/><Relationship Id="rId78" Type="http://schemas.openxmlformats.org/officeDocument/2006/relationships/hyperlink" Target="https://drliuhao.github.io/mh-liver-pathways/evidence-libraries/" TargetMode="External"/><Relationship Id="rId79" Type="http://schemas.openxmlformats.org/officeDocument/2006/relationships/hyperlink" Target="https://doi.org/10.1097/HEP.0000000000001644" TargetMode="External"/><Relationship Id="rId80" Type="http://schemas.openxmlformats.org/officeDocument/2006/relationships/hyperlink" Target="https://drliuhao.github.io/mh-liver-pathways/evidence-libraries/" TargetMode="External"/><Relationship Id="rId81" Type="http://schemas.openxmlformats.org/officeDocument/2006/relationships/hyperlink" Target="https://doi.org/10.1097/TP.0000000000001603" TargetMode="External"/><Relationship Id="rId82" Type="http://schemas.openxmlformats.org/officeDocument/2006/relationships/hyperlink" Target="https://drliuhao.github.io/mh-liver-pathways/evidence-libraries/" TargetMode="External"/><Relationship Id="rId83" Type="http://schemas.openxmlformats.org/officeDocument/2006/relationships/hyperlink" Target="https://doi.org/10.1016/j.esmoop.2021.100170" TargetMode="External"/><Relationship Id="rId84" Type="http://schemas.openxmlformats.org/officeDocument/2006/relationships/hyperlink" Target="https://drliuhao.github.io/mh-liver-pathways/evidence-libraries/" TargetMode="External"/><Relationship Id="rId85" Type="http://schemas.openxmlformats.org/officeDocument/2006/relationships/hyperlink" Target="https://doi.org/10.1111/hpb.12202" TargetMode="External"/><Relationship Id="rId86" Type="http://schemas.openxmlformats.org/officeDocument/2006/relationships/hyperlink" Target="https://drliuhao.github.io/mh-liver-pathways/evidence-libraries/" TargetMode="External"/><Relationship Id="rId87" Type="http://schemas.openxmlformats.org/officeDocument/2006/relationships/hyperlink" Target="https://doi.org/10.14309/ajg.0000000000002857" TargetMode="External"/><Relationship Id="rId88" Type="http://schemas.openxmlformats.org/officeDocument/2006/relationships/hyperlink" Target="https://drliuhao.github.io/mh-liver-pathways/evidence-libraries/" TargetMode="External"/><Relationship Id="rId89" Type="http://schemas.openxmlformats.org/officeDocument/2006/relationships/hyperlink" Target="https://doi.org/10.1111/j.1600-6143.2011.03972.x" TargetMode="External"/><Relationship Id="rId90" Type="http://schemas.openxmlformats.org/officeDocument/2006/relationships/hyperlink" Target="https://drliuhao.github.io/mh-liver-pathways/evidence-libraries/" TargetMode="External"/><Relationship Id="rId91" Type="http://schemas.openxmlformats.org/officeDocument/2006/relationships/hyperlink" Target="https://doi.org/10.1111/ajt.14055" TargetMode="External"/><Relationship Id="rId92" Type="http://schemas.openxmlformats.org/officeDocument/2006/relationships/hyperlink" Target="https://drliuhao.github.io/mh-liver-pathways/evidence-libraries/" TargetMode="External"/><Relationship Id="rId93" Type="http://schemas.openxmlformats.org/officeDocument/2006/relationships/hyperlink" Target="https://doi.org/10.1097/LVT.0000000000000303" TargetMode="External"/><Relationship Id="rId94" Type="http://schemas.openxmlformats.org/officeDocument/2006/relationships/hyperlink" Target="https://drliuhao.github.io/mh-liver-pathways/evidence-libraries/" TargetMode="External"/><Relationship Id="rId95" Type="http://schemas.openxmlformats.org/officeDocument/2006/relationships/hyperlink" Target="https://doi.org/10.1097/TP.0000000000002982" TargetMode="External"/><Relationship Id="rId96" Type="http://schemas.openxmlformats.org/officeDocument/2006/relationships/hyperlink" Target="https://drliuhao.github.io/mh-liver-pathways/evidence-libraries/" TargetMode="External"/><Relationship Id="rId97" Type="http://schemas.openxmlformats.org/officeDocument/2006/relationships/hyperlink" Target="https://doi.org/10.1186/s12885-024-13053-4" TargetMode="External"/><Relationship Id="rId98" Type="http://schemas.openxmlformats.org/officeDocument/2006/relationships/hyperlink" Target="https://drliuhao.github.io/mh-liver-pathways/evidence-libraries/" TargetMode="External"/><Relationship Id="rId99" Type="http://schemas.openxmlformats.org/officeDocument/2006/relationships/hyperlink" Target="https://doi.org/10.1038/s41379-019-0368-8" TargetMode="External"/><Relationship Id="rId100" Type="http://schemas.openxmlformats.org/officeDocument/2006/relationships/hyperlink" Target="https://doi.org/10.1097/sla.0b013e31815c2a70" TargetMode="External"/><Relationship Id="rId101" Type="http://schemas.openxmlformats.org/officeDocument/2006/relationships/hyperlink" Target="https://doi.org/10.1002/jso.27807"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2026-07-15T23:24:18.551Z</dcterms:created>
  <dcterms:modified xsi:type="dcterms:W3CDTF">2026-10-29T14:21:27Z</dcterms:modified>
  <dc:title>UTHealth Houston / Memorial Hermann — Hepatic epithelioid hemangioendothelioma Standard / Guidance-Aligned Transplant Protocol V8</dc:title>
  <dc:subject>Non-standard NLRB pathway for hepatic epithelioid hemangioendothelioma</dc:subject>
  <dc:description>New guidance-aligned protocol drafted July 18, 2026; requires institutional approval before use.</dc:description>
</cp:coreProperties>
</file>

<file path=docProps/custom.xml><?xml version="1.0" encoding="utf-8"?>
<Properties xmlns="http://schemas.openxmlformats.org/officeDocument/2006/custom-properties" xmlns:vt="http://schemas.openxmlformats.org/officeDocument/2006/docPropsVTypes"/>
</file>