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Hepatic epithelioid hemangioendothelioma — High-risk boundary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boundary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https://drliuhao.github.io/mh-liver-pathways/transplant/hehe/#high-risk</w:t>
      </w:r>
    </w:p>
    <w:p>
      <w:pPr>
        <w:spacing w:after="160"/>
      </w:pPr>
      <w:r>
        <w:rPr>
          <w:b/>
          <w:i w:val="0"/>
        </w:rPr>
        <w:t xml:space="preserve">Companion files: </w:t>
      </w:r>
      <w:r>
        <w:rPr>
          <w:b w:val="0"/>
          <w:i w:val="0"/>
          <w:sz w:val="20"/>
        </w:rPr>
        <w:t xml:space="preserve">Full content: </w:t>
      </w:r>
      <w:r>
        <w:rPr>
          <w:b w:val="0"/>
          <w:i/>
        </w:rPr>
        <w:t>HEHE_5_High_Risk_Transplant_Protocol.docx</w:t>
      </w:r>
      <w:r>
        <w:rPr>
          <w:b w:val="0"/>
          <w:i w:val="0"/>
          <w:sz w:val="20"/>
        </w:rPr>
        <w:t xml:space="preserve"> · Decision discussion for all settings: </w:t>
      </w:r>
      <w:r>
        <w:rPr>
          <w:b w:val="0"/>
          <w:i/>
        </w:rPr>
        <w:t>HEHE_7_Decision_Discussion.docx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HEHE-B1</w:t>
            </w:r>
          </w:p>
        </w:tc>
        <w:tc>
          <w:tcPr>
            <w:tcW w:type="dxa" w:w="2520"/>
            <w:tcW w:w="3500" w:type="dxa"/>
            <w:shd w:val="clear" w:color="auto" w:fill="F1F5F8"/>
          </w:tcPr>
          <w:p>
            <w:pPr>
              <w:spacing w:after="0"/>
            </w:pPr>
            <w:r>
              <w:rPr>
                <w:b w:val="0"/>
                <w:i w:val="0"/>
                <w:sz w:val="19"/>
              </w:rPr>
              <w:t>When is observation more informative than immediate listing?</w:t>
            </w:r>
          </w:p>
        </w:tc>
        <w:tc>
          <w:tcPr>
            <w:tcW w:type="dxa" w:w="2520"/>
            <w:tcW w:w="3780" w:type="dxa"/>
            <w:shd w:val="clear" w:color="auto" w:fill="F1F5F8"/>
          </w:tcPr>
          <w:p>
            <w:pPr>
              <w:spacing w:after="0"/>
            </w:pPr>
            <w:r>
              <w:rPr>
                <w:b w:val="0"/>
                <w:i w:val="0"/>
                <w:sz w:val="19"/>
              </w:rPr>
              <w:t>Use six months of documented stability as an OPEN default for clinically stable HEHE, with explicit exceptions and continued assessment of whether LT is needed.</w:t>
            </w:r>
          </w:p>
        </w:tc>
        <w:tc>
          <w:tcPr>
            <w:tcW w:type="dxa" w:w="2520"/>
            <w:tcW w:w="1500" w:type="dxa"/>
            <w:shd w:val="clear" w:color="auto" w:fill="F1F5F8"/>
          </w:tcPr>
          <w:p>
            <w:pPr>
              <w:spacing w:after="0"/>
            </w:pPr>
            <w:r>
              <w:rPr>
                <w:b w:val="0"/>
                <w:i w:val="0"/>
                <w:color w:val="5A6069"/>
                <w:sz w:val="18"/>
              </w:rPr>
              <w:t>Review timing and need for transplant · not activated</w:t>
            </w:r>
          </w:p>
        </w:tc>
      </w:tr>
      <w:tr>
        <w:trPr>
          <w:cantSplit/>
        </w:trPr>
        <w:tc>
          <w:tcPr>
            <w:tcW w:type="dxa" w:w="2520"/>
            <w:tcW w:w="1300" w:type="dxa"/>
            <w:shd w:val="clear" w:color="auto" w:fill="FFFFFF"/>
          </w:tcPr>
          <w:p>
            <w:pPr>
              <w:spacing w:after="0"/>
            </w:pPr>
            <w:r>
              <w:rPr>
                <w:b/>
                <w:i w:val="0"/>
                <w:sz w:val="19"/>
              </w:rPr>
              <w:t>HEHE-B2</w:t>
            </w:r>
          </w:p>
        </w:tc>
        <w:tc>
          <w:tcPr>
            <w:tcW w:type="dxa" w:w="2520"/>
            <w:tcW w:w="3500" w:type="dxa"/>
            <w:shd w:val="clear" w:color="auto" w:fill="FFFFFF"/>
          </w:tcPr>
          <w:p>
            <w:pPr>
              <w:spacing w:after="0"/>
            </w:pPr>
            <w:r>
              <w:rPr>
                <w:b w:val="0"/>
                <w:i w:val="0"/>
                <w:sz w:val="19"/>
              </w:rPr>
              <w:t>Can extrahepatic disease or an explant score broaden access?</w:t>
            </w:r>
          </w:p>
        </w:tc>
        <w:tc>
          <w:tcPr>
            <w:tcW w:type="dxa" w:w="2520"/>
            <w:tcW w:w="3780" w:type="dxa"/>
            <w:shd w:val="clear" w:color="auto" w:fill="FFFFFF"/>
          </w:tcPr>
          <w:p>
            <w:pPr>
              <w:spacing w:after="0"/>
            </w:pPr>
            <w:r>
              <w:rPr>
                <w:b w:val="0"/>
                <w:i w:val="0"/>
                <w:sz w:val="19"/>
              </w:rPr>
              <w:t>Start with liver-only disease and no macrovascular invasion. Define a separate extrahepatic stratum, not yet activated: lung-only disease that is stable for ≥6 months or completely resected or ablated. Bone,…</w:t>
            </w:r>
          </w:p>
        </w:tc>
        <w:tc>
          <w:tcPr>
            <w:tcW w:type="dxa" w:w="2520"/>
            <w:tcW w:w="1500" w:type="dxa"/>
            <w:shd w:val="clear" w:color="auto" w:fill="FFFFFF"/>
          </w:tcPr>
          <w:p>
            <w:pPr>
              <w:spacing w:after="0"/>
            </w:pPr>
            <w:r>
              <w:rPr>
                <w:b w:val="0"/>
                <w:i w:val="0"/>
                <w:color w:val="5A6069"/>
                <w:sz w:val="18"/>
              </w:rPr>
              <w:t>Initial selection and expansion limits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HEHE-B1 — Observation and the need for transplantation</w:t>
      </w:r>
    </w:p>
    <w:p>
      <w:pPr>
        <w:spacing w:after="80"/>
      </w:pPr>
      <w:r>
        <w:rPr>
          <w:b w:val="0"/>
          <w:i w:val="0"/>
          <w:color w:val="5A6069"/>
          <w:sz w:val="18"/>
        </w:rPr>
        <w:t>Review timing and need for transplant · not activated · High-risk review</w:t>
      </w:r>
    </w:p>
    <w:p>
      <w:pPr>
        <w:spacing w:after="80"/>
      </w:pPr>
      <w:r>
        <w:rPr>
          <w:b/>
          <w:i w:val="0"/>
        </w:rPr>
        <w:t xml:space="preserve">Question: </w:t>
      </w:r>
      <w:r>
        <w:rPr>
          <w:b w:val="0"/>
          <w:i w:val="0"/>
        </w:rPr>
        <w:t>When is observation more informative than immediate listing?</w:t>
      </w:r>
    </w:p>
    <w:p>
      <w:pPr>
        <w:spacing w:after="80"/>
      </w:pPr>
      <w:r>
        <w:rPr>
          <w:b/>
          <w:i w:val="0"/>
        </w:rPr>
        <w:t xml:space="preserve">When it applies: </w:t>
      </w:r>
      <w:r>
        <w:rPr>
          <w:b w:val="0"/>
          <w:i w:val="0"/>
        </w:rPr>
        <w:t>Balance observation of disease behavior against liver failure or other reasons transplantation cannot safely wait.</w:t>
      </w:r>
    </w:p>
    <w:p>
      <w:pPr>
        <w:spacing w:after="80"/>
      </w:pPr>
      <w:r>
        <w:rPr>
          <w:b/>
          <w:i w:val="0"/>
        </w:rPr>
        <w:t xml:space="preserve">Where it is decided: </w:t>
      </w:r>
      <w:hyperlink r:id="rId6">
        <w:r>
          <w:rPr>
            <w:color w:val="0563C1"/>
            <w:u w:val="single"/>
          </w:rPr>
          <w:t xml:space="preserve">Assess benefit and risk</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Lai 2017</w:t>
            </w:r>
          </w:p>
        </w:tc>
        <w:tc>
          <w:tcPr>
            <w:tcW w:type="dxa" w:w="3360"/>
            <w:tcW w:w="5480" w:type="dxa"/>
            <w:shd w:val="clear" w:color="auto" w:fill="F1F5F8"/>
          </w:tcPr>
          <w:p>
            <w:pPr>
              <w:spacing w:after="0"/>
            </w:pPr>
            <w:r>
              <w:rPr>
                <w:b w:val="0"/>
                <w:i w:val="0"/>
                <w:sz w:val="19"/>
              </w:rPr>
              <w:t>“pre-LT waiting time of 120 days or less” Associated with recurrence in a selected transplant registry; the association does not prove that delaying LT improves outcomes.</w:t>
            </w:r>
          </w:p>
        </w:tc>
        <w:tc>
          <w:tcPr>
            <w:tcW w:type="dxa" w:w="3360"/>
            <w:tcW w:w="2400" w:type="dxa"/>
            <w:shd w:val="clear" w:color="auto" w:fill="F1F5F8"/>
          </w:tcPr>
          <w:p>
            <w:pPr>
              <w:spacing w:after="0"/>
            </w:pPr>
            <w:r>
              <w:rPr>
                <w:b w:val="0"/>
                <w:i w:val="0"/>
                <w:color w:val="5A6069"/>
                <w:sz w:val="18"/>
              </w:rPr>
              <w:t>Published PDF p1,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Retrospective ELTR/ELITA; 149 adult LT recipients, 1984–2014; median post-LT follow-up 7.6 years. Transplanted patients only; no randomized observation policy.</w:t>
            </w:r>
          </w:p>
        </w:tc>
        <w:tc>
          <w:tcPr>
            <w:tcW w:type="dxa" w:w="3360"/>
            <w:tcW w:w="4180" w:type="dxa"/>
            <w:shd w:val="clear" w:color="auto" w:fill="F1F5F8"/>
          </w:tcPr>
          <w:p>
            <w:pPr>
              <w:spacing w:after="0"/>
            </w:pPr>
            <w:r>
              <w:rPr>
                <w:b w:val="0"/>
                <w:i w:val="0"/>
                <w:sz w:val="19"/>
              </w:rPr>
              <w:t>Post-LT 5-year OS 79.5%; 37/149 recurred. Waiting ≤120 days associated with recurrence: Table 5 adjusted HR 2.5 (95% CI 1.2–5.3); 5-year DFS 73.3% versus 86.7% with longer waiting.</w:t>
            </w:r>
          </w:p>
          <w:p>
            <w:pPr>
              <w:spacing w:after="0"/>
            </w:pPr>
            <w:r>
              <w:rPr>
                <w:b w:val="0"/>
                <w:i/>
                <w:sz w:val="19"/>
              </w:rPr>
              <w:t>Limits: Confounding by urgency and survivorship; association does not show that waiting causes benefit. Earlier ELTR series overlap. Abstract HR differs slightly from Table 5.</w:t>
            </w:r>
          </w:p>
          <w:p>
            <w:pPr>
              <w:spacing w:after="0"/>
            </w:pPr>
            <w:r>
              <w:rPr>
                <w:b w:val="0"/>
                <w:i w:val="0"/>
                <w:color w:val="5A6069"/>
                <w:sz w:val="18"/>
              </w:rPr>
              <w:t>Results, Table 5 and Figure 3; use post-LT, not diagnosis-based OS.</w:t>
            </w:r>
          </w:p>
        </w:tc>
      </w:tr>
      <w:tr>
        <w:trPr>
          <w:cantSplit/>
        </w:trPr>
        <w:tc>
          <w:tcPr>
            <w:tcW w:type="dxa" w:w="3360"/>
            <w:tcW w:w="2000" w:type="dxa"/>
            <w:shd w:val="clear" w:color="auto" w:fill="FFFFFF"/>
          </w:tcPr>
          <w:p>
            <w:pPr>
              <w:spacing w:after="0"/>
            </w:pPr>
            <w:r>
              <w:rPr>
                <w:b/>
                <w:i w:val="0"/>
                <w:sz w:val="19"/>
              </w:rPr>
              <w:t>Brahmbhatt 2020</w:t>
            </w:r>
          </w:p>
        </w:tc>
        <w:tc>
          <w:tcPr>
            <w:tcW w:type="dxa" w:w="3360"/>
            <w:tcW w:w="3900" w:type="dxa"/>
            <w:shd w:val="clear" w:color="auto" w:fill="FFFFFF"/>
          </w:tcPr>
          <w:p>
            <w:pPr>
              <w:spacing w:after="0"/>
            </w:pPr>
            <w:r>
              <w:rPr>
                <w:b w:val="0"/>
                <w:i w:val="0"/>
                <w:sz w:val="19"/>
              </w:rPr>
              <w:t>UNOS 2002–2018: 131 adults listed; 88 transplanted. Median MELD at LT 7; median wait 78.5 days (IQR 29.5–237.5); 120/131 sought exceptions.</w:t>
            </w:r>
          </w:p>
        </w:tc>
        <w:tc>
          <w:tcPr>
            <w:tcW w:type="dxa" w:w="3360"/>
            <w:tcW w:w="4180" w:type="dxa"/>
            <w:shd w:val="clear" w:color="auto" w:fill="FFFFFF"/>
          </w:tcPr>
          <w:p>
            <w:pPr>
              <w:spacing w:after="0"/>
            </w:pPr>
            <w:r>
              <w:rPr>
                <w:b w:val="0"/>
                <w:i w:val="0"/>
                <w:sz w:val="19"/>
              </w:rPr>
              <w:t>Post-LT 1/3/5-year OS 88.6%/78.9%/77.2%. Early hepatic-artery-thrombosis graft failure 4.6% versus 0.5% in non-HEHE comparators.</w:t>
            </w:r>
          </w:p>
          <w:p>
            <w:pPr>
              <w:spacing w:after="0"/>
            </w:pPr>
            <w:r>
              <w:rPr>
                <w:b w:val="0"/>
                <w:i/>
                <w:sz w:val="19"/>
              </w:rPr>
              <w:t>Limits: Abstract-only extraction. Favorable survival despite median wait &lt;120 days argues against a proven mandatory four-month threshold; not a randomized timing comparison. Older UNOS reports overlap.</w:t>
            </w:r>
          </w:p>
          <w:p>
            <w:pPr>
              <w:spacing w:after="0"/>
            </w:pPr>
            <w:r>
              <w:rPr>
                <w:b w:val="0"/>
                <w:i w:val="0"/>
                <w:color w:val="5A6069"/>
                <w:sz w:val="18"/>
              </w:rPr>
              <w:t>Published abstract Results; PMID 31577674.</w:t>
            </w:r>
          </w:p>
        </w:tc>
      </w:tr>
      <w:tr>
        <w:trPr>
          <w:cantSplit/>
        </w:trPr>
        <w:tc>
          <w:tcPr>
            <w:tcW w:type="dxa" w:w="3360"/>
            <w:tcW w:w="2000" w:type="dxa"/>
            <w:shd w:val="clear" w:color="auto" w:fill="F1F5F8"/>
          </w:tcPr>
          <w:p>
            <w:pPr>
              <w:spacing w:after="0"/>
            </w:pPr>
            <w:r>
              <w:rPr>
                <w:b/>
                <w:i w:val="0"/>
                <w:sz w:val="19"/>
              </w:rPr>
              <w:t>Thomas 2014</w:t>
            </w:r>
          </w:p>
        </w:tc>
        <w:tc>
          <w:tcPr>
            <w:tcW w:type="dxa" w:w="3360"/>
            <w:tcW w:w="3900" w:type="dxa"/>
            <w:shd w:val="clear" w:color="auto" w:fill="F1F5F8"/>
          </w:tcPr>
          <w:p>
            <w:pPr>
              <w:spacing w:after="0"/>
            </w:pPr>
            <w:r>
              <w:rPr>
                <w:b w:val="0"/>
                <w:i w:val="0"/>
                <w:sz w:val="19"/>
              </w:rPr>
              <w:t>Single-center retrospective cohort, n=50; initial surgery 7, systemic/embolization 18, observation 25. Histologically confirmed EHE; 24/50 metastatic at diagnosis; treatment selected clinically.</w:t>
            </w:r>
          </w:p>
        </w:tc>
        <w:tc>
          <w:tcPr>
            <w:tcW w:type="dxa" w:w="3360"/>
            <w:tcW w:w="4180" w:type="dxa"/>
            <w:shd w:val="clear" w:color="auto" w:fill="F1F5F8"/>
          </w:tcPr>
          <w:p>
            <w:pPr>
              <w:spacing w:after="0"/>
            </w:pPr>
            <w:r>
              <w:rPr>
                <w:b w:val="0"/>
                <w:i w:val="0"/>
                <w:sz w:val="19"/>
              </w:rPr>
              <w:t>Five-year OS from diagnosis: surgery 83.3%, systemic/embolization 71.3%, observation 72.4% (P=.9). Localized versus metastatic: 69% versus 78.3% (P=.7).</w:t>
            </w:r>
          </w:p>
          <w:p>
            <w:pPr>
              <w:spacing w:after="0"/>
            </w:pPr>
            <w:r>
              <w:rPr>
                <w:b w:val="0"/>
                <w:i/>
                <w:sz w:val="19"/>
              </w:rPr>
              <w:t>Limits: Small, nonrandom groups; no metastatic patients in initial surgery group. Supports observing selected indolent disease, not equivalence of therapies or a 120-day cutoff.</w:t>
            </w:r>
          </w:p>
          <w:p>
            <w:pPr>
              <w:spacing w:after="0"/>
            </w:pPr>
            <w:r>
              <w:rPr>
                <w:b w:val="0"/>
                <w:i w:val="0"/>
                <w:color w:val="5A6069"/>
                <w:sz w:val="18"/>
              </w:rPr>
              <w:t>Methods time-origin definition; Table 1 and survival Results.</w:t>
            </w:r>
          </w:p>
        </w:tc>
      </w:tr>
      <w:tr>
        <w:trPr>
          <w:cantSplit/>
        </w:trPr>
        <w:tc>
          <w:tcPr>
            <w:tcW w:type="dxa" w:w="3360"/>
            <w:tcW w:w="2000" w:type="dxa"/>
            <w:shd w:val="clear" w:color="auto" w:fill="FFFFFF"/>
          </w:tcPr>
          <w:p>
            <w:pPr>
              <w:spacing w:after="0"/>
            </w:pPr>
            <w:r>
              <w:rPr>
                <w:b/>
                <w:i w:val="0"/>
                <w:sz w:val="19"/>
              </w:rPr>
              <w:t>Liu 2024</w:t>
            </w:r>
          </w:p>
        </w:tc>
        <w:tc>
          <w:tcPr>
            <w:tcW w:type="dxa" w:w="3360"/>
            <w:tcW w:w="3900" w:type="dxa"/>
            <w:shd w:val="clear" w:color="auto" w:fill="FFFFFF"/>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FFFFF"/>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bl>
    <w:p>
      <w:pPr>
        <w:spacing w:after="40"/>
      </w:pPr>
    </w:p>
    <w:p>
      <w:pPr>
        <w:pStyle w:val="Heading3"/>
        <w:keepNext/>
        <w:spacing w:before="120" w:after="80"/>
      </w:pPr>
      <w:r>
        <w:rPr>
          <w:b w:val="0"/>
          <w:i w:val="0"/>
        </w:rPr>
        <w:t>Our proposed selection (OPEN)</w:t>
      </w:r>
    </w:p>
    <w:p>
      <w:pPr>
        <w:spacing w:after="80"/>
      </w:pPr>
      <w:r>
        <w:rPr>
          <w:b w:val="0"/>
          <w:i w:val="0"/>
        </w:rPr>
        <w:t>Use six months of documented stability as an OPEN default for clinically stable HEHE, with explicit exceptions and continued assessment of whether LT is needed.</w:t>
      </w:r>
    </w:p>
    <w:p>
      <w:pPr>
        <w:numPr>
          <w:ilvl w:val="0"/>
          <w:numId w:val="5"/>
        </w:numPr>
        <w:spacing w:after="40"/>
      </w:pPr>
      <w:r>
        <w:rPr>
          <w:b w:val="0"/>
          <w:i w:val="0"/>
        </w:rPr>
        <w:t>In stable disease, propose six months of largely stable biology before final a final decision to proceed with transplantation, with comparable staging and approximately eight-week reassessment. Reliable earlier imaging can count; document the actual diagnosis, staging, registration and observation dates rather than restart a clock at referral.</w:t>
      </w:r>
    </w:p>
    <w:p>
      <w:pPr>
        <w:numPr>
          <w:ilvl w:val="0"/>
          <w:numId w:val="5"/>
        </w:numPr>
        <w:spacing w:after="40"/>
      </w:pPr>
      <w:r>
        <w:rPr>
          <w:b w:val="0"/>
          <w:i w:val="0"/>
        </w:rPr>
        <w:t>Do not delay threatening liver failure, significant progressive symptoms or rapid progression solely to complete six months. Obtain urgent multidisciplinary review of LT versus non-LT treatment; urgency does not itself establish oncologic suitability.</w:t>
      </w:r>
    </w:p>
    <w:p>
      <w:pPr>
        <w:numPr>
          <w:ilvl w:val="0"/>
          <w:numId w:val="5"/>
        </w:numPr>
        <w:spacing w:after="40"/>
      </w:pPr>
      <w:r>
        <w:rPr>
          <w:b w:val="0"/>
          <w:i w:val="0"/>
        </w:rPr>
        <w:t>Six months is an expert-guidance-informed local default, not a national requirement or validated cutoff. Continued stability does not mandate LT: reassess resection, symptom burden, function and benefit over continued observation.</w:t>
      </w:r>
    </w:p>
    <w:p>
      <w:pPr>
        <w:spacing w:after="80"/>
      </w:pPr>
      <w:r>
        <w:rPr>
          <w:b/>
          <w:i w:val="0"/>
        </w:rPr>
        <w:t xml:space="preserve">Why: </w:t>
      </w:r>
      <w:r>
        <w:rPr>
          <w:b w:val="0"/>
          <w:i w:val="0"/>
        </w:rPr>
        <w:t>Observation can expose indolent biology and avoid unnecessary graft use. The 120-day signal is prognostic association among recipients, not a tested intervention. Good US outcomes with a shorter median wait and poor outcomes in a small high-burden cohort both argue for clinical context rather than a stopwatch. DGVS explicitly favors six months of largely stable disease. This expert-guidance counterpoint is more conservative than the earlier four-month local proposal; neither interval has causal comparative validation.</w:t>
      </w:r>
    </w:p>
    <w:p>
      <w:pPr>
        <w:spacing w:after="80"/>
      </w:pPr>
      <w:r>
        <w:rPr>
          <w:b/>
          <w:i w:val="0"/>
        </w:rPr>
        <w:t xml:space="preserve">Against, or uncertain: </w:t>
      </w:r>
      <w:r>
        <w:rPr>
          <w:b w:val="0"/>
          <w:i w:val="0"/>
        </w:rPr>
        <w:t>There is no randomized immediate-versus-delayed LT comparison. Time accrued before referral, urgent liver failure, selection to survive waiting, lead time and different OS clocks can generate apparent benefits of observation.</w:t>
      </w:r>
    </w:p>
    <w:p>
      <w:pPr>
        <w:spacing w:after="80"/>
      </w:pPr>
      <w:r>
        <w:rPr>
          <w:b/>
          <w:i w:val="0"/>
        </w:rPr>
        <w:t xml:space="preserve">Certainty: </w:t>
      </w:r>
      <w:r>
        <w:rPr>
          <w:b w:val="0"/>
          <w:i w:val="0"/>
        </w:rPr>
        <w:t>Low certainty for selected post-LT survival; very low certainty that a fixed observation interval improves outcomes. No validated universal 120-day eligibility cliff. Lai measured waiting time from waiting-list registration, not completed staging, diagnosis or referral; our proposed staging-based clock is an explicit adaptation.</w:t>
      </w:r>
    </w:p>
    <w:p>
      <w:pPr>
        <w:spacing w:after="80"/>
      </w:pPr>
      <w:r>
        <w:rPr>
          <w:b/>
          <w:i w:val="0"/>
        </w:rPr>
        <w:t xml:space="preserve">Tests and records: </w:t>
      </w:r>
      <w:r>
        <w:rPr>
          <w:b w:val="0"/>
          <w:i w:val="0"/>
        </w:rPr>
        <w:t>Expert EHE pathology; complete liver/systemic staging; symptoms and liver function; interval growth and vascular/node assessment; resection review.</w:t>
      </w:r>
    </w:p>
    <w:p>
      <w:pPr>
        <w:spacing w:after="80"/>
      </w:pPr>
      <w:r>
        <w:rPr>
          <w:b/>
          <w:i w:val="0"/>
        </w:rPr>
        <w:t xml:space="preserve">Allocation: </w:t>
      </w:r>
      <w:r>
        <w:rPr>
          <w:b w:val="0"/>
          <w:i w:val="0"/>
        </w:rPr>
        <w:t>This is a proposed clinical timing choice, not an added NLRB exception requirement. Standard HEHE protocol content is not rewritten in this edition.</w:t>
      </w:r>
    </w:p>
    <w:p>
      <w:pPr>
        <w:spacing w:after="40"/>
      </w:pPr>
      <w:r>
        <w:rPr>
          <w:b/>
          <w:i w:val="0"/>
        </w:rPr>
        <w:t xml:space="preserve">Basis for the proposed thresholds: </w:t>
      </w:r>
    </w:p>
    <w:p>
      <w:pPr>
        <w:numPr>
          <w:ilvl w:val="0"/>
          <w:numId w:val="5"/>
        </w:numPr>
        <w:spacing w:after="40"/>
      </w:pPr>
      <w:r>
        <w:rPr>
          <w:b w:val="0"/>
          <w:i w:val="0"/>
        </w:rPr>
        <w:t>Six months: international expert-guidance default, not US policy or a proven biological cliff. Reliable pre-referral stability may contribute.</w:t>
      </w:r>
    </w:p>
    <w:p>
      <w:pPr>
        <w:numPr>
          <w:ilvl w:val="0"/>
          <w:numId w:val="5"/>
        </w:numPr>
        <w:spacing w:after="40"/>
      </w:pPr>
      <w:r>
        <w:rPr>
          <w:b w:val="0"/>
          <w:i w:val="0"/>
        </w:rPr>
        <w:t>120 days: Lai registry exposure measured from waiting-list registration to LT; it is not the same as diagnosis-to-treatment or completed-staging observation and does not causally validate four months.</w:t>
      </w:r>
    </w:p>
    <w:p>
      <w:pPr>
        <w:numPr>
          <w:ilvl w:val="0"/>
          <w:numId w:val="5"/>
        </w:numPr>
        <w:spacing w:after="40"/>
      </w:pPr>
      <w:r>
        <w:rPr>
          <w:b w:val="0"/>
          <w:i w:val="0"/>
        </w:rPr>
        <w:t>Approximately eight-week reassessment and exceptions: local workflow/safety judgment; adjust to disease trajectory.</w:t>
      </w:r>
    </w:p>
    <w:p>
      <w:pPr>
        <w:pStyle w:val="Heading3"/>
        <w:keepNext/>
        <w:spacing w:before="120" w:after="80"/>
      </w:pPr>
      <w:r>
        <w:rPr>
          <w:b w:val="0"/>
          <w:i w:val="0"/>
        </w:rPr>
        <w:t>HEHE-B1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HEHE-B2 — Extrahepatic disease and vascular invasion</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Can extrahepatic disease or an explant score broaden access?</w:t>
      </w:r>
    </w:p>
    <w:p>
      <w:pPr>
        <w:spacing w:after="80"/>
      </w:pPr>
      <w:r>
        <w:rPr>
          <w:b/>
          <w:i w:val="0"/>
        </w:rPr>
        <w:t xml:space="preserve">When it applies: </w:t>
      </w:r>
      <w:r>
        <w:rPr>
          <w:b w:val="0"/>
          <w:i w:val="0"/>
        </w:rPr>
        <w:t>Assess vascular invasion and any extrahepatic disease separately from the usual liver-only pathway.</w:t>
      </w:r>
    </w:p>
    <w:p>
      <w:pPr>
        <w:spacing w:after="80"/>
      </w:pPr>
      <w:r>
        <w:rPr>
          <w:b/>
          <w:i w:val="0"/>
        </w:rPr>
        <w:t xml:space="preserve">Where it is decided: </w:t>
      </w:r>
      <w:hyperlink r:id="rId10">
        <w:r>
          <w:rPr>
            <w:color w:val="0563C1"/>
            <w:u w:val="single"/>
          </w:rPr>
          <w:t xml:space="preserve">Stage and compare options</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“The presence of extrahepatic disease is not an absolute contraindication.” Allocation guidance permits consideration; it does not establish clinical benefit in every EHD phenotype.</w:t>
            </w:r>
          </w:p>
        </w:tc>
        <w:tc>
          <w:tcPr>
            <w:tcW w:type="dxa" w:w="3360"/>
            <w:tcW w:w="2400" w:type="dxa"/>
            <w:shd w:val="clear" w:color="auto" w:fill="F1F5F8"/>
          </w:tcPr>
          <w:p>
            <w:pPr>
              <w:spacing w:after="0"/>
            </w:pPr>
            <w:r>
              <w:rPr>
                <w:b w:val="0"/>
                <w:i w:val="0"/>
                <w:color w:val="5A6069"/>
                <w:sz w:val="18"/>
              </w:rPr>
              <w:t>December 2025 oncology guidance p11, HEHE</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“Absence of macrovascular invasion on biopsy or imaging.” A separate favorable-guidance criterion; do not omit it when discussing EHD.</w:t>
            </w:r>
          </w:p>
        </w:tc>
        <w:tc>
          <w:tcPr>
            <w:tcW w:type="dxa" w:w="3360"/>
            <w:tcW w:w="2400" w:type="dxa"/>
            <w:shd w:val="clear" w:color="auto" w:fill="FFFFFF"/>
          </w:tcPr>
          <w:p>
            <w:pPr>
              <w:spacing w:after="0"/>
            </w:pPr>
            <w:r>
              <w:rPr>
                <w:b w:val="0"/>
                <w:i w:val="0"/>
                <w:color w:val="5A6069"/>
                <w:sz w:val="18"/>
              </w:rPr>
              <w:t>December 2025 oncology guidance p11, HEHE</w:t>
            </w:r>
          </w:p>
        </w:tc>
      </w:tr>
      <w:tr>
        <w:trPr>
          <w:cantSplit/>
        </w:trPr>
        <w:tc>
          <w:tcPr>
            <w:tcW w:type="dxa" w:w="3360"/>
            <w:tcW w:w="2200" w:type="dxa"/>
            <w:shd w:val="clear" w:color="auto" w:fill="F1F5F8"/>
          </w:tcPr>
          <w:p>
            <w:pPr>
              <w:spacing w:after="0"/>
            </w:pPr>
            <w:r>
              <w:rPr>
                <w:b/>
                <w:i w:val="0"/>
                <w:sz w:val="19"/>
              </w:rPr>
              <w:t>Stacchiotti 2021</w:t>
            </w:r>
          </w:p>
        </w:tc>
        <w:tc>
          <w:tcPr>
            <w:tcW w:type="dxa" w:w="3360"/>
            <w:tcW w:w="5480" w:type="dxa"/>
            <w:shd w:val="clear" w:color="auto" w:fill="F1F5F8"/>
          </w:tcPr>
          <w:p>
            <w:pPr>
              <w:spacing w:after="0"/>
            </w:pPr>
            <w:r>
              <w:rPr>
                <w:b w:val="0"/>
                <w:i w:val="0"/>
                <w:sz w:val="19"/>
              </w:rPr>
              <w:t>“LT should not be proposed to patients with liver EHE and extrahepatic disease” Clinical consensus is more restrictive than NLRB review guidance. The disagreement remains visible.</w:t>
            </w:r>
          </w:p>
        </w:tc>
        <w:tc>
          <w:tcPr>
            <w:tcW w:type="dxa" w:w="3360"/>
            <w:tcW w:w="2400" w:type="dxa"/>
            <w:shd w:val="clear" w:color="auto" w:fill="F1F5F8"/>
          </w:tcPr>
          <w:p>
            <w:pPr>
              <w:spacing w:after="0"/>
            </w:pPr>
            <w:r>
              <w:rPr>
                <w:b w:val="0"/>
                <w:i w:val="0"/>
                <w:color w:val="5A6069"/>
                <w:sz w:val="18"/>
              </w:rPr>
              <w:t>ESMO Open 2021 consensus PDF p8; recommendation graded V, 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Same 149-recipient ELTR series; 40 had pre-LT extrahepatic disease. EHD comparison restricted to 23 matched pairs; score uses explant/pathological variables.</w:t>
            </w:r>
          </w:p>
        </w:tc>
        <w:tc>
          <w:tcPr>
            <w:tcW w:type="dxa" w:w="3360"/>
            <w:tcW w:w="4180" w:type="dxa"/>
            <w:shd w:val="clear" w:color="auto" w:fill="F1F5F8"/>
          </w:tcPr>
          <w:p>
            <w:pPr>
              <w:spacing w:after="0"/>
            </w:pPr>
            <w:r>
              <w:rPr>
                <w:b w:val="0"/>
                <w:i w:val="0"/>
                <w:sz w:val="19"/>
              </w:rPr>
              <w:t>Pre-transplant extrahepatic disease was mostly radiological lung disease (23 of 40), and only 5 had lung surgery beforehand; extrahepatic disease HR 1.5 (0.8–3.0), not retained. Matched 5-year DFS: EHD 73.5% versus 81.6% without, P=.54. macrovascular invasion adjusted recurrence HR 4.9 (2.4–9.9); hilar nodes HR 2.2 (1.1–4.5). Score groups 0–2/3–5/6–10: 5-year DFS 93.9%/76.9%/38.5%.</w:t>
            </w:r>
          </w:p>
          <w:p>
            <w:pPr>
              <w:spacing w:after="0"/>
            </w:pPr>
            <w:r>
              <w:rPr>
                <w:b w:val="0"/>
                <w:i/>
                <w:sz w:val="19"/>
              </w:rPr>
              <w:t>Limits: A nonsignificant small comparison is not equivalence. Score was not validated as a pre-LT eligibility test; grade/stage can be missed before explant.</w:t>
            </w:r>
          </w:p>
          <w:p>
            <w:pPr>
              <w:spacing w:after="0"/>
            </w:pPr>
            <w:r>
              <w:rPr>
                <w:b w:val="0"/>
                <w:i w:val="0"/>
                <w:color w:val="5A6069"/>
                <w:sz w:val="18"/>
              </w:rPr>
              <w:t>Table 5; propensity-matched analysis; EHE-LT score section.</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focal liver lesion guideline, key concepts 34–36. Whole-body CT/MRI staging; recognize variable, sometimes low PET avidity.</w:t>
            </w:r>
          </w:p>
        </w:tc>
        <w:tc>
          <w:tcPr>
            <w:tcW w:type="dxa" w:w="3360"/>
            <w:tcW w:w="4180" w:type="dxa"/>
            <w:shd w:val="clear" w:color="auto" w:fill="FFFFFF"/>
          </w:tcPr>
          <w:p>
            <w:pPr>
              <w:spacing w:after="0"/>
            </w:pPr>
            <w:r>
              <w:rPr>
                <w:b w:val="0"/>
                <w:i w:val="0"/>
                <w:sz w:val="19"/>
              </w:rPr>
              <w:t>Key concept 35 supports resection if possible and LT when unresectable, including selected EHD. This is a clinical position, not an allocation entitlement.</w:t>
            </w:r>
          </w:p>
          <w:p>
            <w:pPr>
              <w:spacing w:after="0"/>
            </w:pPr>
            <w:r>
              <w:rPr>
                <w:b w:val="0"/>
                <w:i/>
                <w:sz w:val="19"/>
              </w:rPr>
              <w:t>Limits: These statements are key concepts, not GRADE-rated recommendations; optimistic comparative language rests on selected series.</w:t>
            </w:r>
          </w:p>
          <w:p>
            <w:pPr>
              <w:spacing w:after="0"/>
            </w:pPr>
            <w:r>
              <w:rPr>
                <w:b w:val="0"/>
                <w:i w:val="0"/>
                <w:color w:val="5A6069"/>
                <w:sz w:val="18"/>
              </w:rPr>
              <w:t>Table 3 key concepts 34–36, PDF p5; EHE discussion.</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December 2025 transplant-oncology exception guidance, current posting checked 24 October 2026. HEHE diagnosis, unresectability and absence of macrovascular invasion are separately considered.</w:t>
            </w:r>
          </w:p>
        </w:tc>
        <w:tc>
          <w:tcPr>
            <w:tcW w:type="dxa" w:w="3360"/>
            <w:tcW w:w="4180" w:type="dxa"/>
            <w:shd w:val="clear" w:color="auto" w:fill="FFFFFF"/>
          </w:tcPr>
          <w:p>
            <w:pPr>
              <w:spacing w:after="0"/>
            </w:pPr>
            <w:r>
              <w:rPr>
                <w:b w:val="0"/>
                <w:i w:val="0"/>
                <w:sz w:val="19"/>
              </w:rPr>
              <w:t>EHD is not an absolute contraindication in this guidance. No mandatory four-month observation rule is specified.</w:t>
            </w:r>
          </w:p>
          <w:p>
            <w:pPr>
              <w:spacing w:after="0"/>
            </w:pPr>
            <w:r>
              <w:rPr>
                <w:b w:val="0"/>
                <w:i/>
                <w:sz w:val="19"/>
              </w:rPr>
              <w:t>Limits: Nonbinding allocation-review guidance; does not demonstrate individual clinical benefit or override donor/clinical judgment.</w:t>
            </w:r>
          </w:p>
          <w:p>
            <w:pPr>
              <w:spacing w:after="0"/>
            </w:pPr>
            <w:r>
              <w:rPr>
                <w:b w:val="0"/>
                <w:i w:val="0"/>
                <w:color w:val="5A6069"/>
                <w:sz w:val="18"/>
              </w:rPr>
              <w:t>HEHE section p11 and disclaimer p2.</w:t>
            </w:r>
          </w:p>
        </w:tc>
      </w:tr>
      <w:tr>
        <w:trPr>
          <w:cantSplit/>
        </w:trPr>
        <w:tc>
          <w:tcPr>
            <w:tcW w:type="dxa" w:w="3360"/>
            <w:tcW w:w="2000" w:type="dxa"/>
            <w:shd w:val="clear" w:color="auto" w:fill="F1F5F8"/>
          </w:tcPr>
          <w:p>
            <w:pPr>
              <w:spacing w:after="0"/>
            </w:pPr>
            <w:r>
              <w:rPr>
                <w:b/>
                <w:i w:val="0"/>
                <w:sz w:val="19"/>
              </w:rPr>
              <w:t>Liu 2024</w:t>
            </w:r>
          </w:p>
        </w:tc>
        <w:tc>
          <w:tcPr>
            <w:tcW w:type="dxa" w:w="3360"/>
            <w:tcW w:w="3900" w:type="dxa"/>
            <w:shd w:val="clear" w:color="auto" w:fill="F1F5F8"/>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1F5F8"/>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r>
        <w:trPr>
          <w:cantSplit/>
        </w:trPr>
        <w:tc>
          <w:tcPr>
            <w:tcW w:type="dxa" w:w="3360"/>
            <w:tcW w:w="2000" w:type="dxa"/>
            <w:shd w:val="clear" w:color="auto" w:fill="F1F5F8"/>
          </w:tcPr>
          <w:p>
            <w:pPr>
              <w:spacing w:after="0"/>
            </w:pPr>
            <w:r>
              <w:rPr>
                <w:b/>
                <w:i w:val="0"/>
                <w:sz w:val="19"/>
              </w:rPr>
              <w:t>Lerut 2007 · ELTR</w:t>
            </w:r>
          </w:p>
        </w:tc>
        <w:tc>
          <w:tcPr>
            <w:tcW w:type="dxa" w:w="3360"/>
            <w:tcW w:w="3900" w:type="dxa"/>
            <w:shd w:val="clear" w:color="auto" w:fill="F1F5F8"/>
          </w:tcPr>
          <w:p>
            <w:pPr>
              <w:spacing w:after="0"/>
            </w:pPr>
            <w:r>
              <w:rPr>
                <w:b w:val="0"/>
                <w:i w:val="0"/>
                <w:sz w:val="19"/>
              </w:rPr>
              <w:t>European Liver Transplant Registry: 59 recipients transplanted for HEHE. Ten (16.9%) had extrahepatic disease before or at transplantation; three had extrahepatic surgery before transplantation.</w:t>
            </w:r>
          </w:p>
        </w:tc>
        <w:tc>
          <w:tcPr>
            <w:tcW w:type="dxa" w:w="3360"/>
            <w:tcW w:w="4180" w:type="dxa"/>
            <w:shd w:val="clear" w:color="auto" w:fill="F1F5F8"/>
          </w:tcPr>
          <w:p>
            <w:pPr>
              <w:spacing w:after="0"/>
            </w:pPr>
            <w:r>
              <w:rPr>
                <w:b w:val="0"/>
                <w:i w:val="0"/>
                <w:sz w:val="19"/>
              </w:rPr>
              <w:t>One-, five- and ten-year survival 90%, 80% and 80% with extrahepatic disease versus 94%, 83% and 70% without; lymph-node invasion also did not significantly change survival, whereas vascular invasion did.</w:t>
            </w:r>
          </w:p>
          <w:p>
            <w:pPr>
              <w:spacing w:after="0"/>
            </w:pPr>
            <w:r>
              <w:rPr>
                <w:b w:val="0"/>
                <w:i/>
                <w:sz w:val="19"/>
              </w:rPr>
              <w:t>Limits: Ten patients with extrahepatic disease; sites and treatment not separated.</w:t>
            </w:r>
          </w:p>
          <w:p>
            <w:pPr>
              <w:spacing w:after="0"/>
            </w:pPr>
            <w:r>
              <w:rPr>
                <w:b w:val="0"/>
                <w:i w:val="0"/>
                <w:color w:val="5A6069"/>
                <w:sz w:val="18"/>
              </w:rPr>
              <w:t>Ann Surg 2007; abstract.</w:t>
            </w:r>
          </w:p>
        </w:tc>
      </w:tr>
      <w:tr>
        <w:trPr>
          <w:cantSplit/>
        </w:trPr>
        <w:tc>
          <w:tcPr>
            <w:tcW w:type="dxa" w:w="3360"/>
            <w:tcW w:w="2000" w:type="dxa"/>
            <w:shd w:val="clear" w:color="auto" w:fill="FFFFFF"/>
          </w:tcPr>
          <w:p>
            <w:pPr>
              <w:spacing w:after="0"/>
            </w:pPr>
            <w:r>
              <w:rPr>
                <w:b/>
                <w:i w:val="0"/>
                <w:sz w:val="19"/>
              </w:rPr>
              <w:t>Sawma 2024 · Mayo</w:t>
            </w:r>
          </w:p>
        </w:tc>
        <w:tc>
          <w:tcPr>
            <w:tcW w:type="dxa" w:w="3360"/>
            <w:tcW w:w="3900" w:type="dxa"/>
            <w:shd w:val="clear" w:color="auto" w:fill="FFFFFF"/>
          </w:tcPr>
          <w:p>
            <w:pPr>
              <w:spacing w:after="0"/>
            </w:pPr>
            <w:r>
              <w:rPr>
                <w:b w:val="0"/>
                <w:i w:val="0"/>
                <w:sz w:val="19"/>
              </w:rPr>
              <w:t>Mayo cohort of 80 patients with HEHE (24 transplanted, 26 resected, 30 managed medically). Twenty-six had extrahepatic metastases at diagnosis, four of them in the transplant group.</w:t>
            </w:r>
          </w:p>
        </w:tc>
        <w:tc>
          <w:tcPr>
            <w:tcW w:type="dxa" w:w="3360"/>
            <w:tcW w:w="4180" w:type="dxa"/>
            <w:shd w:val="clear" w:color="auto" w:fill="FFFFFF"/>
          </w:tcPr>
          <w:p>
            <w:pPr>
              <w:spacing w:after="0"/>
            </w:pPr>
            <w:r>
              <w:rPr>
                <w:b w:val="0"/>
                <w:i w:val="0"/>
                <w:sz w:val="19"/>
              </w:rPr>
              <w:t>Bone metastasis was independently associated with long-term mortality (HR 6.3); lung metastasis was not (HR 0.8).</w:t>
            </w:r>
          </w:p>
          <w:p>
            <w:pPr>
              <w:spacing w:after="0"/>
            </w:pPr>
            <w:r>
              <w:rPr>
                <w:b w:val="0"/>
                <w:i/>
                <w:sz w:val="19"/>
              </w:rPr>
              <w:t>Limits: The site analysis covers all treatments; only four recipients had extrahepatic disease.</w:t>
            </w:r>
          </w:p>
          <w:p>
            <w:pPr>
              <w:spacing w:after="0"/>
            </w:pPr>
            <w:r>
              <w:rPr>
                <w:b w:val="0"/>
                <w:i w:val="0"/>
                <w:color w:val="5A6069"/>
                <w:sz w:val="18"/>
              </w:rPr>
              <w:t>J Surg Oncol 2024; abstract.</w:t>
            </w:r>
          </w:p>
        </w:tc>
      </w:tr>
      <w:tr>
        <w:trPr>
          <w:cantSplit/>
        </w:trPr>
        <w:tc>
          <w:tcPr>
            <w:tcW w:type="dxa" w:w="3360"/>
            <w:tcW w:w="2000" w:type="dxa"/>
            <w:shd w:val="clear" w:color="auto" w:fill="F1F5F8"/>
          </w:tcPr>
          <w:p>
            <w:pPr>
              <w:spacing w:after="0"/>
            </w:pPr>
            <w:r>
              <w:rPr>
                <w:b/>
                <w:i w:val="0"/>
                <w:sz w:val="19"/>
              </w:rPr>
              <w:t>Rosenbaum 2019 · EHE molecular subsets</w:t>
            </w:r>
          </w:p>
        </w:tc>
        <w:tc>
          <w:tcPr>
            <w:tcW w:type="dxa" w:w="3360"/>
            <w:tcW w:w="3900" w:type="dxa"/>
            <w:shd w:val="clear" w:color="auto" w:fill="F1F5F8"/>
          </w:tcPr>
          <w:p>
            <w:pPr>
              <w:spacing w:after="0"/>
            </w:pPr>
            <w:r>
              <w:rPr>
                <w:b w:val="0"/>
                <w:i w:val="0"/>
                <w:sz w:val="19"/>
              </w:rPr>
              <w:t>MSKCC clinicopathological cohort, 93 EHE at all sites. Nodal and pleural involvement recorded; one liver transplant.</w:t>
            </w:r>
          </w:p>
        </w:tc>
        <w:tc>
          <w:tcPr>
            <w:tcW w:type="dxa" w:w="3360"/>
            <w:tcW w:w="4180" w:type="dxa"/>
            <w:shd w:val="clear" w:color="auto" w:fill="F1F5F8"/>
          </w:tcPr>
          <w:p>
            <w:pPr>
              <w:spacing w:after="0"/>
            </w:pPr>
            <w:r>
              <w:rPr>
                <w:b w:val="0"/>
                <w:i w:val="0"/>
                <w:sz w:val="19"/>
              </w:rPr>
              <w:t>Nodal involvement HR 2.7; five-year survival 30% with nodal and 22% with pleural disease versus over 70% without (unadjusted).</w:t>
            </w:r>
          </w:p>
          <w:p>
            <w:pPr>
              <w:spacing w:after="0"/>
            </w:pPr>
            <w:r>
              <w:rPr>
                <w:b w:val="0"/>
                <w:i/>
                <w:sz w:val="19"/>
              </w:rPr>
              <w:t>Limits: Mixed anatomical sites; not transplant-specific.</w:t>
            </w:r>
          </w:p>
          <w:p>
            <w:pPr>
              <w:spacing w:after="0"/>
            </w:pPr>
            <w:r>
              <w:rPr>
                <w:b w:val="0"/>
                <w:i w:val="0"/>
                <w:color w:val="5A6069"/>
                <w:sz w:val="18"/>
              </w:rPr>
              <w:t>Mod Pathol 2019;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Start with liver-only disease and no macrovascular invasion. Define a separate extrahepatic stratum, not yet activated: lung-only disease that is stable for ≥6 months or completely resected or ablated. Bone, serosal and progressive extrahepatic disease stay closed. Do not select using an explant score.</w:t>
      </w:r>
    </w:p>
    <w:p>
      <w:pPr>
        <w:numPr>
          <w:ilvl w:val="0"/>
          <w:numId w:val="5"/>
        </w:numPr>
        <w:spacing w:after="40"/>
      </w:pPr>
      <w:r>
        <w:rPr>
          <w:b w:val="0"/>
          <w:i w:val="0"/>
        </w:rPr>
        <w:t>Proposed opening boundary: unresectable liver-only EHE with no macrovascular invasion. Extrahepatic disease is not a national absolute prohibition, but it is outside the opening cohort.</w:t>
      </w:r>
    </w:p>
    <w:p>
      <w:pPr>
        <w:numPr>
          <w:ilvl w:val="0"/>
          <w:numId w:val="5"/>
        </w:numPr>
        <w:spacing w:after="40"/>
      </w:pPr>
      <w:r>
        <w:rPr>
          <w:b w:val="0"/>
          <w:i w:val="0"/>
        </w:rPr>
        <w:t>Resolve suspicious nodes/extrahepatic lesions before proceeding. Do not use an explant-derived score as if it were a validated pretransplant eligibility test.</w:t>
      </w:r>
    </w:p>
    <w:p>
      <w:pPr>
        <w:numPr>
          <w:ilvl w:val="0"/>
          <w:numId w:val="5"/>
        </w:numPr>
        <w:spacing w:after="40"/>
      </w:pPr>
      <w:r>
        <w:rPr>
          <w:b w:val="0"/>
          <w:i w:val="0"/>
        </w:rPr>
        <w:t>Proposed extrahepatic stratum (defined, not activated): lung-only disease without pleural involvement, asymptomatic, and either stable on serial imaging for ≥6 months or completely resected or ablated with no recurrence for ≥6 months. Each case needs independent expert review and a written comparison with observation or systemic treatment.</w:t>
      </w:r>
    </w:p>
    <w:p>
      <w:pPr>
        <w:numPr>
          <w:ilvl w:val="0"/>
          <w:numId w:val="5"/>
        </w:numPr>
        <w:spacing w:after="40"/>
      </w:pPr>
      <w:r>
        <w:rPr>
          <w:b w:val="0"/>
          <w:i w:val="0"/>
        </w:rPr>
        <w:t>Closed: bone metastasis; pleural, peritoneal or other serosal disease; extrahepatic disease outside the lung; and progressive or symptomatic extrahepatic disease. Record the guideline disagreement in every case. Hilar nodal involvement is a recurrence risk factor rather than an extrahepatic exclusion; plan hilar lymphadenectomy.</w:t>
      </w:r>
    </w:p>
    <w:p>
      <w:pPr>
        <w:spacing w:after="80"/>
      </w:pPr>
      <w:r>
        <w:rPr>
          <w:b/>
          <w:i w:val="0"/>
        </w:rPr>
        <w:t xml:space="preserve">Why: </w:t>
      </w:r>
      <w:r>
        <w:rPr>
          <w:b w:val="0"/>
          <w:i w:val="0"/>
        </w:rPr>
        <w:t>The disagreement is genuine: ACG/NLRB are permissive about selected EHD, whereas the disease-specific consensus is restrictive. The best registry suggests macrovascular invasion and hilar nodes are adverse; selected EHD was not independently adverse, but the study was too small to establish equivalence. Histology-derived risk scoring cannot be substituted for preoperative staging. In the first European registry report, 10 of 59 recipients had extrahepatic disease before or at transplantation, with 1-, 5- and 10-year survival of 90%, 80% and 80% versus 94%, 83% and 70% without it. In a Mayo cohort of 80 patients, bone metastasis was independently associated with mortality (HR 6.3) whereas lung metastasis was not (HR 0.8).</w:t>
      </w:r>
    </w:p>
    <w:p>
      <w:pPr>
        <w:spacing w:after="80"/>
      </w:pPr>
      <w:r>
        <w:rPr>
          <w:b/>
          <w:i w:val="0"/>
        </w:rPr>
        <w:t xml:space="preserve">Against, or uncertain: </w:t>
      </w:r>
      <w:r>
        <w:rPr>
          <w:b w:val="0"/>
          <w:i w:val="0"/>
        </w:rPr>
        <w:t>A blanket statement that any EHD absolutely forbids LT is inaccurate. Conversely, favorable survival in selected EHD recipients does not establish benefit over observation or systemic options for all sites/burdens. The 2021 consensus advises that transplantation should not be proposed with extrahepatic disease (level V, grade A). Registry subgroups are small, extrahepatic sites and their treatment are poorly described, and the Mayo site analysis covers all treatments, not transplant recipients alone.</w:t>
      </w:r>
    </w:p>
    <w:p>
      <w:pPr>
        <w:spacing w:after="80"/>
      </w:pPr>
      <w:r>
        <w:rPr>
          <w:b/>
          <w:i w:val="0"/>
        </w:rPr>
        <w:t xml:space="preserve">Certainty: </w:t>
      </w:r>
      <w:r>
        <w:rPr>
          <w:b w:val="0"/>
          <w:i w:val="0"/>
        </w:rPr>
        <w:t>Low certainty for prognostic association; very low for causal EHD benefit, for the proposed lung-only stratum, or for pre-LT score-driven selection.</w:t>
      </w:r>
    </w:p>
    <w:p>
      <w:pPr>
        <w:spacing w:after="80"/>
      </w:pPr>
      <w:r>
        <w:rPr>
          <w:b/>
          <w:i w:val="0"/>
        </w:rPr>
        <w:t xml:space="preserve">Tests and records: </w:t>
      </w:r>
      <w:r>
        <w:rPr>
          <w:b w:val="0"/>
          <w:i w:val="0"/>
        </w:rPr>
        <w:t>Complete staging; expert pathology; vascular assessment; targeted evaluation of suspicious extrahepatic sites; technical resectability and alternative-treatment review. Record each extrahepatic site, its size and serial imaging dates, and any resection or ablation record.</w:t>
      </w:r>
    </w:p>
    <w:p>
      <w:pPr>
        <w:spacing w:after="80"/>
      </w:pPr>
      <w:r>
        <w:rPr>
          <w:b/>
          <w:i w:val="0"/>
        </w:rPr>
        <w:t xml:space="preserve">Allocation: </w:t>
      </w:r>
      <w:r>
        <w:rPr>
          <w:b w:val="0"/>
          <w:i w:val="0"/>
        </w:rPr>
        <w:t>Clinical selection and exception-review eligibility answer different questions. The proposed liver-only choice is local, not a rewrite of national guidance.</w:t>
      </w:r>
    </w:p>
    <w:p>
      <w:pPr>
        <w:spacing w:after="40"/>
      </w:pPr>
      <w:r>
        <w:rPr>
          <w:b/>
          <w:i w:val="0"/>
        </w:rPr>
        <w:t xml:space="preserve">Basis for the proposed thresholds: </w:t>
      </w:r>
    </w:p>
    <w:p>
      <w:pPr>
        <w:numPr>
          <w:ilvl w:val="0"/>
          <w:numId w:val="5"/>
        </w:numPr>
        <w:spacing w:after="40"/>
      </w:pPr>
      <w:r>
        <w:rPr>
          <w:b w:val="0"/>
          <w:i w:val="0"/>
        </w:rPr>
        <w:t>No macrovascular invasion: aligns with current favorable NLRB consideration and adverse ELTR prognosis.</w:t>
      </w:r>
    </w:p>
    <w:p>
      <w:pPr>
        <w:numPr>
          <w:ilvl w:val="0"/>
          <w:numId w:val="5"/>
        </w:numPr>
        <w:spacing w:after="40"/>
      </w:pPr>
      <w:r>
        <w:rPr>
          <w:b w:val="0"/>
          <w:i w:val="0"/>
        </w:rPr>
        <w:t>Liver-only opening cohort: conservative local choice despite permissive ACG/NLRB wording; cannot be called universally guideline-mandated.</w:t>
      </w:r>
    </w:p>
    <w:p>
      <w:pPr>
        <w:numPr>
          <w:ilvl w:val="0"/>
          <w:numId w:val="5"/>
        </w:numPr>
        <w:spacing w:after="40"/>
      </w:pPr>
      <w:r>
        <w:rPr>
          <w:b w:val="0"/>
          <w:i w:val="0"/>
        </w:rPr>
        <w:t>EHE-LT score cutoffs: post-LT risk stratification, not a validated pre-LT exclusion test.</w:t>
      </w:r>
    </w:p>
    <w:p>
      <w:pPr>
        <w:numPr>
          <w:ilvl w:val="0"/>
          <w:numId w:val="5"/>
        </w:numPr>
        <w:spacing w:after="40"/>
      </w:pPr>
      <w:r>
        <w:rPr>
          <w:b w:val="0"/>
          <w:i w:val="0"/>
        </w:rPr>
        <w:t>Lung-only stratum with ≥6 months of stability or completed treatment: lung metastasis was not adverse in the Mayo site analysis whereas bone was; six months follows the DGVS stable-disease recommendation and the registry finding that a short wait (≤120 days) predicted recurrence. Excluding pleural and other serosal disease is a conservative local choice not tested in transplant series.</w:t>
      </w:r>
    </w:p>
    <w:p>
      <w:pPr>
        <w:pStyle w:val="Heading3"/>
        <w:keepNext/>
        <w:spacing w:before="120" w:after="80"/>
      </w:pPr>
      <w:r>
        <w:rPr>
          <w:b w:val="0"/>
          <w:i w:val="0"/>
        </w:rPr>
        <w:t>HEHE-B2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16">
        <w:r>
          <w:rPr>
            <w:color w:val="0563C1"/>
            <w:u w:val="single"/>
            <w:sz w:val="19"/>
          </w:rPr>
          <w:t xml:space="preserve">PubMed</w:t>
        </w:r>
      </w:hyperlink>
      <w:r>
        <w:rPr>
          <w:b w:val="0"/>
          <w:i w:val="0"/>
          <w:sz w:val="19"/>
        </w:rPr>
        <w:t xml:space="preserve"> · </w:t>
      </w:r>
      <w:hyperlink r:id="rId17">
        <w:r>
          <w:rPr>
            <w:color w:val="0563C1"/>
            <w:u w:val="single"/>
            <w:sz w:val="19"/>
          </w:rPr>
          <w:t xml:space="preserve">Journal</w:t>
        </w:r>
      </w:hyperlink>
      <w:r>
        <w:rPr>
          <w:b w:val="0"/>
          <w:i w:val="0"/>
          <w:sz w:val="19"/>
        </w:rPr>
        <w:t xml:space="preserve"> · </w:t>
      </w:r>
      <w:hyperlink r:id="rId18">
        <w:r>
          <w:rPr>
            <w:color w:val="0563C1"/>
            <w:u w:val="single"/>
            <w:sz w:val="19"/>
          </w:rPr>
          <w:t xml:space="preserve">Free full text</w:t>
        </w:r>
      </w:hyperlink>
      <w:r>
        <w:rPr>
          <w:b w:val="0"/>
          <w:i w:val="0"/>
          <w:sz w:val="19"/>
        </w:rPr>
        <w:t xml:space="preserve"> · </w:t>
      </w:r>
      <w:hyperlink r:id="rId19">
        <w:r>
          <w:rPr>
            <w:color w:val="0563C1"/>
            <w:u w:val="single"/>
            <w:sz w:val="19"/>
          </w:rPr>
          <w:t xml:space="preserve">Source</w:t>
        </w:r>
      </w:hyperlink>
      <w:r>
        <w:rPr>
          <w:b w:val="0"/>
          <w:i w:val="0"/>
          <w:sz w:val="19"/>
        </w:rPr>
        <w:t xml:space="preserve"> · </w:t>
      </w:r>
      <w:hyperlink r:id="rId20">
        <w:r>
          <w:rPr>
            <w:color w:val="0563C1"/>
            <w:u w:val="single"/>
            <w:sz w:val="19"/>
          </w:rPr>
          <w:t xml:space="preserve">TMC library</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21">
        <w:r>
          <w:rPr>
            <w:color w:val="0563C1"/>
            <w:u w:val="single"/>
            <w:sz w:val="19"/>
          </w:rPr>
          <w:t xml:space="preserve">PubMed</w:t>
        </w:r>
      </w:hyperlink>
      <w:r>
        <w:rPr>
          <w:b w:val="0"/>
          <w:i w:val="0"/>
          <w:sz w:val="19"/>
        </w:rPr>
        <w:t xml:space="preserve"> · </w:t>
      </w:r>
      <w:hyperlink r:id="rId22">
        <w:r>
          <w:rPr>
            <w:color w:val="0563C1"/>
            <w:u w:val="single"/>
            <w:sz w:val="19"/>
          </w:rPr>
          <w:t xml:space="preserve">Journal</w:t>
        </w:r>
      </w:hyperlink>
      <w:r>
        <w:rPr>
          <w:b w:val="0"/>
          <w:i w:val="0"/>
          <w:sz w:val="19"/>
        </w:rPr>
        <w:t xml:space="preserve"> · </w:t>
      </w:r>
      <w:hyperlink r:id="rId23">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24">
        <w:r>
          <w:rPr>
            <w:color w:val="0563C1"/>
            <w:u w:val="single"/>
            <w:sz w:val="19"/>
          </w:rPr>
          <w:t xml:space="preserve">PubMed</w:t>
        </w:r>
      </w:hyperlink>
      <w:r>
        <w:rPr>
          <w:b w:val="0"/>
          <w:i w:val="0"/>
          <w:sz w:val="19"/>
        </w:rPr>
        <w:t xml:space="preserve"> · </w:t>
      </w:r>
      <w:hyperlink r:id="rId25">
        <w:r>
          <w:rPr>
            <w:color w:val="0563C1"/>
            <w:u w:val="single"/>
            <w:sz w:val="19"/>
          </w:rPr>
          <w:t xml:space="preserve">Journal</w:t>
        </w:r>
      </w:hyperlink>
      <w:r>
        <w:rPr>
          <w:b w:val="0"/>
          <w:i w:val="0"/>
          <w:sz w:val="19"/>
        </w:rPr>
        <w:t xml:space="preserve"> · </w:t>
      </w:r>
      <w:hyperlink r:id="rId26">
        <w:r>
          <w:rPr>
            <w:color w:val="0563C1"/>
            <w:u w:val="single"/>
            <w:sz w:val="19"/>
          </w:rPr>
          <w:t xml:space="preserve">TMC library</w:t>
        </w:r>
      </w:hyperlink>
    </w:p>
    <w:p>
      <w:pPr>
        <w:spacing w:after="60"/>
      </w:pPr>
      <w:r>
        <w:rPr>
          <w:b/>
          <w:i w:val="0"/>
          <w:sz w:val="19"/>
        </w:rPr>
        <w:t>Brahmbhatt 2020</w:t>
      </w:r>
      <w:r>
        <w:rPr>
          <w:b w:val="0"/>
          <w:i w:val="0"/>
          <w:sz w:val="19"/>
        </w:rPr>
        <w:t xml:space="preserve"> — Liver Transplantation for Hepatic Epithelioid Hemangioendothelioma Is Facilitated by Exception Points With Acceptable Long-term Outcomes</w:t>
      </w:r>
      <w:r>
        <w:rPr>
          <w:b w:val="0"/>
          <w:i w:val="0"/>
          <w:sz w:val="19"/>
        </w:rPr>
        <w:t xml:space="preserve">  </w:t>
      </w:r>
      <w:hyperlink r:id="rId27">
        <w:r>
          <w:rPr>
            <w:color w:val="0563C1"/>
            <w:u w:val="single"/>
            <w:sz w:val="19"/>
          </w:rPr>
          <w:t xml:space="preserve">PubMed</w:t>
        </w:r>
      </w:hyperlink>
      <w:r>
        <w:rPr>
          <w:b w:val="0"/>
          <w:i w:val="0"/>
          <w:sz w:val="19"/>
        </w:rPr>
        <w:t xml:space="preserve"> · </w:t>
      </w:r>
      <w:hyperlink r:id="rId28">
        <w:r>
          <w:rPr>
            <w:color w:val="0563C1"/>
            <w:u w:val="single"/>
            <w:sz w:val="19"/>
          </w:rPr>
          <w:t xml:space="preserve">Journal</w:t>
        </w:r>
      </w:hyperlink>
      <w:r>
        <w:rPr>
          <w:b w:val="0"/>
          <w:i w:val="0"/>
          <w:sz w:val="19"/>
        </w:rPr>
        <w:t xml:space="preserve"> · </w:t>
      </w:r>
      <w:hyperlink r:id="rId29">
        <w:r>
          <w:rPr>
            <w:color w:val="0563C1"/>
            <w:u w:val="single"/>
            <w:sz w:val="19"/>
          </w:rPr>
          <w:t xml:space="preserve">TMC library</w:t>
        </w:r>
      </w:hyperlink>
    </w:p>
    <w:p>
      <w:pPr>
        <w:spacing w:after="60"/>
      </w:pPr>
      <w:r>
        <w:rPr>
          <w:b/>
          <w:i w:val="0"/>
          <w:sz w:val="19"/>
        </w:rPr>
        <w:t>DGVS S2k LT guidance</w:t>
      </w:r>
      <w:r>
        <w:rPr>
          <w:b w:val="0"/>
          <w:i w:val="0"/>
          <w:sz w:val="19"/>
        </w:rPr>
        <w:t xml:space="preserve"> — S2k-Leitlinie Lebertransplantation: HEHE recommendations 3.83–3.86</w:t>
      </w:r>
      <w:r>
        <w:rPr>
          <w:b w:val="0"/>
          <w:i w:val="0"/>
          <w:sz w:val="19"/>
        </w:rPr>
        <w:t xml:space="preserve">  </w:t>
      </w:r>
      <w:hyperlink r:id="rId30">
        <w:r>
          <w:rPr>
            <w:color w:val="0563C1"/>
            <w:u w:val="single"/>
            <w:sz w:val="19"/>
          </w:rPr>
          <w:t xml:space="preserve">PubMed</w:t>
        </w:r>
      </w:hyperlink>
      <w:r>
        <w:rPr>
          <w:b w:val="0"/>
          <w:i w:val="0"/>
          <w:sz w:val="19"/>
        </w:rPr>
        <w:t xml:space="preserve"> · </w:t>
      </w:r>
      <w:hyperlink r:id="rId31">
        <w:r>
          <w:rPr>
            <w:color w:val="0563C1"/>
            <w:u w:val="single"/>
            <w:sz w:val="19"/>
          </w:rPr>
          <w:t xml:space="preserve">Journal</w:t>
        </w:r>
      </w:hyperlink>
      <w:r>
        <w:rPr>
          <w:b w:val="0"/>
          <w:i w:val="0"/>
          <w:sz w:val="19"/>
        </w:rPr>
        <w:t xml:space="preserve"> · </w:t>
      </w:r>
      <w:hyperlink r:id="rId32">
        <w:r>
          <w:rPr>
            <w:color w:val="0563C1"/>
            <w:u w:val="single"/>
            <w:sz w:val="19"/>
          </w:rPr>
          <w:t xml:space="preserve">Source</w:t>
        </w:r>
      </w:hyperlink>
      <w:r>
        <w:rPr>
          <w:b w:val="0"/>
          <w:i w:val="0"/>
          <w:sz w:val="19"/>
        </w:rPr>
        <w:t xml:space="preserve"> · </w:t>
      </w:r>
      <w:hyperlink r:id="rId33">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34">
        <w:r>
          <w:rPr>
            <w:color w:val="0563C1"/>
            <w:u w:val="single"/>
            <w:sz w:val="19"/>
          </w:rPr>
          <w:t xml:space="preserve">PubMed</w:t>
        </w:r>
      </w:hyperlink>
      <w:r>
        <w:rPr>
          <w:b w:val="0"/>
          <w:i w:val="0"/>
          <w:sz w:val="19"/>
        </w:rPr>
        <w:t xml:space="preserve"> · </w:t>
      </w:r>
      <w:hyperlink r:id="rId35">
        <w:r>
          <w:rPr>
            <w:color w:val="0563C1"/>
            <w:u w:val="single"/>
            <w:sz w:val="19"/>
          </w:rPr>
          <w:t xml:space="preserve">Journal</w:t>
        </w:r>
      </w:hyperlink>
      <w:r>
        <w:rPr>
          <w:b w:val="0"/>
          <w:i w:val="0"/>
          <w:sz w:val="19"/>
        </w:rPr>
        <w:t xml:space="preserve"> · </w:t>
      </w:r>
      <w:hyperlink r:id="rId36">
        <w:r>
          <w:rPr>
            <w:color w:val="0563C1"/>
            <w:u w:val="single"/>
            <w:sz w:val="19"/>
          </w:rPr>
          <w:t xml:space="preserve">Free full text</w:t>
        </w:r>
      </w:hyperlink>
      <w:r>
        <w:rPr>
          <w:b w:val="0"/>
          <w:i w:val="0"/>
          <w:sz w:val="19"/>
        </w:rPr>
        <w:t xml:space="preserve"> · </w:t>
      </w:r>
      <w:hyperlink r:id="rId37">
        <w:r>
          <w:rPr>
            <w:color w:val="0563C1"/>
            <w:u w:val="single"/>
            <w:sz w:val="19"/>
          </w:rPr>
          <w:t xml:space="preserve">Source</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39">
        <w:r>
          <w:rPr>
            <w:color w:val="0563C1"/>
            <w:u w:val="single"/>
            <w:sz w:val="19"/>
          </w:rPr>
          <w:t xml:space="preserve">PubMed</w:t>
        </w:r>
      </w:hyperlink>
      <w:r>
        <w:rPr>
          <w:b w:val="0"/>
          <w:i w:val="0"/>
          <w:sz w:val="19"/>
        </w:rPr>
        <w:t xml:space="preserve"> · </w:t>
      </w:r>
      <w:hyperlink r:id="rId40">
        <w:r>
          <w:rPr>
            <w:color w:val="0563C1"/>
            <w:u w:val="single"/>
            <w:sz w:val="19"/>
          </w:rPr>
          <w:t xml:space="preserve">Journal</w:t>
        </w:r>
      </w:hyperlink>
      <w:r>
        <w:rPr>
          <w:b w:val="0"/>
          <w:i w:val="0"/>
          <w:sz w:val="19"/>
        </w:rPr>
        <w:t xml:space="preserve"> · </w:t>
      </w:r>
      <w:hyperlink r:id="rId41">
        <w:r>
          <w:rPr>
            <w:color w:val="0563C1"/>
            <w:u w:val="single"/>
            <w:sz w:val="19"/>
          </w:rPr>
          <w:t xml:space="preserve">Free full text</w:t>
        </w:r>
      </w:hyperlink>
      <w:r>
        <w:rPr>
          <w:b w:val="0"/>
          <w:i w:val="0"/>
          <w:sz w:val="19"/>
        </w:rPr>
        <w:t xml:space="preserve"> · </w:t>
      </w:r>
      <w:hyperlink r:id="rId42">
        <w:r>
          <w:rPr>
            <w:color w:val="0563C1"/>
            <w:u w:val="single"/>
            <w:sz w:val="19"/>
          </w:rPr>
          <w:t xml:space="preserve">Source</w:t>
        </w:r>
      </w:hyperlink>
      <w:r>
        <w:rPr>
          <w:b w:val="0"/>
          <w:i w:val="0"/>
          <w:sz w:val="19"/>
        </w:rPr>
        <w:t xml:space="preserve"> · </w:t>
      </w:r>
      <w:hyperlink r:id="rId43">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44">
        <w:r>
          <w:rPr>
            <w:color w:val="0563C1"/>
            <w:u w:val="single"/>
            <w:sz w:val="19"/>
          </w:rPr>
          <w:t xml:space="preserve">PubMed</w:t>
        </w:r>
      </w:hyperlink>
      <w:r>
        <w:rPr>
          <w:b w:val="0"/>
          <w:i w:val="0"/>
          <w:sz w:val="19"/>
        </w:rPr>
        <w:t xml:space="preserve"> · </w:t>
      </w:r>
      <w:hyperlink r:id="rId45">
        <w:r>
          <w:rPr>
            <w:color w:val="0563C1"/>
            <w:u w:val="single"/>
            <w:sz w:val="19"/>
          </w:rPr>
          <w:t xml:space="preserve">Journal</w:t>
        </w:r>
      </w:hyperlink>
      <w:r>
        <w:rPr>
          <w:b w:val="0"/>
          <w:i w:val="0"/>
          <w:sz w:val="19"/>
        </w:rPr>
        <w:t xml:space="preserve"> · </w:t>
      </w:r>
      <w:hyperlink r:id="rId46">
        <w:r>
          <w:rPr>
            <w:color w:val="0563C1"/>
            <w:u w:val="single"/>
            <w:sz w:val="19"/>
          </w:rPr>
          <w:t xml:space="preserve">Source</w:t>
        </w:r>
      </w:hyperlink>
      <w:r>
        <w:rPr>
          <w:b w:val="0"/>
          <w:i w:val="0"/>
          <w:sz w:val="19"/>
        </w:rPr>
        <w:t xml:space="preserve"> · </w:t>
      </w:r>
      <w:hyperlink r:id="rId47">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48">
        <w:r>
          <w:rPr>
            <w:color w:val="0563C1"/>
            <w:u w:val="single"/>
            <w:sz w:val="19"/>
          </w:rPr>
          <w:t xml:space="preserve">Source</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Lai 2017</w:t>
      </w:r>
      <w:r>
        <w:rPr>
          <w:b w:val="0"/>
          <w:i w:val="0"/>
          <w:sz w:val="19"/>
        </w:rPr>
        <w:t xml:space="preserve"> — Hepatic Epithelioid Hemangioendothelioma and Adult Liver Transplantation: Proposal for a Prognostic Score Based on the Analysis of the ELTR-ELITA Registry</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TMC library</w:t>
        </w:r>
      </w:hyperlink>
    </w:p>
    <w:p>
      <w:pPr>
        <w:spacing w:after="60"/>
      </w:pPr>
      <w:r>
        <w:rPr>
          <w:b/>
          <w:i w:val="0"/>
          <w:sz w:val="19"/>
        </w:rPr>
        <w:t>Lerut 2007 · ELTR</w:t>
      </w:r>
      <w:r>
        <w:rPr>
          <w:b w:val="0"/>
          <w:i w:val="0"/>
          <w:sz w:val="19"/>
        </w:rPr>
        <w:t xml:space="preserve"> — The place of liver transplantation in the treatment of hepatic epitheloid hemangioendothelioma: report of the European liver transplant registry</w:t>
      </w:r>
      <w:r>
        <w:rPr>
          <w:b w:val="0"/>
          <w:i w:val="0"/>
          <w:sz w:val="19"/>
        </w:rPr>
        <w:t xml:space="preserve">  </w:t>
      </w:r>
      <w:hyperlink r:id="rId55">
        <w:r>
          <w:rPr>
            <w:color w:val="0563C1"/>
            <w:u w:val="single"/>
            <w:sz w:val="19"/>
          </w:rPr>
          <w:t xml:space="preserve">PubMed</w:t>
        </w:r>
      </w:hyperlink>
      <w:r>
        <w:rPr>
          <w:b w:val="0"/>
          <w:i w:val="0"/>
          <w:sz w:val="19"/>
        </w:rPr>
        <w:t xml:space="preserve"> · </w:t>
      </w:r>
      <w:hyperlink r:id="rId56">
        <w:r>
          <w:rPr>
            <w:color w:val="0563C1"/>
            <w:u w:val="single"/>
            <w:sz w:val="19"/>
          </w:rPr>
          <w:t xml:space="preserve">Journal</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Liu 2024</w:t>
      </w:r>
      <w:r>
        <w:rPr>
          <w:b w:val="0"/>
          <w:i w:val="0"/>
          <w:sz w:val="19"/>
        </w:rPr>
        <w:t xml:space="preserve"> — Long-term prognosis and treatment modalities of hepatic epithelioid hemangioendothelioma: a retrospective study of 228 patients</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Free full text</w:t>
        </w:r>
      </w:hyperlink>
      <w:r>
        <w:rPr>
          <w:b w:val="0"/>
          <w:i w:val="0"/>
          <w:sz w:val="19"/>
        </w:rPr>
        <w:t xml:space="preserve"> · </w:t>
      </w:r>
      <w:hyperlink r:id="rId61">
        <w:r>
          <w:rPr>
            <w:color w:val="0563C1"/>
            <w:u w:val="single"/>
            <w:sz w:val="19"/>
          </w:rPr>
          <w:t xml:space="preserve">Source</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63">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64">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65">
        <w:r>
          <w:rPr>
            <w:color w:val="0563C1"/>
            <w:u w:val="single"/>
            <w:sz w:val="19"/>
          </w:rPr>
          <w:t xml:space="preserve">Source</w:t>
        </w:r>
      </w:hyperlink>
    </w:p>
    <w:p>
      <w:pPr>
        <w:spacing w:after="60"/>
      </w:pPr>
      <w:r>
        <w:rPr>
          <w:b/>
          <w:i w:val="0"/>
          <w:sz w:val="19"/>
        </w:rPr>
        <w:t>Rosenbaum 2019 · EHE molecular subsets</w:t>
      </w:r>
      <w:r>
        <w:rPr>
          <w:b w:val="0"/>
          <w:i w:val="0"/>
          <w:sz w:val="19"/>
        </w:rPr>
        <w:t xml:space="preserve"> — Prognostic stratification of clinical and molecular epithelioid hemangioendothelioma subsets</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Sawma 2024 · Mayo</w:t>
      </w:r>
      <w:r>
        <w:rPr>
          <w:b w:val="0"/>
          <w:i w:val="0"/>
          <w:sz w:val="19"/>
        </w:rPr>
        <w:t xml:space="preserve"> — Management and long-term outcomes of patients with hepatic epithelioid hemangioendothelioma</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TMC library</w:t>
        </w:r>
      </w:hyperlink>
    </w:p>
    <w:p>
      <w:pPr>
        <w:spacing w:after="60"/>
      </w:pPr>
      <w:r>
        <w:rPr>
          <w:b/>
          <w:i w:val="0"/>
          <w:sz w:val="19"/>
        </w:rPr>
        <w:t>Stacchiotti 2021</w:t>
      </w:r>
      <w:r>
        <w:rPr>
          <w:b w:val="0"/>
          <w:i w:val="0"/>
          <w:sz w:val="19"/>
        </w:rPr>
        <w:t xml:space="preserve"> — Epithelioid hemangioendothelioma, an ultra-rare cancer: a consensus paper from the community of experts</w:t>
      </w:r>
      <w:r>
        <w:rPr>
          <w:b w:val="0"/>
          <w:i w:val="0"/>
          <w:sz w:val="19"/>
        </w:rPr>
        <w:t xml:space="preserve">  </w:t>
      </w:r>
      <w:hyperlink r:id="rId72">
        <w:r>
          <w:rPr>
            <w:color w:val="0563C1"/>
            <w:u w:val="single"/>
            <w:sz w:val="19"/>
          </w:rPr>
          <w:t xml:space="preserve">PubMed</w:t>
        </w:r>
      </w:hyperlink>
      <w:r>
        <w:rPr>
          <w:b w:val="0"/>
          <w:i w:val="0"/>
          <w:sz w:val="19"/>
        </w:rPr>
        <w:t xml:space="preserve"> · </w:t>
      </w:r>
      <w:hyperlink r:id="rId73">
        <w:r>
          <w:rPr>
            <w:color w:val="0563C1"/>
            <w:u w:val="single"/>
            <w:sz w:val="19"/>
          </w:rPr>
          <w:t xml:space="preserve">Journal</w:t>
        </w:r>
      </w:hyperlink>
      <w:r>
        <w:rPr>
          <w:b w:val="0"/>
          <w:i w:val="0"/>
          <w:sz w:val="19"/>
        </w:rPr>
        <w:t xml:space="preserve"> · </w:t>
      </w:r>
      <w:hyperlink r:id="rId74">
        <w:r>
          <w:rPr>
            <w:color w:val="0563C1"/>
            <w:u w:val="single"/>
            <w:sz w:val="19"/>
          </w:rPr>
          <w:t xml:space="preserve">Free full text</w:t>
        </w:r>
      </w:hyperlink>
      <w:r>
        <w:rPr>
          <w:b w:val="0"/>
          <w:i w:val="0"/>
          <w:sz w:val="19"/>
        </w:rPr>
        <w:t xml:space="preserve"> · </w:t>
      </w:r>
      <w:hyperlink r:id="rId75">
        <w:r>
          <w:rPr>
            <w:color w:val="0563C1"/>
            <w:u w:val="single"/>
            <w:sz w:val="19"/>
          </w:rPr>
          <w:t xml:space="preserve">Source</w:t>
        </w:r>
      </w:hyperlink>
      <w:r>
        <w:rPr>
          <w:b w:val="0"/>
          <w:i w:val="0"/>
          <w:sz w:val="19"/>
        </w:rPr>
        <w:t xml:space="preserve"> · </w:t>
      </w:r>
      <w:hyperlink r:id="rId76">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Free full text</w:t>
        </w:r>
      </w:hyperlink>
      <w:r>
        <w:rPr>
          <w:b w:val="0"/>
          <w:i w:val="0"/>
          <w:sz w:val="19"/>
        </w:rPr>
        <w:t xml:space="preserve"> · </w:t>
      </w:r>
      <w:hyperlink r:id="rId80">
        <w:r>
          <w:rPr>
            <w:color w:val="0563C1"/>
            <w:u w:val="single"/>
            <w:sz w:val="19"/>
          </w:rPr>
          <w:t xml:space="preserve">Source</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Thomas 2014</w:t>
      </w:r>
      <w:r>
        <w:rPr>
          <w:b w:val="0"/>
          <w:i w:val="0"/>
          <w:sz w:val="19"/>
        </w:rPr>
        <w:t xml:space="preserve"> — Treatment sequencing strategy for hepatic epithelioid haemangioendothelioma</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87">
        <w:r>
          <w:rPr>
            <w:color w:val="0563C1"/>
            <w:u w:val="single"/>
            <w:sz w:val="19"/>
          </w:rPr>
          <w:t xml:space="preserve">PubMed</w:t>
        </w:r>
      </w:hyperlink>
      <w:r>
        <w:rPr>
          <w:b w:val="0"/>
          <w:i w:val="0"/>
          <w:sz w:val="19"/>
        </w:rPr>
        <w:t xml:space="preserve"> · </w:t>
      </w:r>
      <w:hyperlink r:id="rId88">
        <w:r>
          <w:rPr>
            <w:color w:val="0563C1"/>
            <w:u w:val="single"/>
            <w:sz w:val="19"/>
          </w:rPr>
          <w:t xml:space="preserve">Journal</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Free full text</w:t>
        </w:r>
      </w:hyperlink>
      <w:r>
        <w:rPr>
          <w:b w:val="0"/>
          <w:i w:val="0"/>
          <w:sz w:val="19"/>
        </w:rPr>
        <w:t xml:space="preserve"> · </w:t>
      </w:r>
      <w:hyperlink r:id="rId99">
        <w:r>
          <w:rPr>
            <w:color w:val="0563C1"/>
            <w:u w:val="single"/>
            <w:sz w:val="19"/>
          </w:rPr>
          <w:t xml:space="preserve">Source</w:t>
        </w:r>
      </w:hyperlink>
      <w:r>
        <w:rPr>
          <w:b w:val="0"/>
          <w:i w:val="0"/>
          <w:sz w:val="19"/>
        </w:rPr>
        <w:t xml:space="preserve"> · </w:t>
      </w:r>
      <w:hyperlink r:id="rId100">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hehe/#risk" TargetMode="External"/><Relationship Id="rId9" Type="http://schemas.openxmlformats.org/officeDocument/2006/relationships/hyperlink" Target="https://drliuhao.github.io/mh-liver-pathways/transplant/hehe/#high-risk-hehe-b1" TargetMode="External"/><Relationship Id="rId10" Type="http://schemas.openxmlformats.org/officeDocument/2006/relationships/hyperlink" Target="https://drliuhao.github.io/mh-liver-pathways/transplant/hehe/#stage" TargetMode="External"/><Relationship Id="rId11" Type="http://schemas.openxmlformats.org/officeDocument/2006/relationships/hyperlink" Target="https://drliuhao.github.io/mh-liver-pathways/transplant/hehe/#high-risk-hehe-b2" TargetMode="External"/><Relationship Id="rId12" Type="http://schemas.openxmlformats.org/officeDocument/2006/relationships/hyperlink" Target="https://drliuhao.github.io/mh-liver-pathways/transplant/hehe/#high-risk-alloc-b1" TargetMode="External"/><Relationship Id="rId13" Type="http://schemas.openxmlformats.org/officeDocument/2006/relationships/hyperlink" Target="https://drliuhao.github.io/mh-liver-pathways/transplant/hehe/#high-risk-alloc-b2" TargetMode="External"/><Relationship Id="rId14" Type="http://schemas.openxmlformats.org/officeDocument/2006/relationships/hyperlink" Target="https://drliuhao.github.io/mh-liver-pathways/transplant/hehe/#high-risk-alloc-b3" TargetMode="External"/><Relationship Id="rId15" Type="http://schemas.openxmlformats.org/officeDocument/2006/relationships/hyperlink" Target="https://drliuhao.github.io/mh-liver-pathways/transplant/hehe/#high-risk-alloc-b4" TargetMode="External"/><Relationship Id="rId16" Type="http://schemas.openxmlformats.org/officeDocument/2006/relationships/hyperlink" Target="https://pubmed.ncbi.nlm.nih.gov/22335782/" TargetMode="External"/><Relationship Id="rId17" Type="http://schemas.openxmlformats.org/officeDocument/2006/relationships/hyperlink" Target="https://doi.org/10.1111/j.1600-6143.2011.03972.x" TargetMode="External"/><Relationship Id="rId18" Type="http://schemas.openxmlformats.org/officeDocument/2006/relationships/hyperlink" Target="https://pmc.ncbi.nlm.nih.gov/articles/PMC3732171/pdf/nihms-491154.pdf" TargetMode="External"/><Relationship Id="rId19" Type="http://schemas.openxmlformats.org/officeDocument/2006/relationships/hyperlink" Target="https://pmc.ncbi.nlm.nih.gov/articles/PMC3732171/" TargetMode="External"/><Relationship Id="rId20" Type="http://schemas.openxmlformats.org/officeDocument/2006/relationships/hyperlink" Target="https://thslc-houston.primo.exlibrisgroup.com/discovery/search?vid=01TEXASHEALTH_HOUSTON%3ATMC_INST&amp;query=any,contains,10.1111%2Fj.1600-6143.2011.03972.x&amp;lang=en" TargetMode="External"/><Relationship Id="rId21" Type="http://schemas.openxmlformats.org/officeDocument/2006/relationships/hyperlink" Target="https://pubmed.ncbi.nlm.nih.gov/38958301/" TargetMode="External"/><Relationship Id="rId22" Type="http://schemas.openxmlformats.org/officeDocument/2006/relationships/hyperlink" Target="https://doi.org/10.14309/ajg.0000000000002857" TargetMode="External"/><Relationship Id="rId23" Type="http://schemas.openxmlformats.org/officeDocument/2006/relationships/hyperlink" Target="https://thslc-houston.primo.exlibrisgroup.com/discovery/search?vid=01TEXASHEALTH_HOUSTON%3ATMC_INST&amp;query=any,contains,10.14309%2Fajg.0000000000002857&amp;lang=en" TargetMode="External"/><Relationship Id="rId24" Type="http://schemas.openxmlformats.org/officeDocument/2006/relationships/hyperlink" Target="https://pubmed.ncbi.nlm.nih.gov/38521169/" TargetMode="External"/><Relationship Id="rId25" Type="http://schemas.openxmlformats.org/officeDocument/2006/relationships/hyperlink" Target="https://doi.org/10.1016/j.jhep.2024.03.020" TargetMode="External"/><Relationship Id="rId26" Type="http://schemas.openxmlformats.org/officeDocument/2006/relationships/hyperlink" Target="https://thslc-houston.primo.exlibrisgroup.com/discovery/search?vid=01TEXASHEALTH_HOUSTON%3ATMC_INST&amp;query=any,contains,10.1016%2Fj.jhep.2024.03.020&amp;lang=en" TargetMode="External"/><Relationship Id="rId27" Type="http://schemas.openxmlformats.org/officeDocument/2006/relationships/hyperlink" Target="https://pubmed.ncbi.nlm.nih.gov/31577674/" TargetMode="External"/><Relationship Id="rId28" Type="http://schemas.openxmlformats.org/officeDocument/2006/relationships/hyperlink" Target="https://doi.org/10.1097/TP.0000000000002982" TargetMode="External"/><Relationship Id="rId29" Type="http://schemas.openxmlformats.org/officeDocument/2006/relationships/hyperlink" Target="https://thslc-houston.primo.exlibrisgroup.com/discovery/search?vid=01TEXASHEALTH_HOUSTON%3ATMC_INST&amp;query=any,contains,10.1097%2FTP.0000000000002982&amp;lang=en" TargetMode="External"/><Relationship Id="rId30" Type="http://schemas.openxmlformats.org/officeDocument/2006/relationships/hyperlink" Target="https://pubmed.ncbi.nlm.nih.gov/39250961/" TargetMode="External"/><Relationship Id="rId31" Type="http://schemas.openxmlformats.org/officeDocument/2006/relationships/hyperlink" Target="https://doi.org/10.1055/a-2255-7246" TargetMode="External"/><Relationship Id="rId32" Type="http://schemas.openxmlformats.org/officeDocument/2006/relationships/hyperlink" Target="https://www.dgvs.de/new-leitlinien/chapter_69dd0a7e0a788/chapter_69dd0a8673cf0/chapter_69dd0a870db79/" TargetMode="External"/><Relationship Id="rId33" Type="http://schemas.openxmlformats.org/officeDocument/2006/relationships/hyperlink" Target="https://thslc-houston.primo.exlibrisgroup.com/discovery/search?vid=01TEXASHEALTH_HOUSTON%3ATMC_INST&amp;query=any,contains,10.1055%2Fa-2255-7246&amp;lang=en" TargetMode="External"/><Relationship Id="rId34" Type="http://schemas.openxmlformats.org/officeDocument/2006/relationships/hyperlink" Target="https://pubmed.ncbi.nlm.nih.gov/27647626/" TargetMode="External"/><Relationship Id="rId35" Type="http://schemas.openxmlformats.org/officeDocument/2006/relationships/hyperlink" Target="https://doi.org/10.1111/ajt.14055" TargetMode="External"/><Relationship Id="rId36" Type="http://schemas.openxmlformats.org/officeDocument/2006/relationships/hyperlink" Target="https://pmc.ncbi.nlm.nih.gov/articles/PMC5359081/pdf/nihms818467.pdf" TargetMode="External"/><Relationship Id="rId37" Type="http://schemas.openxmlformats.org/officeDocument/2006/relationships/hyperlink" Target="https://pmc.ncbi.nlm.nih.gov/articles/PMC5359081/" TargetMode="External"/><Relationship Id="rId38" Type="http://schemas.openxmlformats.org/officeDocument/2006/relationships/hyperlink" Target="https://thslc-houston.primo.exlibrisgroup.com/discovery/search?vid=01TEXASHEALTH_HOUSTON%3ATMC_INST&amp;query=any,contains,10.1111%2Fajt.14055&amp;lang=en" TargetMode="External"/><Relationship Id="rId39" Type="http://schemas.openxmlformats.org/officeDocument/2006/relationships/hyperlink" Target="https://pubmed.ncbi.nlm.nih.gov/42270817/" TargetMode="External"/><Relationship Id="rId40" Type="http://schemas.openxmlformats.org/officeDocument/2006/relationships/hyperlink" Target="https://doi.org/10.1038/s41571-026-01160-z" TargetMode="External"/><Relationship Id="rId41" Type="http://schemas.openxmlformats.org/officeDocument/2006/relationships/hyperlink" Target="https://pmc.ncbi.nlm.nih.gov/articles/PMC13665261/pdf/nihms-2192929.pdf" TargetMode="External"/><Relationship Id="rId42" Type="http://schemas.openxmlformats.org/officeDocument/2006/relationships/hyperlink" Target="https://pmc.ncbi.nlm.nih.gov/articles/PMC13665261/" TargetMode="External"/><Relationship Id="rId43" Type="http://schemas.openxmlformats.org/officeDocument/2006/relationships/hyperlink" Target="https://thslc-houston.primo.exlibrisgroup.com/discovery/search?vid=01TEXASHEALTH_HOUSTON%3ATMC_INST&amp;query=any,contains,10.1038%2Fs41571-026-01160-z&amp;lang=en" TargetMode="External"/><Relationship Id="rId44" Type="http://schemas.openxmlformats.org/officeDocument/2006/relationships/hyperlink" Target="https://pubmed.ncbi.nlm.nih.gov/27777223/" TargetMode="External"/><Relationship Id="rId45" Type="http://schemas.openxmlformats.org/officeDocument/2006/relationships/hyperlink" Target="https://doi.org/10.1136/bmj.i5239" TargetMode="External"/><Relationship Id="rId46" Type="http://schemas.openxmlformats.org/officeDocument/2006/relationships/hyperlink" Target="https://pmc.ncbi.nlm.nih.gov/articles/PMC5076380/" TargetMode="External"/><Relationship Id="rId47" Type="http://schemas.openxmlformats.org/officeDocument/2006/relationships/hyperlink" Target="https://thslc-houston.primo.exlibrisgroup.com/discovery/search?vid=01TEXASHEALTH_HOUSTON%3ATMC_INST&amp;query=any,contains,10.1136%2Fbmj.i5239&amp;lang=en" TargetMode="External"/><Relationship Id="rId48" Type="http://schemas.openxmlformats.org/officeDocument/2006/relationships/hyperlink" Target="https://www.ecfr.gov/current/title-45/subtitle-A/subchapter-A/part-46/subpart-A/section-46.111" TargetMode="External"/><Relationship Id="rId49" Type="http://schemas.openxmlformats.org/officeDocument/2006/relationships/hyperlink" Target="https://pubmed.ncbi.nlm.nih.gov/42835360/" TargetMode="External"/><Relationship Id="rId50" Type="http://schemas.openxmlformats.org/officeDocument/2006/relationships/hyperlink" Target="https://doi.org/10.1155/joot/2545887" TargetMode="External"/><Relationship Id="rId51" Type="http://schemas.openxmlformats.org/officeDocument/2006/relationships/hyperlink" Target="https://thslc-houston.primo.exlibrisgroup.com/discovery/search?vid=01TEXASHEALTH_HOUSTON%3ATMC_INST&amp;query=any,contains,10.1155%2Fjoot%2F2545887&amp;lang=en" TargetMode="External"/><Relationship Id="rId52" Type="http://schemas.openxmlformats.org/officeDocument/2006/relationships/hyperlink" Target="https://pubmed.ncbi.nlm.nih.gov/28212256/" TargetMode="External"/><Relationship Id="rId53" Type="http://schemas.openxmlformats.org/officeDocument/2006/relationships/hyperlink" Target="https://doi.org/10.1097/TP.0000000000001603" TargetMode="External"/><Relationship Id="rId54" Type="http://schemas.openxmlformats.org/officeDocument/2006/relationships/hyperlink" Target="https://thslc-houston.primo.exlibrisgroup.com/discovery/search?vid=01TEXASHEALTH_HOUSTON%3ATMC_INST&amp;query=any,contains,10.1097%2FTP.0000000000001603&amp;lang=en" TargetMode="External"/><Relationship Id="rId55" Type="http://schemas.openxmlformats.org/officeDocument/2006/relationships/hyperlink" Target="https://pubmed.ncbi.nlm.nih.gov/18043096/" TargetMode="External"/><Relationship Id="rId56" Type="http://schemas.openxmlformats.org/officeDocument/2006/relationships/hyperlink" Target="https://doi.org/10.1097/SLA.0b013e31815c2a70" TargetMode="External"/><Relationship Id="rId57" Type="http://schemas.openxmlformats.org/officeDocument/2006/relationships/hyperlink" Target="https://thslc-houston.primo.exlibrisgroup.com/discovery/search?vid=01TEXASHEALTH_HOUSTON%3ATMC_INST&amp;query=any,contains,10.1097%2FSLA.0b013e31815c2a70&amp;lang=en" TargetMode="External"/><Relationship Id="rId58" Type="http://schemas.openxmlformats.org/officeDocument/2006/relationships/hyperlink" Target="https://pubmed.ncbi.nlm.nih.gov/39415114/" TargetMode="External"/><Relationship Id="rId59" Type="http://schemas.openxmlformats.org/officeDocument/2006/relationships/hyperlink" Target="https://doi.org/10.1186/s12885-024-13053-4" TargetMode="External"/><Relationship Id="rId60" Type="http://schemas.openxmlformats.org/officeDocument/2006/relationships/hyperlink" Target="https://pmc.ncbi.nlm.nih.gov/articles/PMC11481724/pdf/12885_2024_Article_13053.pdf" TargetMode="External"/><Relationship Id="rId61" Type="http://schemas.openxmlformats.org/officeDocument/2006/relationships/hyperlink" Target="https://pmc.ncbi.nlm.nih.gov/articles/PMC11481724/" TargetMode="External"/><Relationship Id="rId62" Type="http://schemas.openxmlformats.org/officeDocument/2006/relationships/hyperlink" Target="https://thslc-houston.primo.exlibrisgroup.com/discovery/search?vid=01TEXASHEALTH_HOUSTON%3ATMC_INST&amp;query=any,contains,10.1186%2Fs12885-024-13053-4&amp;lang=en" TargetMode="External"/><Relationship Id="rId63" Type="http://schemas.openxmlformats.org/officeDocument/2006/relationships/hyperlink" Target="https://www.hrsa.gov/sites/default/files/hrsa/optn/adult-meld-exception-transplant-oncology-review-guidance.pdf" TargetMode="External"/><Relationship Id="rId64" Type="http://schemas.openxmlformats.org/officeDocument/2006/relationships/hyperlink" Target="https://www.hrsa.gov/optn/professionals/resources/ethical-considerations/ethical-principles-in-the-allocation-of-human-organs" TargetMode="External"/><Relationship Id="rId65" Type="http://schemas.openxmlformats.org/officeDocument/2006/relationships/hyperlink" Target="https://www.hrsa.gov/sites/default/files/hrsa/optn/optn_policies.pdf" TargetMode="External"/><Relationship Id="rId66" Type="http://schemas.openxmlformats.org/officeDocument/2006/relationships/hyperlink" Target="https://pubmed.ncbi.nlm.nih.gov/31537895/" TargetMode="External"/><Relationship Id="rId67" Type="http://schemas.openxmlformats.org/officeDocument/2006/relationships/hyperlink" Target="https://doi.org/10.1038/s41379-019-0368-8" TargetMode="External"/><Relationship Id="rId68" Type="http://schemas.openxmlformats.org/officeDocument/2006/relationships/hyperlink" Target="https://thslc-houston.primo.exlibrisgroup.com/discovery/search?vid=01TEXASHEALTH_HOUSTON%3ATMC_INST&amp;query=any,contains,10.1038%2Fs41379-019-0368-8&amp;lang=en" TargetMode="External"/><Relationship Id="rId69" Type="http://schemas.openxmlformats.org/officeDocument/2006/relationships/hyperlink" Target="https://pubmed.ncbi.nlm.nih.gov/39318157/" TargetMode="External"/><Relationship Id="rId70" Type="http://schemas.openxmlformats.org/officeDocument/2006/relationships/hyperlink" Target="https://doi.org/10.1002/jso.27807" TargetMode="External"/><Relationship Id="rId71" Type="http://schemas.openxmlformats.org/officeDocument/2006/relationships/hyperlink" Target="https://thslc-houston.primo.exlibrisgroup.com/discovery/search?vid=01TEXASHEALTH_HOUSTON%3ATMC_INST&amp;query=any,contains,10.1002%2Fjso.27807&amp;lang=en" TargetMode="External"/><Relationship Id="rId72" Type="http://schemas.openxmlformats.org/officeDocument/2006/relationships/hyperlink" Target="https://pubmed.ncbi.nlm.nih.gov/34090171/" TargetMode="External"/><Relationship Id="rId73" Type="http://schemas.openxmlformats.org/officeDocument/2006/relationships/hyperlink" Target="https://doi.org/10.1016/j.esmoop.2021.100170" TargetMode="External"/><Relationship Id="rId74" Type="http://schemas.openxmlformats.org/officeDocument/2006/relationships/hyperlink" Target="https://pmc.ncbi.nlm.nih.gov/articles/PMC8182432/pdf/main.pdf" TargetMode="External"/><Relationship Id="rId75" Type="http://schemas.openxmlformats.org/officeDocument/2006/relationships/hyperlink" Target="https://pmc.ncbi.nlm.nih.gov/articles/PMC8182432/" TargetMode="External"/><Relationship Id="rId76" Type="http://schemas.openxmlformats.org/officeDocument/2006/relationships/hyperlink" Target="https://thslc-houston.primo.exlibrisgroup.com/discovery/search?vid=01TEXASHEALTH_HOUSTON%3ATMC_INST&amp;query=any,contains,10.1016%2Fj.esmoop.2021.100170&amp;lang=en" TargetMode="External"/><Relationship Id="rId77" Type="http://schemas.openxmlformats.org/officeDocument/2006/relationships/hyperlink" Target="https://pubmed.ncbi.nlm.nih.gov/39544321/" TargetMode="External"/><Relationship Id="rId78" Type="http://schemas.openxmlformats.org/officeDocument/2006/relationships/hyperlink" Target="https://doi.org/10.3389/ti.2024.13641" TargetMode="External"/><Relationship Id="rId79" Type="http://schemas.openxmlformats.org/officeDocument/2006/relationships/hyperlink" Target="https://pmc.ncbi.nlm.nih.gov/articles/PMC11560448/pdf/ti-37-13641.pdf" TargetMode="External"/><Relationship Id="rId80" Type="http://schemas.openxmlformats.org/officeDocument/2006/relationships/hyperlink" Target="https://pmc.ncbi.nlm.nih.gov/articles/PMC11560448/" TargetMode="External"/><Relationship Id="rId81" Type="http://schemas.openxmlformats.org/officeDocument/2006/relationships/hyperlink" Target="https://thslc-houston.primo.exlibrisgroup.com/discovery/search?vid=01TEXASHEALTH_HOUSTON%3ATMC_INST&amp;query=any,contains,10.3389%2Fti.2024.13641&amp;lang=en" TargetMode="External"/><Relationship Id="rId82" Type="http://schemas.openxmlformats.org/officeDocument/2006/relationships/hyperlink" Target="https://pubmed.ncbi.nlm.nih.gov/24308564/" TargetMode="External"/><Relationship Id="rId83" Type="http://schemas.openxmlformats.org/officeDocument/2006/relationships/hyperlink" Target="https://doi.org/10.1111/hpb.12202" TargetMode="External"/><Relationship Id="rId84" Type="http://schemas.openxmlformats.org/officeDocument/2006/relationships/hyperlink" Target="https://pmc.ncbi.nlm.nih.gov/articles/PMC4105907/pdf/hpb0016-0677.pdf" TargetMode="External"/><Relationship Id="rId85" Type="http://schemas.openxmlformats.org/officeDocument/2006/relationships/hyperlink" Target="https://pmc.ncbi.nlm.nih.gov/articles/PMC4105907/" TargetMode="External"/><Relationship Id="rId86" Type="http://schemas.openxmlformats.org/officeDocument/2006/relationships/hyperlink" Target="https://thslc-houston.primo.exlibrisgroup.com/discovery/search?vid=01TEXASHEALTH_HOUSTON%3ATMC_INST&amp;query=any,contains,10.1111%2Fhpb.12202&amp;lang=en" TargetMode="External"/><Relationship Id="rId87" Type="http://schemas.openxmlformats.org/officeDocument/2006/relationships/hyperlink" Target="https://pubmed.ncbi.nlm.nih.gov/39306468/" TargetMode="External"/><Relationship Id="rId88" Type="http://schemas.openxmlformats.org/officeDocument/2006/relationships/hyperlink" Target="https://doi.org/10.1016/S0140-6736(24)01595-2" TargetMode="External"/><Relationship Id="rId89" Type="http://schemas.openxmlformats.org/officeDocument/2006/relationships/hyperlink" Target="https://thslc-houston.primo.exlibrisgroup.com/discovery/search?vid=01TEXASHEALTH_HOUSTON%3ATMC_INST&amp;query=any,contains,10.1016%2FS0140-6736%2824%2901595-2&amp;lang=en" TargetMode="External"/><Relationship Id="rId90" Type="http://schemas.openxmlformats.org/officeDocument/2006/relationships/hyperlink" Target="https://pubmed.ncbi.nlm.nih.gov/38015449/" TargetMode="External"/><Relationship Id="rId91" Type="http://schemas.openxmlformats.org/officeDocument/2006/relationships/hyperlink" Target="https://doi.org/10.1097/LVT.0000000000000303" TargetMode="External"/><Relationship Id="rId92" Type="http://schemas.openxmlformats.org/officeDocument/2006/relationships/hyperlink" Target="https://thslc-houston.primo.exlibrisgroup.com/discovery/search?vid=01TEXASHEALTH_HOUSTON%3ATMC_INST&amp;query=any,contains,10.1097%2FLVT.0000000000000303&amp;lang=en" TargetMode="External"/><Relationship Id="rId93" Type="http://schemas.openxmlformats.org/officeDocument/2006/relationships/hyperlink" Target="https://pubmed.ncbi.nlm.nih.gov/32615109/" TargetMode="External"/><Relationship Id="rId94" Type="http://schemas.openxmlformats.org/officeDocument/2006/relationships/hyperlink" Target="https://doi.org/10.1016/S1470-2045(20)30224-2" TargetMode="External"/><Relationship Id="rId95" Type="http://schemas.openxmlformats.org/officeDocument/2006/relationships/hyperlink" Target="https://thslc-houston.primo.exlibrisgroup.com/discovery/search?vid=01TEXASHEALTH_HOUSTON%3ATMC_INST&amp;query=any,contains,10.1016%2FS1470-2045%2820%2930224-2&amp;lang=en" TargetMode="External"/><Relationship Id="rId96" Type="http://schemas.openxmlformats.org/officeDocument/2006/relationships/hyperlink" Target="https://pubmed.ncbi.nlm.nih.gov/40099404/" TargetMode="External"/><Relationship Id="rId97" Type="http://schemas.openxmlformats.org/officeDocument/2006/relationships/hyperlink" Target="https://doi.org/10.1093/bjs/znaf054" TargetMode="External"/><Relationship Id="rId98" Type="http://schemas.openxmlformats.org/officeDocument/2006/relationships/hyperlink" Target="https://pmc.ncbi.nlm.nih.gov/articles/PMC11914714/pdf/znaf054.pdf" TargetMode="External"/><Relationship Id="rId99" Type="http://schemas.openxmlformats.org/officeDocument/2006/relationships/hyperlink" Target="https://pmc.ncbi.nlm.nih.gov/articles/PMC11914714/" TargetMode="External"/><Relationship Id="rId100"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