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Intrahepatic cholangiocarcinoma — Cancer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cancer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https://drliuhao.github.io/mh-liver-pathways/icca/#questions</w:t>
      </w:r>
    </w:p>
    <w:p>
      <w:pPr>
        <w:spacing w:after="160"/>
      </w:pPr>
      <w:r>
        <w:rPr>
          <w:b/>
          <w:i w:val="0"/>
        </w:rPr>
        <w:t xml:space="preserve">Companion files: </w:t>
      </w:r>
      <w:r>
        <w:rPr>
          <w:b w:val="0"/>
          <w:i w:val="0"/>
          <w:sz w:val="20"/>
        </w:rPr>
        <w:t xml:space="preserve">Full content: </w:t>
      </w:r>
      <w:r>
        <w:rPr>
          <w:b w:val="0"/>
          <w:i/>
        </w:rPr>
        <w:t>iCCA_1_Cancer_Roadmap.docx</w:t>
      </w:r>
      <w:r>
        <w:rPr>
          <w:b w:val="0"/>
          <w:i w:val="0"/>
          <w:sz w:val="20"/>
        </w:rPr>
        <w:t xml:space="preserve"> · Decision discussion for all settings: </w:t>
      </w:r>
      <w:r>
        <w:rPr>
          <w:b w:val="0"/>
          <w:i/>
        </w:rPr>
        <w:t>iCCA_7_Decision_Discussion.docx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iCCA-R1</w:t>
            </w:r>
          </w:p>
        </w:tc>
        <w:tc>
          <w:tcPr>
            <w:tcW w:type="dxa" w:w="2520"/>
            <w:tcW w:w="3500" w:type="dxa"/>
            <w:shd w:val="clear" w:color="auto" w:fill="F1F5F8"/>
          </w:tcPr>
          <w:p>
            <w:pPr>
              <w:spacing w:after="0"/>
            </w:pPr>
            <w:r>
              <w:rPr>
                <w:b w:val="0"/>
                <w:i w:val="0"/>
                <w:sz w:val="19"/>
              </w:rPr>
              <w:t>When regional nodes or distant metastases of iCCA respond to chemotherapy, is conversion resection reasonable?</w:t>
            </w:r>
          </w:p>
        </w:tc>
        <w:tc>
          <w:tcPr>
            <w:tcW w:type="dxa" w:w="2520"/>
            <w:tcW w:w="3780" w:type="dxa"/>
            <w:shd w:val="clear" w:color="auto" w:fill="F1F5F8"/>
          </w:tcPr>
          <w:p>
            <w:pPr>
              <w:spacing w:after="0"/>
            </w:pPr>
            <w:r>
              <w:rPr>
                <w:b w:val="0"/>
                <w:i w:val="0"/>
                <w:sz w:val="19"/>
              </w:rPr>
              <w:t>Regional nodal disease (hepatoduodenal and common hepatic artery area) that responds may proceed to conversion resection with lymphadenectomy after MDT review. Nodes beyond the regional basin and distant metastases stay…</w:t>
            </w:r>
          </w:p>
        </w:tc>
        <w:tc>
          <w:tcPr>
            <w:tcW w:type="dxa" w:w="2520"/>
            <w:tcW w:w="1500" w:type="dxa"/>
            <w:shd w:val="clear" w:color="auto" w:fill="F1F5F8"/>
          </w:tcPr>
          <w:p>
            <w:pPr>
              <w:spacing w:after="0"/>
            </w:pPr>
            <w:r>
              <w:rPr>
                <w:b w:val="0"/>
                <w:i w:val="0"/>
                <w:color w:val="5A6069"/>
                <w:sz w:val="18"/>
              </w:rPr>
              <w:t>Proposed; distant disease exceptional · OPEN proposal</w:t>
            </w:r>
          </w:p>
        </w:tc>
      </w:tr>
      <w:tr>
        <w:trPr>
          <w:cantSplit/>
        </w:trPr>
        <w:tc>
          <w:tcPr>
            <w:tcW w:type="dxa" w:w="2520"/>
            <w:tcW w:w="1300" w:type="dxa"/>
            <w:shd w:val="clear" w:color="auto" w:fill="FFFFFF"/>
          </w:tcPr>
          <w:p>
            <w:pPr>
              <w:spacing w:after="0"/>
            </w:pPr>
            <w:r>
              <w:rPr>
                <w:b/>
                <w:i w:val="0"/>
                <w:sz w:val="19"/>
              </w:rPr>
              <w:t>iCCA-D1</w:t>
            </w:r>
          </w:p>
        </w:tc>
        <w:tc>
          <w:tcPr>
            <w:tcW w:type="dxa" w:w="2520"/>
            <w:tcW w:w="3500" w:type="dxa"/>
            <w:shd w:val="clear" w:color="auto" w:fill="FFFFFF"/>
          </w:tcPr>
          <w:p>
            <w:pPr>
              <w:spacing w:after="0"/>
            </w:pPr>
            <w:r>
              <w:rPr>
                <w:b w:val="0"/>
                <w:i w:val="0"/>
                <w:sz w:val="19"/>
              </w:rPr>
              <w:t>Does the programme run a hepatic arterial infusion service for intrahepatic cholangiocarcinoma?</w:t>
            </w:r>
          </w:p>
        </w:tc>
        <w:tc>
          <w:tcPr>
            <w:tcW w:type="dxa" w:w="2520"/>
            <w:tcW w:w="3780" w:type="dxa"/>
            <w:shd w:val="clear" w:color="auto" w:fill="FFFFFF"/>
          </w:tcPr>
          <w:p>
            <w:pPr>
              <w:spacing w:after="0"/>
            </w:pPr>
            <w:r>
              <w:rPr>
                <w:b w:val="0"/>
                <w:i w:val="0"/>
                <w:sz w:val="19"/>
              </w:rPr>
              <w:t>The roadmap does not answer yes or no; it keeps HAI as a Reasonable, grade C, expertise-dependent option for unresectable liver-confined disease with favourable arterial anatomy, generally with systemic therapy…</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iCCA-D2</w:t>
            </w:r>
          </w:p>
        </w:tc>
        <w:tc>
          <w:tcPr>
            <w:tcW w:type="dxa" w:w="2520"/>
            <w:tcW w:w="3500" w:type="dxa"/>
            <w:shd w:val="clear" w:color="auto" w:fill="F1F5F8"/>
          </w:tcPr>
          <w:p>
            <w:pPr>
              <w:spacing w:after="0"/>
            </w:pPr>
            <w:r>
              <w:rPr>
                <w:b w:val="0"/>
                <w:i w:val="0"/>
                <w:sz w:val="19"/>
              </w:rPr>
              <w:t>Which liver-directed modality is first choice for unresectable liver-confined disease?</w:t>
            </w:r>
          </w:p>
        </w:tc>
        <w:tc>
          <w:tcPr>
            <w:tcW w:type="dxa" w:w="2520"/>
            <w:tcW w:w="3780" w:type="dxa"/>
            <w:shd w:val="clear" w:color="auto" w:fill="F1F5F8"/>
          </w:tcPr>
          <w:p>
            <w:pPr>
              <w:spacing w:after="0"/>
            </w:pPr>
            <w:r>
              <w:rPr>
                <w:b w:val="0"/>
                <w:i w:val="0"/>
                <w:sz w:val="19"/>
              </w:rPr>
              <w:t>No first choice: the roadmap states no established head-to-head hierarchy among HAI, Y90, chemoembolisation and ablative radiotherapy; selection follows treatment goal, target geometry, liver reserve, the systemic plan and what…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iCCA-D3</w:t>
            </w:r>
          </w:p>
        </w:tc>
        <w:tc>
          <w:tcPr>
            <w:tcW w:type="dxa" w:w="2520"/>
            <w:tcW w:w="3500" w:type="dxa"/>
            <w:shd w:val="clear" w:color="auto" w:fill="FFFFFF"/>
          </w:tcPr>
          <w:p>
            <w:pPr>
              <w:spacing w:after="0"/>
            </w:pPr>
            <w:r>
              <w:rPr>
                <w:b w:val="0"/>
                <w:i w:val="0"/>
                <w:sz w:val="19"/>
              </w:rPr>
              <w:t>Adjuvant capecitabine — offered routinely, or case by case?</w:t>
            </w:r>
          </w:p>
        </w:tc>
        <w:tc>
          <w:tcPr>
            <w:tcW w:type="dxa" w:w="2520"/>
            <w:tcW w:w="3780" w:type="dxa"/>
            <w:shd w:val="clear" w:color="auto" w:fill="FFFFFF"/>
          </w:tcPr>
          <w:p>
            <w:pPr>
              <w:spacing w:after="0"/>
            </w:pPr>
            <w:r>
              <w:rPr>
                <w:b w:val="0"/>
                <w:i w:val="0"/>
                <w:sz w:val="19"/>
              </w:rPr>
              <w:t>Case by case for now: offer 6 months of capecitabine as a Reasonable consideration, grade C, not an obligation, to the fit patient after R0 or R1 resection, especially node-positive…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iCCA-D4</w:t>
            </w:r>
          </w:p>
        </w:tc>
        <w:tc>
          <w:tcPr>
            <w:tcW w:type="dxa" w:w="2520"/>
            <w:tcW w:w="3500" w:type="dxa"/>
            <w:shd w:val="clear" w:color="auto" w:fill="F1F5F8"/>
          </w:tcPr>
          <w:p>
            <w:pPr>
              <w:spacing w:after="0"/>
            </w:pPr>
            <w:r>
              <w:rPr>
                <w:b w:val="0"/>
                <w:i w:val="0"/>
                <w:sz w:val="19"/>
              </w:rPr>
              <w:t>Is molecular profiling funded and ordered at diagnosis in practice?</w:t>
            </w:r>
          </w:p>
        </w:tc>
        <w:tc>
          <w:tcPr>
            <w:tcW w:type="dxa" w:w="2520"/>
            <w:tcW w:w="3780" w:type="dxa"/>
            <w:shd w:val="clear" w:color="auto" w:fill="F1F5F8"/>
          </w:tcPr>
          <w:p>
            <w:pPr>
              <w:spacing w:after="0"/>
            </w:pPr>
            <w:r>
              <w:rPr>
                <w:b w:val="0"/>
                <w:i w:val="0"/>
                <w:sz w:val="19"/>
              </w:rPr>
              <w:t>Order broad molecular profiling at the diagnosis of unresectable or metastatic disease, not at second-line progression (Standard, grade B), using circulating tumour DNA when tissue is inadequate or a biopsy…</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iCCA-D5</w:t>
            </w:r>
          </w:p>
        </w:tc>
        <w:tc>
          <w:tcPr>
            <w:tcW w:type="dxa" w:w="2520"/>
            <w:tcW w:w="3500" w:type="dxa"/>
            <w:shd w:val="clear" w:color="auto" w:fill="FFFFFF"/>
          </w:tcPr>
          <w:p>
            <w:pPr>
              <w:spacing w:after="0"/>
            </w:pPr>
            <w:r>
              <w:rPr>
                <w:b w:val="0"/>
                <w:i w:val="0"/>
                <w:sz w:val="19"/>
              </w:rPr>
              <w:t>Does the programme open an intrahepatic cholangiocarcinoma transplant protocol?</w:t>
            </w:r>
          </w:p>
        </w:tc>
        <w:tc>
          <w:tcPr>
            <w:tcW w:type="dxa" w:w="2520"/>
            <w:tcW w:w="3780" w:type="dxa"/>
            <w:shd w:val="clear" w:color="auto" w:fill="FFFFFF"/>
          </w:tcPr>
          <w:p>
            <w:pPr>
              <w:spacing w:after="0"/>
            </w:pPr>
            <w:r>
              <w:rPr>
                <w:b w:val="0"/>
                <w:i w:val="0"/>
                <w:sz w:val="19"/>
              </w:rPr>
              <w:t>Current position: transplantation for known iCCA only within a formally approved trial or prospective registry protocol, with review-board approval and registry entry, an institutional graft-stewardship restriction stricter than OPTN and…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iCCA-D6</w:t>
            </w:r>
          </w:p>
        </w:tc>
        <w:tc>
          <w:tcPr>
            <w:tcW w:type="dxa" w:w="2520"/>
            <w:tcW w:w="3500" w:type="dxa"/>
            <w:shd w:val="clear" w:color="auto" w:fill="F1F5F8"/>
          </w:tcPr>
          <w:p>
            <w:pPr>
              <w:spacing w:after="0"/>
            </w:pPr>
            <w:r>
              <w:rPr>
                <w:b w:val="0"/>
                <w:i w:val="0"/>
                <w:sz w:val="19"/>
              </w:rPr>
              <w:t>What are the thresholds barring each liver-directed modality by liver function?</w:t>
            </w:r>
          </w:p>
        </w:tc>
        <w:tc>
          <w:tcPr>
            <w:tcW w:type="dxa" w:w="2520"/>
            <w:tcW w:w="3780" w:type="dxa"/>
            <w:shd w:val="clear" w:color="auto" w:fill="F1F5F8"/>
          </w:tcPr>
          <w:p>
            <w:pPr>
              <w:spacing w:after="0"/>
            </w:pPr>
            <w:r>
              <w:rPr>
                <w:b w:val="0"/>
                <w:i w:val="0"/>
                <w:sz w:val="19"/>
              </w:rPr>
              <w:t>The roadmap proposes no numeric thresholds: it treats the cut-offs as safety conventions, keeps cirrhosis as the hard stop for radioembolisation with chemotherapy, leaves numeric reserve rules to specialty-approved local…</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iCCA-D7</w:t>
            </w:r>
          </w:p>
        </w:tc>
        <w:tc>
          <w:tcPr>
            <w:tcW w:type="dxa" w:w="2520"/>
            <w:tcW w:w="3500" w:type="dxa"/>
            <w:shd w:val="clear" w:color="auto" w:fill="FFFFFF"/>
          </w:tcPr>
          <w:p>
            <w:pPr>
              <w:spacing w:after="0"/>
            </w:pPr>
            <w:r>
              <w:rPr>
                <w:b w:val="0"/>
                <w:i w:val="0"/>
                <w:sz w:val="19"/>
              </w:rPr>
              <w:t>Ablation for intrahepatic cholangiocarcinoma — acceptable, and in whom?</w:t>
            </w:r>
          </w:p>
        </w:tc>
        <w:tc>
          <w:tcPr>
            <w:tcW w:type="dxa" w:w="2520"/>
            <w:tcW w:w="3780" w:type="dxa"/>
            <w:shd w:val="clear" w:color="auto" w:fill="FFFFFF"/>
          </w:tcPr>
          <w:p>
            <w:pPr>
              <w:spacing w:after="0"/>
            </w:pPr>
            <w:r>
              <w:rPr>
                <w:b w:val="0"/>
                <w:i w:val="0"/>
                <w:sz w:val="19"/>
              </w:rPr>
              <w:t>Acceptable in a narrow group (grade C): solitary tumour under 3 cm, resection unsuitable, every lesion treatable with a 5 mm or greater margin, no uncontrolled nodal or distant disease,…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iCCA-D8</w:t>
            </w:r>
          </w:p>
        </w:tc>
        <w:tc>
          <w:tcPr>
            <w:tcW w:type="dxa" w:w="2520"/>
            <w:tcW w:w="3500" w:type="dxa"/>
            <w:shd w:val="clear" w:color="auto" w:fill="F1F5F8"/>
          </w:tcPr>
          <w:p>
            <w:pPr>
              <w:spacing w:after="0"/>
            </w:pPr>
            <w:r>
              <w:rPr>
                <w:b w:val="0"/>
                <w:i w:val="0"/>
                <w:sz w:val="19"/>
              </w:rPr>
              <w:t>Who owns subsequent NCCN and OPTN update checks, and on what cycle?</w:t>
            </w:r>
          </w:p>
        </w:tc>
        <w:tc>
          <w:tcPr>
            <w:tcW w:type="dxa" w:w="2520"/>
            <w:tcW w:w="3780" w:type="dxa"/>
            <w:shd w:val="clear" w:color="auto" w:fill="F1F5F8"/>
          </w:tcPr>
          <w:p>
            <w:pPr>
              <w:spacing w:after="0"/>
            </w:pPr>
            <w:r>
              <w:rPr>
                <w:b w:val="0"/>
                <w:i w:val="0"/>
                <w:sz w:val="19"/>
              </w:rPr>
              <w:t>The roadmap names no owner or cycle; it records source reconciliation as complete in this version, lists a dashboard measure of named owner, source edition and date, and update cycle,…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iCCA-D9</w:t>
            </w:r>
          </w:p>
        </w:tc>
        <w:tc>
          <w:tcPr>
            <w:tcW w:type="dxa" w:w="2520"/>
            <w:tcW w:w="3500" w:type="dxa"/>
            <w:shd w:val="clear" w:color="auto" w:fill="FFFFFF"/>
          </w:tcPr>
          <w:p>
            <w:pPr>
              <w:spacing w:after="0"/>
            </w:pPr>
            <w:r>
              <w:rPr>
                <w:b w:val="0"/>
                <w:i w:val="0"/>
                <w:sz w:val="19"/>
              </w:rPr>
              <w:t>Is a core biopsy required before resection of a high-suspicion, clearly resectable mass, or is destination-specific confirmation enough?</w:t>
            </w:r>
          </w:p>
        </w:tc>
        <w:tc>
          <w:tcPr>
            <w:tcW w:type="dxa" w:w="2520"/>
            <w:tcW w:w="3780" w:type="dxa"/>
            <w:shd w:val="clear" w:color="auto" w:fill="FFFFFF"/>
          </w:tcPr>
          <w:p>
            <w:pPr>
              <w:spacing w:after="0"/>
            </w:pPr>
            <w:r>
              <w:rPr>
                <w:b w:val="0"/>
                <w:i w:val="0"/>
                <w:sz w:val="19"/>
              </w:rPr>
              <w:t>Destination-specific confirmation rather than a universal core: histology is required before systemic therapy, trial entry or tissue-defined transplant assessment (where it also grades differentiation and excludes a mixed tumour), while…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iCCA-D10</w:t>
            </w:r>
          </w:p>
        </w:tc>
        <w:tc>
          <w:tcPr>
            <w:tcW w:type="dxa" w:w="2520"/>
            <w:tcW w:w="3500" w:type="dxa"/>
            <w:shd w:val="clear" w:color="auto" w:fill="F1F5F8"/>
          </w:tcPr>
          <w:p>
            <w:pPr>
              <w:spacing w:after="0"/>
            </w:pPr>
            <w:r>
              <w:rPr>
                <w:b w:val="0"/>
                <w:i w:val="0"/>
                <w:sz w:val="19"/>
              </w:rPr>
              <w:t>Is regional lymphadenectomy mandatory at every iCCA resection, and what minimum node yield is recorded?</w:t>
            </w:r>
          </w:p>
        </w:tc>
        <w:tc>
          <w:tcPr>
            <w:tcW w:type="dxa" w:w="2520"/>
            <w:tcW w:w="3780" w:type="dxa"/>
            <w:shd w:val="clear" w:color="auto" w:fill="F1F5F8"/>
          </w:tcPr>
          <w:p>
            <w:pPr>
              <w:spacing w:after="0"/>
            </w:pPr>
            <w:r>
              <w:rPr>
                <w:b w:val="0"/>
                <w:i w:val="0"/>
                <w:sz w:val="19"/>
              </w:rPr>
              <w:t>Keep regional lymphadenectomy of the porta hepatis in every resection as a staging decision, so the adjuvant conversation and the registry have a nodal denominator, not as a survival claim;…</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iCCA-D11</w:t>
            </w:r>
          </w:p>
        </w:tc>
        <w:tc>
          <w:tcPr>
            <w:tcW w:type="dxa" w:w="2520"/>
            <w:tcW w:w="3500" w:type="dxa"/>
            <w:shd w:val="clear" w:color="auto" w:fill="FFFFFF"/>
          </w:tcPr>
          <w:p>
            <w:pPr>
              <w:spacing w:after="0"/>
            </w:pPr>
            <w:r>
              <w:rPr>
                <w:b w:val="0"/>
                <w:i w:val="0"/>
                <w:sz w:val="19"/>
              </w:rPr>
              <w:t>What counts as 'a period of stability' before a transplant referral — what duration, on what therapy, and at what imaging interval?</w:t>
            </w:r>
          </w:p>
        </w:tc>
        <w:tc>
          <w:tcPr>
            <w:tcW w:type="dxa" w:w="2520"/>
            <w:tcW w:w="3780" w:type="dxa"/>
            <w:shd w:val="clear" w:color="auto" w:fill="FFFFFF"/>
          </w:tcPr>
          <w:p>
            <w:pPr>
              <w:spacing w:after="0"/>
            </w:pPr>
            <w:r>
              <w:rPr>
                <w:b w:val="0"/>
                <w:i w:val="0"/>
                <w:sz w:val="19"/>
              </w:rPr>
              <w:t>Keep six months from diagnosis or last treatment with serial-scan stability (still 3 cm or less, no new lesions, no extrahepatic disease), recording both dates; one responding scan is insufficient.…</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iCCA-D12</w:t>
            </w:r>
          </w:p>
        </w:tc>
        <w:tc>
          <w:tcPr>
            <w:tcW w:type="dxa" w:w="2520"/>
            <w:tcW w:w="3500" w:type="dxa"/>
            <w:shd w:val="clear" w:color="auto" w:fill="F1F5F8"/>
          </w:tcPr>
          <w:p>
            <w:pPr>
              <w:spacing w:after="0"/>
            </w:pPr>
            <w:r>
              <w:rPr>
                <w:b w:val="0"/>
                <w:i w:val="0"/>
                <w:sz w:val="19"/>
              </w:rPr>
              <w:t>Does the page name trastuzumab deruxtecan, entrectinib, larotrectinib and selpercatinib, as ESMO 2024 does, or only require that the alterations be captured?</w:t>
            </w:r>
          </w:p>
        </w:tc>
        <w:tc>
          <w:tcPr>
            <w:tcW w:type="dxa" w:w="2520"/>
            <w:tcW w:w="3780" w:type="dxa"/>
            <w:shd w:val="clear" w:color="auto" w:fill="F1F5F8"/>
          </w:tcPr>
          <w:p>
            <w:pPr>
              <w:spacing w:after="0"/>
            </w:pPr>
            <w:r>
              <w:rPr>
                <w:b w:val="0"/>
                <w:i w:val="0"/>
                <w:sz w:val="19"/>
              </w:rPr>
              <w:t>Current table only requires HER2, NTRK and RET findings to be captured on the same broad panel, not the agents named; capture is not a licence to prescribe; match treatment…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iCCA-D13</w:t>
            </w:r>
          </w:p>
        </w:tc>
        <w:tc>
          <w:tcPr>
            <w:tcW w:type="dxa" w:w="2520"/>
            <w:tcW w:w="3500" w:type="dxa"/>
            <w:shd w:val="clear" w:color="auto" w:fill="FFFFFF"/>
          </w:tcPr>
          <w:p>
            <w:pPr>
              <w:spacing w:after="0"/>
            </w:pPr>
            <w:r>
              <w:rPr>
                <w:b w:val="0"/>
                <w:i w:val="0"/>
                <w:sz w:val="19"/>
              </w:rPr>
              <w:t>Is there a default first-line checkpoint combination, or does the choice stay with the treating oncologist?</w:t>
            </w:r>
          </w:p>
        </w:tc>
        <w:tc>
          <w:tcPr>
            <w:tcW w:type="dxa" w:w="2520"/>
            <w:tcW w:w="3780" w:type="dxa"/>
            <w:shd w:val="clear" w:color="auto" w:fill="FFFFFF"/>
          </w:tcPr>
          <w:p>
            <w:pPr>
              <w:spacing w:after="0"/>
            </w:pPr>
            <w:r>
              <w:rPr>
                <w:b w:val="0"/>
                <w:i w:val="0"/>
                <w:sz w:val="19"/>
              </w:rPr>
              <w:t>No default: the roadmap does not rank durvalumab and pembrolizumab, accepts either with cisplatin–gemcitabine, and leaves the choice and any modification to the treating oncologist on toxicity profile, schedule and…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iCCA-D14</w:t>
            </w:r>
          </w:p>
        </w:tc>
        <w:tc>
          <w:tcPr>
            <w:tcW w:type="dxa" w:w="2520"/>
            <w:tcW w:w="3500" w:type="dxa"/>
            <w:shd w:val="clear" w:color="auto" w:fill="F1F5F8"/>
          </w:tcPr>
          <w:p>
            <w:pPr>
              <w:spacing w:after="0"/>
            </w:pPr>
            <w:r>
              <w:rPr>
                <w:b w:val="0"/>
                <w:i w:val="0"/>
                <w:sz w:val="19"/>
              </w:rPr>
              <w:t>Post-resection surveillance — 3-monthly or 6-monthly imaging for the first two years?</w:t>
            </w:r>
          </w:p>
        </w:tc>
        <w:tc>
          <w:tcPr>
            <w:tcW w:type="dxa" w:w="2520"/>
            <w:tcW w:w="3780" w:type="dxa"/>
            <w:shd w:val="clear" w:color="auto" w:fill="F1F5F8"/>
          </w:tcPr>
          <w:p>
            <w:pPr>
              <w:spacing w:after="0"/>
            </w:pPr>
            <w:r>
              <w:rPr>
                <w:b w:val="0"/>
                <w:i w:val="0"/>
                <w:sz w:val="19"/>
              </w:rPr>
              <w:t>After resection, imaging every 3–6 months for two years, then less often, graded C to D as expert consensus; fixing the interval at 3-monthly or 6-monthly is left open (alignment…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iCCA-D15</w:t>
            </w:r>
          </w:p>
        </w:tc>
        <w:tc>
          <w:tcPr>
            <w:tcW w:type="dxa" w:w="2520"/>
            <w:tcW w:w="3500" w:type="dxa"/>
            <w:shd w:val="clear" w:color="auto" w:fill="FFFFFF"/>
          </w:tcPr>
          <w:p>
            <w:pPr>
              <w:spacing w:after="0"/>
            </w:pPr>
            <w:r>
              <w:rPr>
                <w:b w:val="0"/>
                <w:i w:val="0"/>
                <w:sz w:val="19"/>
              </w:rPr>
              <w:t>Ratify early HAI review, disease-specific selection and programme safeguards.</w:t>
            </w:r>
          </w:p>
        </w:tc>
        <w:tc>
          <w:tcPr>
            <w:tcW w:type="dxa" w:w="2520"/>
            <w:tcW w:w="3780" w:type="dxa"/>
            <w:shd w:val="clear" w:color="auto" w:fill="FFFFFF"/>
          </w:tcPr>
          <w:p>
            <w:pPr>
              <w:spacing w:after="0"/>
            </w:pPr>
            <w:r>
              <w:rPr>
                <w:b w:val="0"/>
                <w:i w:val="0"/>
                <w:sz w:val="19"/>
              </w:rPr>
              <w:t>Discuss HAI early for selected unresectable liver-confined iCCA at an experienced programme, with a systemic plan and defined resection reassessment; treat it as control or conversion, not standalone cure, with…</w:t>
            </w:r>
          </w:p>
        </w:tc>
        <w:tc>
          <w:tcPr>
            <w:tcW w:type="dxa" w:w="2520"/>
            <w:tcW w:w="1500" w:type="dxa"/>
            <w:shd w:val="clear" w:color="auto" w:fill="FFFFFF"/>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iCCA-R1 — Surgery after nodal or extrahepatic disease responds</w:t>
      </w:r>
    </w:p>
    <w:p>
      <w:pPr>
        <w:spacing w:after="80"/>
      </w:pPr>
      <w:r>
        <w:rPr>
          <w:b w:val="0"/>
          <w:i w:val="0"/>
          <w:color w:val="5A6069"/>
          <w:sz w:val="18"/>
        </w:rPr>
        <w:t>Proposed; distant disease exceptional · OPEN proposal · Clinical</w:t>
      </w:r>
    </w:p>
    <w:p>
      <w:pPr>
        <w:spacing w:after="80"/>
      </w:pPr>
      <w:r>
        <w:rPr>
          <w:b/>
          <w:i w:val="0"/>
        </w:rPr>
        <w:t xml:space="preserve">Question: </w:t>
      </w:r>
      <w:r>
        <w:rPr>
          <w:b w:val="0"/>
          <w:i w:val="0"/>
        </w:rPr>
        <w:t>When regional nodes or distant metastases of iCCA respond to chemotherapy, is conversion resection reasonable?</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Zhou 2025 · conversion surgery meta-analysis</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Meta-analysis and pooled patient data, 466 patients (49.6% iCCA). Of 55 iCCA, 19 had metastatic disease before conversion, mostly nodal; most series are locally advanced only.</w:t>
            </w:r>
          </w:p>
        </w:tc>
        <w:tc>
          <w:tcPr>
            <w:tcW w:type="dxa" w:w="3360"/>
            <w:tcW w:w="4180" w:type="dxa"/>
            <w:shd w:val="clear" w:color="auto" w:fill="F1F5F8"/>
          </w:tcPr>
          <w:p>
            <w:pPr>
              <w:spacing w:after="0"/>
            </w:pPr>
            <w:r>
              <w:rPr>
                <w:b w:val="0"/>
                <w:i w:val="0"/>
                <w:sz w:val="19"/>
              </w:rPr>
              <w:t>Conversion associated with longer survival than non-surgical care (HR 0.39); metastatic presentation worse on univariable but not multivariable analysis; residual nodal metastasis in the specimen HR 14.7 (2.3–93.9).</w:t>
            </w:r>
          </w:p>
          <w:p>
            <w:pPr>
              <w:spacing w:after="0"/>
            </w:pPr>
            <w:r>
              <w:rPr>
                <w:b w:val="0"/>
                <w:i/>
                <w:sz w:val="19"/>
              </w:rPr>
              <w:t>Limits: Case-report-based pooled data; strong selection.</w:t>
            </w:r>
          </w:p>
          <w:p>
            <w:pPr>
              <w:spacing w:after="0"/>
            </w:pPr>
            <w:r>
              <w:rPr>
                <w:b w:val="0"/>
                <w:i w:val="0"/>
                <w:color w:val="5A6069"/>
                <w:sz w:val="18"/>
              </w:rPr>
              <w:t>Langenbecks Arch Surg 2025; Tables 1–3, Fig. 3a.</w:t>
            </w:r>
          </w:p>
        </w:tc>
      </w:tr>
      <w:tr>
        <w:trPr>
          <w:cantSplit/>
        </w:trPr>
        <w:tc>
          <w:tcPr>
            <w:tcW w:type="dxa" w:w="3360"/>
            <w:tcW w:w="2000" w:type="dxa"/>
            <w:shd w:val="clear" w:color="auto" w:fill="FFFFFF"/>
          </w:tcPr>
          <w:p>
            <w:pPr>
              <w:spacing w:after="0"/>
            </w:pPr>
            <w:r>
              <w:rPr>
                <w:b/>
                <w:i w:val="0"/>
                <w:sz w:val="19"/>
              </w:rPr>
              <w:t>Murakami 2025 · conversion surgery for BTC</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Single centre, 101 unresectable biliary cancers; 20 converted. 14 converted had distant disease (liver 6, para-aortic nodes 5, peritoneal 3).</w:t>
            </w:r>
          </w:p>
        </w:tc>
        <w:tc>
          <w:tcPr>
            <w:tcW w:type="dxa" w:w="3360"/>
            <w:tcW w:w="4180" w:type="dxa"/>
            <w:shd w:val="clear" w:color="auto" w:fill="FFFFFF"/>
          </w:tcPr>
          <w:p>
            <w:pPr>
              <w:spacing w:after="0"/>
            </w:pPr>
            <w:r>
              <w:rPr>
                <w:b w:val="0"/>
                <w:i w:val="0"/>
                <w:sz w:val="19"/>
              </w:rPr>
              <w:t>5-year survival 55.0% with conversion vs 8.6% without, from the start of chemotherapy; recurrence 14 of 20.</w:t>
            </w:r>
          </w:p>
          <w:p>
            <w:pPr>
              <w:spacing w:after="0"/>
            </w:pPr>
            <w:r>
              <w:rPr>
                <w:b w:val="0"/>
                <w:i/>
                <w:sz w:val="19"/>
              </w:rPr>
              <w:t>Limits: Mixed biliary subsites; immortal-time bias; not iCCA-specific; the abstract gives 65.0% vs 4.3%, inconsistent with the text.</w:t>
            </w:r>
          </w:p>
          <w:p>
            <w:pPr>
              <w:spacing w:after="0"/>
            </w:pPr>
            <w:r>
              <w:rPr>
                <w:b w:val="0"/>
                <w:i w:val="0"/>
                <w:color w:val="5A6069"/>
                <w:sz w:val="18"/>
              </w:rPr>
              <w:t>Cancers 2025; Results 3.3–3.4.</w:t>
            </w:r>
          </w:p>
        </w:tc>
      </w:tr>
      <w:tr>
        <w:trPr>
          <w:cantSplit/>
        </w:trPr>
        <w:tc>
          <w:tcPr>
            <w:tcW w:type="dxa" w:w="3360"/>
            <w:tcW w:w="2000" w:type="dxa"/>
            <w:shd w:val="clear" w:color="auto" w:fill="F1F5F8"/>
          </w:tcPr>
          <w:p>
            <w:pPr>
              <w:spacing w:after="0"/>
            </w:pPr>
            <w:r>
              <w:rPr>
                <w:b/>
                <w:i w:val="0"/>
                <w:sz w:val="19"/>
              </w:rPr>
              <w:t>Yang 2026 · SEER M1 iCCA surgery</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SEER, 256 metastatic iCCA; matched 68 pairs. No response or metastatic-site data.</w:t>
            </w:r>
          </w:p>
        </w:tc>
        <w:tc>
          <w:tcPr>
            <w:tcW w:type="dxa" w:w="3360"/>
            <w:tcW w:w="4180" w:type="dxa"/>
            <w:shd w:val="clear" w:color="auto" w:fill="F1F5F8"/>
          </w:tcPr>
          <w:p>
            <w:pPr>
              <w:spacing w:after="0"/>
            </w:pPr>
            <w:r>
              <w:rPr>
                <w:b w:val="0"/>
                <w:i w:val="0"/>
                <w:sz w:val="19"/>
              </w:rPr>
              <w:t>3-year survival 13.8% with surgery vs 3% without.</w:t>
            </w:r>
          </w:p>
          <w:p>
            <w:pPr>
              <w:spacing w:after="0"/>
            </w:pPr>
            <w:r>
              <w:rPr>
                <w:b w:val="0"/>
                <w:i/>
                <w:sz w:val="19"/>
              </w:rPr>
              <w:t>Limits: Registry; reporting errors.</w:t>
            </w:r>
          </w:p>
          <w:p>
            <w:pPr>
              <w:spacing w:after="0"/>
            </w:pPr>
            <w:r>
              <w:rPr>
                <w:b w:val="0"/>
                <w:i w:val="0"/>
                <w:color w:val="5A6069"/>
                <w:sz w:val="18"/>
              </w:rPr>
              <w:t>J Gastrointest Oncol 2026; Results.</w:t>
            </w:r>
          </w:p>
        </w:tc>
      </w:tr>
      <w:tr>
        <w:trPr>
          <w:cantSplit/>
        </w:trPr>
        <w:tc>
          <w:tcPr>
            <w:tcW w:type="dxa" w:w="3360"/>
            <w:tcW w:w="2000" w:type="dxa"/>
            <w:shd w:val="clear" w:color="auto" w:fill="FFFFFF"/>
          </w:tcPr>
          <w:p>
            <w:pPr>
              <w:spacing w:after="0"/>
            </w:pPr>
            <w:r>
              <w:rPr>
                <w:b/>
                <w:i w:val="0"/>
                <w:sz w:val="19"/>
              </w:rPr>
              <w:t>Le Roy 2017 · secondary resection of iCCA</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Single centre, 74 locally advanced iCCA. Locally advanced, not metastatic.</w:t>
            </w:r>
          </w:p>
        </w:tc>
        <w:tc>
          <w:tcPr>
            <w:tcW w:type="dxa" w:w="3360"/>
            <w:tcW w:w="4180" w:type="dxa"/>
            <w:shd w:val="clear" w:color="auto" w:fill="FFFFFF"/>
          </w:tcPr>
          <w:p>
            <w:pPr>
              <w:spacing w:after="0"/>
            </w:pPr>
            <w:r>
              <w:rPr>
                <w:b w:val="0"/>
                <w:i w:val="0"/>
                <w:sz w:val="19"/>
              </w:rPr>
              <w:t>39 (53%) resected after chemotherapy, median survival 24.1 months (similar to upfront resection).</w:t>
            </w:r>
          </w:p>
          <w:p>
            <w:pPr>
              <w:spacing w:after="0"/>
            </w:pPr>
            <w:r>
              <w:rPr>
                <w:b w:val="0"/>
                <w:i/>
                <w:sz w:val="19"/>
              </w:rPr>
              <w:t>Limits: Locally advanced only.</w:t>
            </w:r>
          </w:p>
          <w:p>
            <w:pPr>
              <w:spacing w:after="0"/>
            </w:pPr>
            <w:r>
              <w:rPr>
                <w:b w:val="0"/>
                <w:i w:val="0"/>
                <w:color w:val="5A6069"/>
                <w:sz w:val="18"/>
              </w:rPr>
              <w:t>Br J Surg 2017 (abstract; full text pending).</w:t>
            </w:r>
          </w:p>
        </w:tc>
      </w:tr>
      <w:tr>
        <w:trPr>
          <w:cantSplit/>
        </w:trPr>
        <w:tc>
          <w:tcPr>
            <w:tcW w:type="dxa" w:w="3360"/>
            <w:tcW w:w="2000" w:type="dxa"/>
            <w:shd w:val="clear" w:color="auto" w:fill="F1F5F8"/>
          </w:tcPr>
          <w:p>
            <w:pPr>
              <w:spacing w:after="0"/>
            </w:pPr>
            <w:r>
              <w:rPr>
                <w:b/>
                <w:i w:val="0"/>
                <w:sz w:val="19"/>
              </w:rPr>
              <w:t>Kurimoto 2025 · iCCA nodal metastasis areas</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Three centres, 84 node-positive resections. Resection with lymphadenectomy; timing relative to chemotherapy not stated in the abstract.</w:t>
            </w:r>
          </w:p>
        </w:tc>
        <w:tc>
          <w:tcPr>
            <w:tcW w:type="dxa" w:w="3360"/>
            <w:tcW w:w="4180" w:type="dxa"/>
            <w:shd w:val="clear" w:color="auto" w:fill="F1F5F8"/>
          </w:tcPr>
          <w:p>
            <w:pPr>
              <w:spacing w:after="0"/>
            </w:pPr>
            <w:r>
              <w:rPr>
                <w:b w:val="0"/>
                <w:i w:val="0"/>
                <w:sz w:val="19"/>
              </w:rPr>
              <w:t>Nodes beyond the hepatoduodenal, common hepatic artery and peripancreatic area: median survival 13.3 vs 24.3 months (p=0.047).</w:t>
            </w:r>
          </w:p>
          <w:p>
            <w:pPr>
              <w:spacing w:after="0"/>
            </w:pPr>
            <w:r>
              <w:rPr>
                <w:b w:val="0"/>
                <w:i/>
                <w:sz w:val="19"/>
              </w:rPr>
              <w:t>Limits: No response data.</w:t>
            </w:r>
          </w:p>
          <w:p>
            <w:pPr>
              <w:spacing w:after="0"/>
            </w:pPr>
            <w:r>
              <w:rPr>
                <w:b w:val="0"/>
                <w:i w:val="0"/>
                <w:color w:val="5A6069"/>
                <w:sz w:val="18"/>
              </w:rPr>
              <w:t>Hepatol Res 2025 (abstract; full text pending).</w:t>
            </w:r>
          </w:p>
        </w:tc>
      </w:tr>
      <w:tr>
        <w:trPr>
          <w:cantSplit/>
        </w:trPr>
        <w:tc>
          <w:tcPr>
            <w:tcW w:type="dxa" w:w="3360"/>
            <w:tcW w:w="2000" w:type="dxa"/>
            <w:shd w:val="clear" w:color="auto" w:fill="FFFFFF"/>
          </w:tcPr>
          <w:p>
            <w:pPr>
              <w:spacing w:after="0"/>
            </w:pPr>
            <w:r>
              <w:rPr>
                <w:b/>
                <w:i w:val="0"/>
                <w:sz w:val="19"/>
              </w:rPr>
              <w:t>Yabushita 2024 · conversion surgery morbidity</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Japan–Korea multicentre, 56 conversion operations (biliary). Locally advanced.</w:t>
            </w:r>
          </w:p>
        </w:tc>
        <w:tc>
          <w:tcPr>
            <w:tcW w:type="dxa" w:w="3360"/>
            <w:tcW w:w="4180" w:type="dxa"/>
            <w:shd w:val="clear" w:color="auto" w:fill="FFFFFF"/>
          </w:tcPr>
          <w:p>
            <w:pPr>
              <w:spacing w:after="0"/>
            </w:pPr>
            <w:r>
              <w:rPr>
                <w:b w:val="0"/>
                <w:i w:val="0"/>
                <w:sz w:val="19"/>
              </w:rPr>
              <w:t>Clavien–Dindo ≥III 60.7%; postoperative mortality 8.9%; 5-year survival 39.1%.</w:t>
            </w:r>
          </w:p>
          <w:p>
            <w:pPr>
              <w:spacing w:after="0"/>
            </w:pPr>
            <w:r>
              <w:rPr>
                <w:b w:val="0"/>
                <w:i/>
                <w:sz w:val="19"/>
              </w:rPr>
              <w:t>Limits: No non-operated denominator.</w:t>
            </w:r>
          </w:p>
          <w:p>
            <w:pPr>
              <w:spacing w:after="0"/>
            </w:pPr>
            <w:r>
              <w:rPr>
                <w:b w:val="0"/>
                <w:i w:val="0"/>
                <w:color w:val="5A6069"/>
                <w:sz w:val="18"/>
              </w:rPr>
              <w:t>J Hepatobiliary Pancreat Sci 2024 (abstract; full text pending).</w:t>
            </w:r>
          </w:p>
        </w:tc>
      </w:tr>
      <w:tr>
        <w:trPr>
          <w:cantSplit/>
        </w:trPr>
        <w:tc>
          <w:tcPr>
            <w:tcW w:type="dxa" w:w="3360"/>
            <w:tcW w:w="2000" w:type="dxa"/>
            <w:shd w:val="clear" w:color="auto" w:fill="F1F5F8"/>
          </w:tcPr>
          <w:p>
            <w:pPr>
              <w:spacing w:after="0"/>
            </w:pPr>
            <w:r>
              <w:rPr>
                <w:b/>
                <w:i w:val="0"/>
                <w:sz w:val="19"/>
              </w:rPr>
              <w:t>Rimini 2026 · locally advanced BTC</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55-centre cohort, 219 locally advanced biliary cancers. No distant disease.</w:t>
            </w:r>
          </w:p>
        </w:tc>
        <w:tc>
          <w:tcPr>
            <w:tcW w:type="dxa" w:w="3360"/>
            <w:tcW w:w="4180" w:type="dxa"/>
            <w:shd w:val="clear" w:color="auto" w:fill="F1F5F8"/>
          </w:tcPr>
          <w:p>
            <w:pPr>
              <w:spacing w:after="0"/>
            </w:pPr>
            <w:r>
              <w:rPr>
                <w:b w:val="0"/>
                <w:i w:val="0"/>
                <w:sz w:val="19"/>
              </w:rPr>
              <w:t>24 (10.9%) resected after systemic therapy; median survival 22.5 vs 19.9 months.</w:t>
            </w:r>
          </w:p>
          <w:p>
            <w:pPr>
              <w:spacing w:after="0"/>
            </w:pPr>
            <w:r>
              <w:rPr>
                <w:b w:val="0"/>
                <w:i/>
                <w:sz w:val="19"/>
              </w:rPr>
              <w:t>Limits: Short follow-up.</w:t>
            </w:r>
          </w:p>
          <w:p>
            <w:pPr>
              <w:spacing w:after="0"/>
            </w:pPr>
            <w:r>
              <w:rPr>
                <w:b w:val="0"/>
                <w:i w:val="0"/>
                <w:color w:val="5A6069"/>
                <w:sz w:val="18"/>
              </w:rPr>
              <w:t>Int J Cancer 2026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Regional nodal disease (hepatoduodenal and common hepatic artery area) that responds may proceed to conversion resection with lymphadenectomy after MDT review. Nodes beyond the regional basin and distant metastases stay systemic-therapy-led; conversion surgery only exceptionally, on very low-certainty evidence, inside a registry or study.</w:t>
      </w:r>
    </w:p>
    <w:p>
      <w:pPr>
        <w:numPr>
          <w:ilvl w:val="0"/>
          <w:numId w:val="5"/>
        </w:numPr>
        <w:spacing w:after="40"/>
      </w:pPr>
      <w:r>
        <w:rPr>
          <w:b w:val="0"/>
          <w:i w:val="0"/>
        </w:rPr>
        <w:t>Regional nodes: restage after response; sample suspicious residual nodes where feasible, because residual nodal disease in the specimen is strongly adverse.</w:t>
      </w:r>
    </w:p>
    <w:p>
      <w:pPr>
        <w:numPr>
          <w:ilvl w:val="0"/>
          <w:numId w:val="5"/>
        </w:numPr>
        <w:spacing w:after="40"/>
      </w:pPr>
      <w:r>
        <w:rPr>
          <w:b w:val="0"/>
          <w:i w:val="0"/>
        </w:rPr>
        <w:t>Distant disease (non-regional nodes, liver-only oligometastases, limited peritoneal or lung): only after durable response on serial imaging, negative whole-body restaging, staging laparoscopy with nodal sampling, and complete resectability of every site.</w:t>
      </w:r>
    </w:p>
    <w:p>
      <w:pPr>
        <w:numPr>
          <w:ilvl w:val="0"/>
          <w:numId w:val="5"/>
        </w:numPr>
        <w:spacing w:after="40"/>
      </w:pPr>
      <w:r>
        <w:rPr>
          <w:b w:val="0"/>
          <w:i w:val="0"/>
        </w:rPr>
        <w:t>Counsel: recurrence 35% across pooled conversion series and 70% (14 of 20) in one single-centre series; major complications 50–61% and postoperative mortality 0–9% in individual series (90-day mortality 4.3% pooled); survival benefit not proven.</w:t>
      </w:r>
    </w:p>
    <w:p>
      <w:pPr>
        <w:numPr>
          <w:ilvl w:val="0"/>
          <w:numId w:val="5"/>
        </w:numPr>
        <w:spacing w:after="40"/>
      </w:pPr>
      <w:r>
        <w:rPr>
          <w:b w:val="0"/>
          <w:i w:val="0"/>
        </w:rPr>
        <w:t>Conversion does not open transplantation (iCCA-B4).</w:t>
      </w:r>
    </w:p>
    <w:p>
      <w:pPr>
        <w:spacing w:after="80"/>
      </w:pPr>
      <w:r>
        <w:rPr>
          <w:b/>
          <w:i w:val="0"/>
        </w:rPr>
        <w:t xml:space="preserve">Why: </w:t>
      </w:r>
      <w:r>
        <w:rPr>
          <w:b w:val="0"/>
          <w:i w:val="0"/>
        </w:rPr>
        <w:t>The conversion evidence comes mostly from locally advanced disease. For metastatic iCCA it rests on very small, selected series, and unselected metastatic resection gives poor survival.</w:t>
      </w:r>
    </w:p>
    <w:p>
      <w:pPr>
        <w:spacing w:after="80"/>
      </w:pPr>
      <w:r>
        <w:rPr>
          <w:b/>
          <w:i w:val="0"/>
        </w:rPr>
        <w:t xml:space="preserve">Against, or uncertain: </w:t>
      </w:r>
      <w:r>
        <w:rPr>
          <w:b w:val="0"/>
          <w:i w:val="0"/>
        </w:rPr>
        <w:t>Guidelines are characterized as discouraging surgery for metastatic iCCA; benefit in metastatic disease is unproven.</w:t>
      </w:r>
    </w:p>
    <w:p>
      <w:pPr>
        <w:spacing w:after="80"/>
      </w:pPr>
      <w:r>
        <w:rPr>
          <w:b/>
          <w:i w:val="0"/>
        </w:rPr>
        <w:t xml:space="preserve">Certainty: </w:t>
      </w:r>
      <w:r>
        <w:rPr>
          <w:b w:val="0"/>
          <w:i w:val="0"/>
        </w:rPr>
        <w:t>Low for regional nodal disease after response; very low for distant disease.</w:t>
      </w:r>
    </w:p>
    <w:p>
      <w:pPr>
        <w:spacing w:after="80"/>
      </w:pPr>
      <w:r>
        <w:rPr>
          <w:b/>
          <w:i w:val="0"/>
        </w:rPr>
        <w:t xml:space="preserve">What would change the answer: </w:t>
      </w:r>
      <w:r>
        <w:rPr>
          <w:b w:val="0"/>
          <w:i w:val="0"/>
        </w:rPr>
        <w:t>Prospective data on conversion surgery for metastatic iCCA.</w:t>
      </w:r>
    </w:p>
    <w:p>
      <w:pPr>
        <w:pStyle w:val="Heading3"/>
        <w:keepNext/>
        <w:spacing w:before="120" w:after="80"/>
      </w:pPr>
      <w:r>
        <w:rPr>
          <w:b w:val="0"/>
          <w:i w:val="0"/>
        </w:rPr>
        <w:t>iCCA-R1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iCCA-D1 — Does the programme run a hepatic arterial infusion service for intrahepatic cholangiocarcinoma?</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4 · Treat and reassess for resection</w:t>
        </w:r>
      </w:hyperlink>
      <w:r>
        <w:rPr>
          <w:b w:val="0"/>
          <w:i w:val="0"/>
        </w:rPr>
        <w:t xml:space="preserve"> · </w:t>
      </w:r>
      <w:hyperlink r:id="rId10">
        <w:r>
          <w:rPr>
            <w:color w:val="0563C1"/>
            <w:u w:val="single"/>
          </w:rPr>
          <w:t xml:space="preserve">5 · Unresectable disease confined to the liver</w:t>
        </w:r>
      </w:hyperlink>
      <w:r>
        <w:rPr>
          <w:b w:val="0"/>
          <w:i w:val="0"/>
        </w:rPr>
        <w:t xml:space="preserve"> · </w:t>
      </w:r>
      <w:hyperlink r:id="rId11">
        <w:r>
          <w:rPr>
            <w:color w:val="0563C1"/>
            <w:u w:val="single"/>
          </w:rPr>
          <w:t xml:space="preserve">7 · Select liver-directed therapy</w:t>
        </w:r>
      </w:hyperlink>
    </w:p>
    <w:p>
      <w:pPr>
        <w:spacing w:after="120"/>
      </w:pPr>
      <w:r>
        <w:rPr>
          <w:b/>
          <w:i w:val="0"/>
          <w:sz w:val="18"/>
        </w:rPr>
        <w:t xml:space="preserve">Web page: </w:t>
      </w:r>
      <w:hyperlink r:id="rId1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BTC v1.2026</w:t>
            </w:r>
          </w:p>
        </w:tc>
        <w:tc>
          <w:tcPr>
            <w:tcW w:type="dxa" w:w="3360"/>
            <w:tcW w:w="5480" w:type="dxa"/>
            <w:shd w:val="clear" w:color="auto" w:fill="F1F5F8"/>
          </w:tcPr>
          <w:p>
            <w:pPr>
              <w:spacing w:after="0"/>
            </w:pPr>
            <w:r>
              <w:rPr>
                <w:b w:val="0"/>
                <w:i w:val="0"/>
                <w:sz w:val="19"/>
              </w:rPr>
              <w:t>Permits HAI in trials or experienced centres for carefully selected patients.</w:t>
            </w:r>
          </w:p>
        </w:tc>
        <w:tc>
          <w:tcPr>
            <w:tcW w:type="dxa" w:w="3360"/>
            <w:tcW w:w="2400" w:type="dxa"/>
            <w:shd w:val="clear" w:color="auto" w:fill="F1F5F8"/>
          </w:tcPr>
          <w:p>
            <w:pPr>
              <w:spacing w:after="0"/>
            </w:pPr>
            <w:r>
              <w:rPr>
                <w:b w:val="0"/>
                <w:i w:val="0"/>
                <w:color w:val="5A6069"/>
                <w:sz w:val="18"/>
              </w:rPr>
              <w:t>Gate 7 · Standard selector option 'Hepatic arterial infusion' (when)</w:t>
            </w:r>
          </w:p>
        </w:tc>
      </w:tr>
      <w:tr>
        <w:trPr>
          <w:cantSplit/>
        </w:trPr>
        <w:tc>
          <w:tcPr>
            <w:tcW w:type="dxa" w:w="3360"/>
            <w:tcW w:w="2200" w:type="dxa"/>
            <w:shd w:val="clear" w:color="auto" w:fill="FFFFFF"/>
          </w:tcPr>
          <w:p>
            <w:pPr>
              <w:spacing w:after="0"/>
            </w:pPr>
            <w:r>
              <w:rPr>
                <w:b/>
                <w:i w:val="0"/>
                <w:sz w:val="19"/>
              </w:rPr>
              <w:t>Cercek HAI phase 2</w:t>
            </w:r>
          </w:p>
        </w:tc>
        <w:tc>
          <w:tcPr>
            <w:tcW w:type="dxa" w:w="3360"/>
            <w:tcW w:w="5480" w:type="dxa"/>
            <w:shd w:val="clear" w:color="auto" w:fill="FFFFFF"/>
          </w:tcPr>
          <w:p>
            <w:pPr>
              <w:spacing w:after="0"/>
            </w:pPr>
            <w:r>
              <w:rPr>
                <w:b w:val="0"/>
                <w:i w:val="0"/>
                <w:sz w:val="19"/>
              </w:rPr>
              <w:t>Single-institution, 38 treated of 84 screened: partial response 58%, 6-month PFS 84.1%, median OS 25.0 months, four resected. Critique: grade 4 withdrawal 11%, full-dose delivery fell from 71% to 47% of patients, historical comparator; the editorial calls the case unsettled.</w:t>
            </w:r>
          </w:p>
        </w:tc>
        <w:tc>
          <w:tcPr>
            <w:tcW w:type="dxa" w:w="3360"/>
            <w:tcW w:w="2400" w:type="dxa"/>
            <w:shd w:val="clear" w:color="auto" w:fill="FFFFFF"/>
          </w:tcPr>
          <w:p>
            <w:pPr>
              <w:spacing w:after="0"/>
            </w:pPr>
            <w:r>
              <w:rPr>
                <w:b w:val="0"/>
                <w:i w:val="0"/>
                <w:color w:val="5A6069"/>
                <w:sz w:val="18"/>
              </w:rPr>
              <w:t>Gate 4 · Reasonable option 'Hepatic arterial infusion plus systemic chemotherapy' (when, note); What we are not sure about · 'Hepatic arterial infusion as the strongest regional option'</w:t>
            </w:r>
          </w:p>
        </w:tc>
      </w:tr>
      <w:tr>
        <w:trPr>
          <w:cantSplit/>
        </w:trPr>
        <w:tc>
          <w:tcPr>
            <w:tcW w:type="dxa" w:w="3360"/>
            <w:tcW w:w="2200" w:type="dxa"/>
            <w:shd w:val="clear" w:color="auto" w:fill="F1F5F8"/>
          </w:tcPr>
          <w:p>
            <w:pPr>
              <w:spacing w:after="0"/>
            </w:pPr>
            <w:r>
              <w:rPr>
                <w:b/>
                <w:i w:val="0"/>
                <w:sz w:val="19"/>
              </w:rPr>
              <w:t>Konstantinidis HAI cohort</w:t>
            </w:r>
          </w:p>
        </w:tc>
        <w:tc>
          <w:tcPr>
            <w:tcW w:type="dxa" w:w="3360"/>
            <w:tcW w:w="5480" w:type="dxa"/>
            <w:shd w:val="clear" w:color="auto" w:fill="F1F5F8"/>
          </w:tcPr>
          <w:p>
            <w:pPr>
              <w:spacing w:after="0"/>
            </w:pPr>
            <w:r>
              <w:rPr>
                <w:b w:val="0"/>
                <w:i w:val="0"/>
                <w:sz w:val="19"/>
              </w:rPr>
              <w:t>Retrospective median OS 30.8 versus 18.4 months against systemic therapy alone in liver-confined disease, but stage migration favours HAI, the comparator was 26 patients, and only 8 of 236 converted to curative resection.</w:t>
            </w:r>
          </w:p>
        </w:tc>
        <w:tc>
          <w:tcPr>
            <w:tcW w:type="dxa" w:w="3360"/>
            <w:tcW w:w="2400" w:type="dxa"/>
            <w:shd w:val="clear" w:color="auto" w:fill="F1F5F8"/>
          </w:tcPr>
          <w:p>
            <w:pPr>
              <w:spacing w:after="0"/>
            </w:pPr>
            <w:r>
              <w:rPr>
                <w:b w:val="0"/>
                <w:i w:val="0"/>
                <w:color w:val="5A6069"/>
                <w:sz w:val="18"/>
              </w:rPr>
              <w:t>Gate 4 · HAI option (note); What we are not sure about · 'Hepatic arterial infusion as the strongest regional option'</w:t>
            </w:r>
          </w:p>
        </w:tc>
      </w:tr>
      <w:tr>
        <w:trPr>
          <w:cantSplit/>
        </w:trPr>
        <w:tc>
          <w:tcPr>
            <w:tcW w:type="dxa" w:w="3360"/>
            <w:tcW w:w="2200" w:type="dxa"/>
            <w:shd w:val="clear" w:color="auto" w:fill="FFFFFF"/>
          </w:tcPr>
          <w:p>
            <w:pPr>
              <w:spacing w:after="0"/>
            </w:pPr>
            <w:r>
              <w:rPr>
                <w:b/>
                <w:i w:val="0"/>
                <w:sz w:val="19"/>
              </w:rPr>
              <w:t>PUMP-2</w:t>
            </w:r>
          </w:p>
        </w:tc>
        <w:tc>
          <w:tcPr>
            <w:tcW w:type="dxa" w:w="3360"/>
            <w:tcW w:w="5480" w:type="dxa"/>
            <w:shd w:val="clear" w:color="auto" w:fill="FFFFFF"/>
          </w:tcPr>
          <w:p>
            <w:pPr>
              <w:spacing w:after="0"/>
            </w:pPr>
            <w:r>
              <w:rPr>
                <w:b w:val="0"/>
                <w:i w:val="0"/>
                <w:sz w:val="19"/>
              </w:rPr>
              <w:t>Three-centre nonrandomised phase II: 50 pumps placed, partial response 44%, six-month disease control 84%, 10% resected, median OS 22.3 months; the historical comparator does not show superiority over contemporary chemo-immunotherapy.</w:t>
            </w:r>
          </w:p>
        </w:tc>
        <w:tc>
          <w:tcPr>
            <w:tcW w:type="dxa" w:w="3360"/>
            <w:tcW w:w="2400" w:type="dxa"/>
            <w:shd w:val="clear" w:color="auto" w:fill="FFFFFF"/>
          </w:tcPr>
          <w:p>
            <w:pPr>
              <w:spacing w:after="0"/>
            </w:pPr>
            <w:r>
              <w:rPr>
                <w:b w:val="0"/>
                <w:i w:val="0"/>
                <w:color w:val="5A6069"/>
                <w:sz w:val="18"/>
              </w:rPr>
              <w:t>Gate 4 · HAI option (note); HAI evidence and pathway revision · 'Multicentre phase II evidence'</w:t>
            </w:r>
          </w:p>
        </w:tc>
      </w:tr>
      <w:tr>
        <w:trPr>
          <w:cantSplit/>
        </w:trPr>
        <w:tc>
          <w:tcPr>
            <w:tcW w:type="dxa" w:w="3360"/>
            <w:tcW w:w="2200" w:type="dxa"/>
            <w:shd w:val="clear" w:color="auto" w:fill="F1F5F8"/>
          </w:tcPr>
          <w:p>
            <w:pPr>
              <w:spacing w:after="0"/>
            </w:pPr>
            <w:r>
              <w:rPr>
                <w:b/>
                <w:i w:val="0"/>
                <w:sz w:val="19"/>
              </w:rPr>
              <w:t>Pooled analysis of four phase II HAI trials</w:t>
            </w:r>
          </w:p>
        </w:tc>
        <w:tc>
          <w:tcPr>
            <w:tcW w:type="dxa" w:w="3360"/>
            <w:tcW w:w="5480" w:type="dxa"/>
            <w:shd w:val="clear" w:color="auto" w:fill="F1F5F8"/>
          </w:tcPr>
          <w:p>
            <w:pPr>
              <w:spacing w:after="0"/>
            </w:pPr>
            <w:r>
              <w:rPr>
                <w:b w:val="0"/>
                <w:i w:val="0"/>
                <w:sz w:val="19"/>
              </w:rPr>
              <w:t>142 treated patients, median OS 26 months, five-year OS 15% (14% intention to treat), 9% resected; it reuses constituent trial patients, so it is not independent replication or randomised evidence.</w:t>
            </w:r>
          </w:p>
        </w:tc>
        <w:tc>
          <w:tcPr>
            <w:tcW w:type="dxa" w:w="3360"/>
            <w:tcW w:w="2400" w:type="dxa"/>
            <w:shd w:val="clear" w:color="auto" w:fill="F1F5F8"/>
          </w:tcPr>
          <w:p>
            <w:pPr>
              <w:spacing w:after="0"/>
            </w:pPr>
            <w:r>
              <w:rPr>
                <w:b w:val="0"/>
                <w:i w:val="0"/>
                <w:color w:val="5A6069"/>
                <w:sz w:val="18"/>
              </w:rPr>
              <w:t>Gate 5 · Reasonable option 'Hepatic arterial infusion' (note); HAI evidence and pathway revision · 'Mature pooled outcomes'</w:t>
            </w:r>
          </w:p>
        </w:tc>
      </w:tr>
    </w:tbl>
    <w:p>
      <w:pPr>
        <w:spacing w:after="40"/>
      </w:pPr>
    </w:p>
    <w:p>
      <w:pPr>
        <w:spacing w:after="80"/>
      </w:pPr>
      <w:r>
        <w:rPr>
          <w:b/>
          <w:i w:val="0"/>
        </w:rPr>
        <w:t xml:space="preserve">Where sources differ: </w:t>
      </w:r>
      <w:r>
        <w:rPr>
          <w:b w:val="0"/>
          <w:i w:val="0"/>
        </w:rPr>
        <w:t>NCCN confines HAI to trials or experienced centres, and the supporting cohorts are nonrandomised, overlapping and lack a modern chemo-immunotherapy comparator, so the decision turns on programme capability more than on evidence.</w:t>
      </w:r>
    </w:p>
    <w:p>
      <w:pPr>
        <w:pStyle w:val="Heading3"/>
        <w:keepNext/>
        <w:spacing w:before="120" w:after="80"/>
      </w:pPr>
      <w:r>
        <w:rPr>
          <w:b w:val="0"/>
          <w:i w:val="0"/>
        </w:rPr>
        <w:t>Our proposed selection (OPEN)</w:t>
      </w:r>
    </w:p>
    <w:p>
      <w:pPr>
        <w:spacing w:after="80"/>
      </w:pPr>
      <w:r>
        <w:rPr>
          <w:b w:val="0"/>
          <w:i w:val="0"/>
        </w:rPr>
        <w:t>The roadmap does not answer yes or no; it keeps HAI as a Reasonable, grade C, expertise-dependent option for unresectable liver-confined disease with favourable arterial anatomy, generally with systemic therapy and considered early, only within an approved pump programme whose full service team, monitoring, toxicity escalation and registry are named before activation.</w:t>
      </w:r>
    </w:p>
    <w:p>
      <w:pPr>
        <w:spacing w:after="80"/>
      </w:pPr>
      <w:r>
        <w:rPr>
          <w:b/>
          <w:i w:val="0"/>
          <w:color w:val="5A6069"/>
          <w:sz w:val="18"/>
        </w:rPr>
        <w:t xml:space="preserve">Basis in the document: </w:t>
      </w:r>
      <w:r>
        <w:rPr>
          <w:b w:val="0"/>
          <w:i w:val="0"/>
          <w:color w:val="5A6069"/>
          <w:sz w:val="18"/>
        </w:rPr>
        <w:t>Gate 4 · Reasonable 'Hepatic arterial infusion plus systemic chemotherapy'; Gate 7 · selector 'Hepatic arterial infusion'; HAI evidence and pathway revision · 'Treatment position', 'Programme readiness'</w:t>
      </w:r>
    </w:p>
    <w:p>
      <w:pPr>
        <w:spacing w:after="80"/>
      </w:pPr>
      <w:r>
        <w:rPr>
          <w:b/>
          <w:i w:val="0"/>
        </w:rPr>
        <w:t xml:space="preserve">Why: </w:t>
      </w:r>
      <w:r>
        <w:rPr>
          <w:b w:val="0"/>
          <w:i w:val="0"/>
        </w:rPr>
        <w:t>PUMP-2 (PMID 41082695), a three-centre nonrandomized phase II study: 50 pumps placed, 48 patients started HAI, partial response 44%, six-month disease control 84%, resection 5/50 (10%), median OS 22.3 months and three-year OS 31.5%. The 2026 pooled analysis of four phase II trials (PMID 42331230) reports 142 treated patients, median OS 26 months, five-year OS 15% (ITT 14%), and 13/142 resections (9%). The pooled cohorts overlap the constituent trials; these are not independent replications or randomized comparisons with modern chemo-immunotherapy. Before activation, name the HPB pump surgeon and backup, medical oncology lead, nursing/pharmacy team, nuclear-medicine perfusion service and IR rescue service; define refill/maintenance coverage, laboratory monitoring and dose holds, biliary-toxicity escalation, and an outcomes registry. Minimum programme requirements: PMID 39962001; surgical toolkit: PMID 36346892. Avoid concurrent bevacizumab with FUDR (PMID 24154839); retain the NCCN CRLM restriction on concurrent VEGF inhibitors.</w:t>
      </w:r>
    </w:p>
    <w:p>
      <w:pPr>
        <w:spacing w:after="80"/>
      </w:pPr>
      <w:r>
        <w:rPr>
          <w:b/>
          <w:i w:val="0"/>
        </w:rPr>
        <w:t xml:space="preserve">What gets audited: </w:t>
      </w:r>
      <w:r>
        <w:rPr>
          <w:b w:val="0"/>
          <w:i w:val="0"/>
        </w:rPr>
        <w:t>Registry: every HAI case, toxicity, hepatic progression-free survival.</w:t>
      </w:r>
    </w:p>
    <w:p>
      <w:pPr>
        <w:pStyle w:val="Heading3"/>
        <w:keepNext/>
        <w:spacing w:before="120" w:after="80"/>
      </w:pPr>
      <w:r>
        <w:rPr>
          <w:b w:val="0"/>
          <w:i w:val="0"/>
        </w:rPr>
        <w:t>iCCA-D1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iCCA-D2 — Which liver-directed modality is first choice for unresectable liver-confined disease?</w:t>
      </w:r>
    </w:p>
    <w:p>
      <w:pPr>
        <w:spacing w:after="80"/>
      </w:pPr>
      <w:r>
        <w:rPr>
          <w:b w:val="0"/>
          <w:i w:val="0"/>
          <w:color w:val="5A6069"/>
          <w:sz w:val="18"/>
        </w:rPr>
        <w:t>OPEN — not yet decided · Clinical</w:t>
      </w:r>
    </w:p>
    <w:p>
      <w:pPr>
        <w:spacing w:after="80"/>
      </w:pPr>
      <w:r>
        <w:rPr>
          <w:b/>
          <w:i w:val="0"/>
        </w:rPr>
        <w:t xml:space="preserve">Where it is decided: </w:t>
      </w:r>
      <w:hyperlink r:id="rId10">
        <w:r>
          <w:rPr>
            <w:color w:val="0563C1"/>
            <w:u w:val="single"/>
          </w:rPr>
          <w:t xml:space="preserve">5 · Unresectable disease confined to the liver</w:t>
        </w:r>
      </w:hyperlink>
      <w:r>
        <w:rPr>
          <w:b w:val="0"/>
          <w:i w:val="0"/>
        </w:rPr>
        <w:t xml:space="preserve"> · </w:t>
      </w:r>
      <w:hyperlink r:id="rId11">
        <w:r>
          <w:rPr>
            <w:color w:val="0563C1"/>
            <w:u w:val="single"/>
          </w:rPr>
          <w:t xml:space="preserve">7 · Select liver-directed therapy</w:t>
        </w:r>
      </w:hyperlink>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Cercek HAI phase 2</w:t>
            </w:r>
          </w:p>
        </w:tc>
        <w:tc>
          <w:tcPr>
            <w:tcW w:type="dxa" w:w="3360"/>
            <w:tcW w:w="5480" w:type="dxa"/>
            <w:shd w:val="clear" w:color="auto" w:fill="F1F5F8"/>
          </w:tcPr>
          <w:p>
            <w:pPr>
              <w:spacing w:after="0"/>
            </w:pPr>
            <w:r>
              <w:rPr>
                <w:b w:val="0"/>
                <w:i w:val="0"/>
                <w:sz w:val="19"/>
              </w:rPr>
              <w:t>HAI floxuridine with systemic gemcitabine–oxaliplatin: partial response 58%, 6-month PFS 84.1%, median OS 25.0 months in 38 selected patients; single-arm with a historical comparison.</w:t>
            </w:r>
          </w:p>
        </w:tc>
        <w:tc>
          <w:tcPr>
            <w:tcW w:type="dxa" w:w="3360"/>
            <w:tcW w:w="2400" w:type="dxa"/>
            <w:shd w:val="clear" w:color="auto" w:fill="F1F5F8"/>
          </w:tcPr>
          <w:p>
            <w:pPr>
              <w:spacing w:after="0"/>
            </w:pPr>
            <w:r>
              <w:rPr>
                <w:b w:val="0"/>
                <w:i w:val="0"/>
                <w:color w:val="5A6069"/>
                <w:sz w:val="18"/>
              </w:rPr>
              <w:t>Gate 5 · Reasonable option 'Hepatic arterial infusion' (when); Gate 4 · HAI option (when, note)</w:t>
            </w:r>
          </w:p>
        </w:tc>
      </w:tr>
      <w:tr>
        <w:trPr>
          <w:cantSplit/>
        </w:trPr>
        <w:tc>
          <w:tcPr>
            <w:tcW w:type="dxa" w:w="3360"/>
            <w:tcW w:w="2200" w:type="dxa"/>
            <w:shd w:val="clear" w:color="auto" w:fill="FFFFFF"/>
          </w:tcPr>
          <w:p>
            <w:pPr>
              <w:spacing w:after="0"/>
            </w:pPr>
            <w:r>
              <w:rPr>
                <w:b/>
                <w:i w:val="0"/>
                <w:sz w:val="19"/>
              </w:rPr>
              <w:t>MISPHEC</w:t>
            </w:r>
          </w:p>
        </w:tc>
        <w:tc>
          <w:tcPr>
            <w:tcW w:type="dxa" w:w="3360"/>
            <w:tcW w:w="5480" w:type="dxa"/>
            <w:shd w:val="clear" w:color="auto" w:fill="FFFFFF"/>
          </w:tcPr>
          <w:p>
            <w:pPr>
              <w:spacing w:after="0"/>
            </w:pPr>
            <w:r>
              <w:rPr>
                <w:b w:val="0"/>
                <w:i w:val="0"/>
                <w:sz w:val="19"/>
              </w:rPr>
              <w:t>Y90 with gemcitabine–cisplatin in 41 patients: response about 40%, 22% downstaged, median OS 22 months; hepatic failure in 75% of cirrhotic patients, and the regimen depends on dosimetry that does not transfer as written.</w:t>
            </w:r>
          </w:p>
        </w:tc>
        <w:tc>
          <w:tcPr>
            <w:tcW w:type="dxa" w:w="3360"/>
            <w:tcW w:w="2400" w:type="dxa"/>
            <w:shd w:val="clear" w:color="auto" w:fill="FFFFFF"/>
          </w:tcPr>
          <w:p>
            <w:pPr>
              <w:spacing w:after="0"/>
            </w:pPr>
            <w:r>
              <w:rPr>
                <w:b w:val="0"/>
                <w:i w:val="0"/>
                <w:color w:val="5A6069"/>
                <w:sz w:val="18"/>
              </w:rPr>
              <w:t>Gate 4 · Reasonable option 'Y90 radioembolisation with first-line chemotherapy'; Gate 5 · option 'Radioembolisation or chemoembolisation'</w:t>
            </w:r>
          </w:p>
        </w:tc>
      </w:tr>
      <w:tr>
        <w:trPr>
          <w:cantSplit/>
        </w:trPr>
        <w:tc>
          <w:tcPr>
            <w:tcW w:type="dxa" w:w="3360"/>
            <w:tcW w:w="2200" w:type="dxa"/>
            <w:shd w:val="clear" w:color="auto" w:fill="F1F5F8"/>
          </w:tcPr>
          <w:p>
            <w:pPr>
              <w:spacing w:after="0"/>
            </w:pPr>
            <w:r>
              <w:rPr>
                <w:b/>
                <w:i w:val="0"/>
                <w:sz w:val="19"/>
              </w:rPr>
              <w:t>Tao dose-response series</w:t>
            </w:r>
          </w:p>
        </w:tc>
        <w:tc>
          <w:tcPr>
            <w:tcW w:type="dxa" w:w="3360"/>
            <w:tcW w:w="5480" w:type="dxa"/>
            <w:shd w:val="clear" w:color="auto" w:fill="F1F5F8"/>
          </w:tcPr>
          <w:p>
            <w:pPr>
              <w:spacing w:after="0"/>
            </w:pPr>
            <w:r>
              <w:rPr>
                <w:b w:val="0"/>
                <w:i w:val="0"/>
                <w:sz w:val="19"/>
              </w:rPr>
              <w:t>Retrospective, 79 patients: 3-year local control 78% and OS 73% above a biologic equivalent dose of 80.5 Gy, but only 19 received the high dose and dose is confounded with target volume and era.</w:t>
            </w:r>
          </w:p>
        </w:tc>
        <w:tc>
          <w:tcPr>
            <w:tcW w:type="dxa" w:w="3360"/>
            <w:tcW w:w="2400" w:type="dxa"/>
            <w:shd w:val="clear" w:color="auto" w:fill="F1F5F8"/>
          </w:tcPr>
          <w:p>
            <w:pPr>
              <w:spacing w:after="0"/>
            </w:pPr>
            <w:r>
              <w:rPr>
                <w:b w:val="0"/>
                <w:i w:val="0"/>
                <w:color w:val="5A6069"/>
                <w:sz w:val="18"/>
              </w:rPr>
              <w:t>Gate 5 · Reasonable option 'SBRT or proton therapy'; What we are not sure about · 'Ablative radiotherapy doses, and the 80.5 Gy figure'</w:t>
            </w:r>
          </w:p>
        </w:tc>
      </w:tr>
      <w:tr>
        <w:trPr>
          <w:cantSplit/>
        </w:trPr>
        <w:tc>
          <w:tcPr>
            <w:tcW w:type="dxa" w:w="3360"/>
            <w:tcW w:w="2200" w:type="dxa"/>
            <w:shd w:val="clear" w:color="auto" w:fill="FFFFFF"/>
          </w:tcPr>
          <w:p>
            <w:pPr>
              <w:spacing w:after="0"/>
            </w:pPr>
            <w:r>
              <w:rPr>
                <w:b/>
                <w:i w:val="0"/>
                <w:sz w:val="19"/>
              </w:rPr>
              <w:t>Kiefer two-centre chemoembolisation cohort</w:t>
            </w:r>
          </w:p>
        </w:tc>
        <w:tc>
          <w:tcPr>
            <w:tcW w:type="dxa" w:w="3360"/>
            <w:tcW w:w="5480" w:type="dxa"/>
            <w:shd w:val="clear" w:color="auto" w:fill="FFFFFF"/>
          </w:tcPr>
          <w:p>
            <w:pPr>
              <w:spacing w:after="0"/>
            </w:pPr>
            <w:r>
              <w:rPr>
                <w:b w:val="0"/>
                <w:i w:val="0"/>
                <w:sz w:val="19"/>
              </w:rPr>
              <w:t>Median OS 20 months from diagnosis in 62 patients, major complications after 3% of procedures; heterogeneous, nonrandomised, 40% unknown-primary adenocarcinoma, and a regimen predating current options.</w:t>
            </w:r>
          </w:p>
        </w:tc>
        <w:tc>
          <w:tcPr>
            <w:tcW w:type="dxa" w:w="3360"/>
            <w:tcW w:w="2400" w:type="dxa"/>
            <w:shd w:val="clear" w:color="auto" w:fill="FFFFFF"/>
          </w:tcPr>
          <w:p>
            <w:pPr>
              <w:spacing w:after="0"/>
            </w:pPr>
            <w:r>
              <w:rPr>
                <w:b w:val="0"/>
                <w:i w:val="0"/>
                <w:color w:val="5A6069"/>
                <w:sz w:val="18"/>
              </w:rPr>
              <w:t>Gate 5 · Reasonable option 'Radioembolisation or chemoembolisation' (when, note)</w:t>
            </w:r>
          </w:p>
        </w:tc>
      </w:tr>
      <w:tr>
        <w:trPr>
          <w:cantSplit/>
        </w:trPr>
        <w:tc>
          <w:tcPr>
            <w:tcW w:type="dxa" w:w="3360"/>
            <w:tcW w:w="2200" w:type="dxa"/>
            <w:shd w:val="clear" w:color="auto" w:fill="F1F5F8"/>
          </w:tcPr>
          <w:p>
            <w:pPr>
              <w:spacing w:after="0"/>
            </w:pPr>
            <w:r>
              <w:rPr>
                <w:b/>
                <w:i w:val="0"/>
                <w:sz w:val="19"/>
              </w:rPr>
              <w:t>AASLD 2023</w:t>
            </w:r>
          </w:p>
        </w:tc>
        <w:tc>
          <w:tcPr>
            <w:tcW w:type="dxa" w:w="3360"/>
            <w:tcW w:w="5480" w:type="dxa"/>
            <w:shd w:val="clear" w:color="auto" w:fill="F1F5F8"/>
          </w:tcPr>
          <w:p>
            <w:pPr>
              <w:spacing w:after="0"/>
            </w:pPr>
            <w:r>
              <w:rPr>
                <w:b w:val="0"/>
                <w:i w:val="0"/>
                <w:sz w:val="19"/>
              </w:rPr>
              <w:t>Judges the data insufficient to support liver-directed therapy as a standard treatment for locally advanced unresectable iCCA.</w:t>
            </w:r>
          </w:p>
        </w:tc>
        <w:tc>
          <w:tcPr>
            <w:tcW w:type="dxa" w:w="3360"/>
            <w:tcW w:w="2400" w:type="dxa"/>
            <w:shd w:val="clear" w:color="auto" w:fill="F1F5F8"/>
          </w:tcPr>
          <w:p>
            <w:pPr>
              <w:spacing w:after="0"/>
            </w:pPr>
            <w:r>
              <w:rPr>
                <w:b w:val="0"/>
                <w:i w:val="0"/>
                <w:color w:val="5A6069"/>
                <w:sz w:val="18"/>
              </w:rPr>
              <w:t>Gate 5 · Avoid 'Do not substitute liver-directed therapy for systemic therapy'</w:t>
            </w:r>
          </w:p>
        </w:tc>
      </w:tr>
    </w:tbl>
    <w:p>
      <w:pPr>
        <w:spacing w:after="40"/>
      </w:pPr>
    </w:p>
    <w:p>
      <w:pPr>
        <w:spacing w:after="80"/>
      </w:pPr>
      <w:r>
        <w:rPr>
          <w:b/>
          <w:i w:val="0"/>
        </w:rPr>
        <w:t xml:space="preserve">Where sources differ: </w:t>
      </w:r>
      <w:r>
        <w:rPr>
          <w:b w:val="0"/>
          <w:i w:val="0"/>
        </w:rPr>
        <w:t>No randomised trial compares any two modalities or tests any against modern chemo-immunotherapy, so the datasets differ in size and design rather than establishing a hierarchy.</w:t>
      </w:r>
    </w:p>
    <w:p>
      <w:pPr>
        <w:pStyle w:val="Heading3"/>
        <w:keepNext/>
        <w:spacing w:before="120" w:after="80"/>
      </w:pPr>
      <w:r>
        <w:rPr>
          <w:b w:val="0"/>
          <w:i w:val="0"/>
        </w:rPr>
        <w:t>Our proposed selection (OPEN)</w:t>
      </w:r>
    </w:p>
    <w:p>
      <w:pPr>
        <w:spacing w:after="80"/>
      </w:pPr>
      <w:r>
        <w:rPr>
          <w:b w:val="0"/>
          <w:i w:val="0"/>
        </w:rPr>
        <w:t>No first choice: the roadmap states no established head-to-head hierarchy among HAI, Y90, chemoembolisation and ablative radiotherapy; selection follows treatment goal, target geometry, liver reserve, the systemic plan and what the institution can deliver, with liver-directed therapy added to, not substituted for, the systemic backbone, and the listing order carrying no evidence claim.</w:t>
      </w:r>
    </w:p>
    <w:p>
      <w:pPr>
        <w:spacing w:after="80"/>
      </w:pPr>
      <w:r>
        <w:rPr>
          <w:b/>
          <w:i w:val="0"/>
          <w:color w:val="5A6069"/>
          <w:sz w:val="18"/>
        </w:rPr>
        <w:t xml:space="preserve">Basis in the document: </w:t>
      </w:r>
      <w:r>
        <w:rPr>
          <w:b w:val="0"/>
          <w:i w:val="0"/>
          <w:color w:val="5A6069"/>
          <w:sz w:val="18"/>
        </w:rPr>
        <w:t>Gate 5 · Reasonable liver-directed options (order, flagnote); Gate 4 · Reasonable options (order); Gate 7 · selector (order); Gate 5 · Avoid 'Do not substitute liver-directed therapy…'</w:t>
      </w:r>
    </w:p>
    <w:p>
      <w:pPr>
        <w:spacing w:after="80"/>
      </w:pPr>
      <w:r>
        <w:rPr>
          <w:b/>
          <w:i w:val="0"/>
        </w:rPr>
        <w:t xml:space="preserve">Why: </w:t>
      </w:r>
      <w:r>
        <w:rPr>
          <w:b w:val="0"/>
          <w:i w:val="0"/>
        </w:rPr>
        <w:t>No head-to-head comparison exists between HAI, radioembolisation, SBRT and proton therapy.</w:t>
      </w:r>
    </w:p>
    <w:p>
      <w:pPr>
        <w:spacing w:after="80"/>
      </w:pPr>
      <w:r>
        <w:rPr>
          <w:b/>
          <w:i w:val="0"/>
        </w:rPr>
        <w:t xml:space="preserve">What gets audited: </w:t>
      </w:r>
      <w:r>
        <w:rPr>
          <w:b w:val="0"/>
          <w:i w:val="0"/>
        </w:rPr>
        <w:t>Registry: modality, goal, hepatic progression-free survival, liver function change.</w:t>
      </w:r>
    </w:p>
    <w:p>
      <w:pPr>
        <w:pStyle w:val="Heading3"/>
        <w:keepNext/>
        <w:spacing w:before="120" w:after="80"/>
      </w:pPr>
      <w:r>
        <w:rPr>
          <w:b w:val="0"/>
          <w:i w:val="0"/>
        </w:rPr>
        <w:t>iCCA-D2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iCCA-D3 — Adjuvant capecitabine — offered routinely, or case by case?</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8 · Adjuvant treatment after resection</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BILCAP</w:t>
            </w:r>
          </w:p>
        </w:tc>
        <w:tc>
          <w:tcPr>
            <w:tcW w:type="dxa" w:w="3360"/>
            <w:tcW w:w="5480" w:type="dxa"/>
            <w:shd w:val="clear" w:color="auto" w:fill="F1F5F8"/>
          </w:tcPr>
          <w:p>
            <w:pPr>
              <w:spacing w:after="0"/>
            </w:pPr>
            <w:r>
              <w:rPr>
                <w:b w:val="0"/>
                <w:i w:val="0"/>
                <w:sz w:val="19"/>
              </w:rPr>
              <w:t>Intention-to-treat survival 51.1 versus 36.4 months, HR 0.81 (0.63–1.04), p=0.097, not significant; positive only in adjusted sensitivity and per-protocol analyses. Only 19% had intrahepatic disease; 44% of those treated had grade 3+ events.</w:t>
            </w:r>
          </w:p>
        </w:tc>
        <w:tc>
          <w:tcPr>
            <w:tcW w:type="dxa" w:w="3360"/>
            <w:tcW w:w="2400" w:type="dxa"/>
            <w:shd w:val="clear" w:color="auto" w:fill="F1F5F8"/>
          </w:tcPr>
          <w:p>
            <w:pPr>
              <w:spacing w:after="0"/>
            </w:pPr>
            <w:r>
              <w:rPr>
                <w:b w:val="0"/>
                <w:i w:val="0"/>
                <w:color w:val="5A6069"/>
                <w:sz w:val="18"/>
              </w:rPr>
              <w:t>Gate 8 · Standard 'Have the adjuvant conversation with the numbers in front of you…'; Quick reference · 'BILCAP, as published'</w:t>
            </w:r>
          </w:p>
        </w:tc>
      </w:tr>
      <w:tr>
        <w:trPr>
          <w:cantSplit/>
        </w:trPr>
        <w:tc>
          <w:tcPr>
            <w:tcW w:type="dxa" w:w="3360"/>
            <w:tcW w:w="2200" w:type="dxa"/>
            <w:shd w:val="clear" w:color="auto" w:fill="FFFFFF"/>
          </w:tcPr>
          <w:p>
            <w:pPr>
              <w:spacing w:after="0"/>
            </w:pPr>
            <w:r>
              <w:rPr>
                <w:b/>
                <w:i w:val="0"/>
                <w:sz w:val="19"/>
              </w:rPr>
              <w:t>NCCN BTC v1.2026</w:t>
            </w:r>
          </w:p>
        </w:tc>
        <w:tc>
          <w:tcPr>
            <w:tcW w:type="dxa" w:w="3360"/>
            <w:tcW w:w="5480" w:type="dxa"/>
            <w:shd w:val="clear" w:color="auto" w:fill="FFFFFF"/>
          </w:tcPr>
          <w:p>
            <w:pPr>
              <w:spacing w:after="0"/>
            </w:pPr>
            <w:r>
              <w:rPr>
                <w:b w:val="0"/>
                <w:i w:val="0"/>
                <w:sz w:val="19"/>
              </w:rPr>
              <w:t>Designates capecitabine preferred, category 1, while acknowledging the nonsignificant intention-to-treat analysis.</w:t>
            </w:r>
          </w:p>
        </w:tc>
        <w:tc>
          <w:tcPr>
            <w:tcW w:type="dxa" w:w="3360"/>
            <w:tcW w:w="2400" w:type="dxa"/>
            <w:shd w:val="clear" w:color="auto" w:fill="FFFFFF"/>
          </w:tcPr>
          <w:p>
            <w:pPr>
              <w:spacing w:after="0"/>
            </w:pPr>
            <w:r>
              <w:rPr>
                <w:b w:val="0"/>
                <w:i w:val="0"/>
                <w:color w:val="5A6069"/>
                <w:sz w:val="18"/>
              </w:rPr>
              <w:t>Gate 8 · Standard 'Have the adjuvant conversation…' (note)</w:t>
            </w:r>
          </w:p>
        </w:tc>
      </w:tr>
      <w:tr>
        <w:trPr>
          <w:cantSplit/>
        </w:trPr>
        <w:tc>
          <w:tcPr>
            <w:tcW w:type="dxa" w:w="3360"/>
            <w:tcW w:w="2200" w:type="dxa"/>
            <w:shd w:val="clear" w:color="auto" w:fill="F1F5F8"/>
          </w:tcPr>
          <w:p>
            <w:pPr>
              <w:spacing w:after="0"/>
            </w:pPr>
            <w:r>
              <w:rPr>
                <w:b/>
                <w:i w:val="0"/>
                <w:sz w:val="19"/>
              </w:rPr>
              <w:t>BSG 2023</w:t>
            </w:r>
          </w:p>
        </w:tc>
        <w:tc>
          <w:tcPr>
            <w:tcW w:type="dxa" w:w="3360"/>
            <w:tcW w:w="5480" w:type="dxa"/>
            <w:shd w:val="clear" w:color="auto" w:fill="F1F5F8"/>
          </w:tcPr>
          <w:p>
            <w:pPr>
              <w:spacing w:after="0"/>
            </w:pPr>
            <w:r>
              <w:rPr>
                <w:b w:val="0"/>
                <w:i w:val="0"/>
                <w:sz w:val="19"/>
              </w:rPr>
              <w:t>Recommends considering 24 weeks of capecitabine (strong recommendation, moderate-quality evidence); AASLD 2023 similarly says it should be considered for all patients.</w:t>
            </w:r>
          </w:p>
        </w:tc>
        <w:tc>
          <w:tcPr>
            <w:tcW w:type="dxa" w:w="3360"/>
            <w:tcW w:w="2400" w:type="dxa"/>
            <w:shd w:val="clear" w:color="auto" w:fill="F1F5F8"/>
          </w:tcPr>
          <w:p>
            <w:pPr>
              <w:spacing w:after="0"/>
            </w:pPr>
            <w:r>
              <w:rPr>
                <w:b w:val="0"/>
                <w:i w:val="0"/>
                <w:color w:val="5A6069"/>
                <w:sz w:val="18"/>
              </w:rPr>
              <w:t>Gate 8 · Reasonable 'Offer adjuvant capecitabine for 6 months…' (pref)</w:t>
            </w:r>
          </w:p>
        </w:tc>
      </w:tr>
      <w:tr>
        <w:trPr>
          <w:cantSplit/>
        </w:trPr>
        <w:tc>
          <w:tcPr>
            <w:tcW w:type="dxa" w:w="3360"/>
            <w:tcW w:w="2200" w:type="dxa"/>
            <w:shd w:val="clear" w:color="auto" w:fill="FFFFFF"/>
          </w:tcPr>
          <w:p>
            <w:pPr>
              <w:spacing w:after="0"/>
            </w:pPr>
            <w:r>
              <w:rPr>
                <w:b/>
                <w:i w:val="0"/>
                <w:sz w:val="19"/>
              </w:rPr>
              <w:t>LCSGJ 2022</w:t>
            </w:r>
          </w:p>
        </w:tc>
        <w:tc>
          <w:tcPr>
            <w:tcW w:type="dxa" w:w="3360"/>
            <w:tcW w:w="5480" w:type="dxa"/>
            <w:shd w:val="clear" w:color="auto" w:fill="FFFFFF"/>
          </w:tcPr>
          <w:p>
            <w:pPr>
              <w:spacing w:after="0"/>
            </w:pPr>
            <w:r>
              <w:rPr>
                <w:b w:val="0"/>
                <w:i w:val="0"/>
                <w:sz w:val="19"/>
              </w:rPr>
              <w:t>Makes only a weak recommendation and reports no significant benefit in the intrahepatic subgroup; EASL-ILCA reads the same unpowered subgroup as HR 0.65, the best of the subtypes.</w:t>
            </w:r>
          </w:p>
        </w:tc>
        <w:tc>
          <w:tcPr>
            <w:tcW w:type="dxa" w:w="3360"/>
            <w:tcW w:w="2400" w:type="dxa"/>
            <w:shd w:val="clear" w:color="auto" w:fill="FFFFFF"/>
          </w:tcPr>
          <w:p>
            <w:pPr>
              <w:spacing w:after="0"/>
            </w:pPr>
            <w:r>
              <w:rPr>
                <w:b w:val="0"/>
                <w:i w:val="0"/>
                <w:color w:val="5A6069"/>
                <w:sz w:val="18"/>
              </w:rPr>
              <w:t>Gate 8 · Standard 'Have the adjuvant conversation…' (avoid, note); Gate 8 · Reasonable 'Offer adjuvant capecitabine…' (note)</w:t>
            </w:r>
          </w:p>
        </w:tc>
      </w:tr>
      <w:tr>
        <w:trPr>
          <w:cantSplit/>
        </w:trPr>
        <w:tc>
          <w:tcPr>
            <w:tcW w:type="dxa" w:w="3360"/>
            <w:tcW w:w="2200" w:type="dxa"/>
            <w:shd w:val="clear" w:color="auto" w:fill="F1F5F8"/>
          </w:tcPr>
          <w:p>
            <w:pPr>
              <w:spacing w:after="0"/>
            </w:pPr>
            <w:r>
              <w:rPr>
                <w:b/>
                <w:i w:val="0"/>
                <w:sz w:val="19"/>
              </w:rPr>
              <w:t>ASCOT</w:t>
            </w:r>
          </w:p>
        </w:tc>
        <w:tc>
          <w:tcPr>
            <w:tcW w:type="dxa" w:w="3360"/>
            <w:tcW w:w="5480" w:type="dxa"/>
            <w:shd w:val="clear" w:color="auto" w:fill="F1F5F8"/>
          </w:tcPr>
          <w:p>
            <w:pPr>
              <w:spacing w:after="0"/>
            </w:pPr>
            <w:r>
              <w:rPr>
                <w:b w:val="0"/>
                <w:i w:val="0"/>
                <w:sz w:val="19"/>
              </w:rPr>
              <w:t>S-1 improved 3-year survival (77.1% versus 67.6%), but relapse-free survival was not significant, the trial was Japan-only with 13% intrahepatic disease, and S-1 is unavailable in the United States.</w:t>
            </w:r>
          </w:p>
        </w:tc>
        <w:tc>
          <w:tcPr>
            <w:tcW w:type="dxa" w:w="3360"/>
            <w:tcW w:w="2400" w:type="dxa"/>
            <w:shd w:val="clear" w:color="auto" w:fill="F1F5F8"/>
          </w:tcPr>
          <w:p>
            <w:pPr>
              <w:spacing w:after="0"/>
            </w:pPr>
            <w:r>
              <w:rPr>
                <w:b w:val="0"/>
                <w:i w:val="0"/>
                <w:color w:val="5A6069"/>
                <w:sz w:val="18"/>
              </w:rPr>
              <w:t>Gate 8 · Avoid 'Do not offer S-1 as the adjuvant option here…'</w:t>
            </w:r>
          </w:p>
        </w:tc>
      </w:tr>
    </w:tbl>
    <w:p>
      <w:pPr>
        <w:spacing w:after="40"/>
      </w:pPr>
    </w:p>
    <w:p>
      <w:pPr>
        <w:spacing w:after="80"/>
      </w:pPr>
      <w:r>
        <w:rPr>
          <w:b/>
          <w:i w:val="0"/>
        </w:rPr>
        <w:t xml:space="preserve">Where sources differ: </w:t>
      </w:r>
      <w:r>
        <w:rPr>
          <w:b w:val="0"/>
          <w:i w:val="0"/>
        </w:rPr>
        <w:t>NCCN, AASLD, BSG and EASL-ILCA treat adjuvant capecitabine as standard or strongly recommended, while LCSGJ is weak and the trial they rest on missed its intention-to-treat endpoint with few intrahepatic patients.</w:t>
      </w:r>
    </w:p>
    <w:p>
      <w:pPr>
        <w:pStyle w:val="Heading3"/>
        <w:keepNext/>
        <w:spacing w:before="120" w:after="80"/>
      </w:pPr>
      <w:r>
        <w:rPr>
          <w:b w:val="0"/>
          <w:i w:val="0"/>
        </w:rPr>
        <w:t>Our proposed selection (OPEN)</w:t>
      </w:r>
    </w:p>
    <w:p>
      <w:pPr>
        <w:spacing w:after="80"/>
      </w:pPr>
      <w:r>
        <w:rPr>
          <w:b w:val="0"/>
          <w:i w:val="0"/>
        </w:rPr>
        <w:t>Case by case for now: offer 6 months of capecitabine as a Reasonable consideration, grade C, not an obligation, to the fit patient after R0 or R1 resection, especially node-positive or R1, after explaining that BILCAP's primary analysis was not significant. Whether it becomes Standard is open; adjuvant gemcitabine–oxaliplatin and S-1 are avoided.</w:t>
      </w:r>
    </w:p>
    <w:p>
      <w:pPr>
        <w:spacing w:after="80"/>
      </w:pPr>
      <w:r>
        <w:rPr>
          <w:b/>
          <w:i w:val="0"/>
          <w:color w:val="5A6069"/>
          <w:sz w:val="18"/>
        </w:rPr>
        <w:t xml:space="preserve">Basis in the document: </w:t>
      </w:r>
      <w:r>
        <w:rPr>
          <w:b w:val="0"/>
          <w:i w:val="0"/>
          <w:color w:val="5A6069"/>
          <w:sz w:val="18"/>
        </w:rPr>
        <w:t>Gate 8 · Reasonable 'Offer adjuvant capecitabine for 6 months as a reasonable consideration…'; Gate 8 · Standard 'Have the adjuvant conversation…'; Gate 8 · Avoid options</w:t>
      </w:r>
    </w:p>
    <w:p>
      <w:pPr>
        <w:spacing w:after="80"/>
      </w:pPr>
      <w:r>
        <w:rPr>
          <w:b/>
          <w:i w:val="0"/>
        </w:rPr>
        <w:t xml:space="preserve">Why: </w:t>
      </w:r>
      <w:r>
        <w:rPr>
          <w:b w:val="0"/>
          <w:i w:val="0"/>
        </w:rPr>
        <w:t>BILCAP's primary analysis was not significant; ASCOT's positive result used an agent unavailable here.</w:t>
      </w:r>
    </w:p>
    <w:p>
      <w:pPr>
        <w:spacing w:after="80"/>
      </w:pPr>
      <w:r>
        <w:rPr>
          <w:b/>
          <w:i w:val="0"/>
        </w:rPr>
        <w:t xml:space="preserve">What gets audited: </w:t>
      </w:r>
      <w:r>
        <w:rPr>
          <w:b w:val="0"/>
          <w:i w:val="0"/>
        </w:rPr>
        <w:t>Registry: uptake, completion, recurrence pattern.</w:t>
      </w:r>
    </w:p>
    <w:p>
      <w:pPr>
        <w:pStyle w:val="Heading3"/>
        <w:keepNext/>
        <w:spacing w:before="120" w:after="80"/>
      </w:pPr>
      <w:r>
        <w:rPr>
          <w:b w:val="0"/>
          <w:i w:val="0"/>
        </w:rPr>
        <w:t>iCCA-D3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iCCA-D4 — Is molecular profiling funded and ordered at diagnosis in practice?</w:t>
      </w:r>
    </w:p>
    <w:p>
      <w:pPr>
        <w:spacing w:after="80"/>
      </w:pPr>
      <w:r>
        <w:rPr>
          <w:b w:val="0"/>
          <w:i w:val="0"/>
          <w:color w:val="5A6069"/>
          <w:sz w:val="18"/>
        </w:rPr>
        <w:t>OPEN — not yet decided · Operational</w:t>
      </w:r>
    </w:p>
    <w:p>
      <w:pPr>
        <w:spacing w:after="80"/>
      </w:pPr>
      <w:r>
        <w:rPr>
          <w:b/>
          <w:i w:val="0"/>
        </w:rPr>
        <w:t xml:space="preserve">Where it is decided: </w:t>
      </w:r>
      <w:hyperlink r:id="rId16">
        <w:r>
          <w:rPr>
            <w:color w:val="0563C1"/>
            <w:u w:val="single"/>
          </w:rPr>
          <w:t xml:space="preserve">2 · Request molecular profiling</w:t>
        </w:r>
      </w:hyperlink>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Order broad molecular profiling at the diagnosis of unresectable or metastatic disease, not at second-line progression (Standard, grade B), using circulating tumour DNA when tissue is inadequate or a biopsy would delay treatment, and audit the proportion profiled before the second-line decision.</w:t>
      </w:r>
    </w:p>
    <w:p>
      <w:pPr>
        <w:spacing w:after="80"/>
      </w:pPr>
      <w:r>
        <w:rPr>
          <w:b/>
          <w:i w:val="0"/>
          <w:color w:val="5A6069"/>
          <w:sz w:val="18"/>
        </w:rPr>
        <w:t xml:space="preserve">Basis in the document: </w:t>
      </w:r>
      <w:r>
        <w:rPr>
          <w:b w:val="0"/>
          <w:i w:val="0"/>
          <w:color w:val="5A6069"/>
          <w:sz w:val="18"/>
        </w:rPr>
        <w:t>Gate 2 · Standard 'Order broad molecular profiling at the diagnosis…'; Gate 2 · Reasonable 'Use circulating tumour DNA…'; Gate 2 · Avoid 'Do not defer profiling…'; The dashboard</w:t>
      </w:r>
    </w:p>
    <w:p>
      <w:pPr>
        <w:spacing w:after="80"/>
      </w:pPr>
      <w:r>
        <w:rPr>
          <w:b/>
          <w:i w:val="0"/>
        </w:rPr>
        <w:t xml:space="preserve">Why: </w:t>
      </w:r>
      <w:r>
        <w:rPr>
          <w:b w:val="0"/>
          <w:i w:val="0"/>
        </w:rPr>
        <w:t>The clinical argument is not in doubt; the obstacle is payer authorisation and ordering discipline.</w:t>
      </w:r>
    </w:p>
    <w:p>
      <w:pPr>
        <w:spacing w:after="80"/>
      </w:pPr>
      <w:r>
        <w:rPr>
          <w:b/>
          <w:i w:val="0"/>
        </w:rPr>
        <w:t xml:space="preserve">What gets audited: </w:t>
      </w:r>
      <w:r>
        <w:rPr>
          <w:b w:val="0"/>
          <w:i w:val="0"/>
        </w:rPr>
        <w:t>Audit: proportion profiled before the second-line decision.</w:t>
      </w:r>
    </w:p>
    <w:p>
      <w:pPr>
        <w:pStyle w:val="Heading3"/>
        <w:keepNext/>
        <w:spacing w:before="120" w:after="80"/>
      </w:pPr>
      <w:r>
        <w:rPr>
          <w:b w:val="0"/>
          <w:i w:val="0"/>
        </w:rPr>
        <w:t>iCCA-D4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iCCA-D5 — Does the programme open an intrahepatic cholangiocarcinoma transplant protocol?</w:t>
      </w:r>
    </w:p>
    <w:p>
      <w:pPr>
        <w:spacing w:after="80"/>
      </w:pPr>
      <w:r>
        <w:rPr>
          <w:b w:val="0"/>
          <w:i w:val="0"/>
          <w:color w:val="5A6069"/>
          <w:sz w:val="18"/>
        </w:rPr>
        <w:t>OPEN — not yet decided · Governance</w:t>
      </w:r>
    </w:p>
    <w:p>
      <w:pPr>
        <w:spacing w:after="80"/>
      </w:pPr>
      <w:r>
        <w:rPr>
          <w:b/>
          <w:i w:val="0"/>
        </w:rPr>
        <w:t xml:space="preserve">Where it is decided: </w:t>
      </w:r>
      <w:hyperlink r:id="rId18">
        <w:r>
          <w:rPr>
            <w:color w:val="0563C1"/>
            <w:u w:val="single"/>
          </w:rPr>
          <w:t xml:space="preserve">10 · Assess transplant eligibility</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transplant-oncology guidance (Dec 2025)</w:t>
            </w:r>
          </w:p>
        </w:tc>
        <w:tc>
          <w:tcPr>
            <w:tcW w:type="dxa" w:w="3360"/>
            <w:tcW w:w="5480" w:type="dxa"/>
            <w:shd w:val="clear" w:color="auto" w:fill="F1F5F8"/>
          </w:tcPr>
          <w:p>
            <w:pPr>
              <w:spacing w:after="0"/>
            </w:pPr>
            <w:r>
              <w:rPr>
                <w:b w:val="0"/>
                <w:i w:val="0"/>
                <w:sz w:val="19"/>
              </w:rPr>
              <w:t>Describes a nonstandard MMaT-3 review-board route for biopsy-proven, unresectable, solitary iCCA or mixed HCC-iCCA of 3 cm or less in cirrhosis, after treatment and six months of stability; it is guidance, not Policy.</w:t>
            </w:r>
          </w:p>
        </w:tc>
        <w:tc>
          <w:tcPr>
            <w:tcW w:type="dxa" w:w="3360"/>
            <w:tcW w:w="2400" w:type="dxa"/>
            <w:shd w:val="clear" w:color="auto" w:fill="F1F5F8"/>
          </w:tcPr>
          <w:p>
            <w:pPr>
              <w:spacing w:after="0"/>
            </w:pPr>
            <w:r>
              <w:rPr>
                <w:b w:val="0"/>
                <w:i w:val="0"/>
                <w:color w:val="5A6069"/>
                <w:sz w:val="18"/>
              </w:rPr>
              <w:t>Gate 10 · Standard 'Where a protocol exists, the allocation route is a nonstandard MMaT-3 exception…'; Quick reference · 'Transplant eligibility — the nonstandard MMaT-3 route'</w:t>
            </w:r>
          </w:p>
        </w:tc>
      </w:tr>
      <w:tr>
        <w:trPr>
          <w:cantSplit/>
        </w:trPr>
        <w:tc>
          <w:tcPr>
            <w:tcW w:type="dxa" w:w="3360"/>
            <w:tcW w:w="2200" w:type="dxa"/>
            <w:shd w:val="clear" w:color="auto" w:fill="FFFFFF"/>
          </w:tcPr>
          <w:p>
            <w:pPr>
              <w:spacing w:after="0"/>
            </w:pPr>
            <w:r>
              <w:rPr>
                <w:b/>
                <w:i w:val="0"/>
                <w:sz w:val="19"/>
              </w:rPr>
              <w:t>ILTS-ILCA 2024 consensus</w:t>
            </w:r>
          </w:p>
        </w:tc>
        <w:tc>
          <w:tcPr>
            <w:tcW w:type="dxa" w:w="3360"/>
            <w:tcW w:w="5480" w:type="dxa"/>
            <w:shd w:val="clear" w:color="auto" w:fill="FFFFFF"/>
          </w:tcPr>
          <w:p>
            <w:pPr>
              <w:spacing w:after="0"/>
            </w:pPr>
            <w:r>
              <w:rPr>
                <w:b w:val="0"/>
                <w:i w:val="0"/>
                <w:sz w:val="19"/>
              </w:rPr>
              <w:t>Supports transplant consideration for cirrhotic tumours of 3 cm or less (moderate evidence and strength) and confines non-cirrhotic disease to investigational protocols; it reports 5-year survival spanning 25–73%, which the roadmap calls too wide for a selection rule.</w:t>
            </w:r>
          </w:p>
        </w:tc>
        <w:tc>
          <w:tcPr>
            <w:tcW w:type="dxa" w:w="3360"/>
            <w:tcW w:w="2400" w:type="dxa"/>
            <w:shd w:val="clear" w:color="auto" w:fill="FFFFFF"/>
          </w:tcPr>
          <w:p>
            <w:pPr>
              <w:spacing w:after="0"/>
            </w:pPr>
            <w:r>
              <w:rPr>
                <w:b w:val="0"/>
                <w:i w:val="0"/>
                <w:color w:val="5A6069"/>
                <w:sz w:val="18"/>
              </w:rPr>
              <w:t>Gate 10 · Standard 'Treat transplantation for known intrahepatic cholangiocarcinoma as trial or prospective registry only…' (pref, note)</w:t>
            </w:r>
          </w:p>
        </w:tc>
      </w:tr>
      <w:tr>
        <w:trPr>
          <w:cantSplit/>
        </w:trPr>
        <w:tc>
          <w:tcPr>
            <w:tcW w:type="dxa" w:w="3360"/>
            <w:tcW w:w="2200" w:type="dxa"/>
            <w:shd w:val="clear" w:color="auto" w:fill="F1F5F8"/>
          </w:tcPr>
          <w:p>
            <w:pPr>
              <w:spacing w:after="0"/>
            </w:pPr>
            <w:r>
              <w:rPr>
                <w:b/>
                <w:i w:val="0"/>
                <w:sz w:val="19"/>
              </w:rPr>
              <w:t>AASLD 2023</w:t>
            </w:r>
          </w:p>
        </w:tc>
        <w:tc>
          <w:tcPr>
            <w:tcW w:type="dxa" w:w="3360"/>
            <w:tcW w:w="5480" w:type="dxa"/>
            <w:shd w:val="clear" w:color="auto" w:fill="F1F5F8"/>
          </w:tcPr>
          <w:p>
            <w:pPr>
              <w:spacing w:after="0"/>
            </w:pPr>
            <w:r>
              <w:rPr>
                <w:b w:val="0"/>
                <w:i w:val="0"/>
                <w:sz w:val="19"/>
              </w:rPr>
              <w:t>Confines transplantation for iCCA to research protocols.</w:t>
            </w:r>
          </w:p>
        </w:tc>
        <w:tc>
          <w:tcPr>
            <w:tcW w:type="dxa" w:w="3360"/>
            <w:tcW w:w="2400" w:type="dxa"/>
            <w:shd w:val="clear" w:color="auto" w:fill="F1F5F8"/>
          </w:tcPr>
          <w:p>
            <w:pPr>
              <w:spacing w:after="0"/>
            </w:pPr>
            <w:r>
              <w:rPr>
                <w:b w:val="0"/>
                <w:i w:val="0"/>
                <w:color w:val="5A6069"/>
                <w:sz w:val="18"/>
              </w:rPr>
              <w:t>Gate 10 · Standard 'Treat transplantation … as trial or prospective registry only' (pref)</w:t>
            </w:r>
          </w:p>
        </w:tc>
      </w:tr>
      <w:tr>
        <w:trPr>
          <w:cantSplit/>
        </w:trPr>
        <w:tc>
          <w:tcPr>
            <w:tcW w:type="dxa" w:w="3360"/>
            <w:tcW w:w="2200" w:type="dxa"/>
            <w:shd w:val="clear" w:color="auto" w:fill="FFFFFF"/>
          </w:tcPr>
          <w:p>
            <w:pPr>
              <w:spacing w:after="0"/>
            </w:pPr>
            <w:r>
              <w:rPr>
                <w:b/>
                <w:i w:val="0"/>
                <w:sz w:val="19"/>
              </w:rPr>
              <w:t>BSG 2023</w:t>
            </w:r>
          </w:p>
        </w:tc>
        <w:tc>
          <w:tcPr>
            <w:tcW w:type="dxa" w:w="3360"/>
            <w:tcW w:w="5480" w:type="dxa"/>
            <w:shd w:val="clear" w:color="auto" w:fill="FFFFFF"/>
          </w:tcPr>
          <w:p>
            <w:pPr>
              <w:spacing w:after="0"/>
            </w:pPr>
            <w:r>
              <w:rPr>
                <w:b w:val="0"/>
                <w:i w:val="0"/>
                <w:sz w:val="19"/>
              </w:rPr>
              <w:t>Supports transplantation only within a prospective national protocol.</w:t>
            </w:r>
          </w:p>
        </w:tc>
        <w:tc>
          <w:tcPr>
            <w:tcW w:type="dxa" w:w="3360"/>
            <w:tcW w:w="2400" w:type="dxa"/>
            <w:shd w:val="clear" w:color="auto" w:fill="FFFFFF"/>
          </w:tcPr>
          <w:p>
            <w:pPr>
              <w:spacing w:after="0"/>
            </w:pPr>
            <w:r>
              <w:rPr>
                <w:b w:val="0"/>
                <w:i w:val="0"/>
                <w:color w:val="5A6069"/>
                <w:sz w:val="18"/>
              </w:rPr>
              <w:t>Gate 10 · Standard 'Treat transplantation … as trial or prospective registry only' (pref)</w:t>
            </w:r>
          </w:p>
        </w:tc>
      </w:tr>
      <w:tr>
        <w:trPr>
          <w:cantSplit/>
        </w:trPr>
        <w:tc>
          <w:tcPr>
            <w:tcW w:type="dxa" w:w="3360"/>
            <w:tcW w:w="2200" w:type="dxa"/>
            <w:shd w:val="clear" w:color="auto" w:fill="F1F5F8"/>
          </w:tcPr>
          <w:p>
            <w:pPr>
              <w:spacing w:after="0"/>
            </w:pPr>
            <w:r>
              <w:rPr>
                <w:b/>
                <w:i w:val="0"/>
                <w:sz w:val="19"/>
              </w:rPr>
              <w:t>LCSGJ 2022</w:t>
            </w:r>
          </w:p>
        </w:tc>
        <w:tc>
          <w:tcPr>
            <w:tcW w:type="dxa" w:w="3360"/>
            <w:tcW w:w="5480" w:type="dxa"/>
            <w:shd w:val="clear" w:color="auto" w:fill="F1F5F8"/>
          </w:tcPr>
          <w:p>
            <w:pPr>
              <w:spacing w:after="0"/>
            </w:pPr>
            <w:r>
              <w:rPr>
                <w:b w:val="0"/>
                <w:i w:val="0"/>
                <w:sz w:val="19"/>
              </w:rPr>
              <w:t>Regards iCCA as generally not an indication for transplantation.</w:t>
            </w:r>
          </w:p>
        </w:tc>
        <w:tc>
          <w:tcPr>
            <w:tcW w:type="dxa" w:w="3360"/>
            <w:tcW w:w="2400" w:type="dxa"/>
            <w:shd w:val="clear" w:color="auto" w:fill="F1F5F8"/>
          </w:tcPr>
          <w:p>
            <w:pPr>
              <w:spacing w:after="0"/>
            </w:pPr>
            <w:r>
              <w:rPr>
                <w:b w:val="0"/>
                <w:i w:val="0"/>
                <w:color w:val="5A6069"/>
                <w:sz w:val="18"/>
              </w:rPr>
              <w:t>Gate 10 · Standard 'Treat transplantation … as trial or prospective registry only' (avoid)</w:t>
            </w:r>
          </w:p>
        </w:tc>
      </w:tr>
    </w:tbl>
    <w:p>
      <w:pPr>
        <w:spacing w:after="40"/>
      </w:pPr>
    </w:p>
    <w:p>
      <w:pPr>
        <w:spacing w:after="80"/>
      </w:pPr>
      <w:r>
        <w:rPr>
          <w:b/>
          <w:i w:val="0"/>
        </w:rPr>
        <w:t xml:space="preserve">Where sources differ: </w:t>
      </w:r>
      <w:r>
        <w:rPr>
          <w:b w:val="0"/>
          <w:i w:val="0"/>
        </w:rPr>
        <w:t>OPTN 2025 and ILTS-ILCA 2024 support consideration for small cirrhotic tumours after stability, AASLD and BSG confine transplantation to research or national protocols, and LCSGJ 2022 considers iCCA generally not an indication.</w:t>
      </w:r>
    </w:p>
    <w:p>
      <w:pPr>
        <w:pStyle w:val="Heading3"/>
        <w:keepNext/>
        <w:spacing w:before="120" w:after="80"/>
      </w:pPr>
      <w:r>
        <w:rPr>
          <w:b w:val="0"/>
          <w:i w:val="0"/>
        </w:rPr>
        <w:t>Our proposed selection (OPEN)</w:t>
      </w:r>
    </w:p>
    <w:p>
      <w:pPr>
        <w:spacing w:after="80"/>
      </w:pPr>
      <w:r>
        <w:rPr>
          <w:b w:val="0"/>
          <w:i w:val="0"/>
        </w:rPr>
        <w:t>Current position: transplantation for known iCCA only within a formally approved trial or prospective registry protocol, with review-board approval and registry entry, an institutional graft-stewardship restriction stricter than OPTN and ILTS-ILCA. The roadmap states the cost (an OPTN-eligible patient has no route here) and offers a registry-tracked OPTN/ILTS-ILCA pathway as the alternative to decide.</w:t>
      </w:r>
    </w:p>
    <w:p>
      <w:pPr>
        <w:spacing w:after="80"/>
      </w:pPr>
      <w:r>
        <w:rPr>
          <w:b/>
          <w:i w:val="0"/>
          <w:color w:val="5A6069"/>
          <w:sz w:val="18"/>
        </w:rPr>
        <w:t xml:space="preserve">Basis in the document: </w:t>
      </w:r>
      <w:r>
        <w:rPr>
          <w:b w:val="0"/>
          <w:i w:val="0"/>
          <w:color w:val="5A6069"/>
          <w:sz w:val="18"/>
        </w:rPr>
        <w:t>Gate 10 · Standard 'Treat transplantation for known intrahepatic cholangiocarcinoma as trial or prospective registry only…'; Gate 10 · Reasonable options (order, flagnote)</w:t>
      </w:r>
    </w:p>
    <w:p>
      <w:pPr>
        <w:spacing w:after="80"/>
      </w:pPr>
      <w:r>
        <w:rPr>
          <w:b/>
          <w:i w:val="0"/>
        </w:rPr>
        <w:t xml:space="preserve">Why: </w:t>
      </w:r>
      <w:r>
        <w:rPr>
          <w:b w:val="0"/>
          <w:i w:val="0"/>
        </w:rPr>
        <w:t>Evidence is retrospective and confined to small tumours first diagnosed on explant pathology, most seen before transplant as presumed hepatocellular carcinoma. Graft stewardship is an institutional judgement, not an evidence question.</w:t>
      </w:r>
    </w:p>
    <w:p>
      <w:pPr>
        <w:spacing w:after="80"/>
      </w:pPr>
      <w:r>
        <w:rPr>
          <w:b/>
          <w:i w:val="0"/>
        </w:rPr>
        <w:t xml:space="preserve">What gets audited: </w:t>
      </w:r>
      <w:r>
        <w:rPr>
          <w:b w:val="0"/>
          <w:i w:val="0"/>
        </w:rPr>
        <w:t>Registry required if opened.</w:t>
      </w:r>
    </w:p>
    <w:p>
      <w:pPr>
        <w:pStyle w:val="Heading3"/>
        <w:keepNext/>
        <w:spacing w:before="120" w:after="80"/>
      </w:pPr>
      <w:r>
        <w:rPr>
          <w:b w:val="0"/>
          <w:i w:val="0"/>
        </w:rPr>
        <w:t>iCCA-D5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iCCA-D6 — What are the thresholds barring each liver-directed modality by liver function?</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3 · Assess resection</w:t>
        </w:r>
      </w:hyperlink>
      <w:r>
        <w:rPr>
          <w:b w:val="0"/>
          <w:i w:val="0"/>
        </w:rPr>
        <w:t xml:space="preserve"> · </w:t>
      </w:r>
      <w:hyperlink r:id="rId10">
        <w:r>
          <w:rPr>
            <w:color w:val="0563C1"/>
            <w:u w:val="single"/>
          </w:rPr>
          <w:t xml:space="preserve">5 · Unresectable disease confined to the liver</w:t>
        </w:r>
      </w:hyperlink>
      <w:r>
        <w:rPr>
          <w:b w:val="0"/>
          <w:i w:val="0"/>
        </w:rPr>
        <w:t xml:space="preserve"> · </w:t>
      </w:r>
      <w:hyperlink r:id="rId11">
        <w:r>
          <w:rPr>
            <w:color w:val="0563C1"/>
            <w:u w:val="single"/>
          </w:rPr>
          <w:t xml:space="preserve">7 · Select liver-directed therapy</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MISPHEC</w:t>
            </w:r>
          </w:p>
        </w:tc>
        <w:tc>
          <w:tcPr>
            <w:tcW w:type="dxa" w:w="3360"/>
            <w:tcW w:w="5480" w:type="dxa"/>
            <w:shd w:val="clear" w:color="auto" w:fill="F1F5F8"/>
          </w:tcPr>
          <w:p>
            <w:pPr>
              <w:spacing w:after="0"/>
            </w:pPr>
            <w:r>
              <w:rPr>
                <w:b w:val="0"/>
                <w:i w:val="0"/>
                <w:sz w:val="19"/>
              </w:rPr>
              <w:t>The one data-based hard stop: with Y90 plus chemotherapy, hepatic failure occurred in 9 of 12 cirrhotic patients (5 irreversible, all after whole-liver treatment) versus 5 of 29 without cirrhosis, all reversible.</w:t>
            </w:r>
          </w:p>
        </w:tc>
        <w:tc>
          <w:tcPr>
            <w:tcW w:type="dxa" w:w="3360"/>
            <w:tcW w:w="2400" w:type="dxa"/>
            <w:shd w:val="clear" w:color="auto" w:fill="F1F5F8"/>
          </w:tcPr>
          <w:p>
            <w:pPr>
              <w:spacing w:after="0"/>
            </w:pPr>
            <w:r>
              <w:rPr>
                <w:b w:val="0"/>
                <w:i w:val="0"/>
                <w:color w:val="5A6069"/>
                <w:sz w:val="18"/>
              </w:rPr>
              <w:t>What we are not sure about · 'Thresholds barring each liver-directed modality by liver function…'; Gate 4 · Y90 option (avoid)</w:t>
            </w:r>
          </w:p>
        </w:tc>
      </w:tr>
      <w:tr>
        <w:trPr>
          <w:cantSplit/>
        </w:trPr>
        <w:tc>
          <w:tcPr>
            <w:tcW w:type="dxa" w:w="3360"/>
            <w:tcW w:w="2200" w:type="dxa"/>
            <w:shd w:val="clear" w:color="auto" w:fill="FFFFFF"/>
          </w:tcPr>
          <w:p>
            <w:pPr>
              <w:spacing w:after="0"/>
            </w:pPr>
            <w:r>
              <w:rPr>
                <w:b/>
                <w:i w:val="0"/>
                <w:sz w:val="19"/>
              </w:rPr>
              <w:t>AASLD 2023</w:t>
            </w:r>
          </w:p>
        </w:tc>
        <w:tc>
          <w:tcPr>
            <w:tcW w:type="dxa" w:w="3360"/>
            <w:tcW w:w="5480" w:type="dxa"/>
            <w:shd w:val="clear" w:color="auto" w:fill="FFFFFF"/>
          </w:tcPr>
          <w:p>
            <w:pPr>
              <w:spacing w:after="0"/>
            </w:pPr>
            <w:r>
              <w:rPr>
                <w:b w:val="0"/>
                <w:i w:val="0"/>
                <w:sz w:val="19"/>
              </w:rPr>
              <w:t>Names decompensated cirrhosis and portal hypertension as contraindications to resection, a point on which the roadmap is silent.</w:t>
            </w:r>
          </w:p>
        </w:tc>
        <w:tc>
          <w:tcPr>
            <w:tcW w:type="dxa" w:w="3360"/>
            <w:tcW w:w="2400" w:type="dxa"/>
            <w:shd w:val="clear" w:color="auto" w:fill="FFFFFF"/>
          </w:tcPr>
          <w:p>
            <w:pPr>
              <w:spacing w:after="0"/>
            </w:pPr>
            <w:r>
              <w:rPr>
                <w:b w:val="0"/>
                <w:i w:val="0"/>
                <w:color w:val="5A6069"/>
                <w:sz w:val="18"/>
              </w:rPr>
              <w:t>Gate 3 · Standard options (flagnote); What we are not sure about · 'Two resectability criteria this page states but does not define…'</w:t>
            </w:r>
          </w:p>
        </w:tc>
      </w:tr>
      <w:tr>
        <w:trPr>
          <w:cantSplit/>
        </w:trPr>
        <w:tc>
          <w:tcPr>
            <w:tcW w:type="dxa" w:w="3360"/>
            <w:tcW w:w="2200" w:type="dxa"/>
            <w:shd w:val="clear" w:color="auto" w:fill="F1F5F8"/>
          </w:tcPr>
          <w:p>
            <w:pPr>
              <w:spacing w:after="0"/>
            </w:pPr>
            <w:r>
              <w:rPr>
                <w:b/>
                <w:i w:val="0"/>
                <w:sz w:val="19"/>
              </w:rPr>
              <w:t>LCSGJ 2022</w:t>
            </w:r>
          </w:p>
        </w:tc>
        <w:tc>
          <w:tcPr>
            <w:tcW w:type="dxa" w:w="3360"/>
            <w:tcW w:w="5480" w:type="dxa"/>
            <w:shd w:val="clear" w:color="auto" w:fill="F1F5F8"/>
          </w:tcPr>
          <w:p>
            <w:pPr>
              <w:spacing w:after="0"/>
            </w:pPr>
            <w:r>
              <w:rPr>
                <w:b w:val="0"/>
                <w:i w:val="0"/>
                <w:sz w:val="19"/>
              </w:rPr>
              <w:t>Builds its whole treatment algorithm on Child-Pugh class and sends Child-Pugh C to palliative care.</w:t>
            </w:r>
          </w:p>
        </w:tc>
        <w:tc>
          <w:tcPr>
            <w:tcW w:type="dxa" w:w="3360"/>
            <w:tcW w:w="2400" w:type="dxa"/>
            <w:shd w:val="clear" w:color="auto" w:fill="F1F5F8"/>
          </w:tcPr>
          <w:p>
            <w:pPr>
              <w:spacing w:after="0"/>
            </w:pPr>
            <w:r>
              <w:rPr>
                <w:b w:val="0"/>
                <w:i w:val="0"/>
                <w:color w:val="5A6069"/>
                <w:sz w:val="18"/>
              </w:rPr>
              <w:t>What we are not sure about · 'Two resectability criteria this page states but does not define…'</w:t>
            </w:r>
          </w:p>
        </w:tc>
      </w:tr>
    </w:tbl>
    <w:p>
      <w:pPr>
        <w:spacing w:after="40"/>
      </w:pPr>
    </w:p>
    <w:p>
      <w:pPr>
        <w:spacing w:after="80"/>
      </w:pPr>
      <w:r>
        <w:rPr>
          <w:b/>
          <w:i w:val="0"/>
        </w:rPr>
        <w:t xml:space="preserve">Where sources differ: </w:t>
      </w:r>
      <w:r>
        <w:rPr>
          <w:b w:val="0"/>
          <w:i w:val="0"/>
        </w:rPr>
        <w:t>Apart from cirrhosis before radioembolisation with chemotherapy, no comparative data define liver-function cut-offs for any modality, and the guidelines frame reserve differently (AASLD by portal hypertension, LCSGJ by Child-Pugh class).</w:t>
      </w:r>
    </w:p>
    <w:p>
      <w:pPr>
        <w:pStyle w:val="Heading3"/>
        <w:keepNext/>
        <w:spacing w:before="120" w:after="80"/>
      </w:pPr>
      <w:r>
        <w:rPr>
          <w:b w:val="0"/>
          <w:i w:val="0"/>
        </w:rPr>
        <w:t>Our proposed selection (OPEN)</w:t>
      </w:r>
    </w:p>
    <w:p>
      <w:pPr>
        <w:spacing w:after="80"/>
      </w:pPr>
      <w:r>
        <w:rPr>
          <w:b w:val="0"/>
          <w:i w:val="0"/>
        </w:rPr>
        <w:t>The roadmap proposes no numeric thresholds: it treats the cut-offs as safety conventions, keeps cirrhosis as the hard stop for radioembolisation with chemotherapy, leaves numeric reserve rules to specialty-approved local implementation, and audits decompensation after liver-directed therapy.</w:t>
      </w:r>
    </w:p>
    <w:p>
      <w:pPr>
        <w:spacing w:after="80"/>
      </w:pPr>
      <w:r>
        <w:rPr>
          <w:b/>
          <w:i w:val="0"/>
          <w:color w:val="5A6069"/>
          <w:sz w:val="18"/>
        </w:rPr>
        <w:t xml:space="preserve">Basis in the document: </w:t>
      </w:r>
      <w:r>
        <w:rPr>
          <w:b w:val="0"/>
          <w:i w:val="0"/>
          <w:color w:val="5A6069"/>
          <w:sz w:val="18"/>
        </w:rPr>
        <w:t>What we are not sure about · 'Thresholds barring each liver-directed modality by liver function…'; Gate 5 · Reasonable options (flagnote); Gate 3 · Standard options (flagnote)</w:t>
      </w:r>
    </w:p>
    <w:p>
      <w:pPr>
        <w:spacing w:after="80"/>
      </w:pPr>
      <w:r>
        <w:rPr>
          <w:b/>
          <w:i w:val="0"/>
        </w:rPr>
        <w:t xml:space="preserve">Why: </w:t>
      </w:r>
      <w:r>
        <w:rPr>
          <w:b w:val="0"/>
          <w:i w:val="0"/>
        </w:rPr>
        <w:t>No comparative data define the cut-offs; they are safety conventions.</w:t>
      </w:r>
    </w:p>
    <w:p>
      <w:pPr>
        <w:spacing w:after="80"/>
      </w:pPr>
      <w:r>
        <w:rPr>
          <w:b/>
          <w:i w:val="0"/>
        </w:rPr>
        <w:t xml:space="preserve">What gets audited: </w:t>
      </w:r>
      <w:r>
        <w:rPr>
          <w:b w:val="0"/>
          <w:i w:val="0"/>
        </w:rPr>
        <w:t>Audit: decompensation after liver-directed therapy.</w:t>
      </w:r>
    </w:p>
    <w:p>
      <w:pPr>
        <w:pStyle w:val="Heading3"/>
        <w:keepNext/>
        <w:spacing w:before="120" w:after="80"/>
      </w:pPr>
      <w:r>
        <w:rPr>
          <w:b w:val="0"/>
          <w:i w:val="0"/>
        </w:rPr>
        <w:t>iCCA-D6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iCCA-D7 — Ablation for intrahepatic cholangiocarcinoma — acceptable, and in whom?</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3 · Assess resection</w:t>
        </w:r>
      </w:hyperlink>
      <w:r>
        <w:rPr>
          <w:b w:val="0"/>
          <w:i w:val="0"/>
        </w:rPr>
        <w:t xml:space="preserve"> · </w:t>
      </w:r>
      <w:hyperlink r:id="rId10">
        <w:r>
          <w:rPr>
            <w:color w:val="0563C1"/>
            <w:u w:val="single"/>
          </w:rPr>
          <w:t xml:space="preserve">5 · Unresectable disease confined to the liver</w:t>
        </w:r>
      </w:hyperlink>
      <w:r>
        <w:rPr>
          <w:b w:val="0"/>
          <w:i w:val="0"/>
        </w:rPr>
        <w:t xml:space="preserve"> · </w:t>
      </w:r>
      <w:hyperlink r:id="rId11">
        <w:r>
          <w:rPr>
            <w:color w:val="0563C1"/>
            <w:u w:val="single"/>
          </w:rPr>
          <w:t xml:space="preserve">7 · Select liver-directed therapy</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BTC v1.2026</w:t>
            </w:r>
          </w:p>
        </w:tc>
        <w:tc>
          <w:tcPr>
            <w:tcW w:type="dxa" w:w="3360"/>
            <w:tcW w:w="5480" w:type="dxa"/>
            <w:shd w:val="clear" w:color="auto" w:fill="F1F5F8"/>
          </w:tcPr>
          <w:p>
            <w:pPr>
              <w:spacing w:after="0"/>
            </w:pPr>
            <w:r>
              <w:rPr>
                <w:b w:val="0"/>
                <w:i w:val="0"/>
                <w:sz w:val="19"/>
              </w:rPr>
              <w:t>Accepts thermal ablation for single primary or recurrent iCCA below 3 cm, especially when surgical risk is high.</w:t>
            </w:r>
          </w:p>
        </w:tc>
        <w:tc>
          <w:tcPr>
            <w:tcW w:type="dxa" w:w="3360"/>
            <w:tcW w:w="2400" w:type="dxa"/>
            <w:shd w:val="clear" w:color="auto" w:fill="F1F5F8"/>
          </w:tcPr>
          <w:p>
            <w:pPr>
              <w:spacing w:after="0"/>
            </w:pPr>
            <w:r>
              <w:rPr>
                <w:b w:val="0"/>
                <w:i w:val="0"/>
                <w:color w:val="5A6069"/>
                <w:sz w:val="18"/>
              </w:rPr>
              <w:t>Gate 3 · Standard option 'Definitive thermal ablation' (when)</w:t>
            </w:r>
          </w:p>
        </w:tc>
      </w:tr>
      <w:tr>
        <w:trPr>
          <w:cantSplit/>
        </w:trPr>
        <w:tc>
          <w:tcPr>
            <w:tcW w:type="dxa" w:w="3360"/>
            <w:tcW w:w="2200" w:type="dxa"/>
            <w:shd w:val="clear" w:color="auto" w:fill="FFFFFF"/>
          </w:tcPr>
          <w:p>
            <w:pPr>
              <w:spacing w:after="0"/>
            </w:pPr>
            <w:r>
              <w:rPr>
                <w:b/>
                <w:i w:val="0"/>
                <w:sz w:val="19"/>
              </w:rPr>
              <w:t>EASL-ILCA 2023</w:t>
            </w:r>
          </w:p>
        </w:tc>
        <w:tc>
          <w:tcPr>
            <w:tcW w:type="dxa" w:w="3360"/>
            <w:tcW w:w="5480" w:type="dxa"/>
            <w:shd w:val="clear" w:color="auto" w:fill="FFFFFF"/>
          </w:tcPr>
          <w:p>
            <w:pPr>
              <w:spacing w:after="0"/>
            </w:pPr>
            <w:r>
              <w:rPr>
                <w:b w:val="0"/>
                <w:i w:val="0"/>
                <w:sz w:val="19"/>
              </w:rPr>
              <w:t>Narrower: single lesions under 2 cm that are unresectable or inoperable, on low-level evidence.</w:t>
            </w:r>
          </w:p>
        </w:tc>
        <w:tc>
          <w:tcPr>
            <w:tcW w:type="dxa" w:w="3360"/>
            <w:tcW w:w="2400" w:type="dxa"/>
            <w:shd w:val="clear" w:color="auto" w:fill="FFFFFF"/>
          </w:tcPr>
          <w:p>
            <w:pPr>
              <w:spacing w:after="0"/>
            </w:pPr>
            <w:r>
              <w:rPr>
                <w:b w:val="0"/>
                <w:i w:val="0"/>
                <w:color w:val="5A6069"/>
                <w:sz w:val="18"/>
              </w:rPr>
              <w:t>Gate 3 · Standard option 'Definitive thermal ablation' (when)</w:t>
            </w:r>
          </w:p>
        </w:tc>
      </w:tr>
      <w:tr>
        <w:trPr>
          <w:cantSplit/>
        </w:trPr>
        <w:tc>
          <w:tcPr>
            <w:tcW w:type="dxa" w:w="3360"/>
            <w:tcW w:w="2200" w:type="dxa"/>
            <w:shd w:val="clear" w:color="auto" w:fill="F1F5F8"/>
          </w:tcPr>
          <w:p>
            <w:pPr>
              <w:spacing w:after="0"/>
            </w:pPr>
            <w:r>
              <w:rPr>
                <w:b/>
                <w:i w:val="0"/>
                <w:sz w:val="19"/>
              </w:rPr>
              <w:t>MALRIC primary cohort</w:t>
            </w:r>
          </w:p>
        </w:tc>
        <w:tc>
          <w:tcPr>
            <w:tcW w:type="dxa" w:w="3360"/>
            <w:tcW w:w="5480" w:type="dxa"/>
            <w:shd w:val="clear" w:color="auto" w:fill="F1F5F8"/>
          </w:tcPr>
          <w:p>
            <w:pPr>
              <w:spacing w:after="0"/>
            </w:pPr>
            <w:r>
              <w:rPr>
                <w:b w:val="0"/>
                <w:i w:val="0"/>
                <w:sz w:val="19"/>
              </w:rPr>
              <w:t>Ten-centre propensity match: 5-year OS 44.8% after microwave ablation versus 40.4% after resection, but disease-free survival favoured resection (HR 0.63); entry allowed tumours up to 5 cm and the parity split was post hoc and underpowered.</w:t>
            </w:r>
          </w:p>
        </w:tc>
        <w:tc>
          <w:tcPr>
            <w:tcW w:type="dxa" w:w="3360"/>
            <w:tcW w:w="2400" w:type="dxa"/>
            <w:shd w:val="clear" w:color="auto" w:fill="F1F5F8"/>
          </w:tcPr>
          <w:p>
            <w:pPr>
              <w:spacing w:after="0"/>
            </w:pPr>
            <w:r>
              <w:rPr>
                <w:b w:val="0"/>
                <w:i w:val="0"/>
                <w:color w:val="5A6069"/>
                <w:sz w:val="18"/>
              </w:rPr>
              <w:t>Gate 3 · option 'Definitive thermal ablation' (pref, note); What we are not sure about · 'Thermal ablation as an alternative to resection…'</w:t>
            </w:r>
          </w:p>
        </w:tc>
      </w:tr>
      <w:tr>
        <w:trPr>
          <w:cantSplit/>
        </w:trPr>
        <w:tc>
          <w:tcPr>
            <w:tcW w:type="dxa" w:w="3360"/>
            <w:tcW w:w="2200" w:type="dxa"/>
            <w:shd w:val="clear" w:color="auto" w:fill="FFFFFF"/>
          </w:tcPr>
          <w:p>
            <w:pPr>
              <w:spacing w:after="0"/>
            </w:pPr>
            <w:r>
              <w:rPr>
                <w:b/>
                <w:i w:val="0"/>
                <w:sz w:val="19"/>
              </w:rPr>
              <w:t>Ablation meta-analysis</w:t>
            </w:r>
          </w:p>
        </w:tc>
        <w:tc>
          <w:tcPr>
            <w:tcW w:type="dxa" w:w="3360"/>
            <w:tcW w:w="5480" w:type="dxa"/>
            <w:shd w:val="clear" w:color="auto" w:fill="FFFFFF"/>
          </w:tcPr>
          <w:p>
            <w:pPr>
              <w:spacing w:after="0"/>
            </w:pPr>
            <w:r>
              <w:rPr>
                <w:b w:val="0"/>
                <w:i w:val="0"/>
                <w:sz w:val="19"/>
              </w:rPr>
              <w:t>Twenty retrospective studies, 917 patients: 5-year OS 28.5%; tumours over 3 cm (HR 2.12) and multiple tumours (HR 1.67) did worse; high heterogeneity and publication bias.</w:t>
            </w:r>
          </w:p>
        </w:tc>
        <w:tc>
          <w:tcPr>
            <w:tcW w:type="dxa" w:w="3360"/>
            <w:tcW w:w="2400" w:type="dxa"/>
            <w:shd w:val="clear" w:color="auto" w:fill="FFFFFF"/>
          </w:tcPr>
          <w:p>
            <w:pPr>
              <w:spacing w:after="0"/>
            </w:pPr>
            <w:r>
              <w:rPr>
                <w:b w:val="0"/>
                <w:i w:val="0"/>
                <w:color w:val="5A6069"/>
                <w:sz w:val="18"/>
              </w:rPr>
              <w:t>Gate 5 · Reasonable option 'Thermal ablation' (when, avoid, note)</w:t>
            </w:r>
          </w:p>
        </w:tc>
      </w:tr>
      <w:tr>
        <w:trPr>
          <w:cantSplit/>
        </w:trPr>
        <w:tc>
          <w:tcPr>
            <w:tcW w:type="dxa" w:w="3360"/>
            <w:tcW w:w="2200" w:type="dxa"/>
            <w:shd w:val="clear" w:color="auto" w:fill="F1F5F8"/>
          </w:tcPr>
          <w:p>
            <w:pPr>
              <w:spacing w:after="0"/>
            </w:pPr>
            <w:r>
              <w:rPr>
                <w:b/>
                <w:i w:val="0"/>
                <w:sz w:val="19"/>
              </w:rPr>
              <w:t>MALRIC recurrent cohort</w:t>
            </w:r>
          </w:p>
        </w:tc>
        <w:tc>
          <w:tcPr>
            <w:tcW w:type="dxa" w:w="3360"/>
            <w:tcW w:w="5480" w:type="dxa"/>
            <w:shd w:val="clear" w:color="auto" w:fill="F1F5F8"/>
          </w:tcPr>
          <w:p>
            <w:pPr>
              <w:spacing w:after="0"/>
            </w:pPr>
            <w:r>
              <w:rPr>
                <w:b w:val="0"/>
                <w:i w:val="0"/>
                <w:sz w:val="19"/>
              </w:rPr>
              <w:t>At first intrahepatic recurrence, ablation gave median OS 29.8 versus 34.0 months after repeat resection (HR 0.89, not significant) with far fewer major complications; the authors cannot exclude a real difference.</w:t>
            </w:r>
          </w:p>
        </w:tc>
        <w:tc>
          <w:tcPr>
            <w:tcW w:type="dxa" w:w="3360"/>
            <w:tcW w:w="2400" w:type="dxa"/>
            <w:shd w:val="clear" w:color="auto" w:fill="F1F5F8"/>
          </w:tcPr>
          <w:p>
            <w:pPr>
              <w:spacing w:after="0"/>
            </w:pPr>
            <w:r>
              <w:rPr>
                <w:b w:val="0"/>
                <w:i w:val="0"/>
                <w:color w:val="5A6069"/>
                <w:sz w:val="18"/>
              </w:rPr>
              <w:t>Gate 7 · selector option 'Thermal ablation' (pref, note)</w:t>
            </w:r>
          </w:p>
        </w:tc>
      </w:tr>
    </w:tbl>
    <w:p>
      <w:pPr>
        <w:spacing w:after="40"/>
      </w:pPr>
    </w:p>
    <w:p>
      <w:pPr>
        <w:spacing w:after="80"/>
      </w:pPr>
      <w:r>
        <w:rPr>
          <w:b/>
          <w:i w:val="0"/>
        </w:rPr>
        <w:t xml:space="preserve">Where sources differ: </w:t>
      </w:r>
      <w:r>
        <w:rPr>
          <w:b w:val="0"/>
          <w:i w:val="0"/>
        </w:rPr>
        <w:t>NCCN and EASL-ILCA set different size limits (under 3 cm versus under 2 cm), and the cohort reporting survival parity with resection enrolled tumours up to 5 cm and showed worse disease-free survival after ablation.</w:t>
      </w:r>
    </w:p>
    <w:p>
      <w:pPr>
        <w:pStyle w:val="Heading3"/>
        <w:keepNext/>
        <w:spacing w:before="120" w:after="80"/>
      </w:pPr>
      <w:r>
        <w:rPr>
          <w:b w:val="0"/>
          <w:i w:val="0"/>
        </w:rPr>
        <w:t>Our proposed selection (OPEN)</w:t>
      </w:r>
    </w:p>
    <w:p>
      <w:pPr>
        <w:spacing w:after="80"/>
      </w:pPr>
      <w:r>
        <w:rPr>
          <w:b w:val="0"/>
          <w:i w:val="0"/>
        </w:rPr>
        <w:t>Acceptable in a narrow group (grade C): solitary tumour under 3 cm, resection unsuitable, every lesion treatable with a 5 mm or greater margin, no uncontrolled nodal or distant disease, plus selected first intrahepatic recurrences; document why the patient fits; not for large or multifocal iCCA. The 3 cm versus 2 cm boundary awaits local approval.</w:t>
      </w:r>
    </w:p>
    <w:p>
      <w:pPr>
        <w:spacing w:after="80"/>
      </w:pPr>
      <w:r>
        <w:rPr>
          <w:b/>
          <w:i w:val="0"/>
          <w:color w:val="5A6069"/>
          <w:sz w:val="18"/>
        </w:rPr>
        <w:t xml:space="preserve">Basis in the document: </w:t>
      </w:r>
      <w:r>
        <w:rPr>
          <w:b w:val="0"/>
          <w:i w:val="0"/>
          <w:color w:val="5A6069"/>
          <w:sz w:val="18"/>
        </w:rPr>
        <w:t>Gate 3 · Standard option 'Definitive thermal ablation'; Gate 5 · Reasonable 'Thermal ablation'; Gate 7 · selector 'Thermal ablation'</w:t>
      </w:r>
    </w:p>
    <w:p>
      <w:pPr>
        <w:spacing w:after="80"/>
      </w:pPr>
      <w:r>
        <w:rPr>
          <w:b/>
          <w:i w:val="0"/>
        </w:rPr>
        <w:t xml:space="preserve">Why: </w:t>
      </w:r>
      <w:r>
        <w:rPr>
          <w:b w:val="0"/>
          <w:i w:val="0"/>
        </w:rPr>
        <w:t>Evidence is substantially weaker than in hepatocellular carcinoma and is retrospective.</w:t>
      </w:r>
    </w:p>
    <w:p>
      <w:pPr>
        <w:spacing w:after="80"/>
      </w:pPr>
      <w:r>
        <w:rPr>
          <w:b/>
          <w:i w:val="0"/>
        </w:rPr>
        <w:t xml:space="preserve">What gets audited: </w:t>
      </w:r>
      <w:r>
        <w:rPr>
          <w:b w:val="0"/>
          <w:i w:val="0"/>
        </w:rPr>
        <w:t>Registry: every ablation, margin, local progression.</w:t>
      </w:r>
    </w:p>
    <w:p>
      <w:pPr>
        <w:pStyle w:val="Heading3"/>
        <w:keepNext/>
        <w:spacing w:before="120" w:after="80"/>
      </w:pPr>
      <w:r>
        <w:rPr>
          <w:b w:val="0"/>
          <w:i w:val="0"/>
        </w:rPr>
        <w:t>iCCA-D7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iCCA-D8 — Who owns subsequent NCCN and OPTN update checks, and on what cycle?</w:t>
      </w:r>
    </w:p>
    <w:p>
      <w:pPr>
        <w:spacing w:after="80"/>
      </w:pPr>
      <w:r>
        <w:rPr>
          <w:b w:val="0"/>
          <w:i w:val="0"/>
          <w:color w:val="5A6069"/>
          <w:sz w:val="18"/>
        </w:rPr>
        <w:t>OPEN — not yet decided · Governance</w:t>
      </w:r>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roadmap names no owner or cycle; it records source reconciliation as complete in this version, lists a dashboard measure of named owner, source edition and date, and update cycle, and requires current OPTN policy text and every numeric criterion to be verified before use.</w:t>
      </w:r>
    </w:p>
    <w:p>
      <w:pPr>
        <w:spacing w:after="80"/>
      </w:pPr>
      <w:r>
        <w:rPr>
          <w:b/>
          <w:i w:val="0"/>
          <w:color w:val="5A6069"/>
          <w:sz w:val="18"/>
        </w:rPr>
        <w:t xml:space="preserve">Basis in the document: </w:t>
      </w:r>
      <w:r>
        <w:rPr>
          <w:b w:val="0"/>
          <w:i w:val="0"/>
          <w:color w:val="5A6069"/>
          <w:sz w:val="18"/>
        </w:rPr>
        <w:t>The dashboard (final item); Provenance; What we are not sure about · 'The MMaT-3 exception route, and what it is not'</w:t>
      </w:r>
    </w:p>
    <w:p>
      <w:pPr>
        <w:spacing w:after="80"/>
      </w:pPr>
      <w:r>
        <w:rPr>
          <w:b/>
          <w:i w:val="0"/>
        </w:rPr>
        <w:t xml:space="preserve">Why: </w:t>
      </w:r>
      <w:r>
        <w:rPr>
          <w:b w:val="0"/>
          <w:i w:val="0"/>
        </w:rPr>
        <w:t>Source reconciliation is complete in this version. An owner must be assigned to verify subsequent editions and current allocation requirements, ratify the documented institutional positions, and maintain the update cycle.</w:t>
      </w:r>
    </w:p>
    <w:p>
      <w:pPr>
        <w:spacing w:after="80"/>
      </w:pPr>
      <w:r>
        <w:rPr>
          <w:b/>
          <w:i w:val="0"/>
        </w:rPr>
        <w:t xml:space="preserve">What gets audited: </w:t>
      </w:r>
      <w:r>
        <w:rPr>
          <w:b w:val="0"/>
          <w:i w:val="0"/>
        </w:rPr>
        <w:t>Named owner plus edition and date plus update cycle.</w:t>
      </w:r>
    </w:p>
    <w:p>
      <w:pPr>
        <w:pStyle w:val="Heading3"/>
        <w:keepNext/>
        <w:spacing w:before="120" w:after="80"/>
      </w:pPr>
      <w:r>
        <w:rPr>
          <w:b w:val="0"/>
          <w:i w:val="0"/>
        </w:rPr>
        <w:t>iCCA-D8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iCCA-D9 — Is a core biopsy required before resection of a high-suspicion, clearly resectable mass, or is destination-specific confirmation enough?</w:t>
      </w:r>
    </w:p>
    <w:p>
      <w:pPr>
        <w:spacing w:after="80"/>
      </w:pPr>
      <w:r>
        <w:rPr>
          <w:b w:val="0"/>
          <w:i w:val="0"/>
          <w:color w:val="5A6069"/>
          <w:sz w:val="18"/>
        </w:rPr>
        <w:t>OPEN — not yet decided · Clinical</w:t>
      </w:r>
    </w:p>
    <w:p>
      <w:pPr>
        <w:spacing w:after="80"/>
      </w:pPr>
      <w:r>
        <w:rPr>
          <w:b/>
          <w:i w:val="0"/>
        </w:rPr>
        <w:t xml:space="preserve">Where it is decided: </w:t>
      </w:r>
      <w:hyperlink r:id="rId24">
        <w:r>
          <w:rPr>
            <w:color w:val="0563C1"/>
            <w:u w:val="single"/>
          </w:rPr>
          <w:t xml:space="preserve">1 · Confirm diagnosis and stage disease</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AASLD 2023</w:t>
            </w:r>
          </w:p>
        </w:tc>
        <w:tc>
          <w:tcPr>
            <w:tcW w:type="dxa" w:w="3360"/>
            <w:tcW w:w="5480" w:type="dxa"/>
            <w:shd w:val="clear" w:color="auto" w:fill="F1F5F8"/>
          </w:tcPr>
          <w:p>
            <w:pPr>
              <w:spacing w:after="0"/>
            </w:pPr>
            <w:r>
              <w:rPr>
                <w:b w:val="0"/>
                <w:i w:val="0"/>
                <w:sz w:val="19"/>
              </w:rPr>
              <w:t>Requires histological confirmation for a definitive iCCA diagnosis; BSG 2023 takes the same position.</w:t>
            </w:r>
          </w:p>
        </w:tc>
        <w:tc>
          <w:tcPr>
            <w:tcW w:type="dxa" w:w="3360"/>
            <w:tcW w:w="2400" w:type="dxa"/>
            <w:shd w:val="clear" w:color="auto" w:fill="F1F5F8"/>
          </w:tcPr>
          <w:p>
            <w:pPr>
              <w:spacing w:after="0"/>
            </w:pPr>
            <w:r>
              <w:rPr>
                <w:b w:val="0"/>
                <w:i w:val="0"/>
                <w:color w:val="5A6069"/>
                <w:sz w:val="18"/>
              </w:rPr>
              <w:t>What we are not sure about · 'A core biopsy before resection of a high-suspicion, clearly resectable mass'; Gate 1 · Standard 'There is no imaging-only diagnosis…' (note)</w:t>
            </w:r>
          </w:p>
        </w:tc>
      </w:tr>
      <w:tr>
        <w:trPr>
          <w:cantSplit/>
        </w:trPr>
        <w:tc>
          <w:tcPr>
            <w:tcW w:type="dxa" w:w="3360"/>
            <w:tcW w:w="2200" w:type="dxa"/>
            <w:shd w:val="clear" w:color="auto" w:fill="FFFFFF"/>
          </w:tcPr>
          <w:p>
            <w:pPr>
              <w:spacing w:after="0"/>
            </w:pPr>
            <w:r>
              <w:rPr>
                <w:b/>
                <w:i w:val="0"/>
                <w:sz w:val="19"/>
              </w:rPr>
              <w:t>EASL-ILCA 2023</w:t>
            </w:r>
          </w:p>
        </w:tc>
        <w:tc>
          <w:tcPr>
            <w:tcW w:type="dxa" w:w="3360"/>
            <w:tcW w:w="5480" w:type="dxa"/>
            <w:shd w:val="clear" w:color="auto" w:fill="FFFFFF"/>
          </w:tcPr>
          <w:p>
            <w:pPr>
              <w:spacing w:after="0"/>
            </w:pPr>
            <w:r>
              <w:rPr>
                <w:b w:val="0"/>
                <w:i w:val="0"/>
                <w:sz w:val="19"/>
              </w:rPr>
              <w:t>Recommends biopsy on level 4 evidence with 96% consensus.</w:t>
            </w:r>
          </w:p>
        </w:tc>
        <w:tc>
          <w:tcPr>
            <w:tcW w:type="dxa" w:w="3360"/>
            <w:tcW w:w="2400" w:type="dxa"/>
            <w:shd w:val="clear" w:color="auto" w:fill="FFFFFF"/>
          </w:tcPr>
          <w:p>
            <w:pPr>
              <w:spacing w:after="0"/>
            </w:pPr>
            <w:r>
              <w:rPr>
                <w:b w:val="0"/>
                <w:i w:val="0"/>
                <w:color w:val="5A6069"/>
                <w:sz w:val="18"/>
              </w:rPr>
              <w:t>What we are not sure about · 'A core biopsy before resection…'</w:t>
            </w:r>
          </w:p>
        </w:tc>
      </w:tr>
      <w:tr>
        <w:trPr>
          <w:cantSplit/>
        </w:trPr>
        <w:tc>
          <w:tcPr>
            <w:tcW w:type="dxa" w:w="3360"/>
            <w:tcW w:w="2200" w:type="dxa"/>
            <w:shd w:val="clear" w:color="auto" w:fill="F1F5F8"/>
          </w:tcPr>
          <w:p>
            <w:pPr>
              <w:spacing w:after="0"/>
            </w:pPr>
            <w:r>
              <w:rPr>
                <w:b/>
                <w:i w:val="0"/>
                <w:sz w:val="19"/>
              </w:rPr>
              <w:t>LCSGJ 2022</w:t>
            </w:r>
          </w:p>
        </w:tc>
        <w:tc>
          <w:tcPr>
            <w:tcW w:type="dxa" w:w="3360"/>
            <w:tcW w:w="5480" w:type="dxa"/>
            <w:shd w:val="clear" w:color="auto" w:fill="F1F5F8"/>
          </w:tcPr>
          <w:p>
            <w:pPr>
              <w:spacing w:after="0"/>
            </w:pPr>
            <w:r>
              <w:rPr>
                <w:b w:val="0"/>
                <w:i w:val="0"/>
                <w:sz w:val="19"/>
              </w:rPr>
              <w:t>Considers biopsy largely unnecessary for a typical resectable mass, recommending it only when the tumour is unresectable.</w:t>
            </w:r>
          </w:p>
        </w:tc>
        <w:tc>
          <w:tcPr>
            <w:tcW w:type="dxa" w:w="3360"/>
            <w:tcW w:w="2400" w:type="dxa"/>
            <w:shd w:val="clear" w:color="auto" w:fill="F1F5F8"/>
          </w:tcPr>
          <w:p>
            <w:pPr>
              <w:spacing w:after="0"/>
            </w:pPr>
            <w:r>
              <w:rPr>
                <w:b w:val="0"/>
                <w:i w:val="0"/>
                <w:color w:val="5A6069"/>
                <w:sz w:val="18"/>
              </w:rPr>
              <w:t>What we are not sure about · 'A core biopsy before resection…'; Gate 1 · Standard 'There is no imaging-only diagnosis…' (note)</w:t>
            </w:r>
          </w:p>
        </w:tc>
      </w:tr>
      <w:tr>
        <w:trPr>
          <w:cantSplit/>
        </w:trPr>
        <w:tc>
          <w:tcPr>
            <w:tcW w:type="dxa" w:w="3360"/>
            <w:tcW w:w="2200" w:type="dxa"/>
            <w:shd w:val="clear" w:color="auto" w:fill="FFFFFF"/>
          </w:tcPr>
          <w:p>
            <w:pPr>
              <w:spacing w:after="0"/>
            </w:pPr>
            <w:r>
              <w:rPr>
                <w:b/>
                <w:i w:val="0"/>
                <w:sz w:val="19"/>
              </w:rPr>
              <w:t>NCCN BTC v1.2026</w:t>
            </w:r>
          </w:p>
        </w:tc>
        <w:tc>
          <w:tcPr>
            <w:tcW w:type="dxa" w:w="3360"/>
            <w:tcW w:w="5480" w:type="dxa"/>
            <w:shd w:val="clear" w:color="auto" w:fill="FFFFFF"/>
          </w:tcPr>
          <w:p>
            <w:pPr>
              <w:spacing w:after="0"/>
            </w:pPr>
            <w:r>
              <w:rPr>
                <w:b w:val="0"/>
                <w:i w:val="0"/>
                <w:sz w:val="19"/>
              </w:rPr>
              <w:t>A suspicious mass on imaging in the proper clinical setting should be treated as malignant.</w:t>
            </w:r>
          </w:p>
        </w:tc>
        <w:tc>
          <w:tcPr>
            <w:tcW w:type="dxa" w:w="3360"/>
            <w:tcW w:w="2400" w:type="dxa"/>
            <w:shd w:val="clear" w:color="auto" w:fill="FFFFFF"/>
          </w:tcPr>
          <w:p>
            <w:pPr>
              <w:spacing w:after="0"/>
            </w:pPr>
            <w:r>
              <w:rPr>
                <w:b w:val="0"/>
                <w:i w:val="0"/>
                <w:color w:val="5A6069"/>
                <w:sz w:val="18"/>
              </w:rPr>
              <w:t>Gate 1 · Standard 'There is no imaging-only diagnosis…' (avoid)</w:t>
            </w:r>
          </w:p>
        </w:tc>
      </w:tr>
      <w:tr>
        <w:trPr>
          <w:cantSplit/>
        </w:trPr>
        <w:tc>
          <w:tcPr>
            <w:tcW w:type="dxa" w:w="3360"/>
            <w:tcW w:w="2200" w:type="dxa"/>
            <w:shd w:val="clear" w:color="auto" w:fill="F1F5F8"/>
          </w:tcPr>
          <w:p>
            <w:pPr>
              <w:spacing w:after="0"/>
            </w:pPr>
            <w:r>
              <w:rPr>
                <w:b/>
                <w:i w:val="0"/>
                <w:sz w:val="19"/>
              </w:rPr>
              <w:t>ILTS-ILCA 2024 consensus</w:t>
            </w:r>
          </w:p>
        </w:tc>
        <w:tc>
          <w:tcPr>
            <w:tcW w:type="dxa" w:w="3360"/>
            <w:tcW w:w="5480" w:type="dxa"/>
            <w:shd w:val="clear" w:color="auto" w:fill="F1F5F8"/>
          </w:tcPr>
          <w:p>
            <w:pPr>
              <w:spacing w:after="0"/>
            </w:pPr>
            <w:r>
              <w:rPr>
                <w:b w:val="0"/>
                <w:i w:val="0"/>
                <w:sz w:val="19"/>
              </w:rPr>
              <w:t>Makes biopsy mandatory where transplantation is contemplated, to grade differentiation and exclude a mixed tumour.</w:t>
            </w:r>
          </w:p>
        </w:tc>
        <w:tc>
          <w:tcPr>
            <w:tcW w:type="dxa" w:w="3360"/>
            <w:tcW w:w="2400" w:type="dxa"/>
            <w:shd w:val="clear" w:color="auto" w:fill="F1F5F8"/>
          </w:tcPr>
          <w:p>
            <w:pPr>
              <w:spacing w:after="0"/>
            </w:pPr>
            <w:r>
              <w:rPr>
                <w:b w:val="0"/>
                <w:i w:val="0"/>
                <w:color w:val="5A6069"/>
                <w:sz w:val="18"/>
              </w:rPr>
              <w:t>What we are not sure about · 'A core biopsy before resection…'</w:t>
            </w:r>
          </w:p>
        </w:tc>
      </w:tr>
    </w:tbl>
    <w:p>
      <w:pPr>
        <w:spacing w:after="40"/>
      </w:pPr>
    </w:p>
    <w:p>
      <w:pPr>
        <w:spacing w:after="80"/>
      </w:pPr>
      <w:r>
        <w:rPr>
          <w:b/>
          <w:i w:val="0"/>
        </w:rPr>
        <w:t xml:space="preserve">Where sources differ: </w:t>
      </w:r>
      <w:r>
        <w:rPr>
          <w:b w:val="0"/>
          <w:i w:val="0"/>
        </w:rPr>
        <w:t>AASLD, BSG and EASL-ILCA require or recommend histology while LCSGJ regards it as unnecessary for a typical resectable mass and NCCN permits treating a suspicious mass as malignant, and no outcome study compares the two policies.</w:t>
      </w:r>
    </w:p>
    <w:p>
      <w:pPr>
        <w:pStyle w:val="Heading3"/>
        <w:keepNext/>
        <w:spacing w:before="120" w:after="80"/>
      </w:pPr>
      <w:r>
        <w:rPr>
          <w:b w:val="0"/>
          <w:i w:val="0"/>
        </w:rPr>
        <w:t>Our proposed selection (OPEN)</w:t>
      </w:r>
    </w:p>
    <w:p>
      <w:pPr>
        <w:spacing w:after="80"/>
      </w:pPr>
      <w:r>
        <w:rPr>
          <w:b w:val="0"/>
          <w:i w:val="0"/>
        </w:rPr>
        <w:t>Destination-specific confirmation rather than a universal core: histology is required before systemic therapy, trial entry or tissue-defined transplant assessment (where it also grades differentiation and excludes a mixed tumour), while a high-suspicion, clearly resectable mass may proceed directly to surgery after multidisciplinary HPB review (Standard, grade B).</w:t>
      </w:r>
    </w:p>
    <w:p>
      <w:pPr>
        <w:spacing w:after="80"/>
      </w:pPr>
      <w:r>
        <w:rPr>
          <w:b/>
          <w:i w:val="0"/>
          <w:color w:val="5A6069"/>
          <w:sz w:val="18"/>
        </w:rPr>
        <w:t xml:space="preserve">Basis in the document: </w:t>
      </w:r>
      <w:r>
        <w:rPr>
          <w:b w:val="0"/>
          <w:i w:val="0"/>
          <w:color w:val="5A6069"/>
          <w:sz w:val="18"/>
        </w:rPr>
        <w:t>Gate 1 · Standard 'There is no imaging-only diagnosis of intrahepatic cholangiocarcinoma…'</w:t>
      </w:r>
    </w:p>
    <w:p>
      <w:pPr>
        <w:spacing w:after="80"/>
      </w:pPr>
      <w:r>
        <w:rPr>
          <w:b/>
          <w:i w:val="0"/>
        </w:rPr>
        <w:t xml:space="preserve">Why: </w:t>
      </w:r>
      <w:r>
        <w:rPr>
          <w:b w:val="0"/>
          <w:i w:val="0"/>
        </w:rPr>
        <w:t>AASLD 2023, BSG 2023 and EASL-ILCA require histological confirmation; LCSGJ 2022 regards biopsy as basically unnecessary for a typical resectable mass; NCCN permits treating a suspicious mass in the proper clinical setting as malignant. No outcome study compares the two policies. Alignment worksheet, area 1.</w:t>
      </w:r>
    </w:p>
    <w:p>
      <w:pPr>
        <w:spacing w:after="80"/>
      </w:pPr>
      <w:r>
        <w:rPr>
          <w:b/>
          <w:i w:val="0"/>
        </w:rPr>
        <w:t xml:space="preserve">What gets audited: </w:t>
      </w:r>
      <w:r>
        <w:rPr>
          <w:b w:val="0"/>
          <w:i w:val="0"/>
        </w:rPr>
        <w:t>Audit: proportion of resections performed without pre-operative histology, and the final pathology in each.</w:t>
      </w:r>
    </w:p>
    <w:p>
      <w:pPr>
        <w:pStyle w:val="Heading3"/>
        <w:keepNext/>
        <w:spacing w:before="120" w:after="80"/>
      </w:pPr>
      <w:r>
        <w:rPr>
          <w:b w:val="0"/>
          <w:i w:val="0"/>
        </w:rPr>
        <w:t>iCCA-D9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iCCA-D10 — Is regional lymphadenectomy mandatory at every iCCA resection, and what minimum node yield is recorded?</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3 · Assess resection</w:t>
        </w:r>
      </w:hyperlink>
      <w:r>
        <w:rPr>
          <w:b w:val="0"/>
          <w:i w:val="0"/>
        </w:rPr>
        <w:t xml:space="preserve"> · </w:t>
      </w:r>
      <w:hyperlink r:id="rId14">
        <w:r>
          <w:rPr>
            <w:color w:val="0563C1"/>
            <w:u w:val="single"/>
          </w:rPr>
          <w:t xml:space="preserve">8 · Adjuvant treatment after resection</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LCSGJ 2022</w:t>
            </w:r>
          </w:p>
        </w:tc>
        <w:tc>
          <w:tcPr>
            <w:tcW w:type="dxa" w:w="3360"/>
            <w:tcW w:w="5480" w:type="dxa"/>
            <w:shd w:val="clear" w:color="auto" w:fill="F1F5F8"/>
          </w:tcPr>
          <w:p>
            <w:pPr>
              <w:spacing w:after="0"/>
            </w:pPr>
            <w:r>
              <w:rPr>
                <w:b w:val="0"/>
                <w:i w:val="0"/>
                <w:sz w:val="19"/>
              </w:rPr>
              <w:t>Makes no recommendation on node dissection and warns that prophylactic dissection in cirrhosis increases complications.</w:t>
            </w:r>
          </w:p>
        </w:tc>
        <w:tc>
          <w:tcPr>
            <w:tcW w:type="dxa" w:w="3360"/>
            <w:tcW w:w="2400" w:type="dxa"/>
            <w:shd w:val="clear" w:color="auto" w:fill="F1F5F8"/>
          </w:tcPr>
          <w:p>
            <w:pPr>
              <w:spacing w:after="0"/>
            </w:pPr>
            <w:r>
              <w:rPr>
                <w:b w:val="0"/>
                <w:i w:val="0"/>
                <w:color w:val="5A6069"/>
                <w:sz w:val="18"/>
              </w:rPr>
              <w:t>Gate 3 · option 'Resection with regional lymphadenectomy' (note); What we are not sure about · 'Routine regional lymphadenectomy at every iCCA resection'</w:t>
            </w:r>
          </w:p>
        </w:tc>
      </w:tr>
      <w:tr>
        <w:trPr>
          <w:cantSplit/>
        </w:trPr>
        <w:tc>
          <w:tcPr>
            <w:tcW w:type="dxa" w:w="3360"/>
            <w:tcW w:w="2200" w:type="dxa"/>
            <w:shd w:val="clear" w:color="auto" w:fill="FFFFFF"/>
          </w:tcPr>
          <w:p>
            <w:pPr>
              <w:spacing w:after="0"/>
            </w:pPr>
            <w:r>
              <w:rPr>
                <w:b/>
                <w:i w:val="0"/>
                <w:sz w:val="19"/>
              </w:rPr>
              <w:t>ESMO 2023</w:t>
            </w:r>
          </w:p>
        </w:tc>
        <w:tc>
          <w:tcPr>
            <w:tcW w:type="dxa" w:w="3360"/>
            <w:tcW w:w="5480" w:type="dxa"/>
            <w:shd w:val="clear" w:color="auto" w:fill="FFFFFF"/>
          </w:tcPr>
          <w:p>
            <w:pPr>
              <w:spacing w:after="0"/>
            </w:pPr>
            <w:r>
              <w:rPr>
                <w:b w:val="0"/>
                <w:i w:val="0"/>
                <w:sz w:val="19"/>
              </w:rPr>
              <w:t>Recommends routine hepatoduodenal-ligament dissection, on level IV evidence.</w:t>
            </w:r>
          </w:p>
        </w:tc>
        <w:tc>
          <w:tcPr>
            <w:tcW w:type="dxa" w:w="3360"/>
            <w:tcW w:w="2400" w:type="dxa"/>
            <w:shd w:val="clear" w:color="auto" w:fill="FFFFFF"/>
          </w:tcPr>
          <w:p>
            <w:pPr>
              <w:spacing w:after="0"/>
            </w:pPr>
            <w:r>
              <w:rPr>
                <w:b w:val="0"/>
                <w:i w:val="0"/>
                <w:color w:val="5A6069"/>
                <w:sz w:val="18"/>
              </w:rPr>
              <w:t>Gate 3 · option 'Resection with regional lymphadenectomy' (note)</w:t>
            </w:r>
          </w:p>
        </w:tc>
      </w:tr>
      <w:tr>
        <w:trPr>
          <w:cantSplit/>
        </w:trPr>
        <w:tc>
          <w:tcPr>
            <w:tcW w:type="dxa" w:w="3360"/>
            <w:tcW w:w="2200" w:type="dxa"/>
            <w:shd w:val="clear" w:color="auto" w:fill="F1F5F8"/>
          </w:tcPr>
          <w:p>
            <w:pPr>
              <w:spacing w:after="0"/>
            </w:pPr>
            <w:r>
              <w:rPr>
                <w:b/>
                <w:i w:val="0"/>
                <w:sz w:val="19"/>
              </w:rPr>
              <w:t>BSG 2023</w:t>
            </w:r>
          </w:p>
        </w:tc>
        <w:tc>
          <w:tcPr>
            <w:tcW w:type="dxa" w:w="3360"/>
            <w:tcW w:w="5480" w:type="dxa"/>
            <w:shd w:val="clear" w:color="auto" w:fill="F1F5F8"/>
          </w:tcPr>
          <w:p>
            <w:pPr>
              <w:spacing w:after="0"/>
            </w:pPr>
            <w:r>
              <w:rPr>
                <w:b w:val="0"/>
                <w:i w:val="0"/>
                <w:sz w:val="19"/>
              </w:rPr>
              <w:t>States neither extent nor node yield, a gap its critics note because its adjuvant recommendation turns on nodal status.</w:t>
            </w:r>
          </w:p>
        </w:tc>
        <w:tc>
          <w:tcPr>
            <w:tcW w:type="dxa" w:w="3360"/>
            <w:tcW w:w="2400" w:type="dxa"/>
            <w:shd w:val="clear" w:color="auto" w:fill="F1F5F8"/>
          </w:tcPr>
          <w:p>
            <w:pPr>
              <w:spacing w:after="0"/>
            </w:pPr>
            <w:r>
              <w:rPr>
                <w:b w:val="0"/>
                <w:i w:val="0"/>
                <w:color w:val="5A6069"/>
                <w:sz w:val="18"/>
              </w:rPr>
              <w:t>What we are not sure about · 'Routine regional lymphadenectomy at every iCCA resection'</w:t>
            </w:r>
          </w:p>
        </w:tc>
      </w:tr>
      <w:tr>
        <w:trPr>
          <w:cantSplit/>
        </w:trPr>
        <w:tc>
          <w:tcPr>
            <w:tcW w:type="dxa" w:w="3360"/>
            <w:tcW w:w="2200" w:type="dxa"/>
            <w:shd w:val="clear" w:color="auto" w:fill="FFFFFF"/>
          </w:tcPr>
          <w:p>
            <w:pPr>
              <w:spacing w:after="0"/>
            </w:pPr>
            <w:r>
              <w:rPr>
                <w:b/>
                <w:i w:val="0"/>
                <w:sz w:val="19"/>
              </w:rPr>
              <w:t>AASLD 2023</w:t>
            </w:r>
          </w:p>
        </w:tc>
        <w:tc>
          <w:tcPr>
            <w:tcW w:type="dxa" w:w="3360"/>
            <w:tcW w:w="5480" w:type="dxa"/>
            <w:shd w:val="clear" w:color="auto" w:fill="FFFFFF"/>
          </w:tcPr>
          <w:p>
            <w:pPr>
              <w:spacing w:after="0"/>
            </w:pPr>
            <w:r>
              <w:rPr>
                <w:b w:val="0"/>
                <w:i w:val="0"/>
                <w:sz w:val="19"/>
              </w:rPr>
              <w:t>Makes no statement on lymphadenectomy extent or yield.</w:t>
            </w:r>
          </w:p>
        </w:tc>
        <w:tc>
          <w:tcPr>
            <w:tcW w:type="dxa" w:w="3360"/>
            <w:tcW w:w="2400" w:type="dxa"/>
            <w:shd w:val="clear" w:color="auto" w:fill="FFFFFF"/>
          </w:tcPr>
          <w:p>
            <w:pPr>
              <w:spacing w:after="0"/>
            </w:pPr>
            <w:r>
              <w:rPr>
                <w:b w:val="0"/>
                <w:i w:val="0"/>
                <w:color w:val="5A6069"/>
                <w:sz w:val="18"/>
              </w:rPr>
              <w:t>Gate 3 · option 'Resection with regional lymphadenectomy' (note); What we are not sure about · 'Routine regional lymphadenectomy…'</w:t>
            </w:r>
          </w:p>
        </w:tc>
      </w:tr>
      <w:tr>
        <w:trPr>
          <w:cantSplit/>
        </w:trPr>
        <w:tc>
          <w:tcPr>
            <w:tcW w:type="dxa" w:w="3360"/>
            <w:tcW w:w="2200" w:type="dxa"/>
            <w:shd w:val="clear" w:color="auto" w:fill="F1F5F8"/>
          </w:tcPr>
          <w:p>
            <w:pPr>
              <w:spacing w:after="0"/>
            </w:pPr>
            <w:r>
              <w:rPr>
                <w:b/>
                <w:i w:val="0"/>
                <w:sz w:val="19"/>
              </w:rPr>
              <w:t>BILCAP</w:t>
            </w:r>
          </w:p>
        </w:tc>
        <w:tc>
          <w:tcPr>
            <w:tcW w:type="dxa" w:w="3360"/>
            <w:tcW w:w="5480" w:type="dxa"/>
            <w:shd w:val="clear" w:color="auto" w:fill="F1F5F8"/>
          </w:tcPr>
          <w:p>
            <w:pPr>
              <w:spacing w:after="0"/>
            </w:pPr>
            <w:r>
              <w:rPr>
                <w:b w:val="0"/>
                <w:i w:val="0"/>
                <w:sz w:val="19"/>
              </w:rPr>
              <w:t>Did not mandate lymphadenectomy for intrahepatic patients, yet nodal status is one of the covariates that makes its sensitivity analysis positive.</w:t>
            </w:r>
          </w:p>
        </w:tc>
        <w:tc>
          <w:tcPr>
            <w:tcW w:type="dxa" w:w="3360"/>
            <w:tcW w:w="2400" w:type="dxa"/>
            <w:shd w:val="clear" w:color="auto" w:fill="F1F5F8"/>
          </w:tcPr>
          <w:p>
            <w:pPr>
              <w:spacing w:after="0"/>
            </w:pPr>
            <w:r>
              <w:rPr>
                <w:b w:val="0"/>
                <w:i w:val="0"/>
                <w:color w:val="5A6069"/>
                <w:sz w:val="18"/>
              </w:rPr>
              <w:t>Gate 8 · Standard 'Have the adjuvant conversation…' (note)</w:t>
            </w:r>
          </w:p>
        </w:tc>
      </w:tr>
    </w:tbl>
    <w:p>
      <w:pPr>
        <w:spacing w:after="40"/>
      </w:pPr>
    </w:p>
    <w:p>
      <w:pPr>
        <w:spacing w:after="80"/>
      </w:pPr>
      <w:r>
        <w:rPr>
          <w:b/>
          <w:i w:val="0"/>
        </w:rPr>
        <w:t xml:space="preserve">Where sources differ: </w:t>
      </w:r>
      <w:r>
        <w:rPr>
          <w:b w:val="0"/>
          <w:i w:val="0"/>
        </w:rPr>
        <w:t>ESMO 2023 recommends routine dissection on level IV evidence, LCSGJ 2022 makes no recommendation and warns of harm in cirrhosis, and BSG and AASLD are silent, so no guideline supports it on survival grounds.</w:t>
      </w:r>
    </w:p>
    <w:p>
      <w:pPr>
        <w:pStyle w:val="Heading3"/>
        <w:keepNext/>
        <w:spacing w:before="120" w:after="80"/>
      </w:pPr>
      <w:r>
        <w:rPr>
          <w:b w:val="0"/>
          <w:i w:val="0"/>
        </w:rPr>
        <w:t>Our proposed selection (OPEN)</w:t>
      </w:r>
    </w:p>
    <w:p>
      <w:pPr>
        <w:spacing w:after="80"/>
      </w:pPr>
      <w:r>
        <w:rPr>
          <w:b w:val="0"/>
          <w:i w:val="0"/>
        </w:rPr>
        <w:t>Keep regional lymphadenectomy of the porta hepatis in every resection as a staging decision, so the adjuvant conversation and the registry have a nodal denominator, not as a survival claim; audit node yield rather than outcome. The roadmap sets no minimum node yield.</w:t>
      </w:r>
    </w:p>
    <w:p>
      <w:pPr>
        <w:spacing w:after="80"/>
      </w:pPr>
      <w:r>
        <w:rPr>
          <w:b/>
          <w:i w:val="0"/>
          <w:color w:val="5A6069"/>
          <w:sz w:val="18"/>
        </w:rPr>
        <w:t xml:space="preserve">Basis in the document: </w:t>
      </w:r>
      <w:r>
        <w:rPr>
          <w:b w:val="0"/>
          <w:i w:val="0"/>
          <w:color w:val="5A6069"/>
          <w:sz w:val="18"/>
        </w:rPr>
        <w:t>Gate 3 · Standard option 'Resection with regional lymphadenectomy' (when, note) and flagnote; What we are not sure about · 'Routine regional lymphadenectomy at every iCCA resection'</w:t>
      </w:r>
    </w:p>
    <w:p>
      <w:pPr>
        <w:spacing w:after="80"/>
      </w:pPr>
      <w:r>
        <w:rPr>
          <w:b/>
          <w:i w:val="0"/>
        </w:rPr>
        <w:t xml:space="preserve">Why: </w:t>
      </w:r>
      <w:r>
        <w:rPr>
          <w:b w:val="0"/>
          <w:i w:val="0"/>
        </w:rPr>
        <w:t>LCSGJ 2022 makes no recommendation and warns that prophylactic dissection in cirrhosis increases complications; ESMO 2023 recommends routine hepatoduodenal-ligament dissection on level IV evidence; BSG 2023 and AASLD 2023 state neither extent nor yield. The clinical decision 8 adjuvant conversation and the registry both need a nodal denominator. Alignment worksheet, area 5.</w:t>
      </w:r>
    </w:p>
    <w:p>
      <w:pPr>
        <w:spacing w:after="80"/>
      </w:pPr>
      <w:r>
        <w:rPr>
          <w:b/>
          <w:i w:val="0"/>
        </w:rPr>
        <w:t xml:space="preserve">What gets audited: </w:t>
      </w:r>
      <w:r>
        <w:rPr>
          <w:b w:val="0"/>
          <w:i w:val="0"/>
        </w:rPr>
        <w:t>Registry: lymphadenectomy performed, node count, node positivity, and complications attributable to the dissection.</w:t>
      </w:r>
    </w:p>
    <w:p>
      <w:pPr>
        <w:pStyle w:val="Heading3"/>
        <w:keepNext/>
        <w:spacing w:before="120" w:after="80"/>
      </w:pPr>
      <w:r>
        <w:rPr>
          <w:b w:val="0"/>
          <w:i w:val="0"/>
        </w:rPr>
        <w:t>iCCA-D10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iCCA-D11 — What counts as 'a period of stability' before a transplant referral — what duration, on what therapy, and at what imaging interval?</w:t>
      </w:r>
    </w:p>
    <w:p>
      <w:pPr>
        <w:spacing w:after="80"/>
      </w:pPr>
      <w:r>
        <w:rPr>
          <w:b w:val="0"/>
          <w:i w:val="0"/>
          <w:color w:val="5A6069"/>
          <w:sz w:val="18"/>
        </w:rPr>
        <w:t>OPEN — not yet decided · Clinical</w:t>
      </w:r>
    </w:p>
    <w:p>
      <w:pPr>
        <w:spacing w:after="80"/>
      </w:pPr>
      <w:r>
        <w:rPr>
          <w:b/>
          <w:i w:val="0"/>
        </w:rPr>
        <w:t xml:space="preserve">Where it is decided: </w:t>
      </w:r>
      <w:hyperlink r:id="rId18">
        <w:r>
          <w:rPr>
            <w:color w:val="0563C1"/>
            <w:u w:val="single"/>
          </w:rPr>
          <w:t xml:space="preserve">10 · Assess transplant eligibility</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transplant-oncology guidance</w:t>
            </w:r>
          </w:p>
        </w:tc>
        <w:tc>
          <w:tcPr>
            <w:tcW w:type="dxa" w:w="3360"/>
            <w:tcW w:w="5480" w:type="dxa"/>
            <w:shd w:val="clear" w:color="auto" w:fill="F1F5F8"/>
          </w:tcPr>
          <w:p>
            <w:pPr>
              <w:spacing w:after="0"/>
            </w:pPr>
            <w:r>
              <w:rPr>
                <w:b w:val="0"/>
                <w:i w:val="0"/>
                <w:sz w:val="19"/>
              </w:rPr>
              <w:t>Requires six months from diagnosis or last treatment with documented stability: still 3 cm or less, no new lesions, no extrahepatic disease; extensions need imaging every three months.</w:t>
            </w:r>
          </w:p>
        </w:tc>
        <w:tc>
          <w:tcPr>
            <w:tcW w:type="dxa" w:w="3360"/>
            <w:tcW w:w="2400" w:type="dxa"/>
            <w:shd w:val="clear" w:color="auto" w:fill="F1F5F8"/>
          </w:tcPr>
          <w:p>
            <w:pPr>
              <w:spacing w:after="0"/>
            </w:pPr>
            <w:r>
              <w:rPr>
                <w:b w:val="0"/>
                <w:i w:val="0"/>
                <w:color w:val="5A6069"/>
                <w:sz w:val="18"/>
              </w:rPr>
              <w:t>Quick reference · 'Transplant eligibility — the nonstandard MMaT-3 route' ('Stability period', 'Extensions')</w:t>
            </w:r>
          </w:p>
        </w:tc>
      </w:tr>
      <w:tr>
        <w:trPr>
          <w:cantSplit/>
        </w:trPr>
        <w:tc>
          <w:tcPr>
            <w:tcW w:type="dxa" w:w="3360"/>
            <w:tcW w:w="2200" w:type="dxa"/>
            <w:shd w:val="clear" w:color="auto" w:fill="FFFFFF"/>
          </w:tcPr>
          <w:p>
            <w:pPr>
              <w:spacing w:after="0"/>
            </w:pPr>
            <w:r>
              <w:rPr>
                <w:b/>
                <w:i w:val="0"/>
                <w:sz w:val="19"/>
              </w:rPr>
              <w:t>ILTS-ILCA 2024 consensus</w:t>
            </w:r>
          </w:p>
        </w:tc>
        <w:tc>
          <w:tcPr>
            <w:tcW w:type="dxa" w:w="3360"/>
            <w:tcW w:w="5480" w:type="dxa"/>
            <w:shd w:val="clear" w:color="auto" w:fill="FFFFFF"/>
          </w:tcPr>
          <w:p>
            <w:pPr>
              <w:spacing w:after="0"/>
            </w:pPr>
            <w:r>
              <w:rPr>
                <w:b w:val="0"/>
                <w:i w:val="0"/>
                <w:sz w:val="19"/>
              </w:rPr>
              <w:t>Attaches no duration to the cirrhotic 3 cm recommendation, only an observed period of stability; its six-month requirement belongs to the weakly graded non-cirrhotic investigational route.</w:t>
            </w:r>
          </w:p>
        </w:tc>
        <w:tc>
          <w:tcPr>
            <w:tcW w:type="dxa" w:w="3360"/>
            <w:tcW w:w="2400" w:type="dxa"/>
            <w:shd w:val="clear" w:color="auto" w:fill="FFFFFF"/>
          </w:tcPr>
          <w:p>
            <w:pPr>
              <w:spacing w:after="0"/>
            </w:pPr>
            <w:r>
              <w:rPr>
                <w:b w:val="0"/>
                <w:i w:val="0"/>
                <w:color w:val="5A6069"/>
                <w:sz w:val="18"/>
              </w:rPr>
              <w:t>What we are not sure about · 'Six months from diagnosis or last treatment with tumour stability…'; Gate 10 · Reasonable 'Open a defined, registry-tracked pathway…'</w:t>
            </w:r>
          </w:p>
        </w:tc>
      </w:tr>
      <w:tr>
        <w:trPr>
          <w:cantSplit/>
        </w:trPr>
        <w:tc>
          <w:tcPr>
            <w:tcW w:type="dxa" w:w="3360"/>
            <w:tcW w:w="2200" w:type="dxa"/>
            <w:shd w:val="clear" w:color="auto" w:fill="F1F5F8"/>
          </w:tcPr>
          <w:p>
            <w:pPr>
              <w:spacing w:after="0"/>
            </w:pPr>
            <w:r>
              <w:rPr>
                <w:b/>
                <w:i w:val="0"/>
                <w:sz w:val="19"/>
              </w:rPr>
              <w:t>Lunsford (Houston Methodist–MD Anderson) protocol</w:t>
            </w:r>
          </w:p>
        </w:tc>
        <w:tc>
          <w:tcPr>
            <w:tcW w:type="dxa" w:w="3360"/>
            <w:tcW w:w="5480" w:type="dxa"/>
            <w:shd w:val="clear" w:color="auto" w:fill="F1F5F8"/>
          </w:tcPr>
          <w:p>
            <w:pPr>
              <w:spacing w:after="0"/>
            </w:pPr>
            <w:r>
              <w:rPr>
                <w:b w:val="0"/>
                <w:i w:val="0"/>
                <w:sz w:val="19"/>
              </w:rPr>
              <w:t>Required 6 months of radiographic stability on gemcitabine-based therapy; 6 transplanted, 5-year survival 83.3% but recurrence-free 50%. The authors concede selecting for stability may select indolent biology.</w:t>
            </w:r>
          </w:p>
        </w:tc>
        <w:tc>
          <w:tcPr>
            <w:tcW w:type="dxa" w:w="3360"/>
            <w:tcW w:w="2400" w:type="dxa"/>
            <w:shd w:val="clear" w:color="auto" w:fill="F1F5F8"/>
          </w:tcPr>
          <w:p>
            <w:pPr>
              <w:spacing w:after="0"/>
            </w:pPr>
            <w:r>
              <w:rPr>
                <w:b w:val="0"/>
                <w:i w:val="0"/>
                <w:color w:val="5A6069"/>
                <w:sz w:val="18"/>
              </w:rPr>
              <w:t>Gate 10 · Reasonable 'Locally advanced disease selected on sustained stability, under protocol'</w:t>
            </w:r>
          </w:p>
        </w:tc>
      </w:tr>
      <w:tr>
        <w:trPr>
          <w:cantSplit/>
        </w:trPr>
        <w:tc>
          <w:tcPr>
            <w:tcW w:type="dxa" w:w="3360"/>
            <w:tcW w:w="2200" w:type="dxa"/>
            <w:shd w:val="clear" w:color="auto" w:fill="FFFFFF"/>
          </w:tcPr>
          <w:p>
            <w:pPr>
              <w:spacing w:after="0"/>
            </w:pPr>
            <w:r>
              <w:rPr>
                <w:b/>
                <w:i w:val="0"/>
                <w:sz w:val="19"/>
              </w:rPr>
              <w:t>Sapisochin explant series</w:t>
            </w:r>
          </w:p>
        </w:tc>
        <w:tc>
          <w:tcPr>
            <w:tcW w:type="dxa" w:w="3360"/>
            <w:tcW w:w="5480" w:type="dxa"/>
            <w:shd w:val="clear" w:color="auto" w:fill="FFFFFF"/>
          </w:tcPr>
          <w:p>
            <w:pPr>
              <w:spacing w:after="0"/>
            </w:pPr>
            <w:r>
              <w:rPr>
                <w:b w:val="0"/>
                <w:i w:val="0"/>
                <w:sz w:val="19"/>
              </w:rPr>
              <w:t>Required no stability period and could not have, because the cancer was diagnosed on the explant.</w:t>
            </w:r>
          </w:p>
        </w:tc>
        <w:tc>
          <w:tcPr>
            <w:tcW w:type="dxa" w:w="3360"/>
            <w:tcW w:w="2400" w:type="dxa"/>
            <w:shd w:val="clear" w:color="auto" w:fill="FFFFFF"/>
          </w:tcPr>
          <w:p>
            <w:pPr>
              <w:spacing w:after="0"/>
            </w:pPr>
            <w:r>
              <w:rPr>
                <w:b w:val="0"/>
                <w:i w:val="0"/>
                <w:color w:val="5A6069"/>
                <w:sz w:val="18"/>
              </w:rPr>
              <w:t>Gate 10 · Standard 'Read the supporting evidence for what it is…' (note); What we are not sure about · 'Six months from diagnosis…'</w:t>
            </w:r>
          </w:p>
        </w:tc>
      </w:tr>
    </w:tbl>
    <w:p>
      <w:pPr>
        <w:spacing w:after="40"/>
      </w:pPr>
    </w:p>
    <w:p>
      <w:pPr>
        <w:spacing w:after="80"/>
      </w:pPr>
      <w:r>
        <w:rPr>
          <w:b/>
          <w:i w:val="0"/>
        </w:rPr>
        <w:t xml:space="preserve">Where sources differ: </w:t>
      </w:r>
      <w:r>
        <w:rPr>
          <w:b w:val="0"/>
          <w:i w:val="0"/>
        </w:rPr>
        <w:t>The OPTN route requires six months while ILTS-ILCA sets no duration for the cirrhotic phenotype, the six-month figure comes from a six-patient protocol in locally advanced disease, and the explant series behind the size data required no stability at all.</w:t>
      </w:r>
    </w:p>
    <w:p>
      <w:pPr>
        <w:pStyle w:val="Heading3"/>
        <w:keepNext/>
        <w:spacing w:before="120" w:after="80"/>
      </w:pPr>
      <w:r>
        <w:rPr>
          <w:b w:val="0"/>
          <w:i w:val="0"/>
        </w:rPr>
        <w:t>Our proposed selection (OPEN)</w:t>
      </w:r>
    </w:p>
    <w:p>
      <w:pPr>
        <w:spacing w:after="80"/>
      </w:pPr>
      <w:r>
        <w:rPr>
          <w:b w:val="0"/>
          <w:i w:val="0"/>
        </w:rPr>
        <w:t>Keep six months from diagnosis or last treatment with serial-scan stability (still 3 cm or less, no new lesions, no extrahepatic disease), recording both dates; one responding scan is insufficient. The roadmap defends six months as a biology test, calls the right length unknown, and sets no therapy or scan interval for that period.</w:t>
      </w:r>
    </w:p>
    <w:p>
      <w:pPr>
        <w:spacing w:after="80"/>
      </w:pPr>
      <w:r>
        <w:rPr>
          <w:b/>
          <w:i w:val="0"/>
          <w:color w:val="5A6069"/>
          <w:sz w:val="18"/>
        </w:rPr>
        <w:t xml:space="preserve">Basis in the document: </w:t>
      </w:r>
      <w:r>
        <w:rPr>
          <w:b w:val="0"/>
          <w:i w:val="0"/>
          <w:color w:val="5A6069"/>
          <w:sz w:val="18"/>
        </w:rPr>
        <w:t>Gate 10 criteria; Quick reference · 'Transplant eligibility — the nonstandard MMaT-3 route' ('Stability period'); What we are not sure about · 'Six months from diagnosis or last treatment…'</w:t>
      </w:r>
    </w:p>
    <w:p>
      <w:pPr>
        <w:spacing w:after="80"/>
      </w:pPr>
      <w:r>
        <w:rPr>
          <w:b/>
          <w:i w:val="0"/>
        </w:rPr>
        <w:t xml:space="preserve">Why: </w:t>
      </w:r>
      <w:r>
        <w:rPr>
          <w:b w:val="0"/>
          <w:i w:val="0"/>
        </w:rPr>
        <w:t>ILTS-ILCA 2024 attaches no duration to the cirrhotic ≤3 cm recommendation; the six-month figure in our criteria comes from its separate weakly graded non-cirrhotic route and from the Houston Methodist–MD Anderson protocol, whose own authors concede that selecting for stability may be selecting indolent biology. The explant series that supplies our size data required no stability at all.</w:t>
      </w:r>
    </w:p>
    <w:p>
      <w:pPr>
        <w:spacing w:after="80"/>
      </w:pPr>
      <w:r>
        <w:rPr>
          <w:b/>
          <w:i w:val="0"/>
        </w:rPr>
        <w:t xml:space="preserve">What gets audited: </w:t>
      </w:r>
      <w:r>
        <w:rPr>
          <w:b w:val="0"/>
          <w:i w:val="0"/>
        </w:rPr>
        <w:t>Registry: stability interval achieved, regimen, imaging interval, and waitlist dropout for progression.</w:t>
      </w:r>
    </w:p>
    <w:p>
      <w:pPr>
        <w:pStyle w:val="Heading3"/>
        <w:keepNext/>
        <w:spacing w:before="120" w:after="80"/>
      </w:pPr>
      <w:r>
        <w:rPr>
          <w:b w:val="0"/>
          <w:i w:val="0"/>
        </w:rPr>
        <w:t>iCCA-D11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iCCA-D12 — Does the page name trastuzumab deruxtecan, entrectinib, larotrectinib and selpercatinib, as ESMO 2024 does, or only require that the alterations be captured?</w:t>
      </w:r>
    </w:p>
    <w:p>
      <w:pPr>
        <w:spacing w:after="80"/>
      </w:pPr>
      <w:r>
        <w:rPr>
          <w:b w:val="0"/>
          <w:i w:val="0"/>
          <w:color w:val="5A6069"/>
          <w:sz w:val="18"/>
        </w:rPr>
        <w:t>OPEN — not yet decided · Clinical</w:t>
      </w:r>
    </w:p>
    <w:p>
      <w:pPr>
        <w:spacing w:after="80"/>
      </w:pPr>
      <w:r>
        <w:rPr>
          <w:b/>
          <w:i w:val="0"/>
        </w:rPr>
        <w:t xml:space="preserve">Where it is decided: </w:t>
      </w:r>
      <w:hyperlink r:id="rId16">
        <w:r>
          <w:rPr>
            <w:color w:val="0563C1"/>
            <w:u w:val="single"/>
          </w:rPr>
          <w:t xml:space="preserve">2 · Request molecular profiling</w:t>
        </w:r>
      </w:hyperlink>
      <w:r>
        <w:rPr>
          <w:b w:val="0"/>
          <w:i w:val="0"/>
        </w:rPr>
        <w:t xml:space="preserve"> · </w:t>
      </w:r>
      <w:hyperlink r:id="rId28">
        <w:r>
          <w:rPr>
            <w:color w:val="0563C1"/>
            <w:u w:val="single"/>
          </w:rPr>
          <w:t xml:space="preserve">6 · Distant metastatic disease</w:t>
        </w:r>
      </w:hyperlink>
      <w:r>
        <w:rPr>
          <w:b w:val="0"/>
          <w:i w:val="0"/>
        </w:rPr>
        <w:t xml:space="preserve"> · </w:t>
      </w:r>
      <w:hyperlink r:id="rId29">
        <w:r>
          <w:rPr>
            <w:color w:val="0563C1"/>
            <w:u w:val="single"/>
          </w:rPr>
          <w:t xml:space="preserve">9 · Systemic treatment for advanced disease</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ESMO BTC 2024 interim update</w:t>
            </w:r>
          </w:p>
        </w:tc>
        <w:tc>
          <w:tcPr>
            <w:tcW w:type="dxa" w:w="3360"/>
            <w:tcW w:w="5480" w:type="dxa"/>
            <w:shd w:val="clear" w:color="auto" w:fill="F1F5F8"/>
          </w:tcPr>
          <w:p>
            <w:pPr>
              <w:spacing w:after="0"/>
            </w:pPr>
            <w:r>
              <w:rPr>
                <w:b w:val="0"/>
                <w:i w:val="0"/>
                <w:sz w:val="19"/>
              </w:rPr>
              <w:t>Recommends trastuzumab deruxtecan for HER2, NTRK inhibitors and selpercatinib for RET fusions at level III grade A, while conceding there are no standardised HER2 assessment criteria in biliary tract cancer.</w:t>
            </w:r>
          </w:p>
        </w:tc>
        <w:tc>
          <w:tcPr>
            <w:tcW w:type="dxa" w:w="3360"/>
            <w:tcW w:w="2400" w:type="dxa"/>
            <w:shd w:val="clear" w:color="auto" w:fill="F1F5F8"/>
          </w:tcPr>
          <w:p>
            <w:pPr>
              <w:spacing w:after="0"/>
            </w:pPr>
            <w:r>
              <w:rPr>
                <w:b w:val="0"/>
                <w:i w:val="0"/>
                <w:color w:val="5A6069"/>
                <w:sz w:val="18"/>
              </w:rPr>
              <w:t>Gate 2 · options 'HER2 amplification or overexpression' (note) and 'NTRK fusion, RET fusion…' (avoid); What we are not sure about · 'The matched targeted agents…'</w:t>
            </w:r>
          </w:p>
        </w:tc>
      </w:tr>
      <w:tr>
        <w:trPr>
          <w:cantSplit/>
        </w:trPr>
        <w:tc>
          <w:tcPr>
            <w:tcW w:type="dxa" w:w="3360"/>
            <w:tcW w:w="2200" w:type="dxa"/>
            <w:shd w:val="clear" w:color="auto" w:fill="FFFFFF"/>
          </w:tcPr>
          <w:p>
            <w:pPr>
              <w:spacing w:after="0"/>
            </w:pPr>
            <w:r>
              <w:rPr>
                <w:b/>
                <w:i w:val="0"/>
                <w:sz w:val="19"/>
              </w:rPr>
              <w:t>HERIZON-BTC-01</w:t>
            </w:r>
          </w:p>
        </w:tc>
        <w:tc>
          <w:tcPr>
            <w:tcW w:type="dxa" w:w="3360"/>
            <w:tcW w:w="5480" w:type="dxa"/>
            <w:shd w:val="clear" w:color="auto" w:fill="FFFFFF"/>
          </w:tcPr>
          <w:p>
            <w:pPr>
              <w:spacing w:after="0"/>
            </w:pPr>
            <w:r>
              <w:rPr>
                <w:b w:val="0"/>
                <w:i w:val="0"/>
                <w:sz w:val="19"/>
              </w:rPr>
              <w:t>Zanidatamab single-arm response 41% concentrated in IHC 3+ disease (a post hoc split), reported for biliary tract cancer as a whole without an intrahepatic breakdown.</w:t>
            </w:r>
          </w:p>
        </w:tc>
        <w:tc>
          <w:tcPr>
            <w:tcW w:type="dxa" w:w="3360"/>
            <w:tcW w:w="2400" w:type="dxa"/>
            <w:shd w:val="clear" w:color="auto" w:fill="FFFFFF"/>
          </w:tcPr>
          <w:p>
            <w:pPr>
              <w:spacing w:after="0"/>
            </w:pPr>
            <w:r>
              <w:rPr>
                <w:b w:val="0"/>
                <w:i w:val="0"/>
                <w:color w:val="5A6069"/>
                <w:sz w:val="18"/>
              </w:rPr>
              <w:t>Gate 2 · option 'HER2 amplification or overexpression'</w:t>
            </w:r>
          </w:p>
        </w:tc>
      </w:tr>
    </w:tbl>
    <w:p>
      <w:pPr>
        <w:spacing w:after="40"/>
      </w:pPr>
    </w:p>
    <w:p>
      <w:pPr>
        <w:spacing w:after="80"/>
      </w:pPr>
      <w:r>
        <w:rPr>
          <w:b/>
          <w:i w:val="0"/>
        </w:rPr>
        <w:t xml:space="preserve">Where sources differ: </w:t>
      </w:r>
      <w:r>
        <w:rPr>
          <w:b w:val="0"/>
          <w:i w:val="0"/>
        </w:rPr>
        <w:t>ESMO 2024 names the agents on single-arm or basket evidence while admitting HER2 assessment is unstandardised, and the HER2 trial reports biliary tract cancer without an intrahepatic breakdown.</w:t>
      </w:r>
    </w:p>
    <w:p>
      <w:pPr>
        <w:pStyle w:val="Heading3"/>
        <w:keepNext/>
        <w:spacing w:before="120" w:after="80"/>
      </w:pPr>
      <w:r>
        <w:rPr>
          <w:b w:val="0"/>
          <w:i w:val="0"/>
        </w:rPr>
        <w:t>Our proposed selection (OPEN)</w:t>
      </w:r>
    </w:p>
    <w:p>
      <w:pPr>
        <w:spacing w:after="80"/>
      </w:pPr>
      <w:r>
        <w:rPr>
          <w:b w:val="0"/>
          <w:i w:val="0"/>
        </w:rPr>
        <w:t>Current table only requires HER2, NTRK and RET findings to be captured on the same broad panel, not the agents named; capture is not a licence to prescribe; match treatment to the alteration class, with molecular-oncology review for other alterations. Whether to name the agents is a local approval item (alignment worksheet, area 14).</w:t>
      </w:r>
    </w:p>
    <w:p>
      <w:pPr>
        <w:spacing w:after="80"/>
      </w:pPr>
      <w:r>
        <w:rPr>
          <w:b/>
          <w:i w:val="0"/>
          <w:color w:val="5A6069"/>
          <w:sz w:val="18"/>
        </w:rPr>
        <w:t xml:space="preserve">Basis in the document: </w:t>
      </w:r>
      <w:r>
        <w:rPr>
          <w:b w:val="0"/>
          <w:i w:val="0"/>
          <w:color w:val="5A6069"/>
          <w:sz w:val="18"/>
        </w:rPr>
        <w:t>Gate 2 · Standard molecular options ('HER2…', 'NTRK fusion, RET fusion…', flagnote)</w:t>
      </w:r>
    </w:p>
    <w:p>
      <w:pPr>
        <w:spacing w:after="80"/>
      </w:pPr>
      <w:r>
        <w:rPr>
          <w:b/>
          <w:i w:val="0"/>
        </w:rPr>
        <w:t xml:space="preserve">Why: </w:t>
      </w:r>
      <w:r>
        <w:rPr>
          <w:b w:val="0"/>
          <w:i w:val="0"/>
        </w:rPr>
        <w:t>The ESMO recommendations are level III grade A — single-arm or basket-trial evidence — several agents are FDA- but not EMA-approved, and ESMO itself concedes there are no standardised criteria for HER2 assessment in biliary tract cancer. Alignment worksheet, area 14.</w:t>
      </w:r>
    </w:p>
    <w:p>
      <w:pPr>
        <w:spacing w:after="80"/>
      </w:pPr>
      <w:r>
        <w:rPr>
          <w:b/>
          <w:i w:val="0"/>
        </w:rPr>
        <w:t xml:space="preserve">What gets audited: </w:t>
      </w:r>
      <w:r>
        <w:rPr>
          <w:b w:val="0"/>
          <w:i w:val="0"/>
        </w:rPr>
        <w:t>Audit: matched agents prescribed, alteration class, assay used and line of therapy.</w:t>
      </w:r>
    </w:p>
    <w:p>
      <w:pPr>
        <w:pStyle w:val="Heading3"/>
        <w:keepNext/>
        <w:spacing w:before="120" w:after="80"/>
      </w:pPr>
      <w:r>
        <w:rPr>
          <w:b w:val="0"/>
          <w:i w:val="0"/>
        </w:rPr>
        <w:t>iCCA-D12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iCCA-D13 — Is there a default first-line checkpoint combination, or does the choice stay with the treating oncologist?</w:t>
      </w:r>
    </w:p>
    <w:p>
      <w:pPr>
        <w:spacing w:after="80"/>
      </w:pPr>
      <w:r>
        <w:rPr>
          <w:b w:val="0"/>
          <w:i w:val="0"/>
          <w:color w:val="5A6069"/>
          <w:sz w:val="18"/>
        </w:rPr>
        <w:t>OPEN — not yet decided · Clinical</w:t>
      </w:r>
    </w:p>
    <w:p>
      <w:pPr>
        <w:spacing w:after="80"/>
      </w:pPr>
      <w:r>
        <w:rPr>
          <w:b/>
          <w:i w:val="0"/>
        </w:rPr>
        <w:t xml:space="preserve">Where it is decided: </w:t>
      </w:r>
      <w:hyperlink r:id="rId28">
        <w:r>
          <w:rPr>
            <w:color w:val="0563C1"/>
            <w:u w:val="single"/>
          </w:rPr>
          <w:t xml:space="preserve">6 · Distant metastatic disease</w:t>
        </w:r>
      </w:hyperlink>
      <w:r>
        <w:rPr>
          <w:b w:val="0"/>
          <w:i w:val="0"/>
        </w:rPr>
        <w:t xml:space="preserve"> · </w:t>
      </w:r>
      <w:hyperlink r:id="rId29">
        <w:r>
          <w:rPr>
            <w:color w:val="0563C1"/>
            <w:u w:val="single"/>
          </w:rPr>
          <w:t xml:space="preserve">9 · Systemic treatment for advanced disease</w:t>
        </w:r>
      </w:hyperlink>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TOPAZ-1</w:t>
            </w:r>
          </w:p>
        </w:tc>
        <w:tc>
          <w:tcPr>
            <w:tcW w:type="dxa" w:w="3360"/>
            <w:tcW w:w="5480" w:type="dxa"/>
            <w:shd w:val="clear" w:color="auto" w:fill="F1F5F8"/>
          </w:tcPr>
          <w:p>
            <w:pPr>
              <w:spacing w:after="0"/>
            </w:pPr>
            <w:r>
              <w:rPr>
                <w:b w:val="0"/>
                <w:i w:val="0"/>
                <w:sz w:val="19"/>
              </w:rPr>
              <w:t>Durvalumab added an OS HR of 0.80 (median gain 1.3 months), benefit accruing mostly after 6 months, with gemcitabine capped at eight cycles; interim analysis with non-proportional hazards.</w:t>
            </w:r>
          </w:p>
        </w:tc>
        <w:tc>
          <w:tcPr>
            <w:tcW w:type="dxa" w:w="3360"/>
            <w:tcW w:w="2400" w:type="dxa"/>
            <w:shd w:val="clear" w:color="auto" w:fill="F1F5F8"/>
          </w:tcPr>
          <w:p>
            <w:pPr>
              <w:spacing w:after="0"/>
            </w:pPr>
            <w:r>
              <w:rPr>
                <w:b w:val="0"/>
                <w:i w:val="0"/>
                <w:color w:val="5A6069"/>
                <w:sz w:val="18"/>
              </w:rPr>
              <w:t>Gate 6 · Standard option 'Gemcitabine and cisplatin plus durvalumab (TOPAZ-1)'</w:t>
            </w:r>
          </w:p>
        </w:tc>
      </w:tr>
      <w:tr>
        <w:trPr>
          <w:cantSplit/>
        </w:trPr>
        <w:tc>
          <w:tcPr>
            <w:tcW w:type="dxa" w:w="3360"/>
            <w:tcW w:w="2200" w:type="dxa"/>
            <w:shd w:val="clear" w:color="auto" w:fill="FFFFFF"/>
          </w:tcPr>
          <w:p>
            <w:pPr>
              <w:spacing w:after="0"/>
            </w:pPr>
            <w:r>
              <w:rPr>
                <w:b/>
                <w:i w:val="0"/>
                <w:sz w:val="19"/>
              </w:rPr>
              <w:t>KEYNOTE-966</w:t>
            </w:r>
          </w:p>
        </w:tc>
        <w:tc>
          <w:tcPr>
            <w:tcW w:type="dxa" w:w="3360"/>
            <w:tcW w:w="5480" w:type="dxa"/>
            <w:shd w:val="clear" w:color="auto" w:fill="FFFFFF"/>
          </w:tcPr>
          <w:p>
            <w:pPr>
              <w:spacing w:after="0"/>
            </w:pPr>
            <w:r>
              <w:rPr>
                <w:b w:val="0"/>
                <w:i w:val="0"/>
                <w:sz w:val="19"/>
              </w:rPr>
              <w:t>Pembrolizumab added an OS HR of 0.83 (gain 1.8 months), intrahepatic HR 0.76, gemcitabine to progression; secondary endpoints missed their boundaries and treatment-related deaths were higher.</w:t>
            </w:r>
          </w:p>
        </w:tc>
        <w:tc>
          <w:tcPr>
            <w:tcW w:type="dxa" w:w="3360"/>
            <w:tcW w:w="2400" w:type="dxa"/>
            <w:shd w:val="clear" w:color="auto" w:fill="FFFFFF"/>
          </w:tcPr>
          <w:p>
            <w:pPr>
              <w:spacing w:after="0"/>
            </w:pPr>
            <w:r>
              <w:rPr>
                <w:b w:val="0"/>
                <w:i w:val="0"/>
                <w:color w:val="5A6069"/>
                <w:sz w:val="18"/>
              </w:rPr>
              <w:t>Gate 6 · Standard option 'Gemcitabine and cisplatin plus pembrolizumab (KEYNOTE-966)'</w:t>
            </w:r>
          </w:p>
        </w:tc>
      </w:tr>
      <w:tr>
        <w:trPr>
          <w:cantSplit/>
        </w:trPr>
        <w:tc>
          <w:tcPr>
            <w:tcW w:type="dxa" w:w="3360"/>
            <w:tcW w:w="2200" w:type="dxa"/>
            <w:shd w:val="clear" w:color="auto" w:fill="F1F5F8"/>
          </w:tcPr>
          <w:p>
            <w:pPr>
              <w:spacing w:after="0"/>
            </w:pPr>
            <w:r>
              <w:rPr>
                <w:b/>
                <w:i w:val="0"/>
                <w:sz w:val="19"/>
              </w:rPr>
              <w:t>ESMO BTC 2024 interim update</w:t>
            </w:r>
          </w:p>
        </w:tc>
        <w:tc>
          <w:tcPr>
            <w:tcW w:type="dxa" w:w="3360"/>
            <w:tcW w:w="5480" w:type="dxa"/>
            <w:shd w:val="clear" w:color="auto" w:fill="F1F5F8"/>
          </w:tcPr>
          <w:p>
            <w:pPr>
              <w:spacing w:after="0"/>
            </w:pPr>
            <w:r>
              <w:rPr>
                <w:b w:val="0"/>
                <w:i w:val="0"/>
                <w:sz w:val="19"/>
              </w:rPr>
              <w:t>Recommends both [I, A] and states no biomarker or efficacy or toxicity difference favours either; the roadmap notes this interchangeability rests on an indirect cross-trial comparison.</w:t>
            </w:r>
          </w:p>
        </w:tc>
        <w:tc>
          <w:tcPr>
            <w:tcW w:type="dxa" w:w="3360"/>
            <w:tcW w:w="2400" w:type="dxa"/>
            <w:shd w:val="clear" w:color="auto" w:fill="F1F5F8"/>
          </w:tcPr>
          <w:p>
            <w:pPr>
              <w:spacing w:after="0"/>
            </w:pPr>
            <w:r>
              <w:rPr>
                <w:b w:val="0"/>
                <w:i w:val="0"/>
                <w:color w:val="5A6069"/>
                <w:sz w:val="18"/>
              </w:rPr>
              <w:t>Gate 6 · Standard options (order); Gate 9 · Standard 'Cisplatin–gemcitabine with a checkpoint inhibitor…' (pref, note)</w:t>
            </w:r>
          </w:p>
        </w:tc>
      </w:tr>
      <w:tr>
        <w:trPr>
          <w:cantSplit/>
        </w:trPr>
        <w:tc>
          <w:tcPr>
            <w:tcW w:type="dxa" w:w="3360"/>
            <w:tcW w:w="2200" w:type="dxa"/>
            <w:shd w:val="clear" w:color="auto" w:fill="FFFFFF"/>
          </w:tcPr>
          <w:p>
            <w:pPr>
              <w:spacing w:after="0"/>
            </w:pPr>
            <w:r>
              <w:rPr>
                <w:b/>
                <w:i w:val="0"/>
                <w:sz w:val="19"/>
              </w:rPr>
              <w:t>BSG 2023</w:t>
            </w:r>
          </w:p>
        </w:tc>
        <w:tc>
          <w:tcPr>
            <w:tcW w:type="dxa" w:w="3360"/>
            <w:tcW w:w="5480" w:type="dxa"/>
            <w:shd w:val="clear" w:color="auto" w:fill="FFFFFF"/>
          </w:tcPr>
          <w:p>
            <w:pPr>
              <w:spacing w:after="0"/>
            </w:pPr>
            <w:r>
              <w:rPr>
                <w:b w:val="0"/>
                <w:i w:val="0"/>
                <w:sz w:val="19"/>
              </w:rPr>
              <w:t>Regards oxaliplatin substitution in renal impairment and gemcitabine alone in poor performance status as reasonable modifications.</w:t>
            </w:r>
          </w:p>
        </w:tc>
        <w:tc>
          <w:tcPr>
            <w:tcW w:type="dxa" w:w="3360"/>
            <w:tcW w:w="2400" w:type="dxa"/>
            <w:shd w:val="clear" w:color="auto" w:fill="FFFFFF"/>
          </w:tcPr>
          <w:p>
            <w:pPr>
              <w:spacing w:after="0"/>
            </w:pPr>
            <w:r>
              <w:rPr>
                <w:b w:val="0"/>
                <w:i w:val="0"/>
                <w:color w:val="5A6069"/>
                <w:sz w:val="18"/>
              </w:rPr>
              <w:t>Gate 6 · Standard options (flagnote); Gate 9 · Standard 'Performance status, renal and hepatic function…' (avoid)</w:t>
            </w:r>
          </w:p>
        </w:tc>
      </w:tr>
    </w:tbl>
    <w:p>
      <w:pPr>
        <w:spacing w:after="40"/>
      </w:pPr>
    </w:p>
    <w:p>
      <w:pPr>
        <w:spacing w:after="80"/>
      </w:pPr>
      <w:r>
        <w:rPr>
          <w:b/>
          <w:i w:val="0"/>
        </w:rPr>
        <w:t xml:space="preserve">Where sources differ: </w:t>
      </w:r>
      <w:r>
        <w:rPr>
          <w:b w:val="0"/>
          <w:i w:val="0"/>
        </w:rPr>
        <w:t>No randomised comparison exists, so ESMO's interchangeability rests on cross-trial comparison, and BSG names modification defaults the roadmap leaves unnamed.</w:t>
      </w:r>
    </w:p>
    <w:p>
      <w:pPr>
        <w:pStyle w:val="Heading3"/>
        <w:keepNext/>
        <w:spacing w:before="120" w:after="80"/>
      </w:pPr>
      <w:r>
        <w:rPr>
          <w:b w:val="0"/>
          <w:i w:val="0"/>
        </w:rPr>
        <w:t>Our proposed selection (OPEN)</w:t>
      </w:r>
    </w:p>
    <w:p>
      <w:pPr>
        <w:spacing w:after="80"/>
      </w:pPr>
      <w:r>
        <w:rPr>
          <w:b w:val="0"/>
          <w:i w:val="0"/>
        </w:rPr>
        <w:t>No default: the roadmap does not rank durvalumab and pembrolizumab, accepts either with cisplatin–gemcitabine, and leaves the choice and any modification to the treating oncologist on toxicity profile, schedule and access, with the reason recorded; whether to name the BSG defaults is a local approval item (alignment worksheet, area 13).</w:t>
      </w:r>
    </w:p>
    <w:p>
      <w:pPr>
        <w:spacing w:after="80"/>
      </w:pPr>
      <w:r>
        <w:rPr>
          <w:b/>
          <w:i w:val="0"/>
          <w:color w:val="5A6069"/>
          <w:sz w:val="18"/>
        </w:rPr>
        <w:t xml:space="preserve">Basis in the document: </w:t>
      </w:r>
      <w:r>
        <w:rPr>
          <w:b w:val="0"/>
          <w:i w:val="0"/>
          <w:color w:val="5A6069"/>
          <w:sz w:val="18"/>
        </w:rPr>
        <w:t>Gate 6 · Standard options (order, flagnote); Gate 9 · Standard 'Cisplatin–gemcitabine with a checkpoint inhibitor…' and 'Performance status, renal and hepatic function…'</w:t>
      </w:r>
    </w:p>
    <w:p>
      <w:pPr>
        <w:spacing w:after="80"/>
      </w:pPr>
      <w:r>
        <w:rPr>
          <w:b/>
          <w:i w:val="0"/>
        </w:rPr>
        <w:t xml:space="preserve">Why: </w:t>
      </w:r>
      <w:r>
        <w:rPr>
          <w:b w:val="0"/>
          <w:i w:val="0"/>
        </w:rPr>
        <w:t>No randomised comparison exists between durvalumab and pembrolizumab; ESMO's statement that they are interchangeable is an indirect comparison across trials differing in chemotherapy duration, geography and size. The practical differences are the gemcitabine cycle cap, schedule and access, not efficacy. BSG 2023 also treats oxaliplatin substitution in renal impairment and gemcitabine alone in poor performance status as reasonable, which our page leaves unnamed. Alignment worksheet, area 13.</w:t>
      </w:r>
    </w:p>
    <w:p>
      <w:pPr>
        <w:spacing w:after="80"/>
      </w:pPr>
      <w:r>
        <w:rPr>
          <w:b/>
          <w:i w:val="0"/>
        </w:rPr>
        <w:t xml:space="preserve">What gets audited: </w:t>
      </w:r>
      <w:r>
        <w:rPr>
          <w:b w:val="0"/>
          <w:i w:val="0"/>
        </w:rPr>
        <w:t>Audit: regimen chosen, cycles delivered, any modification and the reason recorded.</w:t>
      </w:r>
    </w:p>
    <w:p>
      <w:pPr>
        <w:pStyle w:val="Heading3"/>
        <w:keepNext/>
        <w:spacing w:before="120" w:after="80"/>
      </w:pPr>
      <w:r>
        <w:rPr>
          <w:b w:val="0"/>
          <w:i w:val="0"/>
        </w:rPr>
        <w:t>iCCA-D13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iCCA-D14 — Post-resection surveillance — 3-monthly or 6-monthly imaging for the first two years?</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3 · Assess resection</w:t>
        </w:r>
      </w:hyperlink>
      <w:r>
        <w:rPr>
          <w:b w:val="0"/>
          <w:i w:val="0"/>
        </w:rPr>
        <w:t xml:space="preserve"> · </w:t>
      </w:r>
      <w:hyperlink r:id="rId14">
        <w:r>
          <w:rPr>
            <w:color w:val="0563C1"/>
            <w:u w:val="single"/>
          </w:rPr>
          <w:t xml:space="preserve">8 · Adjuvant treatment after resection</w:t>
        </w:r>
      </w:hyperlink>
    </w:p>
    <w:p>
      <w:pPr>
        <w:spacing w:after="120"/>
      </w:pPr>
      <w:r>
        <w:rPr>
          <w:b/>
          <w:i w:val="0"/>
          <w:sz w:val="18"/>
        </w:rPr>
        <w:t xml:space="preserve">Web page: </w:t>
      </w:r>
      <w:hyperlink r:id="rId3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BTC v1.2026</w:t>
            </w:r>
          </w:p>
        </w:tc>
        <w:tc>
          <w:tcPr>
            <w:tcW w:type="dxa" w:w="3360"/>
            <w:tcW w:w="5480" w:type="dxa"/>
            <w:shd w:val="clear" w:color="auto" w:fill="F1F5F8"/>
          </w:tcPr>
          <w:p>
            <w:pPr>
              <w:spacing w:after="0"/>
            </w:pPr>
            <w:r>
              <w:rPr>
                <w:b w:val="0"/>
                <w:i w:val="0"/>
                <w:sz w:val="19"/>
              </w:rPr>
              <w:t>States there are no data to support a specific surveillance schedule.</w:t>
            </w:r>
          </w:p>
        </w:tc>
        <w:tc>
          <w:tcPr>
            <w:tcW w:type="dxa" w:w="3360"/>
            <w:tcW w:w="2400" w:type="dxa"/>
            <w:shd w:val="clear" w:color="auto" w:fill="F1F5F8"/>
          </w:tcPr>
          <w:p>
            <w:pPr>
              <w:spacing w:after="0"/>
            </w:pPr>
            <w:r>
              <w:rPr>
                <w:b w:val="0"/>
                <w:i w:val="0"/>
                <w:color w:val="5A6069"/>
                <w:sz w:val="18"/>
              </w:rPr>
              <w:t>What we are not sure about · 'Reassessment intervals…'</w:t>
            </w:r>
          </w:p>
        </w:tc>
      </w:tr>
    </w:tbl>
    <w:p>
      <w:pPr>
        <w:spacing w:after="40"/>
      </w:pPr>
    </w:p>
    <w:p>
      <w:pPr>
        <w:spacing w:after="80"/>
      </w:pPr>
      <w:r>
        <w:rPr>
          <w:b/>
          <w:i w:val="0"/>
        </w:rPr>
        <w:t xml:space="preserve">Where sources differ: </w:t>
      </w:r>
      <w:r>
        <w:rPr>
          <w:b w:val="0"/>
          <w:i w:val="0"/>
        </w:rPr>
        <w:t>NCCN finds no data for any schedule, and the roadmap's 3–6-month range leaves the choice between 3-monthly and 6-monthly imaging to a local approval item.</w:t>
      </w:r>
    </w:p>
    <w:p>
      <w:pPr>
        <w:pStyle w:val="Heading3"/>
        <w:keepNext/>
        <w:spacing w:before="120" w:after="80"/>
      </w:pPr>
      <w:r>
        <w:rPr>
          <w:b w:val="0"/>
          <w:i w:val="0"/>
        </w:rPr>
        <w:t>Our proposed selection (OPEN)</w:t>
      </w:r>
    </w:p>
    <w:p>
      <w:pPr>
        <w:spacing w:after="80"/>
      </w:pPr>
      <w:r>
        <w:rPr>
          <w:b w:val="0"/>
          <w:i w:val="0"/>
        </w:rPr>
        <w:t>After resection, imaging every 3–6 months for two years, then less often, graded C to D as expert consensus; fixing the interval at 3-monthly or 6-monthly is left open (alignment worksheet, area 16).</w:t>
      </w:r>
    </w:p>
    <w:p>
      <w:pPr>
        <w:spacing w:after="80"/>
      </w:pPr>
      <w:r>
        <w:rPr>
          <w:b/>
          <w:i w:val="0"/>
          <w:color w:val="5A6069"/>
          <w:sz w:val="18"/>
        </w:rPr>
        <w:t xml:space="preserve">Basis in the document: </w:t>
      </w:r>
      <w:r>
        <w:rPr>
          <w:b w:val="0"/>
          <w:i w:val="0"/>
          <w:color w:val="5A6069"/>
          <w:sz w:val="18"/>
        </w:rPr>
        <w:t>What we are not sure about · 'Reassessment intervals: systemic therapy every 8–12 weeks…'</w:t>
      </w:r>
    </w:p>
    <w:p>
      <w:pPr>
        <w:spacing w:after="80"/>
      </w:pPr>
      <w:r>
        <w:rPr>
          <w:b/>
          <w:i w:val="0"/>
        </w:rPr>
        <w:t xml:space="preserve">Why: </w:t>
      </w:r>
      <w:r>
        <w:rPr>
          <w:b w:val="0"/>
          <w:i w:val="0"/>
        </w:rPr>
        <w:t>NCCN states there are no data supporting a specific surveillance schedule. The argument for 3-monthly is that most recurrences are intrahepatic and some are re-resectable or ablatable; the argument for 6-monthly is that most UK centres practise it and no study shows the shorter interval changes outcome. Alignment worksheet, area 16.</w:t>
      </w:r>
    </w:p>
    <w:p>
      <w:pPr>
        <w:spacing w:after="80"/>
      </w:pPr>
      <w:r>
        <w:rPr>
          <w:b/>
          <w:i w:val="0"/>
        </w:rPr>
        <w:t xml:space="preserve">What gets audited: </w:t>
      </w:r>
      <w:r>
        <w:rPr>
          <w:b w:val="0"/>
          <w:i w:val="0"/>
        </w:rPr>
        <w:t>Audit: interval actually achieved, recurrence pattern, and proportion of recurrences treated with curative intent.</w:t>
      </w:r>
    </w:p>
    <w:p>
      <w:pPr>
        <w:pStyle w:val="Heading3"/>
        <w:keepNext/>
        <w:spacing w:before="120" w:after="80"/>
      </w:pPr>
      <w:r>
        <w:rPr>
          <w:b w:val="0"/>
          <w:i w:val="0"/>
        </w:rPr>
        <w:t>iCCA-D14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iCCA-D15 — Ratify early HAI review, disease-specific selection and programme safeguards.</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4 · Treat and reassess for resection</w:t>
        </w:r>
      </w:hyperlink>
      <w:r>
        <w:rPr>
          <w:b w:val="0"/>
          <w:i w:val="0"/>
        </w:rPr>
        <w:t xml:space="preserve"> · </w:t>
      </w:r>
      <w:hyperlink r:id="rId10">
        <w:r>
          <w:rPr>
            <w:color w:val="0563C1"/>
            <w:u w:val="single"/>
          </w:rPr>
          <w:t xml:space="preserve">5 · Unresectable disease confined to the liver</w:t>
        </w:r>
      </w:hyperlink>
      <w:r>
        <w:rPr>
          <w:b w:val="0"/>
          <w:i w:val="0"/>
        </w:rPr>
        <w:t xml:space="preserve"> · </w:t>
      </w:r>
      <w:hyperlink r:id="rId11">
        <w:r>
          <w:rPr>
            <w:color w:val="0563C1"/>
            <w:u w:val="single"/>
          </w:rPr>
          <w:t xml:space="preserve">7 · Select liver-directed therapy</w:t>
        </w:r>
      </w:hyperlink>
      <w:r>
        <w:rPr>
          <w:b w:val="0"/>
          <w:i w:val="0"/>
        </w:rPr>
        <w:t xml:space="preserve"> · </w:t>
      </w:r>
      <w:hyperlink r:id="rId18">
        <w:r>
          <w:rPr>
            <w:color w:val="0563C1"/>
            <w:u w:val="single"/>
          </w:rPr>
          <w:t xml:space="preserve">10 · Assess transplant eligibility</w:t>
        </w:r>
      </w:hyperlink>
    </w:p>
    <w:p>
      <w:pPr>
        <w:spacing w:after="120"/>
      </w:pPr>
      <w:r>
        <w:rPr>
          <w:b/>
          <w:i w:val="0"/>
          <w:sz w:val="18"/>
        </w:rPr>
        <w:t xml:space="preserve">Web page: </w:t>
      </w:r>
      <w:hyperlink r:id="rId3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BTC v1.2026</w:t>
            </w:r>
          </w:p>
        </w:tc>
        <w:tc>
          <w:tcPr>
            <w:tcW w:type="dxa" w:w="3360"/>
            <w:tcW w:w="5480" w:type="dxa"/>
            <w:shd w:val="clear" w:color="auto" w:fill="F1F5F8"/>
          </w:tcPr>
          <w:p>
            <w:pPr>
              <w:spacing w:after="0"/>
            </w:pPr>
            <w:r>
              <w:rPr>
                <w:b w:val="0"/>
                <w:i w:val="0"/>
                <w:sz w:val="19"/>
              </w:rPr>
              <w:t>Permits HAI in trials or experienced centres for carefully selected patients.</w:t>
            </w:r>
          </w:p>
        </w:tc>
        <w:tc>
          <w:tcPr>
            <w:tcW w:type="dxa" w:w="3360"/>
            <w:tcW w:w="2400" w:type="dxa"/>
            <w:shd w:val="clear" w:color="auto" w:fill="F1F5F8"/>
          </w:tcPr>
          <w:p>
            <w:pPr>
              <w:spacing w:after="0"/>
            </w:pPr>
            <w:r>
              <w:rPr>
                <w:b w:val="0"/>
                <w:i w:val="0"/>
                <w:color w:val="5A6069"/>
                <w:sz w:val="18"/>
              </w:rPr>
              <w:t>Gate 7 · selector option 'Hepatic arterial infusion' (when)</w:t>
            </w:r>
          </w:p>
        </w:tc>
      </w:tr>
      <w:tr>
        <w:trPr>
          <w:cantSplit/>
        </w:trPr>
        <w:tc>
          <w:tcPr>
            <w:tcW w:type="dxa" w:w="3360"/>
            <w:tcW w:w="2200" w:type="dxa"/>
            <w:shd w:val="clear" w:color="auto" w:fill="FFFFFF"/>
          </w:tcPr>
          <w:p>
            <w:pPr>
              <w:spacing w:after="0"/>
            </w:pPr>
            <w:r>
              <w:rPr>
                <w:b/>
                <w:i w:val="0"/>
                <w:sz w:val="19"/>
              </w:rPr>
              <w:t>Pooled analysis of four phase II HAI trials (with PUMP-2)</w:t>
            </w:r>
          </w:p>
        </w:tc>
        <w:tc>
          <w:tcPr>
            <w:tcW w:type="dxa" w:w="3360"/>
            <w:tcW w:w="5480" w:type="dxa"/>
            <w:shd w:val="clear" w:color="auto" w:fill="FFFFFF"/>
          </w:tcPr>
          <w:p>
            <w:pPr>
              <w:spacing w:after="0"/>
            </w:pPr>
            <w:r>
              <w:rPr>
                <w:b w:val="0"/>
                <w:i w:val="0"/>
                <w:sz w:val="19"/>
              </w:rPr>
              <w:t>Prospective HAI evidence admitted selected resectable regional nodal disease; the roadmap separates this from distant spread and from transplant eligibility, and notes the pooled cohorts overlap rather than replicate.</w:t>
            </w:r>
          </w:p>
        </w:tc>
        <w:tc>
          <w:tcPr>
            <w:tcW w:type="dxa" w:w="3360"/>
            <w:tcW w:w="2400" w:type="dxa"/>
            <w:shd w:val="clear" w:color="auto" w:fill="FFFFFF"/>
          </w:tcPr>
          <w:p>
            <w:pPr>
              <w:spacing w:after="0"/>
            </w:pPr>
            <w:r>
              <w:rPr>
                <w:b w:val="0"/>
                <w:i w:val="0"/>
                <w:color w:val="5A6069"/>
                <w:sz w:val="18"/>
              </w:rPr>
              <w:t>HAI evidence and pathway revision · 'Regional nodes and transplant separation', 'Mature pooled outcomes'</w:t>
            </w:r>
          </w:p>
        </w:tc>
      </w:tr>
      <w:tr>
        <w:trPr>
          <w:cantSplit/>
        </w:trPr>
        <w:tc>
          <w:tcPr>
            <w:tcW w:type="dxa" w:w="3360"/>
            <w:tcW w:w="2200" w:type="dxa"/>
            <w:shd w:val="clear" w:color="auto" w:fill="F1F5F8"/>
          </w:tcPr>
          <w:p>
            <w:pPr>
              <w:spacing w:after="0"/>
            </w:pPr>
            <w:r>
              <w:rPr>
                <w:b/>
                <w:i w:val="0"/>
                <w:sz w:val="19"/>
              </w:rPr>
              <w:t>Minimum requirements for new HAI programmes</w:t>
            </w:r>
          </w:p>
        </w:tc>
        <w:tc>
          <w:tcPr>
            <w:tcW w:type="dxa" w:w="3360"/>
            <w:tcW w:w="5480" w:type="dxa"/>
            <w:shd w:val="clear" w:color="auto" w:fill="F1F5F8"/>
          </w:tcPr>
          <w:p>
            <w:pPr>
              <w:spacing w:after="0"/>
            </w:pPr>
            <w:r>
              <w:rPr>
                <w:b w:val="0"/>
                <w:i w:val="0"/>
                <w:sz w:val="19"/>
              </w:rPr>
              <w:t>Credentialing must cover the whole service, from named surgeon and backup to infusion nursing, pharmacy, perfusion assessment, IR rescue, refill coverage, dose-hold rules, biliary escalation and a registry.</w:t>
            </w:r>
          </w:p>
        </w:tc>
        <w:tc>
          <w:tcPr>
            <w:tcW w:type="dxa" w:w="3360"/>
            <w:tcW w:w="2400" w:type="dxa"/>
            <w:shd w:val="clear" w:color="auto" w:fill="F1F5F8"/>
          </w:tcPr>
          <w:p>
            <w:pPr>
              <w:spacing w:after="0"/>
            </w:pPr>
            <w:r>
              <w:rPr>
                <w:b w:val="0"/>
                <w:i w:val="0"/>
                <w:color w:val="5A6069"/>
                <w:sz w:val="18"/>
              </w:rPr>
              <w:t>HAI evidence and pathway revision · 'Programme readiness'</w:t>
            </w:r>
          </w:p>
        </w:tc>
      </w:tr>
      <w:tr>
        <w:trPr>
          <w:cantSplit/>
        </w:trPr>
        <w:tc>
          <w:tcPr>
            <w:tcW w:type="dxa" w:w="3360"/>
            <w:tcW w:w="2200" w:type="dxa"/>
            <w:shd w:val="clear" w:color="auto" w:fill="FFFFFF"/>
          </w:tcPr>
          <w:p>
            <w:pPr>
              <w:spacing w:after="0"/>
            </w:pPr>
            <w:r>
              <w:rPr>
                <w:b/>
                <w:i w:val="0"/>
                <w:sz w:val="19"/>
              </w:rPr>
              <w:t>Floxuridine–bevacizumab biliary toxicity study</w:t>
            </w:r>
          </w:p>
        </w:tc>
        <w:tc>
          <w:tcPr>
            <w:tcW w:type="dxa" w:w="3360"/>
            <w:tcW w:w="5480" w:type="dxa"/>
            <w:shd w:val="clear" w:color="auto" w:fill="FFFFFF"/>
          </w:tcPr>
          <w:p>
            <w:pPr>
              <w:spacing w:after="0"/>
            </w:pPr>
            <w:r>
              <w:rPr>
                <w:b w:val="0"/>
                <w:i w:val="0"/>
                <w:sz w:val="19"/>
              </w:rPr>
              <w:t>Concurrent systemic bevacizumab increases floxuridine HAI biliary toxicity.</w:t>
            </w:r>
          </w:p>
        </w:tc>
        <w:tc>
          <w:tcPr>
            <w:tcW w:type="dxa" w:w="3360"/>
            <w:tcW w:w="2400" w:type="dxa"/>
            <w:shd w:val="clear" w:color="auto" w:fill="FFFFFF"/>
          </w:tcPr>
          <w:p>
            <w:pPr>
              <w:spacing w:after="0"/>
            </w:pPr>
            <w:r>
              <w:rPr>
                <w:b w:val="0"/>
                <w:i w:val="0"/>
                <w:color w:val="5A6069"/>
                <w:sz w:val="18"/>
              </w:rPr>
              <w:t>HAI evidence and pathway revision · 'Feasibility and medication safeguards'</w:t>
            </w:r>
          </w:p>
        </w:tc>
      </w:tr>
    </w:tbl>
    <w:p>
      <w:pPr>
        <w:spacing w:after="40"/>
      </w:pPr>
    </w:p>
    <w:p>
      <w:pPr>
        <w:spacing w:after="80"/>
      </w:pPr>
      <w:r>
        <w:rPr>
          <w:b/>
          <w:i w:val="0"/>
        </w:rPr>
        <w:t xml:space="preserve">Where sources differ: </w:t>
      </w:r>
      <w:r>
        <w:rPr>
          <w:b w:val="0"/>
          <w:i w:val="0"/>
        </w:rPr>
        <w:t>Sources agree on credentialed whole-service programmes and avoiding bevacizumab with floxuridine, but the prospective HAI evidence is nonrandomised and admits regional nodes that the transplant route does not.</w:t>
      </w:r>
    </w:p>
    <w:p>
      <w:pPr>
        <w:pStyle w:val="Heading3"/>
        <w:keepNext/>
        <w:spacing w:before="120" w:after="80"/>
      </w:pPr>
      <w:r>
        <w:rPr>
          <w:b w:val="0"/>
          <w:i w:val="0"/>
        </w:rPr>
        <w:t>Our proposed selection (OPEN)</w:t>
      </w:r>
    </w:p>
    <w:p>
      <w:pPr>
        <w:spacing w:after="80"/>
      </w:pPr>
      <w:r>
        <w:rPr>
          <w:b w:val="0"/>
          <w:i w:val="0"/>
        </w:rPr>
        <w:t>Discuss HAI early for selected unresectable liver-confined iCCA at an experienced programme, with a systemic plan and defined resection reassessment; treat it as control or conversion, not standalone cure, with no ranking against Y90 or ablative radiotherapy; distinguish resectable regional nodes from distant spread, without extending that to transplant; name the whole service first; avoid bevacizumab with floxuridine.</w:t>
      </w:r>
    </w:p>
    <w:p>
      <w:pPr>
        <w:spacing w:after="80"/>
      </w:pPr>
      <w:r>
        <w:rPr>
          <w:b/>
          <w:i w:val="0"/>
          <w:color w:val="5A6069"/>
          <w:sz w:val="18"/>
        </w:rPr>
        <w:t xml:space="preserve">Basis in the document: </w:t>
      </w:r>
      <w:r>
        <w:rPr>
          <w:b w:val="0"/>
          <w:i w:val="0"/>
          <w:color w:val="5A6069"/>
          <w:sz w:val="18"/>
        </w:rPr>
        <w:t>HAI evidence and pathway revision (15 October 2026) · 'Treatment position', 'Regional nodes and transplant separation', 'Programme readiness', 'Feasibility and medication safeguards'</w:t>
      </w:r>
    </w:p>
    <w:p>
      <w:pPr>
        <w:spacing w:after="80"/>
      </w:pPr>
      <w:r>
        <w:rPr>
          <w:b/>
          <w:i w:val="0"/>
        </w:rPr>
        <w:t xml:space="preserve">Why: </w:t>
      </w:r>
      <w:r>
        <w:rPr>
          <w:b w:val="0"/>
          <w:i w:val="0"/>
        </w:rPr>
        <w:t>Before activation, name the HPB pump surgeon and backup, medical oncology lead, nursing/pharmacy team, nuclear-medicine perfusion service and IR rescue service; define refill/maintenance coverage, laboratory monitoring and dose holds, biliary-toxicity escalation, and an outcomes registry. Minimum programme requirements: PMID 39962001; surgical toolkit: PMID 36346892. Avoid concurrent bevacizumab with FUDR (PMID 24154839); retain the NCCN CRLM restriction on concurrent VEGF inhibitors. Selected resectable regional nodes in HAI evidence do not confer transplant eligibility. No established head-to-head modality hierarchy.</w:t>
      </w:r>
    </w:p>
    <w:p>
      <w:pPr>
        <w:spacing w:after="80"/>
      </w:pPr>
      <w:r>
        <w:rPr>
          <w:b/>
          <w:i w:val="0"/>
        </w:rPr>
        <w:t xml:space="preserve">What gets audited: </w:t>
      </w:r>
      <w:r>
        <w:rPr>
          <w:b w:val="0"/>
          <w:i w:val="0"/>
        </w:rPr>
        <w:t>Record intent, referral timing, systemic plan, perfusion verification, dose intensity, biliary complications, reassessment and complete resection/ablation outcomes.</w:t>
      </w:r>
    </w:p>
    <w:p>
      <w:pPr>
        <w:pStyle w:val="Heading3"/>
        <w:keepNext/>
        <w:spacing w:before="120" w:after="80"/>
      </w:pPr>
      <w:r>
        <w:rPr>
          <w:b w:val="0"/>
          <w:i w:val="0"/>
        </w:rPr>
        <w:t>iCCA-D15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AASLD PSC/CCA 2023</w:t>
      </w:r>
      <w:r>
        <w:rPr>
          <w:b w:val="0"/>
          <w:i w:val="0"/>
          <w:sz w:val="19"/>
        </w:rPr>
        <w:t xml:space="preserve"> — Bowlus CL, Arrivé L, Bergquist A, et al. AASLD practice guidance on primary sclerosing cholangitis and cholangiocarcinoma. Hepatology. 2023;77(2):659-702. doi:10.1002/hep.32771. PMID:36083140.</w:t>
      </w:r>
      <w:r>
        <w:rPr>
          <w:b w:val="0"/>
          <w:i w:val="0"/>
          <w:sz w:val="19"/>
        </w:rPr>
        <w:t xml:space="preserve">  </w:t>
      </w:r>
      <w:hyperlink r:id="rId34">
        <w:r>
          <w:rPr>
            <w:color w:val="0563C1"/>
            <w:u w:val="single"/>
            <w:sz w:val="19"/>
          </w:rPr>
          <w:t xml:space="preserve">PubMed</w:t>
        </w:r>
      </w:hyperlink>
    </w:p>
    <w:p>
      <w:pPr>
        <w:spacing w:after="60"/>
      </w:pPr>
      <w:r>
        <w:rPr>
          <w:b/>
          <w:i w:val="0"/>
          <w:sz w:val="19"/>
        </w:rPr>
        <w:t>Ablation meta-analysis</w:t>
      </w:r>
      <w:r>
        <w:rPr>
          <w:b w:val="0"/>
          <w:i w:val="0"/>
          <w:sz w:val="19"/>
        </w:rPr>
        <w:t xml:space="preserve"> — Kim JH, et al. Thermal ablation in the treatment of intrahepatic cholangiocarcinoma: a systematic review and meta-analysis. Eur Radiol. 2021. doi:10.1007/s00330-021-08216-x. PMID:34347159.</w:t>
      </w:r>
      <w:r>
        <w:rPr>
          <w:b w:val="0"/>
          <w:i w:val="0"/>
          <w:sz w:val="19"/>
        </w:rPr>
        <w:t xml:space="preserve">  </w:t>
      </w:r>
      <w:hyperlink r:id="rId35">
        <w:r>
          <w:rPr>
            <w:color w:val="0563C1"/>
            <w:u w:val="single"/>
            <w:sz w:val="19"/>
          </w:rPr>
          <w:t xml:space="preserve">PubMed</w:t>
        </w:r>
      </w:hyperlink>
    </w:p>
    <w:p>
      <w:pPr>
        <w:spacing w:after="60"/>
      </w:pPr>
      <w:r>
        <w:rPr>
          <w:b/>
          <w:i w:val="0"/>
          <w:sz w:val="19"/>
        </w:rPr>
        <w:t>ASCOT</w:t>
      </w:r>
      <w:r>
        <w:rPr>
          <w:b w:val="0"/>
          <w:i w:val="0"/>
          <w:sz w:val="19"/>
        </w:rPr>
        <w:t xml:space="preserve"> — Nakachi K, Ikeda M, Konishi M, et al. Adjuvant S-1 compared with observation in resected biliary tract cancer (JCOG1202, ASCOT): a multicentre, open-label, randomised, controlled, phase 3 trial. Lancet. 2023;401(10372):195-203. doi:10.1016/S0140-6736(22)02038-4. PMID:36681415.</w:t>
      </w:r>
      <w:r>
        <w:rPr>
          <w:b w:val="0"/>
          <w:i w:val="0"/>
          <w:sz w:val="19"/>
        </w:rPr>
        <w:t xml:space="preserve">  </w:t>
      </w:r>
      <w:hyperlink r:id="rId36">
        <w:r>
          <w:rPr>
            <w:color w:val="0563C1"/>
            <w:u w:val="single"/>
            <w:sz w:val="19"/>
          </w:rPr>
          <w:t xml:space="preserve">PubMed</w:t>
        </w:r>
      </w:hyperlink>
    </w:p>
    <w:p>
      <w:pPr>
        <w:spacing w:after="60"/>
      </w:pPr>
      <w:r>
        <w:rPr>
          <w:b/>
          <w:i w:val="0"/>
          <w:sz w:val="19"/>
        </w:rPr>
        <w:t>BILCAP</w:t>
      </w:r>
      <w:r>
        <w:rPr>
          <w:b w:val="0"/>
          <w:i w:val="0"/>
          <w:sz w:val="19"/>
        </w:rPr>
        <w:t xml:space="preserve"> — Primrose JN, Fox RP, Palmer DH, et al. Capecitabine compared with observation in resected biliary tract cancer (BILCAP): a randomised, controlled, multicentre, phase 3 study. Lancet Oncol. 2019;20(5):663-673. doi:10.1016/S1470-2045(18)30915-X. PMID:30922733.</w:t>
      </w:r>
      <w:r>
        <w:rPr>
          <w:b w:val="0"/>
          <w:i w:val="0"/>
          <w:sz w:val="19"/>
        </w:rPr>
        <w:t xml:space="preserve">  </w:t>
      </w:r>
      <w:hyperlink r:id="rId37">
        <w:r>
          <w:rPr>
            <w:color w:val="0563C1"/>
            <w:u w:val="single"/>
            <w:sz w:val="19"/>
          </w:rPr>
          <w:t xml:space="preserve">PubMed</w:t>
        </w:r>
      </w:hyperlink>
    </w:p>
    <w:p>
      <w:pPr>
        <w:spacing w:after="60"/>
      </w:pPr>
      <w:r>
        <w:rPr>
          <w:b/>
          <w:i w:val="0"/>
          <w:sz w:val="19"/>
        </w:rPr>
        <w:t>BSG CCA 2023</w:t>
      </w:r>
      <w:r>
        <w:rPr>
          <w:b w:val="0"/>
          <w:i w:val="0"/>
          <w:sz w:val="19"/>
        </w:rPr>
        <w:t xml:space="preserve"> — Rushbrook SM, Kendall TJ, Zen Y, et al. British Society of Gastroenterology guidelines for the diagnosis and management of cholangiocarcinoma. Gut. 2023;73(1):16-46. doi:10.1136/gutjnl-2023-330029. PMID:37770126.</w:t>
      </w:r>
      <w:r>
        <w:rPr>
          <w:b w:val="0"/>
          <w:i w:val="0"/>
          <w:sz w:val="19"/>
        </w:rPr>
        <w:t xml:space="preserve">  </w:t>
      </w:r>
      <w:hyperlink r:id="rId38">
        <w:r>
          <w:rPr>
            <w:color w:val="0563C1"/>
            <w:u w:val="single"/>
            <w:sz w:val="19"/>
          </w:rPr>
          <w:t xml:space="preserve">PubMed</w:t>
        </w:r>
      </w:hyperlink>
    </w:p>
    <w:p>
      <w:pPr>
        <w:spacing w:after="60"/>
      </w:pPr>
      <w:r>
        <w:rPr>
          <w:b/>
          <w:i w:val="0"/>
          <w:sz w:val="19"/>
        </w:rPr>
        <w:t>Cercek HAI phase 2</w:t>
      </w:r>
      <w:r>
        <w:rPr>
          <w:b w:val="0"/>
          <w:i w:val="0"/>
          <w:sz w:val="19"/>
        </w:rPr>
        <w:t xml:space="preserve"> — Cercek A, Boerner T, Tan BR, et al. Assessment of Hepatic Arterial Infusion of Floxuridine in Combination With Systemic Gemcitabine and Oxaliplatin in Patients With Unresectable Intrahepatic Cholangiocarcinoma: A Phase 2 Clinical Trial. JAMA Oncol. 2020;6(1):60-67. doi:10.1001/jamaoncol.2019.3718. PMID:31670750.</w:t>
      </w:r>
      <w:r>
        <w:rPr>
          <w:b w:val="0"/>
          <w:i w:val="0"/>
          <w:sz w:val="19"/>
        </w:rPr>
        <w:t xml:space="preserve">  </w:t>
      </w:r>
      <w:hyperlink r:id="rId39">
        <w:r>
          <w:rPr>
            <w:color w:val="0563C1"/>
            <w:u w:val="single"/>
            <w:sz w:val="19"/>
          </w:rPr>
          <w:t xml:space="preserve">PubMed</w:t>
        </w:r>
      </w:hyperlink>
    </w:p>
    <w:p>
      <w:pPr>
        <w:spacing w:after="60"/>
      </w:pPr>
      <w:r>
        <w:rPr>
          <w:b/>
          <w:i w:val="0"/>
          <w:sz w:val="19"/>
        </w:rPr>
        <w:t>EASL-ILCA iCCA 2023</w:t>
      </w:r>
      <w:r>
        <w:rPr>
          <w:b w:val="0"/>
          <w:i w:val="0"/>
          <w:sz w:val="19"/>
        </w:rPr>
        <w:t xml:space="preserve"> — European Association for the Study of the Liver; International Liver Cancer Association. EASL-ILCA Clinical Practice Guidelines on the management of intrahepatic cholangiocarcinoma. J Hepatol. 2023;79(1):181-208. doi:10.1016/j.jhep.2023.03.010. PMID:37084797.</w:t>
      </w:r>
      <w:r>
        <w:rPr>
          <w:b w:val="0"/>
          <w:i w:val="0"/>
          <w:sz w:val="19"/>
        </w:rPr>
        <w:t xml:space="preserve">  </w:t>
      </w:r>
      <w:hyperlink r:id="rId40">
        <w:r>
          <w:rPr>
            <w:color w:val="0563C1"/>
            <w:u w:val="single"/>
            <w:sz w:val="19"/>
          </w:rPr>
          <w:t xml:space="preserve">PubMed</w:t>
        </w:r>
      </w:hyperlink>
    </w:p>
    <w:p>
      <w:pPr>
        <w:spacing w:after="60"/>
      </w:pPr>
      <w:r>
        <w:rPr>
          <w:b/>
          <w:i w:val="0"/>
          <w:sz w:val="19"/>
        </w:rPr>
        <w:t>ESMO BTC 2023 guideline</w:t>
      </w:r>
      <w:r>
        <w:rPr>
          <w:b w:val="0"/>
          <w:i w:val="0"/>
          <w:sz w:val="19"/>
        </w:rPr>
        <w:t xml:space="preserve"> — Vogel A, Bridgewater J, Edeline J, et al. Biliary tract cancer: ESMO Clinical Practice Guideline for diagnosis, treatment and follow-up. Ann Oncol. 2023;34(2):127-140. doi:10.1016/j.annonc.2022.10.506. PMID:36372281. The parent guideline to the 2024 interim update (PMID:39864891), which covers only molecular diagnostics and advanced disease; the surgical, adjuvant and locoregional recommendations are here.</w:t>
      </w:r>
      <w:r>
        <w:rPr>
          <w:b w:val="0"/>
          <w:i w:val="0"/>
          <w:sz w:val="19"/>
        </w:rPr>
        <w:t xml:space="preserve">  </w:t>
      </w:r>
      <w:hyperlink r:id="rId41">
        <w:r>
          <w:rPr>
            <w:color w:val="0563C1"/>
            <w:u w:val="single"/>
            <w:sz w:val="19"/>
          </w:rPr>
          <w:t xml:space="preserve">PubMed</w:t>
        </w:r>
      </w:hyperlink>
    </w:p>
    <w:p>
      <w:pPr>
        <w:spacing w:after="60"/>
      </w:pPr>
      <w:r>
        <w:rPr>
          <w:b/>
          <w:i w:val="0"/>
          <w:sz w:val="19"/>
        </w:rPr>
        <w:t>ESMO BTC 2024 interim</w:t>
      </w:r>
      <w:r>
        <w:rPr>
          <w:b w:val="0"/>
          <w:i w:val="0"/>
          <w:sz w:val="19"/>
        </w:rPr>
        <w:t xml:space="preserve"> — Vogel A, Ducreux M, on behalf of the ESMO Guidelines Committee. ESMO Clinical Practice Guideline interim update on the management of biliary tract cancer. ESMO Open. 2025;10(1):104003. doi:10.1016/j.esmoop.2024.104003. PMID:39864891.</w:t>
      </w:r>
      <w:r>
        <w:rPr>
          <w:b w:val="0"/>
          <w:i w:val="0"/>
          <w:sz w:val="19"/>
        </w:rPr>
        <w:t xml:space="preserve">  </w:t>
      </w:r>
      <w:hyperlink r:id="rId42">
        <w:r>
          <w:rPr>
            <w:color w:val="0563C1"/>
            <w:u w:val="single"/>
            <w:sz w:val="19"/>
          </w:rPr>
          <w:t xml:space="preserve">PubMed</w:t>
        </w:r>
      </w:hyperlink>
    </w:p>
    <w:p>
      <w:pPr>
        <w:spacing w:after="60"/>
      </w:pPr>
      <w:r>
        <w:rPr>
          <w:b/>
          <w:i w:val="0"/>
          <w:sz w:val="19"/>
        </w:rPr>
        <w:t>Floxuridine hepatic arterial infusion associated biliary toxicity is increased by concurrent administration of systemic bevacizumab</w:t>
      </w:r>
      <w:r>
        <w:rPr>
          <w:b w:val="0"/>
          <w:i w:val="0"/>
          <w:sz w:val="19"/>
        </w:rPr>
        <w:t xml:space="preserve"> — Floxuridine hepatic arterial infusion associated biliary toxicity is increased by concurrent administration of systemic bevacizumab. DOI: 10.1245/s10434-013-3275-0. PMID: 24154839.</w:t>
      </w:r>
      <w:r>
        <w:rPr>
          <w:b w:val="0"/>
          <w:i w:val="0"/>
          <w:sz w:val="19"/>
        </w:rPr>
        <w:t xml:space="preserve">  </w:t>
      </w:r>
      <w:hyperlink r:id="rId43">
        <w:r>
          <w:rPr>
            <w:color w:val="0563C1"/>
            <w:u w:val="single"/>
            <w:sz w:val="19"/>
          </w:rPr>
          <w:t xml:space="preserve">PubMed</w:t>
        </w:r>
      </w:hyperlink>
    </w:p>
    <w:p>
      <w:pPr>
        <w:spacing w:after="60"/>
      </w:pPr>
      <w:r>
        <w:rPr>
          <w:b/>
          <w:i w:val="0"/>
          <w:sz w:val="19"/>
        </w:rPr>
        <w:t>Hepatic artery infusion pump chemotherapy for unresectable intrahepatic cholangiocarcinoma: Pooled individual patient-level analysis of four clinical trials</w:t>
      </w:r>
      <w:r>
        <w:rPr>
          <w:b w:val="0"/>
          <w:i w:val="0"/>
          <w:sz w:val="19"/>
        </w:rPr>
        <w:t xml:space="preserve"> — Hepatic artery infusion pump chemotherapy for unresectable intrahepatic cholangiocarcinoma: Pooled individual patient-level analysis of four clinical trials. DOI: 10.1016/j.jhep.2026.06.022. PMID: 42331230.</w:t>
      </w:r>
      <w:r>
        <w:rPr>
          <w:b w:val="0"/>
          <w:i w:val="0"/>
          <w:sz w:val="19"/>
        </w:rPr>
        <w:t xml:space="preserve">  </w:t>
      </w:r>
      <w:hyperlink r:id="rId44">
        <w:r>
          <w:rPr>
            <w:color w:val="0563C1"/>
            <w:u w:val="single"/>
            <w:sz w:val="19"/>
          </w:rPr>
          <w:t xml:space="preserve">PubMed</w:t>
        </w:r>
      </w:hyperlink>
    </w:p>
    <w:p>
      <w:pPr>
        <w:spacing w:after="60"/>
      </w:pPr>
      <w:r>
        <w:rPr>
          <w:b/>
          <w:i w:val="0"/>
          <w:sz w:val="19"/>
        </w:rPr>
        <w:t>HERIZON-BTC-01</w:t>
      </w:r>
      <w:r>
        <w:rPr>
          <w:b w:val="0"/>
          <w:i w:val="0"/>
          <w:sz w:val="19"/>
        </w:rPr>
        <w:t xml:space="preserve"> — Pant S, Fan J, Oh DY, et al. Zanidatamab in HER2-Positive Metastatic Biliary Tract Cancer: Final Results From HERIZON-BTC-01. JAMA Oncol. 2026;12(1):106-109. doi:10.1001/jamaoncol.2025.4736. PMID:41264278.</w:t>
      </w:r>
      <w:r>
        <w:rPr>
          <w:b w:val="0"/>
          <w:i w:val="0"/>
          <w:sz w:val="19"/>
        </w:rPr>
        <w:t xml:space="preserve">  </w:t>
      </w:r>
      <w:hyperlink r:id="rId45">
        <w:r>
          <w:rPr>
            <w:color w:val="0563C1"/>
            <w:u w:val="single"/>
            <w:sz w:val="19"/>
          </w:rPr>
          <w:t xml:space="preserve">PubMed</w:t>
        </w:r>
      </w:hyperlink>
    </w:p>
    <w:p>
      <w:pPr>
        <w:spacing w:after="60"/>
      </w:pPr>
      <w:r>
        <w:rPr>
          <w:b/>
          <w:i w:val="0"/>
          <w:sz w:val="19"/>
        </w:rPr>
        <w:t>ILTS-ILCA 2024 consensus</w:t>
      </w:r>
      <w:r>
        <w:rPr>
          <w:b w:val="0"/>
          <w:i w:val="0"/>
          <w:sz w:val="19"/>
        </w:rPr>
        <w:t xml:space="preserve"> — Kodali S, Kulik L, D'Alessio A, et al. The 2024 International Liver Transplant Society and International Liver Cancer Association Consensus Recommendations for Liver Transplantation for Liver Cancer. Liver Cancer. 2026. doi:10.1159/000550600. PMID:42312290. Also published as Liver Transpl. 2025;31(6):815-831, PMID:40014003.</w:t>
      </w:r>
      <w:r>
        <w:rPr>
          <w:b w:val="0"/>
          <w:i w:val="0"/>
          <w:sz w:val="19"/>
        </w:rPr>
        <w:t xml:space="preserve">  </w:t>
      </w:r>
      <w:hyperlink r:id="rId46">
        <w:r>
          <w:rPr>
            <w:color w:val="0563C1"/>
            <w:u w:val="single"/>
            <w:sz w:val="19"/>
          </w:rPr>
          <w:t xml:space="preserve">PubMed</w:t>
        </w:r>
      </w:hyperlink>
    </w:p>
    <w:p>
      <w:pPr>
        <w:spacing w:after="60"/>
      </w:pPr>
      <w:r>
        <w:rPr>
          <w:b/>
          <w:i w:val="0"/>
          <w:sz w:val="19"/>
        </w:rPr>
        <w:t>KEYNOTE-966</w:t>
      </w:r>
      <w:r>
        <w:rPr>
          <w:b w:val="0"/>
          <w:i w:val="0"/>
          <w:sz w:val="19"/>
        </w:rPr>
        <w:t xml:space="preserve"> — Kelley RK, Ueno M, Yoo C, et al. Pembrolizumab in combination with gemcitabine and cisplatin compared with gemcitabine and cisplatin alone for patients with advanced biliary tract cancer (KEYNOTE-966): a randomised, double-blind, placebo-controlled, phase 3 trial. Lancet. 2023;401(10391):1853-1865. doi:10.1016/S0140-6736(23)00727-4. PMID:37075781.</w:t>
      </w:r>
      <w:r>
        <w:rPr>
          <w:b w:val="0"/>
          <w:i w:val="0"/>
          <w:sz w:val="19"/>
        </w:rPr>
        <w:t xml:space="preserve">  </w:t>
      </w:r>
      <w:hyperlink r:id="rId47">
        <w:r>
          <w:rPr>
            <w:color w:val="0563C1"/>
            <w:u w:val="single"/>
            <w:sz w:val="19"/>
          </w:rPr>
          <w:t xml:space="preserve">PubMed</w:t>
        </w:r>
      </w:hyperlink>
    </w:p>
    <w:p>
      <w:pPr>
        <w:spacing w:after="60"/>
      </w:pPr>
      <w:r>
        <w:rPr>
          <w:b/>
          <w:i w:val="0"/>
          <w:sz w:val="19"/>
        </w:rPr>
        <w:t>Kiefer TACE 2-centre</w:t>
      </w:r>
      <w:r>
        <w:rPr>
          <w:b w:val="0"/>
          <w:i w:val="0"/>
          <w:sz w:val="19"/>
        </w:rPr>
        <w:t xml:space="preserve"> — Kiefer MV, et al. Chemoembolization of intrahepatic cholangiocarcinoma with cisplatinum, doxorubicin, mitomycin C, ethiodol, and polyvinyl alcohol: a 2-center study. Cancer. 2011;117(7):1498-1505. doi:10.1002/cncr.25625. PMID:21425151.</w:t>
      </w:r>
      <w:r>
        <w:rPr>
          <w:b w:val="0"/>
          <w:i w:val="0"/>
          <w:sz w:val="19"/>
        </w:rPr>
        <w:t xml:space="preserve">  </w:t>
      </w:r>
      <w:hyperlink r:id="rId48">
        <w:r>
          <w:rPr>
            <w:color w:val="0563C1"/>
            <w:u w:val="single"/>
            <w:sz w:val="19"/>
          </w:rPr>
          <w:t xml:space="preserve">PubMed</w:t>
        </w:r>
      </w:hyperlink>
    </w:p>
    <w:p>
      <w:pPr>
        <w:spacing w:after="60"/>
      </w:pPr>
      <w:r>
        <w:rPr>
          <w:b/>
          <w:i w:val="0"/>
          <w:sz w:val="19"/>
        </w:rPr>
        <w:t>Konstantinidis HAI cohort</w:t>
      </w:r>
      <w:r>
        <w:rPr>
          <w:b w:val="0"/>
          <w:i w:val="0"/>
          <w:sz w:val="19"/>
        </w:rPr>
        <w:t xml:space="preserve"> — Konstantinidis IT, et al. Unresectable intrahepatic cholangiocarcinoma: systemic plus hepatic arterial infusion chemotherapy is associated with longer survival in comparison with systemic chemotherapy alone. Cancer. 2016;122(5):758-765. doi:10.1002/cncr.29824. PMID:26695839.</w:t>
      </w:r>
      <w:r>
        <w:rPr>
          <w:b w:val="0"/>
          <w:i w:val="0"/>
          <w:sz w:val="19"/>
        </w:rPr>
        <w:t xml:space="preserve">  </w:t>
      </w:r>
      <w:hyperlink r:id="rId49">
        <w:r>
          <w:rPr>
            <w:color w:val="0563C1"/>
            <w:u w:val="single"/>
            <w:sz w:val="19"/>
          </w:rPr>
          <w:t xml:space="preserve">PubMed</w:t>
        </w:r>
      </w:hyperlink>
    </w:p>
    <w:p>
      <w:pPr>
        <w:spacing w:after="60"/>
      </w:pPr>
      <w:r>
        <w:rPr>
          <w:b/>
          <w:i w:val="0"/>
          <w:sz w:val="19"/>
        </w:rPr>
        <w:t>Kurimoto 2025 · iCCA nodal metastasis areas</w:t>
      </w:r>
      <w:r>
        <w:rPr>
          <w:b w:val="0"/>
          <w:i w:val="0"/>
          <w:sz w:val="19"/>
        </w:rPr>
        <w:t xml:space="preserve">  </w:t>
      </w:r>
      <w:hyperlink r:id="rId50">
        <w:r>
          <w:rPr>
            <w:color w:val="0563C1"/>
            <w:u w:val="single"/>
            <w:sz w:val="19"/>
          </w:rPr>
          <w:t xml:space="preserve">PubMed</w:t>
        </w:r>
      </w:hyperlink>
      <w:r>
        <w:rPr>
          <w:b w:val="0"/>
          <w:i w:val="0"/>
          <w:sz w:val="19"/>
        </w:rPr>
        <w:t xml:space="preserve"> · </w:t>
      </w:r>
      <w:hyperlink r:id="rId51">
        <w:r>
          <w:rPr>
            <w:color w:val="0563C1"/>
            <w:u w:val="single"/>
            <w:sz w:val="19"/>
          </w:rPr>
          <w:t xml:space="preserve">Journal</w:t>
        </w:r>
      </w:hyperlink>
      <w:r>
        <w:rPr>
          <w:b w:val="0"/>
          <w:i w:val="0"/>
          <w:sz w:val="19"/>
        </w:rPr>
        <w:t xml:space="preserve"> · </w:t>
      </w:r>
      <w:hyperlink r:id="rId52">
        <w:r>
          <w:rPr>
            <w:color w:val="0563C1"/>
            <w:u w:val="single"/>
            <w:sz w:val="19"/>
          </w:rPr>
          <w:t xml:space="preserve">TMC library</w:t>
        </w:r>
      </w:hyperlink>
    </w:p>
    <w:p>
      <w:pPr>
        <w:spacing w:after="60"/>
      </w:pPr>
      <w:r>
        <w:rPr>
          <w:b/>
          <w:i w:val="0"/>
          <w:sz w:val="19"/>
        </w:rPr>
        <w:t>LCSGJ iCCA 2022</w:t>
      </w:r>
      <w:r>
        <w:rPr>
          <w:b w:val="0"/>
          <w:i w:val="0"/>
          <w:sz w:val="19"/>
        </w:rPr>
        <w:t xml:space="preserve"> — Kubo S, Shinkawa H, Asaoka Y, et al. Liver Cancer Study Group of Japan Clinical Practice Guidelines for Intrahepatic Cholangiocarcinoma. Liver Cancer. 2022;11(4):290-314. doi:10.1159/000522403. PMID:35978598.</w:t>
      </w:r>
      <w:r>
        <w:rPr>
          <w:b w:val="0"/>
          <w:i w:val="0"/>
          <w:sz w:val="19"/>
        </w:rPr>
        <w:t xml:space="preserve">  </w:t>
      </w:r>
      <w:hyperlink r:id="rId53">
        <w:r>
          <w:rPr>
            <w:color w:val="0563C1"/>
            <w:u w:val="single"/>
            <w:sz w:val="19"/>
          </w:rPr>
          <w:t xml:space="preserve">PubMed</w:t>
        </w:r>
      </w:hyperlink>
    </w:p>
    <w:p>
      <w:pPr>
        <w:spacing w:after="60"/>
      </w:pPr>
      <w:r>
        <w:rPr>
          <w:b/>
          <w:i w:val="0"/>
          <w:sz w:val="19"/>
        </w:rPr>
        <w:t>Le Roy 2017 · secondary resection of iCCA</w:t>
      </w:r>
      <w:r>
        <w:rPr>
          <w:b w:val="0"/>
          <w:i w:val="0"/>
          <w:sz w:val="19"/>
        </w:rPr>
        <w:t xml:space="preserve">  </w:t>
      </w:r>
      <w:hyperlink r:id="rId54">
        <w:r>
          <w:rPr>
            <w:color w:val="0563C1"/>
            <w:u w:val="single"/>
            <w:sz w:val="19"/>
          </w:rPr>
          <w:t xml:space="preserve">PubMed</w:t>
        </w:r>
      </w:hyperlink>
      <w:r>
        <w:rPr>
          <w:b w:val="0"/>
          <w:i w:val="0"/>
          <w:sz w:val="19"/>
        </w:rPr>
        <w:t xml:space="preserve"> · </w:t>
      </w:r>
      <w:hyperlink r:id="rId55">
        <w:r>
          <w:rPr>
            <w:color w:val="0563C1"/>
            <w:u w:val="single"/>
            <w:sz w:val="19"/>
          </w:rPr>
          <w:t xml:space="preserve">Journal</w:t>
        </w:r>
      </w:hyperlink>
      <w:r>
        <w:rPr>
          <w:b w:val="0"/>
          <w:i w:val="0"/>
          <w:sz w:val="19"/>
        </w:rPr>
        <w:t xml:space="preserve"> · </w:t>
      </w:r>
      <w:hyperlink r:id="rId56">
        <w:r>
          <w:rPr>
            <w:color w:val="0563C1"/>
            <w:u w:val="single"/>
            <w:sz w:val="19"/>
          </w:rPr>
          <w:t xml:space="preserve">TMC library</w:t>
        </w:r>
      </w:hyperlink>
    </w:p>
    <w:p>
      <w:pPr>
        <w:spacing w:after="60"/>
      </w:pPr>
      <w:r>
        <w:rPr>
          <w:b/>
          <w:i w:val="0"/>
          <w:sz w:val="19"/>
        </w:rPr>
        <w:t>Lunsford protocol series</w:t>
      </w:r>
      <w:r>
        <w:rPr>
          <w:b w:val="0"/>
          <w:i w:val="0"/>
          <w:sz w:val="19"/>
        </w:rPr>
        <w:t xml:space="preserve"> — Lunsford KE, et al. Liver transplantation for locally advanced intrahepatic cholangiocarcinoma treated with neoadjuvant therapy: a prospective case-series. Lancet Gastroenterol Hepatol. 2018;3(5):337-348. PMID:29548617.</w:t>
      </w:r>
      <w:r>
        <w:rPr>
          <w:b w:val="0"/>
          <w:i w:val="0"/>
          <w:sz w:val="19"/>
        </w:rPr>
        <w:t xml:space="preserve">  </w:t>
      </w:r>
      <w:hyperlink r:id="rId57">
        <w:r>
          <w:rPr>
            <w:color w:val="0563C1"/>
            <w:u w:val="single"/>
            <w:sz w:val="19"/>
          </w:rPr>
          <w:t xml:space="preserve">PubMed</w:t>
        </w:r>
      </w:hyperlink>
    </w:p>
    <w:p>
      <w:pPr>
        <w:spacing w:after="60"/>
      </w:pPr>
      <w:r>
        <w:rPr>
          <w:b/>
          <w:i w:val="0"/>
          <w:sz w:val="19"/>
        </w:rPr>
        <w:t>MALRIC primary</w:t>
      </w:r>
      <w:r>
        <w:rPr>
          <w:b w:val="0"/>
          <w:i w:val="0"/>
          <w:sz w:val="19"/>
        </w:rPr>
        <w:t xml:space="preserve"> — Pang L, et al. Microwave ablation versus liver resection for primary intrahepatic cholangiocarcinoma within Milan criteria: a long-term multicenter cohort study (MALRIC). EClinicalMedicine. 2024. doi:10.1016/j.eclinm.2023.102336. PMID:38261915.</w:t>
      </w:r>
      <w:r>
        <w:rPr>
          <w:b w:val="0"/>
          <w:i w:val="0"/>
          <w:sz w:val="19"/>
        </w:rPr>
        <w:t xml:space="preserve">  </w:t>
      </w:r>
      <w:hyperlink r:id="rId58">
        <w:r>
          <w:rPr>
            <w:color w:val="0563C1"/>
            <w:u w:val="single"/>
            <w:sz w:val="19"/>
          </w:rPr>
          <w:t xml:space="preserve">PubMed</w:t>
        </w:r>
      </w:hyperlink>
    </w:p>
    <w:p>
      <w:pPr>
        <w:spacing w:after="60"/>
      </w:pPr>
      <w:r>
        <w:rPr>
          <w:b/>
          <w:i w:val="0"/>
          <w:sz w:val="19"/>
        </w:rPr>
        <w:t>MALRIC recurrent</w:t>
      </w:r>
      <w:r>
        <w:rPr>
          <w:b w:val="0"/>
          <w:i w:val="0"/>
          <w:sz w:val="19"/>
        </w:rPr>
        <w:t xml:space="preserve"> — Pang L, et al. Survival Outcomes of Microwave Ablation Compared with Repeat Liver Resection in the Treatment of Recurrent Intrahepatic Cholangiocarcinoma. Radiology. 2026. doi:10.1148/radiol.243254. PMID:41528222.</w:t>
      </w:r>
      <w:r>
        <w:rPr>
          <w:b w:val="0"/>
          <w:i w:val="0"/>
          <w:sz w:val="19"/>
        </w:rPr>
        <w:t xml:space="preserve">  </w:t>
      </w:r>
      <w:hyperlink r:id="rId59">
        <w:r>
          <w:rPr>
            <w:color w:val="0563C1"/>
            <w:u w:val="single"/>
            <w:sz w:val="19"/>
          </w:rPr>
          <w:t xml:space="preserve">PubMed</w:t>
        </w:r>
      </w:hyperlink>
    </w:p>
    <w:p>
      <w:pPr>
        <w:spacing w:after="60"/>
      </w:pPr>
      <w:r>
        <w:rPr>
          <w:b/>
          <w:i w:val="0"/>
          <w:sz w:val="19"/>
        </w:rPr>
        <w:t>Minimum Requirements to Safely Establish and Sustain New Hepatic Arterial Infusion Pump Programs: An International Expert Perspective</w:t>
      </w:r>
      <w:r>
        <w:rPr>
          <w:b w:val="0"/>
          <w:i w:val="0"/>
          <w:sz w:val="19"/>
        </w:rPr>
        <w:t xml:space="preserve"> — Minimum Requirements to Safely Establish and Sustain New Hepatic Arterial Infusion Pump Programs: An International Expert Perspective. DOI: 10.1245/s10434-025-17009-1. PMID: 39962001.</w:t>
      </w:r>
      <w:r>
        <w:rPr>
          <w:b w:val="0"/>
          <w:i w:val="0"/>
          <w:sz w:val="19"/>
        </w:rPr>
        <w:t xml:space="preserve">  </w:t>
      </w:r>
      <w:hyperlink r:id="rId60">
        <w:r>
          <w:rPr>
            <w:color w:val="0563C1"/>
            <w:u w:val="single"/>
            <w:sz w:val="19"/>
          </w:rPr>
          <w:t xml:space="preserve">PubMed</w:t>
        </w:r>
      </w:hyperlink>
    </w:p>
    <w:p>
      <w:pPr>
        <w:spacing w:after="60"/>
      </w:pPr>
      <w:r>
        <w:rPr>
          <w:b/>
          <w:i w:val="0"/>
          <w:sz w:val="19"/>
        </w:rPr>
        <w:t>MISPHEC</w:t>
      </w:r>
      <w:r>
        <w:rPr>
          <w:b w:val="0"/>
          <w:i w:val="0"/>
          <w:sz w:val="19"/>
        </w:rPr>
        <w:t xml:space="preserve"> — Edeline J, et al. Radioembolization Plus Chemotherapy for First-line Treatment of Locally Advanced Intrahepatic Cholangiocarcinoma: A Phase 2 Clinical Trial (MISPHEC). JAMA Oncol. 2020;6(1):51-59. doi:10.1001/jamaoncol.2019.3702. PMID:31670746.</w:t>
      </w:r>
      <w:r>
        <w:rPr>
          <w:b w:val="0"/>
          <w:i w:val="0"/>
          <w:sz w:val="19"/>
        </w:rPr>
        <w:t xml:space="preserve">  </w:t>
      </w:r>
      <w:hyperlink r:id="rId61">
        <w:r>
          <w:rPr>
            <w:color w:val="0563C1"/>
            <w:u w:val="single"/>
            <w:sz w:val="19"/>
          </w:rPr>
          <w:t xml:space="preserve">PubMed</w:t>
        </w:r>
      </w:hyperlink>
    </w:p>
    <w:p>
      <w:pPr>
        <w:spacing w:after="60"/>
      </w:pPr>
      <w:r>
        <w:rPr>
          <w:b/>
          <w:i w:val="0"/>
          <w:sz w:val="19"/>
        </w:rPr>
        <w:t>Murakami 2025 · conversion surgery for BTC</w:t>
      </w:r>
      <w:r>
        <w:rPr>
          <w:b w:val="0"/>
          <w:i w:val="0"/>
          <w:sz w:val="19"/>
        </w:rPr>
        <w:t xml:space="preserve">  </w:t>
      </w:r>
      <w:hyperlink r:id="rId62">
        <w:r>
          <w:rPr>
            <w:color w:val="0563C1"/>
            <w:u w:val="single"/>
            <w:sz w:val="19"/>
          </w:rPr>
          <w:t xml:space="preserve">PubMed</w:t>
        </w:r>
      </w:hyperlink>
      <w:r>
        <w:rPr>
          <w:b w:val="0"/>
          <w:i w:val="0"/>
          <w:sz w:val="19"/>
        </w:rPr>
        <w:t xml:space="preserve"> · </w:t>
      </w:r>
      <w:hyperlink r:id="rId63">
        <w:r>
          <w:rPr>
            <w:color w:val="0563C1"/>
            <w:u w:val="single"/>
            <w:sz w:val="19"/>
          </w:rPr>
          <w:t xml:space="preserve">Journal</w:t>
        </w:r>
      </w:hyperlink>
      <w:r>
        <w:rPr>
          <w:b w:val="0"/>
          <w:i w:val="0"/>
          <w:sz w:val="19"/>
        </w:rPr>
        <w:t xml:space="preserve"> · </w:t>
      </w:r>
      <w:hyperlink r:id="rId64">
        <w:r>
          <w:rPr>
            <w:color w:val="0563C1"/>
            <w:u w:val="single"/>
            <w:sz w:val="19"/>
          </w:rPr>
          <w:t xml:space="preserve">Free full text</w:t>
        </w:r>
      </w:hyperlink>
      <w:r>
        <w:rPr>
          <w:b w:val="0"/>
          <w:i w:val="0"/>
          <w:sz w:val="19"/>
        </w:rPr>
        <w:t xml:space="preserve"> · </w:t>
      </w:r>
      <w:hyperlink r:id="rId65">
        <w:r>
          <w:rPr>
            <w:color w:val="0563C1"/>
            <w:u w:val="single"/>
            <w:sz w:val="19"/>
          </w:rPr>
          <w:t xml:space="preserve">TMC library</w:t>
        </w:r>
      </w:hyperlink>
    </w:p>
    <w:p>
      <w:pPr>
        <w:spacing w:after="60"/>
      </w:pPr>
      <w:r>
        <w:rPr>
          <w:b/>
          <w:i w:val="0"/>
          <w:sz w:val="19"/>
        </w:rPr>
        <w:t>NCCN BTC v1.2026</w:t>
      </w:r>
      <w:r>
        <w:rPr>
          <w:b w:val="0"/>
          <w:i w:val="0"/>
          <w:sz w:val="19"/>
        </w:rPr>
        <w:t xml:space="preserve"> — National Comprehensive Cancer Network. Biliary Tract Cancers. NCCN Clinical Practice Guidelines in Oncology. Version 1.2026, 10 March 2026. Original PDF page locations are cited in the roadmap's NCCN decision rows (INTRA-1, INTRA-A, INTRA-D, BIL-A to BIL-D).</w:t>
      </w:r>
      <w:r>
        <w:rPr>
          <w:b w:val="0"/>
          <w:i w:val="0"/>
          <w:sz w:val="19"/>
        </w:rPr>
        <w:t xml:space="preserve">  </w:t>
      </w:r>
      <w:hyperlink r:id="rId66">
        <w:r>
          <w:rPr>
            <w:color w:val="0563C1"/>
            <w:u w:val="single"/>
            <w:sz w:val="19"/>
          </w:rPr>
          <w:t xml:space="preserve">Source</w:t>
        </w:r>
      </w:hyperlink>
    </w:p>
    <w:p>
      <w:pPr>
        <w:spacing w:after="60"/>
      </w:pPr>
      <w:r>
        <w:rPr>
          <w:b/>
          <w:i w:val="0"/>
          <w:sz w:val="19"/>
        </w:rPr>
        <w:t>OPTN transplant-oncology guidance</w:t>
      </w:r>
      <w:r>
        <w:rPr>
          <w:b w:val="0"/>
          <w:i w:val="0"/>
          <w:sz w:val="19"/>
        </w:rPr>
        <w:t xml:space="preserve"> — Organ Procurement and Transplantation Network, Liver and Intestinal Organ Transplantation Committee. Guidance to Liver Transplant Programs and the National Liver Review Board for: Adult MELD Exceptions for Transplant Oncology. December 2025. Review-board guidance, not OPTN policy and not a clinical practice guideline; adult transplant-oncology guidance pp7–8.</w:t>
      </w:r>
      <w:r>
        <w:rPr>
          <w:b w:val="0"/>
          <w:i w:val="0"/>
          <w:sz w:val="19"/>
        </w:rPr>
        <w:t xml:space="preserve">  </w:t>
      </w:r>
      <w:hyperlink r:id="rId67">
        <w:r>
          <w:rPr>
            <w:color w:val="0563C1"/>
            <w:u w:val="single"/>
            <w:sz w:val="19"/>
          </w:rPr>
          <w:t xml:space="preserve">Source</w:t>
        </w:r>
      </w:hyperlink>
    </w:p>
    <w:p>
      <w:pPr>
        <w:spacing w:after="60"/>
      </w:pPr>
      <w:r>
        <w:rPr>
          <w:b/>
          <w:i w:val="0"/>
          <w:sz w:val="19"/>
        </w:rPr>
        <w:t>PUMP-2</w:t>
      </w:r>
      <w:r>
        <w:rPr>
          <w:b w:val="0"/>
          <w:i w:val="0"/>
          <w:sz w:val="19"/>
        </w:rPr>
        <w:t xml:space="preserve"> — Hepatic Arterial Infusion Pump Chemotherapy in Patients With Unresectable Intrahepatic Cholangiocarcinoma-PUMP-2 Trial. DOI: 10.1200/JCO-25-00923. PMID: 41082695.</w:t>
      </w:r>
      <w:r>
        <w:rPr>
          <w:b w:val="0"/>
          <w:i w:val="0"/>
          <w:sz w:val="19"/>
        </w:rPr>
        <w:t xml:space="preserve">  </w:t>
      </w:r>
      <w:hyperlink r:id="rId68">
        <w:r>
          <w:rPr>
            <w:color w:val="0563C1"/>
            <w:u w:val="single"/>
            <w:sz w:val="19"/>
          </w:rPr>
          <w:t xml:space="preserve">PubMed</w:t>
        </w:r>
      </w:hyperlink>
    </w:p>
    <w:p>
      <w:pPr>
        <w:spacing w:after="60"/>
      </w:pPr>
      <w:r>
        <w:rPr>
          <w:b/>
          <w:i w:val="0"/>
          <w:sz w:val="19"/>
        </w:rPr>
        <w:t>Rimini 2026 · locally advanced BTC</w:t>
      </w:r>
      <w:r>
        <w:rPr>
          <w:b w:val="0"/>
          <w:i w:val="0"/>
          <w:sz w:val="19"/>
        </w:rPr>
        <w:t xml:space="preserve">  </w:t>
      </w:r>
      <w:hyperlink r:id="rId69">
        <w:r>
          <w:rPr>
            <w:color w:val="0563C1"/>
            <w:u w:val="single"/>
            <w:sz w:val="19"/>
          </w:rPr>
          <w:t xml:space="preserve">PubMed</w:t>
        </w:r>
      </w:hyperlink>
      <w:r>
        <w:rPr>
          <w:b w:val="0"/>
          <w:i w:val="0"/>
          <w:sz w:val="19"/>
        </w:rPr>
        <w:t xml:space="preserve"> · </w:t>
      </w:r>
      <w:hyperlink r:id="rId70">
        <w:r>
          <w:rPr>
            <w:color w:val="0563C1"/>
            <w:u w:val="single"/>
            <w:sz w:val="19"/>
          </w:rPr>
          <w:t xml:space="preserve">Journal</w:t>
        </w:r>
      </w:hyperlink>
      <w:r>
        <w:rPr>
          <w:b w:val="0"/>
          <w:i w:val="0"/>
          <w:sz w:val="19"/>
        </w:rPr>
        <w:t xml:space="preserve"> · </w:t>
      </w:r>
      <w:hyperlink r:id="rId71">
        <w:r>
          <w:rPr>
            <w:color w:val="0563C1"/>
            <w:u w:val="single"/>
            <w:sz w:val="19"/>
          </w:rPr>
          <w:t xml:space="preserve">TMC library</w:t>
        </w:r>
      </w:hyperlink>
    </w:p>
    <w:p>
      <w:pPr>
        <w:spacing w:after="60"/>
      </w:pPr>
      <w:r>
        <w:rPr>
          <w:b/>
          <w:i w:val="0"/>
          <w:sz w:val="19"/>
        </w:rPr>
        <w:t>Sapisochin very early iCCA</w:t>
      </w:r>
      <w:r>
        <w:rPr>
          <w:b w:val="0"/>
          <w:i w:val="0"/>
          <w:sz w:val="19"/>
        </w:rPr>
        <w:t xml:space="preserve"> — Sapisochin G, Facciuto M, Rubbia-Brandt L, et al. Liver transplantation for "very early" intrahepatic cholangiocarcinoma: International retrospective study supporting a prospective assessment. Hepatology. 2016;64(4):1178-1188. doi:10.1002/hep.28744. PMID:27481548.</w:t>
      </w:r>
      <w:r>
        <w:rPr>
          <w:b w:val="0"/>
          <w:i w:val="0"/>
          <w:sz w:val="19"/>
        </w:rPr>
        <w:t xml:space="preserve">  </w:t>
      </w:r>
      <w:hyperlink r:id="rId72">
        <w:r>
          <w:rPr>
            <w:color w:val="0563C1"/>
            <w:u w:val="single"/>
            <w:sz w:val="19"/>
          </w:rPr>
          <w:t xml:space="preserve">PubMed</w:t>
        </w:r>
      </w:hyperlink>
    </w:p>
    <w:p>
      <w:pPr>
        <w:spacing w:after="60"/>
      </w:pPr>
      <w:r>
        <w:rPr>
          <w:b/>
          <w:i w:val="0"/>
          <w:sz w:val="19"/>
        </w:rPr>
        <w:t>Tao dose-response</w:t>
      </w:r>
      <w:r>
        <w:rPr>
          <w:b w:val="0"/>
          <w:i w:val="0"/>
          <w:sz w:val="19"/>
        </w:rPr>
        <w:t xml:space="preserve"> — Tao R, et al. Ablative Radiotherapy Doses Lead to a Substantial Prolongation of Survival in Patients With Inoperable Intrahepatic Cholangiocarcinoma: A Retrospective Dose Response Analysis. J Clin Oncol. 2016;34(3):219-226. doi:10.1200/JCO.2015.61.3778. PMID:26503201.</w:t>
      </w:r>
      <w:r>
        <w:rPr>
          <w:b w:val="0"/>
          <w:i w:val="0"/>
          <w:sz w:val="19"/>
        </w:rPr>
        <w:t xml:space="preserve">  </w:t>
      </w:r>
      <w:hyperlink r:id="rId73">
        <w:r>
          <w:rPr>
            <w:color w:val="0563C1"/>
            <w:u w:val="single"/>
            <w:sz w:val="19"/>
          </w:rPr>
          <w:t xml:space="preserve">PubMed</w:t>
        </w:r>
      </w:hyperlink>
    </w:p>
    <w:p>
      <w:pPr>
        <w:spacing w:after="60"/>
      </w:pPr>
      <w:r>
        <w:rPr>
          <w:b/>
          <w:i w:val="0"/>
          <w:sz w:val="19"/>
        </w:rPr>
        <w:t>TOPAZ-1</w:t>
      </w:r>
      <w:r>
        <w:rPr>
          <w:b w:val="0"/>
          <w:i w:val="0"/>
          <w:sz w:val="19"/>
        </w:rPr>
        <w:t xml:space="preserve"> — Oh DY, Ruth He A, Qin S, et al. Durvalumab plus Gemcitabine and Cisplatin in Advanced Biliary Tract Cancer. NEJM Evid. 2022;1(8):EVIDoa2200015. doi:10.1056/EVIDoa2200015. PMID:38319896.</w:t>
      </w:r>
      <w:r>
        <w:rPr>
          <w:b w:val="0"/>
          <w:i w:val="0"/>
          <w:sz w:val="19"/>
        </w:rPr>
        <w:t xml:space="preserve">  </w:t>
      </w:r>
      <w:hyperlink r:id="rId74">
        <w:r>
          <w:rPr>
            <w:color w:val="0563C1"/>
            <w:u w:val="single"/>
            <w:sz w:val="19"/>
          </w:rPr>
          <w:t xml:space="preserve">PubMed</w:t>
        </w:r>
      </w:hyperlink>
    </w:p>
    <w:p>
      <w:pPr>
        <w:spacing w:after="60"/>
      </w:pPr>
      <w:r>
        <w:rPr>
          <w:b/>
          <w:i w:val="0"/>
          <w:sz w:val="19"/>
        </w:rPr>
        <w:t>Yabushita 2024 · conversion surgery morbidity</w:t>
      </w:r>
      <w:r>
        <w:rPr>
          <w:b w:val="0"/>
          <w:i w:val="0"/>
          <w:sz w:val="19"/>
        </w:rPr>
        <w:t xml:space="preserve">  </w:t>
      </w:r>
      <w:hyperlink r:id="rId75">
        <w:r>
          <w:rPr>
            <w:color w:val="0563C1"/>
            <w:u w:val="single"/>
            <w:sz w:val="19"/>
          </w:rPr>
          <w:t xml:space="preserve">PubMed</w:t>
        </w:r>
      </w:hyperlink>
      <w:r>
        <w:rPr>
          <w:b w:val="0"/>
          <w:i w:val="0"/>
          <w:sz w:val="19"/>
        </w:rPr>
        <w:t xml:space="preserve"> · </w:t>
      </w:r>
      <w:hyperlink r:id="rId76">
        <w:r>
          <w:rPr>
            <w:color w:val="0563C1"/>
            <w:u w:val="single"/>
            <w:sz w:val="19"/>
          </w:rPr>
          <w:t xml:space="preserve">Journal</w:t>
        </w:r>
      </w:hyperlink>
      <w:r>
        <w:rPr>
          <w:b w:val="0"/>
          <w:i w:val="0"/>
          <w:sz w:val="19"/>
        </w:rPr>
        <w:t xml:space="preserve"> · </w:t>
      </w:r>
      <w:hyperlink r:id="rId77">
        <w:r>
          <w:rPr>
            <w:color w:val="0563C1"/>
            <w:u w:val="single"/>
            <w:sz w:val="19"/>
          </w:rPr>
          <w:t xml:space="preserve">TMC library</w:t>
        </w:r>
      </w:hyperlink>
    </w:p>
    <w:p>
      <w:pPr>
        <w:spacing w:after="60"/>
      </w:pPr>
      <w:r>
        <w:rPr>
          <w:b/>
          <w:i w:val="0"/>
          <w:sz w:val="19"/>
        </w:rPr>
        <w:t>Yang 2026 · SEER M1 iCCA surgery</w:t>
      </w:r>
      <w:r>
        <w:rPr>
          <w:b w:val="0"/>
          <w:i w:val="0"/>
          <w:sz w:val="19"/>
        </w:rPr>
        <w:t xml:space="preserve">  </w:t>
      </w:r>
      <w:hyperlink r:id="rId78">
        <w:r>
          <w:rPr>
            <w:color w:val="0563C1"/>
            <w:u w:val="single"/>
            <w:sz w:val="19"/>
          </w:rPr>
          <w:t xml:space="preserve">PubMed</w:t>
        </w:r>
      </w:hyperlink>
      <w:r>
        <w:rPr>
          <w:b w:val="0"/>
          <w:i w:val="0"/>
          <w:sz w:val="19"/>
        </w:rPr>
        <w:t xml:space="preserve"> · </w:t>
      </w:r>
      <w:hyperlink r:id="rId79">
        <w:r>
          <w:rPr>
            <w:color w:val="0563C1"/>
            <w:u w:val="single"/>
            <w:sz w:val="19"/>
          </w:rPr>
          <w:t xml:space="preserve">Journal</w:t>
        </w:r>
      </w:hyperlink>
      <w:r>
        <w:rPr>
          <w:b w:val="0"/>
          <w:i w:val="0"/>
          <w:sz w:val="19"/>
        </w:rPr>
        <w:t xml:space="preserve"> · </w:t>
      </w:r>
      <w:hyperlink r:id="rId80">
        <w:r>
          <w:rPr>
            <w:color w:val="0563C1"/>
            <w:u w:val="single"/>
            <w:sz w:val="19"/>
          </w:rPr>
          <w:t xml:space="preserve">Free full text</w:t>
        </w:r>
      </w:hyperlink>
      <w:r>
        <w:rPr>
          <w:b w:val="0"/>
          <w:i w:val="0"/>
          <w:sz w:val="19"/>
        </w:rPr>
        <w:t xml:space="preserve"> · </w:t>
      </w:r>
      <w:hyperlink r:id="rId81">
        <w:r>
          <w:rPr>
            <w:color w:val="0563C1"/>
            <w:u w:val="single"/>
            <w:sz w:val="19"/>
          </w:rPr>
          <w:t xml:space="preserve">TMC library</w:t>
        </w:r>
      </w:hyperlink>
    </w:p>
    <w:p>
      <w:pPr>
        <w:spacing w:after="60"/>
      </w:pPr>
      <w:r>
        <w:rPr>
          <w:b/>
          <w:i w:val="0"/>
          <w:sz w:val="19"/>
        </w:rPr>
        <w:t>Zhou 2025 · conversion surgery meta-analysis</w:t>
      </w:r>
      <w:r>
        <w:rPr>
          <w:b w:val="0"/>
          <w:i w:val="0"/>
          <w:sz w:val="19"/>
        </w:rPr>
        <w:t xml:space="preserve">  </w:t>
      </w:r>
      <w:hyperlink r:id="rId82">
        <w:r>
          <w:rPr>
            <w:color w:val="0563C1"/>
            <w:u w:val="single"/>
            <w:sz w:val="19"/>
          </w:rPr>
          <w:t xml:space="preserve">PubMed</w:t>
        </w:r>
      </w:hyperlink>
      <w:r>
        <w:rPr>
          <w:b w:val="0"/>
          <w:i w:val="0"/>
          <w:sz w:val="19"/>
        </w:rPr>
        <w:t xml:space="preserve"> · </w:t>
      </w:r>
      <w:hyperlink r:id="rId83">
        <w:r>
          <w:rPr>
            <w:color w:val="0563C1"/>
            <w:u w:val="single"/>
            <w:sz w:val="19"/>
          </w:rPr>
          <w:t xml:space="preserve">Journal</w:t>
        </w:r>
      </w:hyperlink>
      <w:r>
        <w:rPr>
          <w:b w:val="0"/>
          <w:i w:val="0"/>
          <w:sz w:val="19"/>
        </w:rPr>
        <w:t xml:space="preserve"> · </w:t>
      </w:r>
      <w:hyperlink r:id="rId84">
        <w:r>
          <w:rPr>
            <w:color w:val="0563C1"/>
            <w:u w:val="single"/>
            <w:sz w:val="19"/>
          </w:rPr>
          <w:t xml:space="preserve">Free full text</w:t>
        </w:r>
      </w:hyperlink>
      <w:r>
        <w:rPr>
          <w:b w:val="0"/>
          <w:i w:val="0"/>
          <w:sz w:val="19"/>
        </w:rPr>
        <w:t xml:space="preserve"> · </w:t>
      </w:r>
      <w:hyperlink r:id="rId85">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icca/#question-iCCA-R1" TargetMode="External"/><Relationship Id="rId9" Type="http://schemas.openxmlformats.org/officeDocument/2006/relationships/hyperlink" Target="https://drliuhao.github.io/mh-liver-pathways/icca/#decision-4" TargetMode="External"/><Relationship Id="rId10" Type="http://schemas.openxmlformats.org/officeDocument/2006/relationships/hyperlink" Target="https://drliuhao.github.io/mh-liver-pathways/icca/#decision-5" TargetMode="External"/><Relationship Id="rId11" Type="http://schemas.openxmlformats.org/officeDocument/2006/relationships/hyperlink" Target="https://drliuhao.github.io/mh-liver-pathways/icca/#decision-7" TargetMode="External"/><Relationship Id="rId12" Type="http://schemas.openxmlformats.org/officeDocument/2006/relationships/hyperlink" Target="https://drliuhao.github.io/mh-liver-pathways/icca/#question-iCCA-D1" TargetMode="External"/><Relationship Id="rId13" Type="http://schemas.openxmlformats.org/officeDocument/2006/relationships/hyperlink" Target="https://drliuhao.github.io/mh-liver-pathways/icca/#question-iCCA-D2" TargetMode="External"/><Relationship Id="rId14" Type="http://schemas.openxmlformats.org/officeDocument/2006/relationships/hyperlink" Target="https://drliuhao.github.io/mh-liver-pathways/icca/#decision-8" TargetMode="External"/><Relationship Id="rId15" Type="http://schemas.openxmlformats.org/officeDocument/2006/relationships/hyperlink" Target="https://drliuhao.github.io/mh-liver-pathways/icca/#question-iCCA-D3" TargetMode="External"/><Relationship Id="rId16" Type="http://schemas.openxmlformats.org/officeDocument/2006/relationships/hyperlink" Target="https://drliuhao.github.io/mh-liver-pathways/icca/#decision-2" TargetMode="External"/><Relationship Id="rId17" Type="http://schemas.openxmlformats.org/officeDocument/2006/relationships/hyperlink" Target="https://drliuhao.github.io/mh-liver-pathways/icca/#question-iCCA-D4" TargetMode="External"/><Relationship Id="rId18" Type="http://schemas.openxmlformats.org/officeDocument/2006/relationships/hyperlink" Target="https://drliuhao.github.io/mh-liver-pathways/icca/#decision-10" TargetMode="External"/><Relationship Id="rId19" Type="http://schemas.openxmlformats.org/officeDocument/2006/relationships/hyperlink" Target="https://drliuhao.github.io/mh-liver-pathways/icca/#question-iCCA-D5" TargetMode="External"/><Relationship Id="rId20" Type="http://schemas.openxmlformats.org/officeDocument/2006/relationships/hyperlink" Target="https://drliuhao.github.io/mh-liver-pathways/icca/#decision-3" TargetMode="External"/><Relationship Id="rId21" Type="http://schemas.openxmlformats.org/officeDocument/2006/relationships/hyperlink" Target="https://drliuhao.github.io/mh-liver-pathways/icca/#question-iCCA-D6" TargetMode="External"/><Relationship Id="rId22" Type="http://schemas.openxmlformats.org/officeDocument/2006/relationships/hyperlink" Target="https://drliuhao.github.io/mh-liver-pathways/icca/#question-iCCA-D7" TargetMode="External"/><Relationship Id="rId23" Type="http://schemas.openxmlformats.org/officeDocument/2006/relationships/hyperlink" Target="https://drliuhao.github.io/mh-liver-pathways/icca/#question-iCCA-D8" TargetMode="External"/><Relationship Id="rId24" Type="http://schemas.openxmlformats.org/officeDocument/2006/relationships/hyperlink" Target="https://drliuhao.github.io/mh-liver-pathways/icca/#decision-1" TargetMode="External"/><Relationship Id="rId25" Type="http://schemas.openxmlformats.org/officeDocument/2006/relationships/hyperlink" Target="https://drliuhao.github.io/mh-liver-pathways/icca/#question-iCCA-D9" TargetMode="External"/><Relationship Id="rId26" Type="http://schemas.openxmlformats.org/officeDocument/2006/relationships/hyperlink" Target="https://drliuhao.github.io/mh-liver-pathways/icca/#question-iCCA-D10" TargetMode="External"/><Relationship Id="rId27" Type="http://schemas.openxmlformats.org/officeDocument/2006/relationships/hyperlink" Target="https://drliuhao.github.io/mh-liver-pathways/icca/#question-iCCA-D11" TargetMode="External"/><Relationship Id="rId28" Type="http://schemas.openxmlformats.org/officeDocument/2006/relationships/hyperlink" Target="https://drliuhao.github.io/mh-liver-pathways/icca/#decision-6" TargetMode="External"/><Relationship Id="rId29" Type="http://schemas.openxmlformats.org/officeDocument/2006/relationships/hyperlink" Target="https://drliuhao.github.io/mh-liver-pathways/icca/#decision-9" TargetMode="External"/><Relationship Id="rId30" Type="http://schemas.openxmlformats.org/officeDocument/2006/relationships/hyperlink" Target="https://drliuhao.github.io/mh-liver-pathways/icca/#question-iCCA-D12" TargetMode="External"/><Relationship Id="rId31" Type="http://schemas.openxmlformats.org/officeDocument/2006/relationships/hyperlink" Target="https://drliuhao.github.io/mh-liver-pathways/icca/#question-iCCA-D13" TargetMode="External"/><Relationship Id="rId32" Type="http://schemas.openxmlformats.org/officeDocument/2006/relationships/hyperlink" Target="https://drliuhao.github.io/mh-liver-pathways/icca/#question-iCCA-D14" TargetMode="External"/><Relationship Id="rId33" Type="http://schemas.openxmlformats.org/officeDocument/2006/relationships/hyperlink" Target="https://drliuhao.github.io/mh-liver-pathways/icca/#question-iCCA-D15" TargetMode="External"/><Relationship Id="rId34" Type="http://schemas.openxmlformats.org/officeDocument/2006/relationships/hyperlink" Target="https://pubmed.ncbi.nlm.nih.gov/36083140/" TargetMode="External"/><Relationship Id="rId35" Type="http://schemas.openxmlformats.org/officeDocument/2006/relationships/hyperlink" Target="https://pubmed.ncbi.nlm.nih.gov/34347159/" TargetMode="External"/><Relationship Id="rId36" Type="http://schemas.openxmlformats.org/officeDocument/2006/relationships/hyperlink" Target="https://pubmed.ncbi.nlm.nih.gov/36681415/" TargetMode="External"/><Relationship Id="rId37" Type="http://schemas.openxmlformats.org/officeDocument/2006/relationships/hyperlink" Target="https://pubmed.ncbi.nlm.nih.gov/30922733/" TargetMode="External"/><Relationship Id="rId38" Type="http://schemas.openxmlformats.org/officeDocument/2006/relationships/hyperlink" Target="https://pubmed.ncbi.nlm.nih.gov/37770126/" TargetMode="External"/><Relationship Id="rId39" Type="http://schemas.openxmlformats.org/officeDocument/2006/relationships/hyperlink" Target="https://pubmed.ncbi.nlm.nih.gov/31670750/" TargetMode="External"/><Relationship Id="rId40" Type="http://schemas.openxmlformats.org/officeDocument/2006/relationships/hyperlink" Target="https://pubmed.ncbi.nlm.nih.gov/37084797/" TargetMode="External"/><Relationship Id="rId41" Type="http://schemas.openxmlformats.org/officeDocument/2006/relationships/hyperlink" Target="https://pubmed.ncbi.nlm.nih.gov/36372281/" TargetMode="External"/><Relationship Id="rId42" Type="http://schemas.openxmlformats.org/officeDocument/2006/relationships/hyperlink" Target="https://pubmed.ncbi.nlm.nih.gov/39864891/" TargetMode="External"/><Relationship Id="rId43" Type="http://schemas.openxmlformats.org/officeDocument/2006/relationships/hyperlink" Target="https://pubmed.ncbi.nlm.nih.gov/24154839/" TargetMode="External"/><Relationship Id="rId44" Type="http://schemas.openxmlformats.org/officeDocument/2006/relationships/hyperlink" Target="https://pubmed.ncbi.nlm.nih.gov/42331230/" TargetMode="External"/><Relationship Id="rId45" Type="http://schemas.openxmlformats.org/officeDocument/2006/relationships/hyperlink" Target="https://pubmed.ncbi.nlm.nih.gov/41264278/" TargetMode="External"/><Relationship Id="rId46" Type="http://schemas.openxmlformats.org/officeDocument/2006/relationships/hyperlink" Target="https://pubmed.ncbi.nlm.nih.gov/42312290/" TargetMode="External"/><Relationship Id="rId47" Type="http://schemas.openxmlformats.org/officeDocument/2006/relationships/hyperlink" Target="https://pubmed.ncbi.nlm.nih.gov/37075781/" TargetMode="External"/><Relationship Id="rId48" Type="http://schemas.openxmlformats.org/officeDocument/2006/relationships/hyperlink" Target="https://pubmed.ncbi.nlm.nih.gov/21425151/" TargetMode="External"/><Relationship Id="rId49" Type="http://schemas.openxmlformats.org/officeDocument/2006/relationships/hyperlink" Target="https://pubmed.ncbi.nlm.nih.gov/26695839/" TargetMode="External"/><Relationship Id="rId50" Type="http://schemas.openxmlformats.org/officeDocument/2006/relationships/hyperlink" Target="https://pubmed.ncbi.nlm.nih.gov/40317676/" TargetMode="External"/><Relationship Id="rId51" Type="http://schemas.openxmlformats.org/officeDocument/2006/relationships/hyperlink" Target="https://doi.org/10.1111/hepr.14196" TargetMode="External"/><Relationship Id="rId52" Type="http://schemas.openxmlformats.org/officeDocument/2006/relationships/hyperlink" Target="https://libkey.io/libraries/480/10.1111/hepr.14196" TargetMode="External"/><Relationship Id="rId53" Type="http://schemas.openxmlformats.org/officeDocument/2006/relationships/hyperlink" Target="https://pubmed.ncbi.nlm.nih.gov/35978598/" TargetMode="External"/><Relationship Id="rId54" Type="http://schemas.openxmlformats.org/officeDocument/2006/relationships/hyperlink" Target="https://pubmed.ncbi.nlm.nih.gov/28858392/" TargetMode="External"/><Relationship Id="rId55" Type="http://schemas.openxmlformats.org/officeDocument/2006/relationships/hyperlink" Target="https://doi.org/10.1002/bjs.10641" TargetMode="External"/><Relationship Id="rId56" Type="http://schemas.openxmlformats.org/officeDocument/2006/relationships/hyperlink" Target="https://libkey.io/libraries/480/10.1002/bjs.10641" TargetMode="External"/><Relationship Id="rId57" Type="http://schemas.openxmlformats.org/officeDocument/2006/relationships/hyperlink" Target="https://pubmed.ncbi.nlm.nih.gov/29548617/" TargetMode="External"/><Relationship Id="rId58" Type="http://schemas.openxmlformats.org/officeDocument/2006/relationships/hyperlink" Target="https://pubmed.ncbi.nlm.nih.gov/38261915/" TargetMode="External"/><Relationship Id="rId59" Type="http://schemas.openxmlformats.org/officeDocument/2006/relationships/hyperlink" Target="https://pubmed.ncbi.nlm.nih.gov/41528222/" TargetMode="External"/><Relationship Id="rId60" Type="http://schemas.openxmlformats.org/officeDocument/2006/relationships/hyperlink" Target="https://pubmed.ncbi.nlm.nih.gov/39962001/" TargetMode="External"/><Relationship Id="rId61" Type="http://schemas.openxmlformats.org/officeDocument/2006/relationships/hyperlink" Target="https://pubmed.ncbi.nlm.nih.gov/31670746/" TargetMode="External"/><Relationship Id="rId62" Type="http://schemas.openxmlformats.org/officeDocument/2006/relationships/hyperlink" Target="https://pubmed.ncbi.nlm.nih.gov/40075720/" TargetMode="External"/><Relationship Id="rId63" Type="http://schemas.openxmlformats.org/officeDocument/2006/relationships/hyperlink" Target="https://doi.org/10.3390/cancers17050873" TargetMode="External"/><Relationship Id="rId64" Type="http://schemas.openxmlformats.org/officeDocument/2006/relationships/hyperlink" Target="https://pmc.ncbi.nlm.nih.gov/articles/PMC11898483/" TargetMode="External"/><Relationship Id="rId65" Type="http://schemas.openxmlformats.org/officeDocument/2006/relationships/hyperlink" Target="https://libkey.io/libraries/480/10.3390/cancers17050873" TargetMode="External"/><Relationship Id="rId66" Type="http://schemas.openxmlformats.org/officeDocument/2006/relationships/hyperlink" Target="https://www.nccn.org/guidelines/category_1" TargetMode="External"/><Relationship Id="rId67" Type="http://schemas.openxmlformats.org/officeDocument/2006/relationships/hyperlink" Target="https://www.hrsa.gov/sites/default/files/hrsa/optn/adult-meld-exception-transplant-oncology-review-guidance.pdf" TargetMode="External"/><Relationship Id="rId68" Type="http://schemas.openxmlformats.org/officeDocument/2006/relationships/hyperlink" Target="https://pubmed.ncbi.nlm.nih.gov/41082695/" TargetMode="External"/><Relationship Id="rId69" Type="http://schemas.openxmlformats.org/officeDocument/2006/relationships/hyperlink" Target="https://pubmed.ncbi.nlm.nih.gov/42524843/" TargetMode="External"/><Relationship Id="rId70" Type="http://schemas.openxmlformats.org/officeDocument/2006/relationships/hyperlink" Target="https://doi.org/10.1002/ijc.70641" TargetMode="External"/><Relationship Id="rId71" Type="http://schemas.openxmlformats.org/officeDocument/2006/relationships/hyperlink" Target="https://libkey.io/libraries/480/10.1002/ijc.70641" TargetMode="External"/><Relationship Id="rId72" Type="http://schemas.openxmlformats.org/officeDocument/2006/relationships/hyperlink" Target="https://pubmed.ncbi.nlm.nih.gov/27481548/" TargetMode="External"/><Relationship Id="rId73" Type="http://schemas.openxmlformats.org/officeDocument/2006/relationships/hyperlink" Target="https://pubmed.ncbi.nlm.nih.gov/26503201/" TargetMode="External"/><Relationship Id="rId74" Type="http://schemas.openxmlformats.org/officeDocument/2006/relationships/hyperlink" Target="https://pubmed.ncbi.nlm.nih.gov/38319896/" TargetMode="External"/><Relationship Id="rId75" Type="http://schemas.openxmlformats.org/officeDocument/2006/relationships/hyperlink" Target="https://pubmed.ncbi.nlm.nih.gov/38822227/" TargetMode="External"/><Relationship Id="rId76" Type="http://schemas.openxmlformats.org/officeDocument/2006/relationships/hyperlink" Target="https://doi.org/10.1002/jhbp.1437" TargetMode="External"/><Relationship Id="rId77" Type="http://schemas.openxmlformats.org/officeDocument/2006/relationships/hyperlink" Target="https://libkey.io/libraries/480/10.1002/jhbp.1437" TargetMode="External"/><Relationship Id="rId78" Type="http://schemas.openxmlformats.org/officeDocument/2006/relationships/hyperlink" Target="https://pubmed.ncbi.nlm.nih.gov/42169873/" TargetMode="External"/><Relationship Id="rId79" Type="http://schemas.openxmlformats.org/officeDocument/2006/relationships/hyperlink" Target="https://doi.org/10.21037/jgo-2025-aw-859" TargetMode="External"/><Relationship Id="rId80" Type="http://schemas.openxmlformats.org/officeDocument/2006/relationships/hyperlink" Target="https://pmc.ncbi.nlm.nih.gov/articles/PMC13187992/" TargetMode="External"/><Relationship Id="rId81" Type="http://schemas.openxmlformats.org/officeDocument/2006/relationships/hyperlink" Target="https://libkey.io/libraries/480/10.21037/jgo-2025-aw-859" TargetMode="External"/><Relationship Id="rId82" Type="http://schemas.openxmlformats.org/officeDocument/2006/relationships/hyperlink" Target="https://pubmed.ncbi.nlm.nih.gov/39918658/" TargetMode="External"/><Relationship Id="rId83" Type="http://schemas.openxmlformats.org/officeDocument/2006/relationships/hyperlink" Target="https://doi.org/10.1007/s00423-025-03630-x" TargetMode="External"/><Relationship Id="rId84" Type="http://schemas.openxmlformats.org/officeDocument/2006/relationships/hyperlink" Target="https://pmc.ncbi.nlm.nih.gov/articles/PMC11805778/" TargetMode="External"/><Relationship Id="rId85" Type="http://schemas.openxmlformats.org/officeDocument/2006/relationships/hyperlink" Target="https://libkey.io/libraries/480/10.1007/s00423-025-03630-x"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