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Intrahepatic cholangiocarcinoma Standard / Guidance-Aligned Transplant Protocol</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spacing w:after="120"/>
      </w:pPr>
      <w:r>
        <w:rPr>
          <w:i/>
          <w:sz w:val="18"/>
        </w:rPr>
        <w:t xml:space="preserve">Standardized document set, 29 October 2026: this is the full-content document for the standard transplant pathway. Questions for consensus: iCCA_4_Standard_Transplant_Questions.docx. Decision discussion for all settings: iCCA_7_Decision_Discussion.docx. Web page: https://drliuhao.github.io/mh-liver-pathways/transplant/icca/ 3 statements corrected on 29 October 2026 against the full texts of papers previously cited from their abstracts.</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2MmVkNjNjNi04MzlkLTVjOTgtYWE3OS1iYzUxMDA1NTA1OTg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GUIDANCE-ALIGNED NON-STANDARD EXCEPTION. iCCA and mixed HCC-iCCA are not standardized diagnoses under OPTN Policy 9.5. The December 2025 guidance supports NLRB consideration for biopsy-proven, unresectable, solitary disease ≤3 cm in a candidate with cirrhosis after locoregional or systemic therapy and at least 6 months of stability, with no new lesions or extrahepatic disease. Recommended score: MMaT-3.</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2MmVkNjNjNi04MzlkLTVjOTgtYWE3OS1iYzUxMDA1NTA1OTg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2MmVkNjNjNi04MzlkLTVjOTgtYWE3OS1iYzUxMDA1NTA1OTg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Extension requests should document imaging every 3 months, tumor remaining ≤3 cm, and absence of extrahepatic disease.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1. Purpose and Scope</w:t>
      </w:r>
    </w:p>
    <w:p>
      <w:pPr>
        <w:pStyle w:val="Normal"/>
        <w:widowControl/>
      </w:pPr>
      <w:r>
        <w:t xml:space="preserve">This protocol establishes an institutional clinical pathway for liver transplantation in carefully selected patients with intrahepatic cholangiocarcinoma (iCCA). iCCA is not a standardized exception diagnosis in OPTN Policy 9.5; this pathway is aligned to the December 2025 transplant-oncology NLRB guidance, with NCCN and AASLD/AST sources used for clinical care.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2MmVkNjNjNi04MzlkLTVjOTgtYWE3OS1iYzUxMDA1NTA1OTg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Heading2"/>
        <w:keepNext/>
        <w:widowControl/>
      </w:pPr>
      <w:r>
        <w:t xml:space="preserve">2. Patient Selection Criteria</w:t>
      </w:r>
    </w:p>
    <w:p>
      <w:pPr>
        <w:pStyle w:val="Normal"/>
        <w:widowControl/>
      </w:pPr>
      <w:r>
        <w:t xml:space="preserve">Size-boundary disagreement — OPEN: NCCN BTC v1.2026 INTRA-1 footnote l describes selected small single tumors &lt;3 cm, whereas NLRB iCCA guidance uses ≤3 cm. Exactly 3.0 cm therefore requires explicit clinical benefit and measurement review; guidance-supported exception consideration is not unanimous clinical guideline endorsement.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3"/>
        <w:keepNext/>
        <w:widowControl/>
      </w:pPr>
      <w:r>
        <w:t xml:space="preserve">2.1 Inclusion Criteria</w:t>
      </w:r>
    </w:p>
    <w:p>
      <w:pPr>
        <w:pStyle w:val="Normal"/>
        <w:widowControl/>
        <w:numPr>
          <w:ilvl w:val="0"/>
          <w:numId w:val="3"/>
        </w:numPr>
      </w:pPr>
      <w:r>
        <w:t xml:space="preserve">Biopsy-proven intrahepatic cholangiocarcinoma (iCCA) or mixed HCC-iCCA</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Solitary tumor with maximum diameter ≤3 cm</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Evidence note on the size threshold: the solitary 3 cm limit follows the OPTN transplant-oncology guidance. The strongest supporting outcome data are for very early iCCA defined as a SINGLE tumour 2 cm or less: 5-year cumulative recurrence 18% and 5-year actuarial survival 65% for single tumours 2 cm or less (n = 15), versus 61% recurrence and 45% survival for tumours above 2 cm or multifocal disease (n = 33). Sapisochin G et al., Hepatology 2016;64(4):1178-1188;  PMID 27481548. Candidates in the 2-3 cm band sit above the size range with the most favourable published outcomes; this must be stated in the consent discussion and in the NLRB narrative.</w:t>
      </w:r>
      <w:r>
        <w:t xml:space="preserve"> </w:t>
      </w:r>
      <w:r>
        <w:t xml:space="preserve"> </w:t>
      </w:r>
      <w:r>
        <w:t xml:space="preserve"> </w:t>
      </w:r>
      <w:r>
        <w:fldChar w:fldCharType="begin"/>
      </w:r>
      <w:r>
        <w:instrText xml:space="preserve"> ADDIN EN.CITE </w:instrText>
      </w:r>
      <w:r>
        <w:fldChar w:fldCharType="begin">
          <w:fldData>PEVuZE5vdGU+PENpdGU+PEF1dGhvcj5TYXBpc29jaGluPC9BdXRob3I+PFllYXI+MjAxNjwvWWVhcj48UmVjTnVtPjU8L1JlY051bT48RGlzcGxheVRleHQ+W1YxNi01XTwvRGlzcGxheVRleHQ+PHJlY29yZD48cmVjLW51bWJlcj41PC9yZWMtbnVtYmVyPjxmb3JlaWduLWtleXM+PGtleSBhcHA9IkVOIiBkYi1pZD0iNjJlZDYzYzYtODM5ZC01Yzk4LWFhNzktYmM1MTAwNTUwNTk4IiB0aW1lc3RhbXA9IjE3OTMyODM2ODQiPjU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Cirrhosis is REQUIRED: documented cirrhosis (histology, or unequivocal imaging plus clinical or laboratory evidence of portal hypertension), recorded explicitly in the NLRB narrative. Candidates without cirrhosis do not meet the guidance-supported category and may not be submitted under this pathway; any such request must be a separately justified non-standard submission reviewed by the selection committee and transplant-oncology conference, with the deviation stated explicitly.</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2LTZdPC9EaXNwbGF5VGV4dD48cmVjb3JkPjxyZWMtbnVtYmVyPjY8L3JlYy1udW1iZXI+PGZvcmVpZ24ta2V5cz48a2V5IGFwcD0iRU4iIGRiLWlkPSI2MmVkNjNjNi04MzlkLTVjOTgtYWE3OS1iYzUxMDA1NTA1OTgiIHRpbWVzdGFtcD0iMTc5MzI4MzY4NC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Unresectability is REQUIRED, determined by the hepatobiliary and transplant multidisciplinary tumour board, with the anatomic and functional reasons documented (remnant volume, vascular or biliary involvement, hepatic reserve).</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No extrahepatic disease on cross-sectional imaging (multiphasic CT or MRI of abdomen/pelvis and chest CT)</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No lymph node metastases on imaging and/or EUS-FNA</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2LTZdPC9EaXNwbGF5VGV4dD48cmVjb3JkPjxyZWMtbnVtYmVyPjY8L3JlYy1udW1iZXI+PGZvcmVpZ24ta2V5cz48a2V5IGFwcD0iRU4iIGRiLWlkPSI2MmVkNjNjNi04MzlkLTVjOTgtYWE3OS1iYzUxMDA1NTA1OTgiIHRpbWVzdGFtcD0iMTc5MzI4MzY4NC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ECOG performance status 0–1</w:t>
      </w:r>
    </w:p>
    <w:p>
      <w:pPr>
        <w:pStyle w:val="Normal"/>
        <w:widowControl/>
        <w:numPr>
          <w:ilvl w:val="0"/>
          <w:numId w:val="3"/>
        </w:numPr>
      </w:pPr>
      <w:r>
        <w:t xml:space="preserve">Age: no absolute upper age limit; OPTN policy sets none. Candidates over 70 years require documented enhanced physiologic assessment — frailty (Liver Frailty Index or equivalent), sarcopenia assessment, formal cardiopulmonary evaluation, and geriatric or anaesthesia consultation as indicated — and explicit selection-committee sign-off recording why the expected benefit justifies transplantation and lifelong immunosuppression. The committee may decline on physiologic grounds; it may not decline on chronological age alone.</w:t>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NzwvUmVjTnVtPjxEaXNwbGF5VGV4dD5bVjE2LTddPC9EaXNwbGF5VGV4dD48cmVjb3JkPjxyZWMtbnVtYmVyPjc8L3JlYy1udW1iZXI+PGZvcmVpZ24ta2V5cz48a2V5IGFwcD0iRU4iIGRiLWlkPSI2MmVkNjNjNi04MzlkLTVjOTgtYWE3OS1iYzUxMDA1NTA1OTgiIHRpbWVzdGFtcD0iMTc5MzI4MzY4NCI+Nz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No major comorbidities precluding transplantation per standard LT evaluation</w:t>
      </w:r>
    </w:p>
    <w:p>
      <w:pPr>
        <w:pStyle w:val="Heading3"/>
        <w:keepNext/>
        <w:widowControl/>
      </w:pPr>
      <w:r>
        <w:t xml:space="preserve">2.2 Exclusion Criteria</w:t>
      </w:r>
    </w:p>
    <w:p>
      <w:pPr>
        <w:pStyle w:val="Normal"/>
        <w:widowControl/>
        <w:numPr>
          <w:ilvl w:val="0"/>
          <w:numId w:val="3"/>
        </w:numPr>
      </w:pPr>
      <w:r>
        <w:t xml:space="preserve">Extrahepatic disease or intrahepatic metastases</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Macrovascular invasion</w:t>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NzwvUmVjTnVtPjxEaXNwbGF5VGV4dD5bVjE2LTddPC9EaXNwbGF5VGV4dD48cmVjb3JkPjxyZWMtbnVtYmVyPjc8L3JlYy1udW1iZXI+PGZvcmVpZ24ta2V5cz48a2V5IGFwcD0iRU4iIGRiLWlkPSI2MmVkNjNjNi04MzlkLTVjOTgtYWE3OS1iYzUxMDA1NTA1OTgiIHRpbWVzdGFtcD0iMTc5MzI4MzY4NCI+Nz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Obtain expert-reviewed core tissue to establish iCCA versus mixed histology and differentiation, using a planned image-guided trajectory. Prior biopsy alone is not a pCCA-style categorical iCCA exclusion. Suspected or proven needle-track/peritoneal metastasis requires staging review and prevents advancement while unresolved or metastatic disease is present.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YtOF08L0Rpc3BsYXlUZXh0PjxyZWNvcmQ+PHJlYy1udW1iZXI+ODwvcmVjLW51bWJlcj48Zm9yZWlnbi1rZXlzPjxrZXkgYXBwPSJFTiIgZGItaWQ9IjYyZWQ2M2M2LTgzOWQtNWM5OC1hYTc5LWJjNTEwMDU1MDU5OCIgdGltZXN0YW1wPSIxNzkzMjgzNjg0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YtOV08L0Rpc3BsYXlUZXh0PjxyZWNvcmQ+PHJlYy1udW1iZXI+OTwvcmVjLW51bWJlcj48Zm9yZWlnbi1rZXlzPjxrZXkgYXBwPSJFTiIgZGItaWQ9IjYyZWQ2M2M2LTgzOWQtNWM5OC1hYTc5LWJjNTEwMDU1MDU5OCIgdGltZXN0YW1wPSIxNzkzMjgzNjg0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Review prior operative/pathology records, margins, nodes, recurrence pattern and reconstruction feasibility. Prior resection alone is not listed as an automatic iCCA NLRB exclusion. Recurrent or otherwise outside-guidance phenotypes require explicit multidisciplinary and individualized allocation review; advanced-cohort inclusion after resection does not automatically establish standard-route eligibility.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YtOF08L0Rpc3BsYXlUZXh0PjxyZWNvcmQ+PHJlYy1udW1iZXI+ODwvcmVjLW51bWJlcj48Zm9yZWlnbi1rZXlzPjxrZXkgYXBwPSJFTiIgZGItaWQ9IjYyZWQ2M2M2LTgzOWQtNWM5OC1hYTc5LWJjNTEwMDU1MDU5OCIgdGltZXN0YW1wPSIxNzkzMjgzNjg0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p>
    <w:p>
      <w:pPr>
        <w:pStyle w:val="Normal"/>
        <w:widowControl/>
        <w:numPr>
          <w:ilvl w:val="0"/>
          <w:numId w:val="3"/>
        </w:numPr>
      </w:pPr>
      <w:r>
        <w:t xml:space="preserve">Uncontrolled infection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Poorly differentiated histology (relative contraindication)</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2LTZdPC9EaXNwbGF5VGV4dD48cmVjb3JkPjxyZWMtbnVtYmVyPjY8L3JlYy1udW1iZXI+PGZvcmVpZ24ta2V5cz48a2V5IGFwcD0iRU4iIGRiLWlkPSI2MmVkNjNjNi04MzlkLTVjOTgtYWE3OS1iYzUxMDA1NTA1OTgiIHRpbWVzdGFtcD0iMTc5MzI4MzY4NC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Inability to tolerate neoadjuvant systemic or locoregional therapy</w:t>
      </w:r>
    </w:p>
    <w:p>
      <w:pPr>
        <w:pStyle w:val="Heading2"/>
        <w:keepNext/>
        <w:widowControl/>
      </w:pPr>
      <w:r>
        <w:t xml:space="preserve">3. Pre-Transplant Workup</w:t>
      </w:r>
    </w:p>
    <w:p>
      <w:pPr>
        <w:pStyle w:val="Heading3"/>
        <w:keepNext/>
        <w:widowControl/>
      </w:pPr>
      <w:r>
        <w:t xml:space="preserve">3.1 Diagnostic Evaluation</w:t>
      </w:r>
    </w:p>
    <w:p>
      <w:pPr>
        <w:pStyle w:val="Normal"/>
        <w:widowControl/>
        <w:numPr>
          <w:ilvl w:val="0"/>
          <w:numId w:val="3"/>
        </w:numPr>
      </w:pPr>
      <w:r>
        <w:t xml:space="preserve">Multiphasic abdomen/pelvis CT or MRI with IV contrast (preferred)</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Chest CT ± contrast</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Obtain adequate tissue for expert pathological confirmation and biomarkers. Core biopsy is the preferred local sampling approach when feasible; the primary-biopsy avoidance rule for transplant-eligible pCCA does not apply to iCCA.</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2LTZdPC9EaXNwbGF5VGV4dD48cmVjb3JkPjxyZWMtbnVtYmVyPjY8L3JlYy1udW1iZXI+PGZvcmVpZ24ta2V5cz48a2V5IGFwcD0iRU4iIGRiLWlkPSI2MmVkNjNjNi04MzlkLTVjOTgtYWE3OS1iYzUxMDA1NTA1OTgiIHRpbWVzdGFtcD0iMTc5MzI4MzY4NC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Biomarker testing: comprehensive genomic profiling including MSI/MMR status, FGFR2 fusions, IDH1/2 mutations, BRAF, HER2, NTRK, RET</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Baseline tumor markers: CA 19-9, CEA, AFP</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Liver function tests, viral hepatitis serologies (HBV, HCV)</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MELD score calculation</w:t>
      </w:r>
    </w:p>
    <w:p>
      <w:pPr>
        <w:pStyle w:val="Normal"/>
        <w:widowControl/>
        <w:numPr>
          <w:ilvl w:val="0"/>
          <w:numId w:val="3"/>
        </w:numPr>
      </w:pPr>
      <w:r>
        <w:t xml:space="preserve">Standard LT evaluation (cardiac, pulmonary, psychosocial, nutritional)</w:t>
      </w:r>
    </w:p>
    <w:p>
      <w:pPr>
        <w:pStyle w:val="Heading3"/>
        <w:keepNext/>
        <w:widowControl/>
      </w:pPr>
      <w:r>
        <w:t xml:space="preserve">3.2 Staging Procedures</w:t>
      </w:r>
    </w:p>
    <w:p>
      <w:pPr>
        <w:pStyle w:val="Normal"/>
        <w:widowControl/>
        <w:numPr>
          <w:ilvl w:val="0"/>
          <w:numId w:val="3"/>
        </w:numPr>
      </w:pPr>
      <w:r>
        <w:t xml:space="preserve">Complete expert liver/chest/systemic staging and resolve suspicious regional nodes or extrahepatic lesions with targeted testing when indicated. Negative EUS sampling does not exclude all nodal disease. Hold advancement for unresolved suspicious lung, bone, pelvic or nodal findings; document the multidisciplinary interpretation and operative staging plan before LT.</w:t>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YtOF08L0Rpc3BsYXlUZXh0PjxyZWNvcmQ+PHJlYy1udW1iZXI+ODwvcmVjLW51bWJlcj48Zm9yZWlnbi1rZXlzPjxrZXkgYXBwPSJFTiIgZGItaWQ9IjYyZWQ2M2M2LTgzOWQtNWM5OC1hYTc5LWJjNTEwMDU1MDU5OCIgdGltZXN0YW1wPSIxNzkzMjgzNjg0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YtOV08L0Rpc3BsYXlUZXh0PjxyZWNvcmQ+PHJlYy1udW1iZXI+OTwvcmVjLW51bWJlcj48Zm9yZWlnbi1rZXlzPjxrZXkgYXBwPSJFTiIgZGItaWQ9IjYyZWQ2M2M2LTgzOWQtNWM5OC1hYTc5LWJjNTEwMDU1MDU5OCIgdGltZXN0YW1wPSIxNzkzMjgzNjg0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DwvUmVjTnVtPjxEaXNwbGF5VGV4dD5bVjE2LTEwXTwvRGlzcGxheVRleHQ+PHJlY29yZD48cmVjLW51bWJlcj4xMDwvcmVjLW51bWJlcj48Zm9yZWlnbi1rZXlzPjxrZXkgYXBwPSJFTiIgZGItaWQ9IjYyZWQ2M2M2LTgzOWQtNWM5OC1hYTc5LWJjNTEwMDU1MDU5OCIgdGltZXN0YW1wPSIxNzkzMjgzNjg0Ij4xM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Consider PET-CT for occult extrahepatic disease</w:t>
      </w:r>
    </w:p>
    <w:p>
      <w:pPr>
        <w:pStyle w:val="Normal"/>
        <w:widowControl/>
        <w:numPr>
          <w:ilvl w:val="0"/>
          <w:numId w:val="3"/>
        </w:numPr>
      </w:pPr>
      <w:r>
        <w:t xml:space="preserve">Consider diagnostic laparoscopy prior to listing</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3"/>
        <w:widowControl/>
        <w:keepNext/>
      </w:pPr>
      <w:r>
        <w:t xml:space="preserve">Systemic treatment evidence and transplant boundaries</w:t>
      </w:r>
    </w:p>
    <w:p>
      <w:pPr>
        <w:pStyle w:val="Normal"/>
        <w:widowControl/>
        <w:spacing w:after="120"/>
      </w:pPr>
      <w:r>
        <w:t xml:space="preserve">Systemic disease control is not proof of transplant benefit. Preserve the route-specific histology, liver-only status, unresectability and observation gates. A cHCC-CCA component changes the evidence base; use expert pathology review.</w:t>
      </w:r>
    </w:p>
    <w:p>
      <w:pPr>
        <w:pStyle w:val="Heading4"/>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t xml:space="preserve"> </w:t>
      </w:r>
      <w:r>
        <w:fldChar w:fldCharType="begin"/>
      </w:r>
      <w:r>
        <w:instrText xml:space="preserve"> ADDIN EN.CITE </w:instrText>
      </w:r>
      <w:r>
        <w:fldChar w:fldCharType="begin">
          <w:fldData>PEVuZE5vdGU+PENpdGU+PEF1dGhvcj5TaHJvZmYgUlQ8L0F1dGhvcj48WWVhcj4yMDI2PC9ZZWFyPjxSZWNOdW0+MTE8L1JlY051bT48RGlzcGxheVRleHQ+W1YxNi0xMV08L0Rpc3BsYXlUZXh0PjxyZWNvcmQ+PHJlYy1udW1iZXI+MTE8L3JlYy1udW1iZXI+PGZvcmVpZ24ta2V5cz48a2V5IGFwcD0iRU4iIGRiLWlkPSI2MmVkNjNjNi04MzlkLTVjOTgtYWE3OS1iYzUxMDA1NTA1OTgiIHRpbWVzdGFtcD0iMTc5MzI4MzY4NCI+MTE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[V16-11]</w:t>
      </w:r>
      <w:r>
        <w:fldChar w:fldCharType="end"/>
      </w:r>
      <w:r>
        <w:br/>
      </w:r>
      <w:hyperlink r:id="rId135">
        <w:r>
          <w:rPr>
            <w:color w:val="0563C1"/>
            <w:u w:val="single"/>
          </w:rPr>
          <w:t>Source</w:t>
        </w:r>
      </w:hyperlink>
      <w:r>
        <w:t xml:space="preserve"> · </w:t>
      </w:r>
      <w:hyperlink r:id="rId136">
        <w:r>
          <w:rPr>
            <w:color w:val="0563C1"/>
            <w:u w:val="single"/>
          </w:rPr>
          <w:t>PDF</w:t>
        </w:r>
      </w:hyperlink>
    </w:p>
    <w:p>
      <w:pPr>
        <w:pStyle w:val="Heading4"/>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t xml:space="preserve"> </w:t>
      </w:r>
      <w:r>
        <w:fldChar w:fldCharType="begin"/>
      </w:r>
      <w:r>
        <w:instrText xml:space="preserve"> ADDIN EN.CITE </w:instrText>
      </w:r>
      <w:r>
        <w:fldChar w:fldCharType="begin">
          <w:fldData>PEVuZE5vdGU+PENpdGU+PEF1dGhvcj5Wb2dlbCBBPC9BdXRob3I+PFllYXI+MjAyNDwvWWVhcj48UmVjTnVtPjEyPC9SZWNOdW0+PERpc3BsYXlUZXh0PltWMTYtMTJdPC9EaXNwbGF5VGV4dD48cmVjb3JkPjxyZWMtbnVtYmVyPjEyPC9yZWMtbnVtYmVyPjxmb3JlaWduLWtleXM+PGtleSBhcHA9IkVOIiBkYi1pZD0iNjJlZDYzYzYtODM5ZC01Yzk4LWFhNzktYmM1MTAwNTUwNTk4IiB0aW1lc3RhbXA9IjE3OTMyODM2ODQiPjEy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[V16-12]</w:t>
      </w:r>
      <w:r>
        <w:fldChar w:fldCharType="end"/>
      </w:r>
      <w:r>
        <w:br/>
      </w:r>
      <w:hyperlink r:id="rId137">
        <w:r>
          <w:rPr>
            <w:color w:val="0563C1"/>
            <w:u w:val="single"/>
          </w:rPr>
          <w:t>Source</w:t>
        </w:r>
      </w:hyperlink>
      <w:r>
        <w:t xml:space="preserve"> · </w:t>
      </w:r>
      <w:hyperlink r:id="rId138">
        <w:r>
          <w:rPr>
            <w:color w:val="0563C1"/>
            <w:u w:val="single"/>
          </w:rPr>
          <w:t>PDF</w:t>
        </w:r>
      </w:hyperlink>
    </w:p>
    <w:p>
      <w:pPr>
        <w:pStyle w:val="Heading4"/>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t xml:space="preserve"> </w:t>
      </w:r>
      <w:r>
        <w:fldChar w:fldCharType="begin"/>
      </w:r>
      <w:r>
        <w:instrText xml:space="preserve"> ADDIN EN.CITE </w:instrText>
      </w:r>
      <w:r>
        <w:fldChar w:fldCharType="begin">
          <w:fldData>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</w:fldData>
        </w:fldChar>
      </w:r>
      <w:r>
        <w:instrText xml:space="preserve"> ADDIN EN.CITE.DATA </w:instrText>
      </w:r>
      <w:r>
        <w:fldChar w:fldCharType="end"/>
      </w:r>
      <w:r>
        <w:fldChar w:fldCharType="separate"/>
      </w:r>
      <w:r>
        <w:t xml:space="preserve">[V16-13]</w:t>
      </w:r>
      <w:r>
        <w:fldChar w:fldCharType="end"/>
      </w:r>
      <w:r>
        <w:br/>
      </w:r>
      <w:hyperlink r:id="rId139">
        <w:r>
          <w:rPr>
            <w:color w:val="0563C1"/>
            <w:u w:val="single"/>
          </w:rPr>
          <w:t>Source</w:t>
        </w:r>
      </w:hyperlink>
      <w:r>
        <w:t xml:space="preserve"> · </w:t>
      </w:r>
      <w:hyperlink r:id="rId140">
        <w:r>
          <w:rPr>
            <w:color w:val="0563C1"/>
            <w:u w:val="single"/>
          </w:rPr>
          <w:t>PDF</w:t>
        </w:r>
      </w:hyperlink>
    </w:p>
    <w:p>
      <w:pPr>
        <w:pStyle w:val="Normal"/>
        <w:widowControl/>
        <w:spacing w:after="120"/>
      </w:pPr>
      <w:r>
        <w:t xml:space="preserve">Treatment comparisons and detailed regimen evidence: </w:t>
      </w:r>
      <w:hyperlink r:id="rId134">
        <w:r>
          <w:rPr>
            <w:color w:val="0563C1"/>
            <w:u w:val="single"/>
          </w:rPr>
          <w:t>Cross-tumor systemic matrix</w:t>
        </w:r>
      </w:hyperlink>
    </w:p>
    <w:p>
      <w:pPr>
        <w:pStyle w:val="Heading2"/>
        <w:keepNext/>
        <w:widowControl/>
      </w:pPr>
      <w:r>
        <w:t xml:space="preserve">4. Neoadjuvant Therapy</w:t>
      </w:r>
    </w:p>
    <w:p>
      <w:pPr>
        <w:pStyle w:val="Heading3"/>
        <w:keepNext/>
        <w:widowControl/>
      </w:pPr>
      <w:r>
        <w:t xml:space="preserve">4.1 Systemic Therapy</w:t>
      </w:r>
    </w:p>
    <w:p>
      <w:pPr>
        <w:pStyle w:val="Normal"/>
        <w:widowControl/>
      </w:pPr>
      <w:r>
        <w:t xml:space="preserve">Before listing, candidates must demonstrate at least 6 months of stability after locoregional or systemic therapy, selected by the multidisciplinary transplant-oncology team. No single systemic regimen is established as the standard neoadjuvant transplant regimen.</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Gemcitabine/cisplatin with durvalumab may be used for advanced biliary tract cancer, but its use as neoadjuvant therapy before LT is investigational.</w:t>
      </w:r>
    </w:p>
    <w:p>
      <w:pPr>
        <w:pStyle w:val="Normal"/>
        <w:widowControl/>
        <w:numPr>
          <w:ilvl w:val="0"/>
          <w:numId w:val="3"/>
        </w:numPr>
      </w:pPr>
      <w:r>
        <w:t xml:space="preserve">Gemcitabine/cisplatin with pembrolizumab may be used for advanced biliary tract cancer, but its use as neoadjuvant therapy before LT is investigational.</w:t>
      </w:r>
    </w:p>
    <w:p>
      <w:pPr>
        <w:pStyle w:val="Normal"/>
        <w:widowControl/>
      </w:pPr>
      <w:r>
        <w:t xml:space="preserve">Systemic alternatives, when systemic therapy is selected, include gemcitabine/cisplatin (with carboplatin substitution when appropriate), gemcitabine/oxaliplatin, or capecitabine/gemcitabine; selection requires current oncology and transplant-pharmacy review. These advanced-BTC chemotherapy options do not establish a validated transplant-conditioning regimen; use a named institutionally approved LT plan.</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pPr>
      <w:r>
        <w:t xml:space="preserve">Important note regarding immune checkpoint inhibitors (ICIs): ICI-containing therapy is not a validated neoadjuvant LT standard. If used under an approved protocol, require transplant-specific consent and a prospectively defined washout of at least 90 days. The 90-day interval is a protocol convention, not a validated threshold: no washout duration has been shown to eliminate rejection risk, and rejection has been reported after longer intervals. Record the interval used and the rationale for any deviation. The supporting evidence is largely retrospective and HCC-derived.</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YtMTVdPC9EaXNwbGF5VGV4dD48cmVjb3JkPjxyZWMtbnVtYmVyPjE1PC9yZWMtbnVtYmVyPjxmb3JlaWduLWtleXM+PGtleSBhcHA9IkVOIiBkYi1pZD0iNjJlZDYzYzYtODM5ZC01Yzk4LWFhNzktYmM1MTAwNTUwNTk4IiB0aW1lc3RhbXA9IjE3OTMyODM2ODQ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Ni0xNl08L0Rpc3BsYXlUZXh0PjxyZWNvcmQ+PHJlYy1udW1iZXI+MTY8L3JlYy1udW1iZXI+PGZvcmVpZ24ta2V5cz48a2V5IGFwcD0iRU4iIGRiLWlkPSI2MmVkNjNjNi04MzlkLTVjOTgtYWE3OS1iYzUxMDA1NTA1OTgiIHRpbWVzdGFtcD0iMTc5MzI4MzY4NC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p>
    <w:p>
      <w:pPr>
        <w:pStyle w:val="Heading3"/>
        <w:keepNext/>
        <w:widowControl/>
      </w:pPr>
      <w:r>
        <w:t xml:space="preserve">4.2 Locoregional Therapy</w:t>
      </w:r>
    </w:p>
    <w:p>
      <w:pPr>
        <w:pStyle w:val="Normal"/>
        <w:widowControl/>
      </w:pPr>
      <w:r>
        <w:t xml:space="preserve">Consider as adjunct to systemic therapy:</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Transarterial chemoembolization (TACE)</w:t>
      </w:r>
    </w:p>
    <w:p>
      <w:pPr>
        <w:pStyle w:val="Normal"/>
        <w:widowControl/>
        <w:numPr>
          <w:ilvl w:val="0"/>
          <w:numId w:val="3"/>
        </w:numPr>
      </w:pPr>
      <w:r>
        <w:t xml:space="preserve">Yttrium-90 (Y-90) radioembolization</w:t>
      </w:r>
    </w:p>
    <w:p>
      <w:pPr>
        <w:pStyle w:val="Normal"/>
        <w:widowControl/>
        <w:numPr>
          <w:ilvl w:val="0"/>
          <w:numId w:val="3"/>
        </w:numPr>
      </w:pPr>
      <w:r>
        <w:t xml:space="preserve">Radiofrequency or microwave ablation for tumors ≤3 cm when anatomically appropriate</w:t>
      </w:r>
    </w:p>
    <w:p>
      <w:pPr>
        <w:pStyle w:val="Normal"/>
        <w:widowControl/>
        <w:numPr>
          <w:ilvl w:val="0"/>
          <w:numId w:val="3"/>
        </w:numPr>
      </w:pPr>
      <w:r>
        <w:t xml:space="preserve">Stereotactic body radiotherapy (SBRT)</w:t>
      </w:r>
    </w:p>
    <w:p>
      <w:pPr>
        <w:pStyle w:val="Heading3"/>
        <w:keepNext/>
        <w:widowControl/>
      </w:pPr>
      <w:r>
        <w:t xml:space="preserve">4.3 Disease Stability Requirement</w:t>
      </w:r>
    </w:p>
    <w:p>
      <w:pPr>
        <w:pStyle w:val="Normal"/>
        <w:widowControl/>
        <w:numPr>
          <w:ilvl w:val="0"/>
          <w:numId w:val="3"/>
        </w:numPr>
      </w:pPr>
      <w:r>
        <w:t xml:space="preserve">Clock clarification remains OPEN: guidance describes six months of stability after locoregional/systemic therapy and separately uses “from time of diagnosis or last treatment.” Record diagnosis, treatment starts/completions, last progression, first control and proposed request dates. Require a documented six-month stable course and explicit allocation sign-off on its anchor; do not assume diagnosis alone or automatically restart after every maintenance dose.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Imaging surveillance every 3 months during the waiting period with multiphasic CT or MRI</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Heading2"/>
        <w:keepNext/>
        <w:widowControl/>
      </w:pPr>
      <w:r>
        <w:t xml:space="preserve">5. MELD Exception and Listing</w:t>
      </w:r>
    </w:p>
    <w:p>
      <w:pPr>
        <w:pStyle w:val="Normal"/>
        <w:widowControl/>
        <w:numPr>
          <w:ilvl w:val="0"/>
          <w:numId w:val="3"/>
        </w:numPr>
      </w:pPr>
      <w:r>
        <w:t xml:space="preserve">Submit a non-standard NLRB exception request. The December 2025 guidance recommends consideration at MMaT-3; approval is not automatic.</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2MmVkNjNjNi04MzlkLTVjOTgtYWE3OS1iYzUxMDA1NTA1OTg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Imaging confirmation of disease stability every 3 months while listed</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The iCCA guidance requires a solitary tumor ≤3 cm with stability, no new lesions and no extrahepatic disease; image every three months for extension. Its section does not specify the CRLM &gt;10% diameter rule. New lesions, confirmed progression or extrahepatic disease are HOLD for MDT/allocation reassessment; CA19-9 rise alone is not proof of radiographic progression.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2MmVkNjNjNi04MzlkLTVjOTgtYWE3OS1iYzUxMDA1NTA1OTg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2"/>
        <w:keepNext/>
        <w:widowControl/>
      </w:pPr>
      <w:r>
        <w:t xml:space="preserve">6. Operative Staging and Transplant Procedure</w:t>
      </w:r>
    </w:p>
    <w:p>
      <w:pPr>
        <w:pStyle w:val="Heading3"/>
        <w:keepNext/>
        <w:widowControl/>
      </w:pPr>
      <w:r>
        <w:t xml:space="preserve">6.1 Staging Laparotomy</w:t>
      </w:r>
    </w:p>
    <w:p>
      <w:pPr>
        <w:pStyle w:val="Normal"/>
        <w:widowControl/>
        <w:numPr>
          <w:ilvl w:val="0"/>
          <w:numId w:val="3"/>
        </w:numPr>
      </w:pPr>
      <w:r>
        <w:t xml:space="preserve">For any approved LDLT pathway, coordinate recipient staging/technical clearance before irreversible donor surgery, with an explicit abort plan for occult nodes, peritoneal disease or unresectability. For DDLT, coordinate recipient staging and graft acceptance/backup plans according to the center's approved workflow. This is an operational safety proposal, not proof that negative staging eliminates recurrence.</w:t>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YtOV08L0Rpc3BsYXlUZXh0PjxyZWNvcmQ+PHJlYy1udW1iZXI+OTwvcmVjLW51bWJlcj48Zm9yZWlnbi1rZXlzPjxrZXkgYXBwPSJFTiIgZGItaWQ9IjYyZWQ2M2M2LTgzOWQtNWM5OC1hYTc5LWJjNTEwMDU1MDU5OCIgdGltZXN0YW1wPSIxNzkzMjgzNjg0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Perihepatic lymph node sampling with frozen-section analysis</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If frozen section identifies extrahepatic or extrabiliary spread, the transplant is aborted. The transplant center immediately notifies the host OPO so the organ can be reallocated through the OPTN match run; the center does not return the organ to a waitlist pool. Document the decision, the pathology and the notification time.</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Heading3"/>
        <w:keepNext/>
        <w:widowControl/>
      </w:pPr>
      <w:r>
        <w:t xml:space="preserve">6.2 Transplant Surgery</w:t>
      </w:r>
    </w:p>
    <w:p>
      <w:pPr>
        <w:pStyle w:val="Normal"/>
        <w:widowControl/>
        <w:numPr>
          <w:ilvl w:val="0"/>
          <w:numId w:val="3"/>
        </w:numPr>
      </w:pPr>
      <w:r>
        <w:t xml:space="preserve">Standard orthotopic liver transplantation with caval anastomosis (piggyback technique preferred)</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Deceased donor or living donor liver transplantation per institutional protocol</w:t>
      </w:r>
    </w:p>
    <w:p>
      <w:pPr>
        <w:pStyle w:val="Heading2"/>
        <w:keepNext/>
        <w:widowControl/>
      </w:pPr>
      <w:r>
        <w:t xml:space="preserve">7. Post-Transplant Immunosuppression</w:t>
      </w:r>
    </w:p>
    <w:p>
      <w:pPr>
        <w:pStyle w:val="Heading3"/>
        <w:keepNext/>
        <w:widowControl/>
      </w:pPr>
      <w:r>
        <w:t xml:space="preserve">7.1 Induction</w:t>
      </w:r>
    </w:p>
    <w:p>
      <w:pPr>
        <w:pStyle w:val="Normal"/>
        <w:widowControl/>
        <w:numPr>
          <w:ilvl w:val="0"/>
          <w:numId w:val="3"/>
        </w:numPr>
      </w:pPr>
      <w:r>
        <w:t xml:space="preserve">Bolus steroid induction during the anhepatic phase</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Steroid taper/withdrawal is individualized under the institutional LT and pharmacy protocol; a fixed postoperative day-30 withdrawal is not established by iCCA outcome evidence.</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Heading3"/>
        <w:keepNext/>
        <w:widowControl/>
      </w:pPr>
      <w:r>
        <w:t xml:space="preserve">7.2 Maintenance</w:t>
      </w:r>
    </w:p>
    <w:p>
      <w:pPr>
        <w:pStyle w:val="Normal"/>
        <w:widowControl/>
        <w:numPr>
          <w:ilvl w:val="0"/>
          <w:numId w:val="3"/>
        </w:numPr>
      </w:pPr>
      <w:r>
        <w:t xml:space="preserve">Select and monitor initial immunosuppression under the institutional LT protocol. Do not require MMF cessation at day 30 solely because the recipient has iCCA; document the rationale for any minimization or conversion.</w:t>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E4PC9SZWNOdW0+PERpc3BsYXlUZXh0PltWMTYtMThdPC9EaXNwbGF5VGV4dD48cmVjb3JkPjxyZWMtbnVtYmVyPjE4PC9yZWMtbnVtYmVyPjxmb3JlaWduLWtleXM+PGtleSBhcHA9IkVOIiBkYi1pZD0iNjJlZDYzYzYtODM5ZC01Yzk4LWFhNzktYmM1MTAwNTUwNTk4IiB0aW1lc3RhbXA9IjE3OTMyODM2ODQiPjE4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pPr>
      <w:r>
        <w:t xml:space="preserve">Everolimus with reduced-dose tacrolimus may be considered after multidisciplinary review; it is not mandatory and has no proven CCA-specific survival benefit. Do not administer everolimus earlier than 30 days after LT under the current US label. Initiate only when the graft, wound healing, vascular status, proteinuria, infection risk and interactions permit, with therapeutic drug monitoring. A median 38-day start in an observational series is not a validated deadline.</w:t>
      </w:r>
      <w:r>
        <w:t xml:space="preserve"> </w:t>
      </w:r>
      <w:r>
        <w:t xml:space="preserve"> </w:t>
      </w:r>
      <w:r>
        <w:t xml:space="preserve"> </w:t>
      </w:r>
      <w:r>
        <w:fldChar w:fldCharType="begin"/>
      </w:r>
      <w:r>
        <w:instrText xml:space="preserve"> ADDIN EN.CITE </w:instrText>
      </w:r>
      <w:r>
        <w:fldChar w:fldCharType="begin">
          <w:fldData>PEVuZE5vdGU+PENpdGU+PEF1dGhvcj5TZW1hYW48L0F1dGhvcj48WWVhcj4yMDI1PC9ZZWFyPjxSZWNOdW0+MTk8L1JlY051bT48RGlzcGxheVRleHQ+W1YxNi0xOV08L0Rpc3BsYXlUZXh0PjxyZWNvcmQ+PHJlYy1udW1iZXI+MTk8L3JlYy1udW1iZXI+PGZvcmVpZ24ta2V5cz48a2V5IGFwcD0iRU4iIGRiLWlkPSI2MmVkNjNjNi04MzlkLTVjOTgtYWE3OS1iYzUxMDA1NTA1OTgiIHRpbWVzdGFtcD0iMTc5MzI4MzY4NCI+MTk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A8L1JlY051bT48RGlzcGxheVRleHQ+W1YxNi0yMF08L0Rpc3BsYXlUZXh0PjxyZWNvcmQ+PHJlYy1udW1iZXI+MjA8L3JlYy1udW1iZXI+PGZvcmVpZ24ta2V5cz48a2V5IGFwcD0iRU4iIGRiLWlkPSI2MmVkNjNjNi04MzlkLTVjOTgtYWE3OS1iYzUxMDA1NTA1OTgiIHRpbWVzdGFtcD0iMTc5MzI4MzY4NCI+MjA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p>
    <w:p>
      <w:pPr>
        <w:pStyle w:val="Normal"/>
        <w:widowControl/>
        <w:numPr>
          <w:ilvl w:val="0"/>
          <w:numId w:val="3"/>
        </w:numPr>
      </w:pPr>
      <w:r>
        <w:t xml:space="preserve">Immunosuppression minimization as tolerated</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Prior checkpoint-inhibitor exposure: allograft rejection is a recognised risk — in an HCC-only meta-analysis of 8 studies (1 RCT and 7 retrospective; n = 229), pooled post-transplant rejection was 19% (95% CI 12-30%), with complete recovery in 78% of patients with rejection, graft loss in 4% and rejection-related mortality in 2% ( PMID 41234720). There was no ICI-naive comparator, about half of rejections were not biopsy-confirmed, and the authors did not find rejection clearly higher than the 10-30% reported without ICI. Reported rejection onset ranged from 4 to 150 days after transplant; no pooled median time to onset was reported and none should be quoted.</w:t>
      </w:r>
    </w:p>
    <w:p>
      <w:pPr>
        <w:pStyle w:val="Normal"/>
        <w:widowControl/>
        <w:numPr>
          <w:ilvl w:val="0"/>
          <w:numId w:val="3"/>
        </w:numPr>
      </w:pPr>
      <w:r>
        <w:t xml:space="preserve">Operational rule for any recipient with pre-transplant ICI exposure: liver tests at least twice weekly for 4 weeks, then weekly to week 12; allograft biopsy for any unexplained rise in transaminases or cholestatic indices rather than empiric treatment; record the agent, last dose date and washout interval in the transplant record; manage suspected rejection per institutional protocol with early hepatology involvement.</w:t>
      </w:r>
    </w:p>
    <w:p>
      <w:pPr>
        <w:pStyle w:val="Heading2"/>
        <w:keepNext/>
        <w:widowControl/>
      </w:pPr>
      <w:r>
        <w:t xml:space="preserve">8. Adjuvant Therapy Post-Transplant</w:t>
      </w:r>
    </w:p>
    <w:p>
      <w:pPr>
        <w:pStyle w:val="Normal"/>
        <w:widowControl/>
        <w:numPr>
          <w:ilvl w:val="0"/>
          <w:numId w:val="3"/>
        </w:numPr>
      </w:pPr>
      <w:r>
        <w:t xml:space="preserve">Complete pathologic response on explant: surveillance without routine adjuvant therapy unless a separate prospective protocol specifies otherwise.</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Residual viable tumor on explant: no established post-LT adjuvant standard exists. Consider chemotherapy only case-by-case or within a prospective protocol; benefit and tolerability in immunosuppressed LT recipients are unproven.</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Heading2"/>
        <w:keepNext/>
        <w:widowControl/>
      </w:pPr>
      <w:r>
        <w:t xml:space="preserve">9. Post-Transplant Surveillance</w:t>
      </w:r>
    </w:p>
    <w:p>
      <w:pPr>
        <w:pStyle w:val="Heading3"/>
        <w:keepNext/>
        <w:widowControl/>
      </w:pPr>
      <w:r>
        <w:t xml:space="preserve">9.1 Oncologic Surveillance</w:t>
      </w:r>
    </w:p>
    <w:p>
      <w:pPr>
        <w:pStyle w:val="Normal"/>
        <w:widowControl/>
        <w:numPr>
          <w:ilvl w:val="0"/>
          <w:numId w:val="3"/>
        </w:numPr>
      </w:pPr>
      <w:r>
        <w:t xml:space="preserve">Proposed intensified local surveillance: chest CT plus contrast-enhanced abdominal/pelvic CT or MRI every 3 months in years 1–2 and every 6 months in years 3–5. This interval is an institutional proposal, not the schedule tested by Heinrich etal, whose incidental-BTC cohort used six-monthly imaging for 3 years then annual imaging through year 5. The group should approve modality, interval, renal/contrast adaptations and escalation triggers, and record the rationale.</w:t>
      </w:r>
      <w:r>
        <w:t xml:space="preserve"> </w:t>
      </w:r>
      <w:r>
        <w:t xml:space="preserve"> </w:t>
      </w:r>
      <w:r>
        <w:t xml:space="preserve"> </w:t>
      </w:r>
      <w:r>
        <w:fldChar w:fldCharType="begin"/>
      </w:r>
      <w:r>
        <w:instrText xml:space="preserve"> ADDIN EN.CITE </w:instrText>
      </w:r>
      <w:r>
        <w:fldChar w:fldCharType="begin">
          <w:fldData>PEVuZE5vdGU+PENpdGU+PEF1dGhvcj5IZWlucmljaDwvQXV0aG9yPjxZZWFyPjIwMjY8L1llYXI+PFJlY051bT4yMTwvUmVjTnVtPjxEaXNwbGF5VGV4dD5bVjE2LTIxXTwvRGlzcGxheVRleHQ+PHJlY29yZD48cmVjLW51bWJlcj4yMTwvcmVjLW51bWJlcj48Zm9yZWlnbi1rZXlzPjxrZXkgYXBwPSJFTiIgZGItaWQ9IjYyZWQ2M2M2LTgzOWQtNWM5OC1hYTc5LWJjNTEwMDU1MDU5OCIgdGltZXN0YW1wPSIxNzkzMjgzNjg0Ij4yM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p>
    <w:p>
      <w:pPr>
        <w:pStyle w:val="Normal"/>
        <w:widowControl/>
        <w:numPr>
          <w:ilvl w:val="0"/>
          <w:numId w:val="3"/>
        </w:numPr>
      </w:pPr>
      <w:r>
        <w:t xml:space="preserve">CA 19-9 and CEA at each surveillance visit</w:t>
      </w:r>
    </w:p>
    <w:p>
      <w:pPr>
        <w:pStyle w:val="Normal"/>
        <w:widowControl/>
        <w:numPr>
          <w:ilvl w:val="0"/>
          <w:numId w:val="3"/>
        </w:numPr>
      </w:pPr>
      <w:r>
        <w:t xml:space="preserve">Annual surveillance thereafter as clinically indicated</w:t>
      </w:r>
    </w:p>
    <w:p>
      <w:pPr>
        <w:pStyle w:val="Heading3"/>
        <w:keepNext/>
        <w:widowControl/>
      </w:pPr>
      <w:r>
        <w:t xml:space="preserve">9.2 General Post-Transplant Care</w:t>
      </w:r>
    </w:p>
    <w:p>
      <w:pPr>
        <w:pStyle w:val="Normal"/>
        <w:widowControl/>
        <w:numPr>
          <w:ilvl w:val="0"/>
          <w:numId w:val="3"/>
        </w:numPr>
      </w:pPr>
      <w:r>
        <w:t xml:space="preserve">Standard LT recipient monitoring: renal function, metabolic parameters, infection prophylaxis</w:t>
      </w:r>
    </w:p>
    <w:p>
      <w:pPr>
        <w:pStyle w:val="Normal"/>
        <w:widowControl/>
        <w:numPr>
          <w:ilvl w:val="0"/>
          <w:numId w:val="3"/>
        </w:numPr>
      </w:pPr>
      <w:r>
        <w:t xml:space="preserve">Perform yearly clinical skin examination and age/risk-appropriate cancer screening. In PSC with IBD, arrange annual colonoscopy with biopsies; in PSC without IBD, colonoscopy with ileal intubation and colonic biopsies every 5 years. For otherwise average-risk LT recipients, five-yearly colonoscopy may be considered under a weak guideline recommendation; do not present it as a mandatory interval for all recipients. Keep de novo screening separate from CCA-recurrence imaging.</w:t>
      </w:r>
      <w:r>
        <w:t xml:space="preserve"> </w:t>
      </w:r>
      <w:r>
        <w:t xml:space="preserve"> </w:t>
      </w:r>
      <w:r>
        <w:t xml:space="preserve"> </w:t>
      </w:r>
      <w:r>
        <w:fldChar w:fldCharType="begin"/>
      </w:r>
      <w:r>
        <w:instrText xml:space="preserve"> ADDIN EN.CITE </w:instrText>
      </w:r>
      <w:r>
        <w:fldChar w:fldCharType="begin">
          <w:fldData>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</w:fldData>
        </w:fldChar>
      </w:r>
      <w:r>
        <w:instrText xml:space="preserve"> ADDIN EN.CITE.DATA </w:instrText>
      </w:r>
      <w:r>
        <w:fldChar w:fldCharType="end"/>
      </w:r>
      <w:r>
        <w:fldChar w:fldCharType="separate"/>
      </w:r>
      <w:r>
        <w:t xml:space="preserve">[V16-22]</w:t>
      </w:r>
      <w:r>
        <w:fldChar w:fldCharType="end"/>
      </w:r>
    </w:p>
    <w:p>
      <w:pPr>
        <w:pStyle w:val="Heading2"/>
        <w:keepNext/>
        <w:widowControl/>
      </w:pPr>
      <w:r>
        <w:t xml:space="preserve">10. Recurrence Management</w:t>
      </w:r>
    </w:p>
    <w:p>
      <w:pPr>
        <w:pStyle w:val="Normal"/>
        <w:widowControl/>
        <w:numPr>
          <w:ilvl w:val="0"/>
          <w:numId w:val="3"/>
        </w:numPr>
      </w:pPr>
      <w:r>
        <w:t xml:space="preserve">Post-transplant recurrence is managed by individualized multidisciplinary decision. Resection or ablation may be considered for isolated, technically resectable recurrence, particularly when late; systemic therapy follows biliary-tract-cancer guidelines with attention to immunosuppressant interactions; palliative-intent care is appropriate for multifocal or early recurrence. No data support a uniformly aggressive multimodal approach in transplanted iCCA recipients.</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After confirmed recurrence, discuss individualized immunosuppression minimization with transplant hepatology, surgery and oncology, balancing cancer control against rejection and graft dysfunction. Document the agent/dose changes and monitoring plan. Retrospective association supports consideration, not automatic withdrawal, guaranteed survival benefit or routine mTOR substitution.</w:t>
      </w:r>
      <w:r>
        <w:t xml:space="preserve"> </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yMzwvUmVjTnVtPjxEaXNwbGF5VGV4dD5bVjE2LTIzXTwvRGlzcGxheVRleHQ+PHJlY29yZD48cmVjLW51bWJlcj4yMzwvcmVjLW51bWJlcj48Zm9yZWlnbi1rZXlzPjxrZXkgYXBwPSJFTiIgZGItaWQ9IjYyZWQ2M2M2LTgzOWQtNWM5OC1hYTc5LWJjNTEwMDU1MDU5OCIgdGltZXN0YW1wPSIxNzkzMjgzNjg0Ij4yMz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[V16-23]</w:t>
      </w:r>
      <w:r>
        <w:fldChar w:fldCharType="end"/>
      </w:r>
    </w:p>
    <w:p>
      <w:pPr>
        <w:pStyle w:val="Normal"/>
        <w:widowControl/>
        <w:numPr>
          <w:ilvl w:val="0"/>
          <w:numId w:val="3"/>
        </w:numPr>
      </w:pPr>
      <w:r>
        <w:t xml:space="preserve">Multidisciplinary tumor board review for all recurrences</w:t>
      </w:r>
    </w:p>
    <w:p>
      <w:pPr>
        <w:pStyle w:val="Normal"/>
        <w:widowControl/>
        <w:numPr>
          <w:ilvl w:val="0"/>
          <w:numId w:val="3"/>
        </w:numPr>
      </w:pPr>
      <w:r>
        <w:t xml:space="preserve">Molecular profiling of recurrent tumor to identify targetable alterations</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Heading2"/>
        <w:keepNext/>
        <w:widowControl/>
      </w:pPr>
      <w:r>
        <w:t xml:space="preserve">11. Multidisciplinary Team</w:t>
      </w:r>
    </w:p>
    <w:p>
      <w:pPr>
        <w:pStyle w:val="Normal"/>
        <w:widowControl/>
      </w:pPr>
      <w:r>
        <w:t xml:space="preserve">All cases must be reviewed by the UTHealth Houston Hepatobiliary Multidisciplinary Tumor Board, including:</w:t>
      </w:r>
    </w:p>
    <w:p>
      <w:pPr>
        <w:pStyle w:val="Normal"/>
        <w:widowControl/>
        <w:numPr>
          <w:ilvl w:val="0"/>
          <w:numId w:val="3"/>
        </w:numPr>
      </w:pPr>
      <w:r>
        <w:t xml:space="preserve">Transplant surgery</w:t>
      </w:r>
    </w:p>
    <w:p>
      <w:pPr>
        <w:pStyle w:val="Normal"/>
        <w:widowControl/>
        <w:numPr>
          <w:ilvl w:val="0"/>
          <w:numId w:val="3"/>
        </w:numPr>
      </w:pPr>
      <w:r>
        <w:t xml:space="preserve">Surgical oncology</w:t>
      </w:r>
    </w:p>
    <w:p>
      <w:pPr>
        <w:pStyle w:val="Normal"/>
        <w:widowControl/>
        <w:numPr>
          <w:ilvl w:val="0"/>
          <w:numId w:val="3"/>
        </w:numPr>
      </w:pPr>
      <w:r>
        <w:t xml:space="preserve">Medical oncology</w:t>
      </w:r>
    </w:p>
    <w:p>
      <w:pPr>
        <w:pStyle w:val="Normal"/>
        <w:widowControl/>
        <w:numPr>
          <w:ilvl w:val="0"/>
          <w:numId w:val="3"/>
        </w:numPr>
      </w:pPr>
      <w:r>
        <w:t xml:space="preserve">Hepatology</w:t>
      </w:r>
    </w:p>
    <w:p>
      <w:pPr>
        <w:pStyle w:val="Normal"/>
        <w:widowControl/>
        <w:numPr>
          <w:ilvl w:val="0"/>
          <w:numId w:val="3"/>
        </w:numPr>
      </w:pPr>
      <w:r>
        <w:t xml:space="preserve">Radiation oncology</w:t>
      </w:r>
    </w:p>
    <w:p>
      <w:pPr>
        <w:pStyle w:val="Normal"/>
        <w:widowControl/>
        <w:numPr>
          <w:ilvl w:val="0"/>
          <w:numId w:val="3"/>
        </w:numPr>
      </w:pPr>
      <w:r>
        <w:t xml:space="preserve">Interventional radiology</w:t>
      </w:r>
    </w:p>
    <w:p>
      <w:pPr>
        <w:pStyle w:val="Normal"/>
        <w:widowControl/>
        <w:numPr>
          <w:ilvl w:val="0"/>
          <w:numId w:val="3"/>
        </w:numPr>
      </w:pPr>
      <w:r>
        <w:t xml:space="preserve">Pathology</w:t>
      </w:r>
    </w:p>
    <w:p>
      <w:pPr>
        <w:pStyle w:val="Normal"/>
        <w:widowControl/>
        <w:numPr>
          <w:ilvl w:val="0"/>
          <w:numId w:val="3"/>
        </w:numPr>
      </w:pPr>
      <w:r>
        <w:t xml:space="preserve">Radiology</w:t>
      </w:r>
    </w:p>
    <w:p>
      <w:pPr>
        <w:pStyle w:val="Heading2"/>
        <w:keepNext/>
        <w:widowControl/>
      </w:pPr>
      <w:r>
        <w:t xml:space="preserve">12. Quality Metrics and Data Collection</w:t>
      </w:r>
    </w:p>
    <w:p>
      <w:pPr>
        <w:pStyle w:val="Normal"/>
        <w:widowControl/>
        <w:numPr>
          <w:ilvl w:val="0"/>
          <w:numId w:val="3"/>
        </w:numPr>
      </w:pPr>
      <w:r>
        <w:t xml:space="preserve">Track intent-to-treat survival, post-transplant survival, recurrence-free survival</w:t>
      </w:r>
    </w:p>
    <w:p>
      <w:pPr>
        <w:pStyle w:val="Normal"/>
        <w:widowControl/>
        <w:numPr>
          <w:ilvl w:val="0"/>
          <w:numId w:val="3"/>
        </w:numPr>
      </w:pPr>
      <w:r>
        <w:t xml:space="preserve">Document dropout rates and reasons</w:t>
      </w:r>
    </w:p>
    <w:p>
      <w:pPr>
        <w:pStyle w:val="Normal"/>
        <w:widowControl/>
        <w:numPr>
          <w:ilvl w:val="0"/>
          <w:numId w:val="3"/>
        </w:numPr>
      </w:pPr>
      <w:r>
        <w:t xml:space="preserve">Explant pathology correlation with pre-transplant imaging</w:t>
      </w:r>
    </w:p>
    <w:p>
      <w:pPr>
        <w:pStyle w:val="Normal"/>
        <w:widowControl/>
        <w:numPr>
          <w:ilvl w:val="0"/>
          <w:numId w:val="3"/>
        </w:numPr>
      </w:pPr>
      <w:r>
        <w:t xml:space="preserve">Report outcomes to UNOS/OPTN as required</w:t>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jA8L1JlY051bT48RGlzcGxheVRleHQ+W1YxNi0yMF08L0Rpc3BsYXlUZXh0PjxyZWNvcmQ+PHJlYy1udW1iZXI+MjA8L3JlYy1udW1iZXI+PGZvcmVpZ24ta2V5cz48a2V5IGFwcD0iRU4iIGRiLWlkPSI2MmVkNjNjNi04MzlkLTVjOTgtYWE3OS1iYzUxMDA1NTA1OTgiIHRpbWVzdGFtcD0iMTc5MzI4MzY4NCI+MjA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NDwvUmVjTnVtPjxEaXNwbGF5VGV4dD5bVjE2LTI0XTwvRGlzcGxheVRleHQ+PHJlY29yZD48cmVjLW51bWJlcj4yNDwvcmVjLW51bWJlcj48Zm9yZWlnbi1rZXlzPjxrZXkgYXBwPSJFTiIgZGItaWQ9IjYyZWQ2M2M2LTgzOWQtNWM5OC1hYTc5LWJjNTEwMDU1MDU5OCIgdGltZXN0YW1wPSIxNzkzMjgzNjg0Ij4yND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p>
    <w:p>
      <w:pPr>
        <w:pStyle w:val="Heading2"/>
        <w:keepNext/>
        <w:widowControl/>
      </w:pPr>
      <w:r>
        <w:t xml:space="preserve">Outcome evidence within the standard pathway</w:t>
      </w:r>
    </w:p>
    <w:p>
      <w:pPr>
        <w:pStyle w:val="Normal"/>
        <w:widowControl/>
      </w:pPr>
      <w:r>
        <w:t xml:space="preserve">The following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jJlZDYzYzYtODM5ZC01Yzk4LWFhNzktYmM1MTAwNTUwNTk4IiB0aW1lc3RhbXA9IjE3OTMyODM2ODQ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1">
              <w:r>
                <w:rPr>
                  <w:color w:val="77230C"/>
                  <w:sz w:val="20"/>
                  <w:u w:val="single"/>
                </w:rPr>
                <w:t>Primary source</w:t>
              </w:r>
            </w:hyperlink>
            <w:r>
              <w:t xml:space="preserve"> | </w:t>
            </w:r>
            <w:hyperlink r:id="rId22">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1PC9SZWNOdW0+PERpc3BsYXlUZXh0PltWMTYtMjVdPC9EaXNwbGF5VGV4dD48cmVjb3JkPjxyZWMtbnVtYmVyPjI1PC9yZWMtbnVtYmVyPjxmb3JlaWduLWtleXM+PGtleSBhcHA9IkVOIiBkYi1pZD0iNjJlZDYzYzYtODM5ZC01Yzk4LWFhNzktYmM1MTAwNTUwNTk4IiB0aW1lc3RhbXA9IjE3OTMyODM2ODQiPjI1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r>
              <w:t xml:space="preserve">Selection: Methods specify persistent unresectability, multidisciplinary review and at least six months of stability/regression after ICI. Patients actually received heterogeneous ICI, chemotherapy, targeted agents and locoregional therapy; case histories include progression and salvage. The series does not establish a reproducible selection algorithm.</w:t>
            </w:r>
          </w:p>
          <w:p>
            <w:pPr>
              <w:pStyle w:val="Normal"/>
              <w:widowControl/>
              <w:spacing w:before="60" w:after="20"/>
            </w:pPr>
            <w:hyperlink r:id="rId23">
              <w:r>
                <w:rPr>
                  <w:color w:val="77230C"/>
                  <w:sz w:val="20"/>
                  <w:u w:val="single"/>
                </w:rPr>
                <w:t>Primary source</w:t>
              </w:r>
            </w:hyperlink>
            <w:r>
              <w:t xml:space="preserve"> | </w:t>
            </w:r>
            <w:hyperlink r:id="rId24">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Ni0yNl08L0Rpc3BsYXlUZXh0PjxyZWNvcmQ+PHJlYy1udW1iZXI+MjY8L3JlYy1udW1iZXI+PGZvcmVpZ24ta2V5cz48a2V5IGFwcD0iRU4iIGRiLWlkPSI2MmVkNjNjNi04MzlkLTVjOTgtYWE3OS1iYzUxMDA1NTA1OTgiIHRpbWVzdGFtcD0iMTc5MzI4MzY4NC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Ni0yN108L0Rpc3BsYXlUZXh0PjxyZWNvcmQ+PHJlYy1udW1iZXI+Mjc8L3JlYy1udW1iZXI+PGZvcmVpZ24ta2V5cz48a2V5IGFwcD0iRU4iIGRiLWlkPSI2MmVkNjNjNi04MzlkLTVjOTgtYWE3OS1iYzUxMDA1NTA1OTgiIHRpbWVzdGFtcD0iMTc5MzI4MzY4NC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[V16-27]</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YtMjhdPC9EaXNwbGF5VGV4dD48cmVjb3JkPjxyZWMtbnVtYmVyPjI4PC9yZWMtbnVtYmVyPjxmb3JlaWduLWtleXM+PGtleSBhcHA9IkVOIiBkYi1pZD0iNjJlZDYzYzYtODM5ZC01Yzk4LWFhNzktYmM1MTAwNTUwNTk4IiB0aW1lc3RhbXA9IjE3OTMyODM2ODQ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neoGOLP 2026</w:t>
            </w:r>
            <w:r>
              <w:t xml:space="preserve"> </w:t>
            </w:r>
            <w:r>
              <w:t xml:space="preserve"> </w:t>
            </w:r>
            <w:r>
              <w:t xml:space="preserve"> </w:t>
            </w:r>
            <w:r>
              <w:fldChar w:fldCharType="begin"/>
            </w:r>
            <w:r>
              <w:instrText xml:space="preserve"> ADDIN EN.CITE </w:instrText>
            </w:r>
            <w:r>
              <w:fldChar w:fldCharType="begin">
                <w:fldData>PEVuZE5vdGU+PENpdGU+PEF1dGhvcj5TaGk8L0F1dGhvcj48WWVhcj4yMDI2PC9ZZWFyPjxSZWNOdW0+Mjk8L1JlY051bT48RGlzcGxheVRleHQ+W1YxNi0yOV08L0Rpc3BsYXlUZXh0PjxyZWNvcmQ+PHJlYy1udW1iZXI+Mjk8L3JlYy1udW1iZXI+PGZvcmVpZ24ta2V5cz48a2V5IGFwcD0iRU4iIGRiLWlkPSI2MmVkNjNjNi04MzlkLTVjOTgtYWE3OS1iYzUxMDA1NTA1OTgiIHRpbWVzdGFtcD0iMTc5MzI4MzY4NCI+Mjk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[V16-29]</w:t>
            </w:r>
            <w:r>
              <w:fldChar w:fldCharType="end"/>
            </w:r>
          </w:p>
          <w:p>
            <w:pPr>
              <w:pStyle w:val="Normal"/>
              <w:widowControl/>
              <w:spacing w:before="60" w:after="20"/>
            </w:pPr>
            <w:r>
              <w:t xml:space="preserve">Open-label randomized phase 2–3 trial at 11 Chinese hospitals; 178 patients randomized to neoadjuvant GOLP (n=88) or immediate surgery (n=90), analyzed by intention to treat. Both groups were intended to receive postoperative capecitabine.</w:t>
            </w:r>
          </w:p>
          <w:p>
            <w:pPr>
              <w:pStyle w:val="Normal"/>
              <w:widowControl/>
              <w:spacing w:before="60" w:after="20"/>
            </w:pPr>
            <w:r>
              <w:t xml:space="preserve">Selection: Resectable high-risk iCCA, age 18–70, ECOG 0 and Child-Pugh A. High-risk features included tumor &gt;5 cm, vascular invasion, multifocality, hepatic-portal nodes or elevated CA19-9. GOLP was gemcitabine/oxaliplatin plus toripalimab for three cycles and lenvatinib for nine weeks, followed by resection assessment.</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PDF pp2–4: methods and statistical boundaries; pp5–7: flow, baseline population and results; p8: EFS figure; pp9–10: interim OS and interpretation; p11: adverse-event table; p12: limitations.</w:t>
            </w:r>
          </w:p>
          <w:p>
            <w:pPr>
              <w:pStyle w:val="Normal"/>
              <w:widowControl/>
              <w:spacing w:before="60" w:after="20"/>
            </w:pPr>
            <w:r>
              <w:t xml:space="preserve">Review depth: Fresh complete reading of all 13 supplied PDF pages, including methods, results, tables, figures and discussion. Separately hosted protocol and supplementary appendix were not reviewed; no supplement-only claims are used.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EFS was 18.0 versus 8.7 months (P&lt;0.001); 24-month EFS was 37% versus 25%. No primary EFS hazard ratio was estimated because hazards were nonproportional. R0 resection occurred in 84/88 versus 84/90 randomized patients. At interim analysis, 24-month OS was 79% versus 61% (HR 0.43, 95% CI 0.23–0.79; P=0.005), which did NOT meet the prespecified interim OS significance boundary of P=0.0019.</w:t>
            </w:r>
          </w:p>
          <w:p>
            <w:pPr>
              <w:pStyle w:val="Normal"/>
              <w:widowControl/>
              <w:spacing w:before="60" w:after="20"/>
            </w:pPr>
            <w:r>
              <w:rPr>
                <w:b/>
              </w:rPr>
              <w:t xml:space="preserve">Do not infer: </w:t>
            </w:r>
            <w:r>
              <w:t xml:space="preserve">Highly fit resectable population; median follow-up 16.9 months and interim OS analysis. This was neither a conversion-to-transplant trial nor an allograft-safety study. It does not validate transplantation with nodal disease or macrovascular involvement. Do not conflate neoGOLP (toripalimab; major pathological response ≤10% viable tumor) with TransGOLP (a different regimen, population and pathological-response definition). Time origin: EFS and OS begin at randomization, not surgery or transplantation. EFS includes progression preventing radical resection, postoperative recurrence/metastasis, second primary cancer or death. Data cutoff: April 30, 2025.</w:t>
            </w:r>
          </w:p>
        </w:tc>
      </w:tr>
      <w:tr>
        <w:trPr/>
        <w:tc>
          <w:tcPr>
            <w:tcW w:w="3400" w:type="dxa"/>
            <w:tcMar>
              <w:top w:w="90" w:type="dxa"/>
              <w:left w:w="90" w:type="dxa"/>
              <w:bottom w:w="90" w:type="dxa"/>
              <w:right w:w="90" w:type="dxa"/>
            </w:tcMar>
          </w:tcPr>
          <w:p>
            <w:pPr>
              <w:pStyle w:val="Normal"/>
              <w:widowControl/>
              <w:spacing w:before="60" w:after="20"/>
            </w:pPr>
            <w:r>
              <w:rPr>
                <w:b/>
              </w:rPr>
              <w:t xml:space="preserve">Dageforde 2021</w:t>
            </w:r>
            <w:r>
              <w:t xml:space="preserve"> </w:t>
            </w:r>
            <w:r>
              <w:t xml:space="preserve"> </w:t>
            </w:r>
            <w:r>
              <w:t xml:space="preserve"> </w:t>
            </w:r>
            <w:r>
              <w:fldChar w:fldCharType="begin"/>
            </w:r>
            <w:r>
              <w:instrText xml:space="preserve"> ADDIN EN.CITE </w:instrText>
            </w:r>
            <w:r>
              <w:fldChar w:fldCharType="begin">
                <w:fldData>PEVuZE5vdGU+PENpdGU+PEF1dGhvcj5EYWdlZm9yZGU8L0F1dGhvcj48WWVhcj4yMDIxPC9ZZWFyPjxSZWNOdW0+MzA8L1JlY051bT48RGlzcGxheVRleHQ+W1YxNi0zMF08L0Rpc3BsYXlUZXh0PjxyZWNvcmQ+PHJlYy1udW1iZXI+MzA8L3JlYy1udW1iZXI+PGZvcmVpZ24ta2V5cz48a2V5IGFwcD0iRU4iIGRiLWlkPSI2MmVkNjNjNi04MzlkLTVjOTgtYWE3OS1iYzUxMDA1NTA1OTgiIHRpbWVzdGFtcD0iMTc5MzI4MzY4NCI+MzA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[V16-30]</w:t>
            </w:r>
            <w:r>
              <w:fldChar w:fldCharType="end"/>
            </w:r>
          </w:p>
          <w:p>
            <w:pPr>
              <w:pStyle w:val="Normal"/>
              <w:widowControl/>
              <w:spacing w:before="60" w:after="20"/>
            </w:pPr>
            <w:r>
              <w:t xml:space="preserve">12 centers, 2009–2017; 3206 patients (2998 HCC/208 mixed), including 99 mixed LT and 109 mixed resections. Of mixed LT: 67 within Milan, 14 beyond Milan/within UCSF, 18 beyond UCSF. Burden classified from initial-diagnosis imaging. Only two of 99 were known mixed tumors preoperatively; most presumed HCC.</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Complete original J Am Coll Surg 2021; 232:361–371 PDF, Methods and Tables 1–4/subgroup figures. A separate commentary begins but is incomplete.</w:t>
            </w:r>
          </w:p>
          <w:p>
            <w:pPr>
              <w:pStyle w:val="Normal"/>
              <w:widowControl/>
              <w:spacing w:before="60" w:after="20"/>
            </w:pPr>
            <w:r>
              <w:t xml:space="preserve">Review depth: Complete original J Am Coll Surg 2021; 232:361–371 study. Byte-identical to V7 PDF. Last page additionally starts a separate invited commentary; that separate commentary is incomplete and is not claimed as reviewed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Initial-imaging within-Milan mixed LT five-year OS was 70.1%, with recurrence 23.1%; corresponding HCC values were 73.4%/11.5%. Mixed LT versus resection within Milan: OS 70.1% versus 49.7%, p=.078; recurrence 23.1% versus 45.7%, p=.009. Beyond UCSF, mixed LT OS was 15.8%. DFS was approximately 70% versus 33.6%; text 70.3% and Table 4 70.1% conflict, so avoid unqualified precision.</w:t>
            </w:r>
          </w:p>
          <w:p>
            <w:pPr>
              <w:pStyle w:val="Normal"/>
              <w:widowControl/>
              <w:spacing w:before="60" w:after="20"/>
            </w:pPr>
            <w:r>
              <w:rPr>
                <w:b/>
              </w:rPr>
              <w:t xml:space="preserve">Do not infer: </w:t>
            </w:r>
            <w:r>
              <w:t xml:space="preserve">Only 2/99 mixed LT diagnoses were known preoperatively; burden was classified at initial imaging, not an approved prospective known-mixed expansion. Do not generalize the overall benefit association to beyond-UCSF disease.</w:t>
            </w:r>
          </w:p>
        </w:tc>
      </w:tr>
      <w:tr>
        <w:trPr/>
        <w:tc>
          <w:tcPr>
            <w:tcW w:w="3400" w:type="dxa"/>
            <w:tcMar>
              <w:top w:w="90" w:type="dxa"/>
              <w:left w:w="90" w:type="dxa"/>
              <w:bottom w:w="90" w:type="dxa"/>
              <w:right w:w="90" w:type="dxa"/>
            </w:tcMar>
          </w:tcPr>
          <w:p>
            <w:pPr>
              <w:pStyle w:val="Normal"/>
              <w:widowControl/>
              <w:spacing w:before="60" w:after="20"/>
            </w:pPr>
            <w:r>
              <w:rPr>
                <w:b/>
              </w:rPr>
              <w:t xml:space="preserve">De Martin 2020</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wPC9ZZWFyPjxSZWNOdW0+MzE8L1JlY051bT48RGlzcGxheVRleHQ+W1YxNi0zMV08L0Rpc3BsYXlUZXh0PjxyZWNvcmQ+PHJlYy1udW1iZXI+MzE8L3JlYy1udW1iZXI+PGZvcmVpZ24ta2V5cz48a2V5IGFwcD0iRU4iIGRiLWlkPSI2MmVkNjNjNi04MzlkLTVjOTgtYWE3OS1iYzUxMDA1NTA1OTgiIHRpbWVzdGFtcD0iMTc5MzI4MzY4NCI+Mz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[V16-31]</w:t>
            </w:r>
            <w:r>
              <w:fldChar w:fldCharType="end"/>
            </w:r>
          </w:p>
          <w:p>
            <w:pPr>
              <w:pStyle w:val="Normal"/>
              <w:widowControl/>
              <w:spacing w:before="60" w:after="20"/>
            </w:pPr>
            <w:r>
              <w:t xml:space="preserve">Cirrhosis cohort: 49 LT (24 pure/25 mixed) versus 26 resections (20 pure/six mixed); largest nodule ≤5 cm, not cumulative burden ≤5 cm. All LT diagnoses were incidental: 44 presumed HCC and five cirrhosis.</w:t>
            </w:r>
          </w:p>
          <w:p>
            <w:pPr>
              <w:pStyle w:val="Normal"/>
              <w:widowControl/>
              <w:spacing w:before="60" w:after="20"/>
            </w:pPr>
            <w:r>
              <w:t xml:space="preserve">Selection: Three French centers, 2002–2015; 75 cirrhotic patients with iCCA/mixed tumors and largest nodule ≤5 cm, NOT cumulative burden ≤5 cm. LT 49 (24 pure/25 mixed), resection 26 (20 pure/six mixed). All LT diagnoses were incidental: 44 presumed HCC, five decompensated cirrhosis; 31 received LRT, mostly TACE, not a planned iCCA induction protocol.</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Complete 14-page Liver Transpl 2020; 26:785–798 PDF, Methods, pathology, OS/RFS and multivariable/subgroup tables.</w:t>
            </w:r>
          </w:p>
          <w:p>
            <w:pPr>
              <w:pStyle w:val="Normal"/>
              <w:widowControl/>
              <w:spacing w:before="60" w:after="20"/>
            </w:pPr>
            <w:r>
              <w:t xml:space="preserve">Review depth: Complete original Liver Transpl 2020; 26:785–798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surgery, five-year OS was 67% versus 40%, p=.17; RFS 75% versus 36%, p=.004; recurrence 9/49 versus 12/26. Overall adjusted LT recurrence HR was .54 (CI .15–1.92), p=.34; &gt;2–5-cm subgroup HR .23 (.07–.82), p=.02. Grade HR was 3.74 (1.71–8.17).</w:t>
            </w:r>
          </w:p>
          <w:p>
            <w:pPr>
              <w:pStyle w:val="Normal"/>
              <w:widowControl/>
              <w:spacing w:before="60" w:after="20"/>
            </w:pPr>
            <w:r>
              <w:rPr>
                <w:b/>
              </w:rPr>
              <w:t xml:space="preserve">Do not infer: </w:t>
            </w:r>
            <w:r>
              <w:t xml:space="preserve">No ITT denominator or demonstrated OS advantage; long differential waiting, incidental/explant-defined mixed histology and nodal understaging. Does not validate prospectively known 5-cm or advanced mixed disease.</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zI8L1JlY051bT48RGlzcGxheVRleHQ+W1YxNi0zMl08L0Rpc3BsYXlUZXh0PjxyZWNvcmQ+PHJlYy1udW1iZXI+MzI8L3JlYy1udW1iZXI+PGZvcmVpZ24ta2V5cz48a2V5IGFwcD0iRU4iIGRiLWlkPSI2MmVkNjNjNi04MzlkLTVjOTgtYWE3OS1iYzUxMDA1NTA1OTgiIHRpbWVzdGFtcD0iMTc5MzI4MzY4NCI+MzI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[V16-32]</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r>
              <w:t xml:space="preserve">Selection: ≥6 months of control; CT/MRI every two to three months. Median diagnosis-to-listing interval was 351 days and listing-to-LT 114 days. In one ICI-treated patient, the three-month interruption was before LISTING, not a proven stop-to-LT safety interval.</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45PC9SZWNOdW0+PERpc3BsYXlUZXh0PltWMTYtOV08L0Rpc3BsYXlUZXh0PjxyZWNvcmQ+PHJlYy1udW1iZXI+OTwvcmVjLW51bWJlcj48Zm9yZWlnbi1rZXlzPjxrZXkgYXBwPSJFTiIgZGItaWQ9IjYyZWQ2M2M2LTgzOWQtNWM5OC1hYTc5LWJjNTEwMDU1MDU5OCIgdGltZXN0YW1wPSIxNzkzMjgzNjg0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Retrospective UPMC seven-iCCA-recipient LDLT series; 116 referrals were mixed CCA-associated diagnoses, not 116 pure iCCA. Thirty-one explorations, seven aborted; 24 total LDLT recipients included seven with iCCA.</w:t>
            </w:r>
          </w:p>
          <w:p>
            <w:pPr>
              <w:pStyle w:val="Normal"/>
              <w:widowControl/>
              <w:spacing w:before="60" w:after="20"/>
            </w:pPr>
            <w:r>
              <w:t xml:space="preserve">Selection: Generally ≥6 months of nonprogression; six planned biopsy-confirmed cases and one incidental case; recipient staging before donor surgery; no size/count cap. A three-week minimum ICI hold was center practice, not validated safety.</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Complete 11-page AJT 2026 proof, Methods, flow, Tables 1–2, recipient/donor outcomes and survival; DOI 10.1016/j.ajt.2026.09.039.</w:t>
            </w:r>
          </w:p>
          <w:p>
            <w:pPr>
              <w:pStyle w:val="Normal"/>
              <w:widowControl/>
              <w:spacing w:before="60" w:after="20"/>
            </w:pPr>
            <w:r>
              <w:t xml:space="preserve">Review depth: Complete original accepted/proof AJT article, accepted 23 September 2026. All main-paper pages reviewed; separate supplementary patient-level materials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5.1 years; two recurrences and one death. Five-year post-LDLT OS 85.7% (CI 33.4–97.9), RFS 71.4% (25.8–92.0), with OS/RFS risk sets of four/one at five years. Two recipient grade III complications. One of seven donors had postoperative-day-1 reoperation and month-2 percutaneous drainage; all donors were alive.</w:t>
            </w:r>
          </w:p>
          <w:p>
            <w:pPr>
              <w:pStyle w:val="Normal"/>
              <w:widowControl/>
              <w:spacing w:before="60" w:after="20"/>
            </w:pPr>
            <w:r>
              <w:rPr>
                <w:b/>
              </w:rPr>
              <w:t xml:space="preserve">Do not infer: </w:t>
            </w:r>
            <w:r>
              <w:t xml:space="preserve">Complete main PDF verified; remaining gaps are separate supplements, precise individual ICI intervals and causal comparative benefit, not absence of main methods or donor-morbidity information. Seven recipients and wide confidence intervals cannot establish net benefit.</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DwvUmVjTnVtPjxEaXNwbGF5VGV4dD5bVjE2LTEwXTwvRGlzcGxheVRleHQ+PHJlY29yZD48cmVjLW51bWJlcj4xMDwvcmVjLW51bWJlcj48Zm9yZWlnbi1rZXlzPjxrZXkgYXBwPSJFTiIgZGItaWQ9IjYyZWQ2M2M2LTgzOWQtNWM5OC1hYTc5LWJjNTEwMDU1MDU5OCIgdGltZXN0YW1wPSIxNzkzMjgzNjg0Ij4xM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r>
              <w:t xml:space="preserve">Selection: Figure 1 specifies 12 months of response; median diagnosis-to-LT interval was 26 months.</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YtOF08L0Rpc3BsYXlUZXh0PjxyZWNvcmQ+PHJlYy1udW1iZXI+ODwvcmVjLW51bWJlcj48Zm9yZWlnbi1rZXlzPjxrZXkgYXBwPSJFTiIgZGItaWQ9IjYyZWQ2M2M2LTgzOWQtNWM5OC1hYTc5LWJjNTEwMDU1MDU5OCIgdGltZXN0YW1wPSIxNzkzMjgzNjg0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r>
              <w:t xml:space="preserve">Selection: At least six months of response/stability, typically GemCis; CT every three months. Intraliver progression deferred LT and could permit re-entry after control; extrahepatic disease prompted delisting. Prior resection did not categorically exclude this research cohort.</w:t>
            </w:r>
          </w:p>
          <w:p>
            <w:pPr>
              <w:pStyle w:val="Normal"/>
              <w:widowControl/>
              <w:spacing w:before="60" w:after="20"/>
            </w:pPr>
            <w:hyperlink r:id="rId43">
              <w:r>
                <w:rPr>
                  <w:color w:val="77230C"/>
                  <w:sz w:val="20"/>
                  <w:u w:val="single"/>
                </w:rPr>
                <w:t>Primary source</w:t>
              </w:r>
            </w:hyperlink>
            <w:r>
              <w:t xml:space="preserve"> | </w:t>
            </w:r>
            <w:hyperlink r:id="rId44">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E1PC9SZWNOdW0+PERpc3BsYXlUZXh0PltWMTYtMTVdPC9EaXNwbGF5VGV4dD48cmVjb3JkPjxyZWMtbnVtYmVyPjE1PC9yZWMtbnVtYmVyPjxmb3JlaWduLWtleXM+PGtleSBhcHA9IkVOIiBkYi1pZD0iNjJlZDYzYzYtODM5ZC01Yzk4LWFhNzktYmM1MTAwNTUwNTk4IiB0aW1lc3RhbXA9IjE3OTMyODM2ODQiPjE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45">
              <w:r>
                <w:rPr>
                  <w:color w:val="77230C"/>
                  <w:sz w:val="20"/>
                  <w:u w:val="single"/>
                </w:rPr>
                <w:t>Primary source</w:t>
              </w:r>
            </w:hyperlink>
            <w:r>
              <w:t xml:space="preserve"> | </w:t>
            </w:r>
            <w:hyperlink r:id="rId46">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SWOG S1815</w:t>
            </w:r>
            <w:r>
              <w:t xml:space="preserve"> </w:t>
            </w:r>
            <w:r>
              <w:t xml:space="preserve"> </w:t>
            </w:r>
            <w:r>
              <w:t xml:space="preserve"> </w:t>
            </w:r>
            <w:r>
              <w:fldChar w:fldCharType="begin"/>
            </w:r>
            <w:r>
              <w:instrText xml:space="preserve"> ADDIN EN.CITE </w:instrText>
            </w:r>
            <w:r>
              <w:fldChar w:fldCharType="begin">
                <w:fldData>PEVuZE5vdGU+PENpdGU+PEF1dGhvcj5TaHJvZmY8L0F1dGhvcj48WWVhcj4yMDI1PC9ZZWFyPjxSZWNOdW0+MzM8L1JlY051bT48RGlzcGxheVRleHQ+W1YxNi0zM108L0Rpc3BsYXlUZXh0PjxyZWNvcmQ+PHJlYy1udW1iZXI+MzM8L3JlYy1udW1iZXI+PGZvcmVpZ24ta2V5cz48a2V5IGFwcD0iRU4iIGRiLWlkPSI2MmVkNjNjNi04MzlkLTVjOTgtYWE3OS1iYzUxMDA1NTA1OTgiIHRpbWVzdGFtcD0iMTc5MzI4MzY4NCI+MzM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p>
          <w:p>
            <w:pPr>
              <w:pStyle w:val="Normal"/>
              <w:widowControl/>
              <w:spacing w:before="60" w:after="20"/>
            </w:pPr>
            <w:r>
              <w:t xml:space="preserve">Multicenter open-label phase III trial, 2:1 gemcitabine/cisplatin/nab-paclitaxel (GAP) versus gemcitabine/cisplatin (GC). Of 452 randomized, 441 eligible participants were analyzed (294 versus 147); this is not an all-randomized 452-patient analysis.</w:t>
            </w:r>
          </w:p>
          <w:p>
            <w:pPr>
              <w:pStyle w:val="Normal"/>
              <w:widowControl/>
              <w:spacing w:before="60" w:after="20"/>
            </w:pPr>
            <w:r>
              <w:t xml:space="preserve">Selection: Previously untreated advanced biliary tract cancer, Zubrod performance status 0–1 and adequate organ function. Of 441, 297 (67%) had iCCA, 74 (17%) extrahepatic CCA and 70 (16%) gallbladder cancer; 323 (73%) had metastatic rather than locally advanced disease. No transplant selection strategy was tested.</w:t>
            </w:r>
          </w:p>
          <w:p>
            <w:pPr>
              <w:pStyle w:val="Normal"/>
              <w:widowControl/>
              <w:spacing w:before="60" w:after="20"/>
            </w:pPr>
            <w:hyperlink r:id="rId47">
              <w:r>
                <w:rPr>
                  <w:color w:val="77230C"/>
                  <w:sz w:val="20"/>
                  <w:u w:val="single"/>
                </w:rPr>
                <w:t>Primary source</w:t>
              </w:r>
            </w:hyperlink>
            <w:r>
              <w:t xml:space="preserve"> | </w:t>
            </w:r>
            <w:hyperlink r:id="rId48">
              <w:r>
                <w:rPr>
                  <w:color w:val="77230C"/>
                  <w:sz w:val="20"/>
                  <w:u w:val="single"/>
                </w:rPr>
                <w:t>Full-text PDF</w:t>
              </w:r>
            </w:hyperlink>
          </w:p>
          <w:p>
            <w:pPr>
              <w:pStyle w:val="Normal"/>
              <w:widowControl/>
              <w:spacing w:before="60" w:after="20"/>
            </w:pPr>
            <w:r>
              <w:t xml:space="preserve">Locator: PDF pp2–3: eligibility, analysis population and flow; p4: baseline data and survival; pp5–6: response and toxicity; p7: Table 3 adverse events; p8: interpretation; pp12–15: included Appendix Tables A1–A4.</w:t>
            </w:r>
          </w:p>
          <w:p>
            <w:pPr>
              <w:pStyle w:val="Normal"/>
              <w:widowControl/>
              <w:spacing w:before="60" w:after="20"/>
            </w:pPr>
            <w:r>
              <w:t xml:space="preserve">Review depth: Fresh complete reading of all 15 supplied PDF pages, including the main article, disclosures and included appendix tables. The separate trial protocol was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OS was 14.0 versus 13.6 months (HR 0.91, 95% CI 0.72–1.14; P=0.41); PFS was 7.5 versus 6.3 months (HR 0.89, 95% CI 0.71–1.12; P=0.32). Response was 91/290 (31%) versus 31/146 (21%) among response-evaluable patients. The iCCA subgroup had median OS 13.5 versus 13.6 months; exploratory locally advanced/subsite signals did not establish an OS-benefiting subgroup.</w:t>
            </w:r>
          </w:p>
          <w:p>
            <w:pPr>
              <w:pStyle w:val="Normal"/>
              <w:widowControl/>
              <w:spacing w:before="60" w:after="20"/>
            </w:pPr>
            <w:r>
              <w:rPr>
                <w:b/>
              </w:rPr>
              <w:t xml:space="preserve">Do not infer: </w:t>
            </w:r>
            <w:r>
              <w:t xml:space="preserve">Mostly metastatic and mixed-subsite population; no ICI comparator, LT arm or prospective conversion-to-LT endpoint. Exploratory subgroup analyses and higher response cannot establish a transplant survival benefit. Response assessment was local rather than central; dose-intensity information was not collected. Time origin: OS and PFS begin at random assignment. Outcomes are not post-LT survival and should not be plotted as though they share the starting point of recipient-only LT series.</w:t>
            </w:r>
          </w:p>
        </w:tc>
      </w:tr>
      <w:tr>
        <w:trPr/>
        <w:tc>
          <w:tcPr>
            <w:tcW w:w="3400" w:type="dxa"/>
            <w:tcMar>
              <w:top w:w="90" w:type="dxa"/>
              <w:left w:w="90" w:type="dxa"/>
              <w:bottom w:w="90" w:type="dxa"/>
              <w:right w:w="90" w:type="dxa"/>
            </w:tcMar>
          </w:tcPr>
          <w:p>
            <w:pPr>
              <w:pStyle w:val="Normal"/>
              <w:widowControl/>
              <w:spacing w:before="60" w:after="20"/>
            </w:pPr>
            <w:r>
              <w:rPr>
                <w:b/>
              </w:rPr>
              <w:t xml:space="preserve">Gül-Klein 2022</w:t>
            </w:r>
            <w:r>
              <w:t xml:space="preserve"> </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yMzwvUmVjTnVtPjxEaXNwbGF5VGV4dD5bVjE2LTIzXTwvRGlzcGxheVRleHQ+PHJlY29yZD48cmVjLW51bWJlcj4yMzwvcmVjLW51bWJlcj48Zm9yZWlnbi1rZXlzPjxrZXkgYXBwPSJFTiIgZGItaWQ9IjYyZWQ2M2M2LTgzOWQtNWM5OC1hYTc5LWJjNTEwMDU1MDU5OCIgdGltZXN0YW1wPSIxNzkzMjgzNjg0Ij4yMz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Historical single-center retrospective cohort, 1988–2022: 67 LT recipients (37 pCCA, 17 iCCA, 13 mixed HCC-CCA); 44 recurred. Twenty-three of 44 underwent restrictive immunosuppression management (RIM).</w:t>
            </w:r>
          </w:p>
          <w:p>
            <w:pPr>
              <w:pStyle w:val="Normal"/>
              <w:widowControl/>
              <w:spacing w:before="60" w:after="20"/>
            </w:pPr>
            <w:hyperlink r:id="rId49">
              <w:r>
                <w:rPr>
                  <w:color w:val="77230C"/>
                  <w:sz w:val="20"/>
                  <w:u w:val="single"/>
                </w:rPr>
                <w:t>Primary source</w:t>
              </w:r>
            </w:hyperlink>
            <w:r>
              <w:t xml:space="preserve"> | </w:t>
            </w:r>
            <w:hyperlink r:id="rId50">
              <w:r>
                <w:rPr>
                  <w:color w:val="77230C"/>
                  <w:sz w:val="20"/>
                  <w:u w:val="single"/>
                </w:rPr>
                <w:t>Full-text PDF</w:t>
              </w:r>
            </w:hyperlink>
          </w:p>
          <w:p>
            <w:pPr>
              <w:pStyle w:val="Normal"/>
              <w:widowControl/>
              <w:spacing w:before="60" w:after="20"/>
            </w:pPr>
            <w:r>
              <w:t xml:space="preserve">Locator: PDF pp 2–3 methods and RIM definition; p 7 RIM results; pp 8–9/Table 3 models; pp 10–11 limitations.</w:t>
            </w:r>
          </w:p>
          <w:p>
            <w:pPr>
              <w:pStyle w:val="Normal"/>
              <w:widowControl/>
              <w:spacing w:before="60" w:after="20"/>
            </w:pPr>
            <w:r>
              <w:t xml:space="preserve">Review depth: Complete 14-page main paper read. Some PDF text is duplicated by overlaid proof/extraction layers; the scientific main article is complete.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RIM meant reducing/discontinuing calcineurin inhibitors, MMF and/or steroids. Merely adding mTOR therapy without reducing another agent was not classified as RIM.; Median post-recurrence OS was 16.7 months with RIM versus 5.3 months without it. Absence of RIM was associated with worse survival in the adjusted model (HR 4.19, 95% CI 1.29–13.58).; No clinically significant rejection was reported after RIM, but the sample and design cannot guarantee safety for an individual recipient.; mTOR treatment before or after recurrence did not show an independent survival association. Table 3 post-recurrence mTOR HR was 0.91 (0.28–2.91; p=.87).; Surgical treatment of recurrence was also associated with longer survival, but selection by fitness, tumor distribution and treatability strongly limits causal interpretation.</w:t>
            </w:r>
          </w:p>
          <w:p>
            <w:pPr>
              <w:pStyle w:val="Normal"/>
              <w:widowControl/>
              <w:spacing w:before="60" w:after="20"/>
            </w:pPr>
            <w:r>
              <w:rPr>
                <w:b/>
              </w:rPr>
              <w:t xml:space="preserve">Do not infer: </w:t>
            </w:r>
            <w:r>
              <w:t xml:space="preserve">Small, nonrandomized, &gt;30-year mixed-disease cohort; treatment selection and performance-status confounding; RIM not standardized; era differences; no proof that reducing immunosuppression causes survival improvement or that mTOR alone prevents recurrence. Time origin: Recurrence-management OS starts at recurrence, not LT. Median LT-to-recurrence was 15.8 months and median post-recurrence OS 7.4 months.</w:t>
            </w:r>
          </w:p>
        </w:tc>
      </w:tr>
      <w:tr>
        <w:trPr/>
        <w:tc>
          <w:tcPr>
            <w:tcW w:w="3400" w:type="dxa"/>
            <w:tcMar>
              <w:top w:w="90" w:type="dxa"/>
              <w:left w:w="90" w:type="dxa"/>
              <w:bottom w:w="90" w:type="dxa"/>
              <w:right w:w="90" w:type="dxa"/>
            </w:tcMar>
          </w:tcPr>
          <w:p>
            <w:pPr>
              <w:pStyle w:val="Normal"/>
              <w:widowControl/>
              <w:spacing w:before="60" w:after="20"/>
            </w:pPr>
            <w:r>
              <w:rPr>
                <w:b/>
              </w:rPr>
              <w:t xml:space="preserve">Sharma 2025</w:t>
            </w:r>
            <w:r>
              <w:t xml:space="preserve"> </w:t>
            </w:r>
            <w:r>
              <w:t xml:space="preserve"> </w:t>
            </w:r>
            <w:r>
              <w:t xml:space="preserve"> </w:t>
            </w:r>
            <w:r>
              <w:fldChar w:fldCharType="begin"/>
            </w:r>
            <w:r>
              <w:instrText xml:space="preserve"> ADDIN EN.CITE </w:instrText>
            </w:r>
            <w:r>
              <w:fldChar w:fldCharType="begin">
                <w:fldData>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</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AASLD/AST adult LT practice guideline, online 2025 and 2026 issue, addressing non-graft complications. The recurrent HCC/CCA disease-specific management domain is explicitly outside this cancer-screening section.</w:t>
            </w:r>
          </w:p>
          <w:p>
            <w:pPr>
              <w:pStyle w:val="Normal"/>
              <w:widowControl/>
              <w:spacing w:before="60" w:after="20"/>
            </w:pPr>
            <w:hyperlink r:id="rId51">
              <w:r>
                <w:rPr>
                  <w:color w:val="77230C"/>
                  <w:sz w:val="20"/>
                  <w:u w:val="single"/>
                </w:rPr>
                <w:t>Primary source</w:t>
              </w:r>
            </w:hyperlink>
            <w:r>
              <w:t xml:space="preserve"> | </w:t>
            </w:r>
            <w:hyperlink r:id="rId52">
              <w:r>
                <w:rPr>
                  <w:color w:val="77230C"/>
                  <w:sz w:val="20"/>
                  <w:u w:val="single"/>
                </w:rPr>
                <w:t>Full-text PDF</w:t>
              </w:r>
            </w:hyperlink>
          </w:p>
          <w:p>
            <w:pPr>
              <w:pStyle w:val="Normal"/>
              <w:widowControl/>
              <w:spacing w:before="60" w:after="20"/>
            </w:pPr>
            <w:r>
              <w:t xml:space="preserve">Locator: PDF p 12/Table 3; p 14/journal 1170 statements 44–46; p 15/journal 1171 statements 47–51 and rationale.</w:t>
            </w:r>
          </w:p>
          <w:p>
            <w:pPr>
              <w:pStyle w:val="Normal"/>
              <w:widowControl/>
              <w:spacing w:before="60" w:after="20"/>
            </w:pPr>
            <w:r>
              <w:t xml:space="preserve">Review depth: Targeted full-text review of guideline scope and cancer-screening sections: PDF p 1, p 12/Table 3 and pp 14–15/statements 44–51. Not a claim to have reread all 37 pages on unrelated non-graft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Statements 44–45 support age-appropriate cancer screening and yearly clinical skin examinations.; Statement 49 says average-risk LT recipients may consider five-yearly colonoscopy (weak recommendation, level 3), not that this interval is mandatory for everyone.; Statement 50 recommends annual colonoscopy with random biopsies for PSC with IBD (strong, level 2).; Statement 51 recommends colonoscopy with ileal intubation and colonic biopsies every five years for PSC without IBD (strong, level 3).; Colonoscopy is preferred over stool testing in the discussed LT context because of limited advanced-adenoma sensitivity; de novo screening should not be confused with CCA-recurrence imaging.</w:t>
            </w:r>
          </w:p>
          <w:p>
            <w:pPr>
              <w:pStyle w:val="Normal"/>
              <w:widowControl/>
              <w:spacing w:before="60" w:after="20"/>
            </w:pPr>
            <w:r>
              <w:rPr>
                <w:b/>
              </w:rPr>
              <w:t xml:space="preserve">Do not infer: </w:t>
            </w:r>
            <w:r>
              <w:t xml:space="preserve">Recommendation strengths differ; population screening and recurrent-cancer surveillance are separate. No support for using this guideline as proof of a particular iCCA recurrence-imaging interval. Time origin: Not applicable; screening guidance rather than a new survival cohort.</w:t>
            </w:r>
          </w:p>
        </w:tc>
      </w:tr>
      <w:tr>
        <w:trPr/>
        <w:tc>
          <w:tcPr>
            <w:tcW w:w="3400" w:type="dxa"/>
            <w:tcMar>
              <w:top w:w="90" w:type="dxa"/>
              <w:left w:w="90" w:type="dxa"/>
              <w:bottom w:w="90" w:type="dxa"/>
              <w:right w:w="90" w:type="dxa"/>
            </w:tcMar>
          </w:tcPr>
          <w:p>
            <w:pPr>
              <w:pStyle w:val="Normal"/>
              <w:widowControl/>
              <w:spacing w:before="60" w:after="20"/>
            </w:pPr>
            <w:r>
              <w:rPr>
                <w:b/>
              </w:rPr>
              <w:t xml:space="preserve">Semaan 2025</w:t>
            </w:r>
            <w:r>
              <w:t xml:space="preserve"> </w:t>
            </w:r>
            <w:r>
              <w:t xml:space="preserve"> </w:t>
            </w:r>
            <w:r>
              <w:t xml:space="preserve"> </w:t>
            </w:r>
            <w:r>
              <w:fldChar w:fldCharType="begin"/>
            </w:r>
            <w:r>
              <w:instrText xml:space="preserve"> ADDIN EN.CITE </w:instrText>
            </w:r>
            <w:r>
              <w:fldChar w:fldCharType="begin">
                <w:fldData>PEVuZE5vdGU+PENpdGU+PEF1dGhvcj5TZW1hYW48L0F1dGhvcj48WWVhcj4yMDI1PC9ZZWFyPjxSZWNOdW0+MTk8L1JlY051bT48RGlzcGxheVRleHQ+W1YxNi0xOV08L0Rpc3BsYXlUZXh0PjxyZWNvcmQ+PHJlYy1udW1iZXI+MTk8L3JlYy1udW1iZXI+PGZvcmVpZ24ta2V5cz48a2V5IGFwcD0iRU4iIGRiLWlkPSI2MmVkNjNjNi04MzlkLTVjOTgtYWE3OS1iYzUxMDA1NTA1OTgiIHRpbWVzdGFtcD0iMTc5MzI4MzY4NCI+MTk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Retrospective Houston Methodist cohort, 2008–2023: 53 LT recipients, 27 pCCA and 26 iCCA; 49 received neoadjuvant treatment. Results overlap earlier Houston iCCA series and must not be counted as independent replication.</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Full-text PDF</w:t>
              </w:r>
            </w:hyperlink>
          </w:p>
          <w:p>
            <w:pPr>
              <w:pStyle w:val="Normal"/>
              <w:widowControl/>
              <w:spacing w:before="60" w:after="20"/>
            </w:pPr>
            <w:r>
              <w:t xml:space="preserve">Locator: PDF pp 1–2 methods; p 4/Table 2 exposure and timing; pp 5–7/Table 4 time-dependent models and Table 5 survival; pp 7–8 discussion.</w:t>
            </w:r>
          </w:p>
          <w:p>
            <w:pPr>
              <w:pStyle w:val="Normal"/>
              <w:widowControl/>
              <w:spacing w:before="60" w:after="20"/>
            </w:pPr>
            <w:r>
              <w:t xml:space="preserve">Review depth: Complete nine-page main article read. Tables and time-dependent analysis verified.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Thirty-nine of 53 patients received an mTOR inhibitor (73.6%); the abstract's 71.7% is inconsistent with 39/53 and matches the everolimus count of 38. Five received sirolimus and four received both sequentially.; Median initiation was 38 days after LT (IQR 27–79.5), not a tested mandatory day 30–38 conversion interval.; Three-year OS was 69.2% (95% CI 56.9–84.2) and RFS 57.4% (43.7–75.4); 21 patients developed recurrence.; The optimized conventional Cox association between mTOR use and OS was HR 0.16 (0.06–0.45; p=.001). It was not confirmed when mTOR exposure was treated as time-dependent: OS HR 0.52 (0.19–1.43; p=.2); RFS HR 0.82 (0.32–2.08; p=.7).; Pathology included multifocal iCCA, occult nodal disease and other adverse features; presumed pre-LT N 0 status does not establish the safety of knowingly transplanting node-positive patients.</w:t>
            </w:r>
          </w:p>
          <w:p>
            <w:pPr>
              <w:pStyle w:val="Normal"/>
              <w:widowControl/>
              <w:spacing w:before="60" w:after="20"/>
            </w:pPr>
            <w:r>
              <w:rPr>
                <w:b/>
              </w:rPr>
              <w:t xml:space="preserve">Do not infer: </w:t>
            </w:r>
            <w:r>
              <w:t xml:space="preserve">Small, heterogeneous, nonrandomized cohort; stepwise model selection; post-LT exposure timing; overlapping Houston patients. The source's current/prior/never-use categories are not readily reconciled with 39 ever-exposed patients. Do not infer a causal survival benefit, an optimal trough target, or a mandatory conversion date. Time origin: OS and RFS begin at LT; median post-LT follow-up 910 days. mTOR exposure starts after LT, creating an important timing/immortal-time problem in simple ever-treated comparisons.</w:t>
            </w:r>
          </w:p>
        </w:tc>
      </w:tr>
      <w:tr>
        <w:trPr/>
        <w:tc>
          <w:tcPr>
            <w:tcW w:w="3400" w:type="dxa"/>
            <w:tcMar>
              <w:top w:w="90" w:type="dxa"/>
              <w:left w:w="90" w:type="dxa"/>
              <w:bottom w:w="90" w:type="dxa"/>
              <w:right w:w="90" w:type="dxa"/>
            </w:tcMar>
          </w:tcPr>
          <w:p>
            <w:pPr>
              <w:pStyle w:val="Normal"/>
              <w:widowControl/>
              <w:spacing w:before="60" w:after="20"/>
            </w:pPr>
            <w:r>
              <w:rPr>
                <w:b/>
              </w:rPr>
              <w:t xml:space="preserve">Ramanan 2017</w:t>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E4PC9SZWNOdW0+PERpc3BsYXlUZXh0PltWMTYtMThdPC9EaXNwbGF5VGV4dD48cmVjb3JkPjxyZWMtbnVtYmVyPjE4PC9yZWMtbnVtYmVyPjxmb3JlaWduLWtleXM+PGtleSBhcHA9IkVOIiBkYi1pZD0iNjJlZDYzYzYtODM5ZC01Yzk4LWFhNzktYmM1MTAwNTUwNTk4IiB0aW1lc3RhbXA9IjE3OTMyODM2ODQiPjE4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Retrospective Mayo cohort of 124 pCCA recipients after neoadjuvant treatment and LT, 2004–2013; two incidental/no-neoadjuvant cases excluded from 126. Forty-five received LDLT; all had Roux-en-Y reconstruction. This is an infection cohort, not a randomized immunosuppression trial.</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PDF p 2 §§2.4–2.5 (immunosuppression/prophylaxis); pp 3–4 infection denominators and timing; pp 5–7 outcome models and limitations.</w:t>
            </w:r>
          </w:p>
          <w:p>
            <w:pPr>
              <w:pStyle w:val="Normal"/>
              <w:widowControl/>
              <w:spacing w:before="60" w:after="20"/>
            </w:pPr>
            <w:r>
              <w:t xml:space="preserve">Review depth: Complete seven-page main article read, including methods, results, tables, discussion and references.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There were 255 infections in 105/124 patients (84.7%); 53/124 had intra-abdominal infection, with 88 episodes. Forty-three had bloodstream infection, with 67 episodes.; The described regimen used tacrolimus, MMF and prednisone; prednisone was withdrawn on postoperative day 121 and MMF at 2–4 months when feasible, aiming for tacrolimus monotherapy. It does not support universal MMF cessation at 30 days or steroid withdrawal at 30 days.; The center used basiliximab with delayed tacrolimus in renal insufficiency (creatinine clearance &lt;40 mL/min or dialysis). This is a reported institutional strategy, not a proven pCCA-specific numeric threshold.; Associations with time to first infection of any type (Table3), not specifically abdominal infection, included LDLT HR 6.63 (95% CI 2.74–16.0), hepatic artery thrombosis HR 2.62 (1.34–5.12), biliary stricture HR 3.76 (1.60–8.82), and abdominal fluid collections HR 4.20 (2.14–8.23). These are nonrandomized associations, not proof that LDLT causes infection.; There were 36 deaths, 26 from recurrent CCA. Abdominal infection was associated with mortality after adjustment for recurrent CCA; the paper does not establish the effect of changing the immunosuppression schedule.</w:t>
            </w:r>
          </w:p>
          <w:p>
            <w:pPr>
              <w:pStyle w:val="Normal"/>
              <w:widowControl/>
              <w:spacing w:before="60" w:after="20"/>
            </w:pPr>
            <w:r>
              <w:rPr>
                <w:b/>
              </w:rPr>
              <w:t xml:space="preserve">Do not infer: </w:t>
            </w:r>
            <w:r>
              <w:t xml:space="preserve">Single center, historical practice, confounding by technical complexity and complications. Do not transfer old antimicrobial prophylaxis or immunosuppression details into a current mandatory order set. Time origin: Infection and survival outcomes begin at LT; median follow-up 4.2 years. Kaplan–Meier median time to first infection was 105.8 days. The 37-day median among infected patients is a different statistic.</w:t>
            </w:r>
          </w:p>
        </w:tc>
      </w:tr>
      <w:tr>
        <w:trPr/>
        <w:tc>
          <w:tcPr>
            <w:tcW w:w="3400" w:type="dxa"/>
            <w:tcMar>
              <w:top w:w="90" w:type="dxa"/>
              <w:left w:w="90" w:type="dxa"/>
              <w:bottom w:w="90" w:type="dxa"/>
              <w:right w:w="90" w:type="dxa"/>
            </w:tcMar>
          </w:tcPr>
          <w:p>
            <w:pPr>
              <w:pStyle w:val="Normal"/>
              <w:widowControl/>
              <w:spacing w:before="60" w:after="20"/>
            </w:pPr>
            <w:r>
              <w:rPr>
                <w:b/>
              </w:rPr>
              <w:t xml:space="preserve">Heinrich 2026</w:t>
            </w:r>
            <w:r>
              <w:t xml:space="preserve"> </w:t>
            </w:r>
            <w:r>
              <w:t xml:space="preserve"> </w:t>
            </w:r>
            <w:r>
              <w:t xml:space="preserve"> </w:t>
            </w:r>
            <w:r>
              <w:fldChar w:fldCharType="begin"/>
            </w:r>
            <w:r>
              <w:instrText xml:space="preserve"> ADDIN EN.CITE </w:instrText>
            </w:r>
            <w:r>
              <w:fldChar w:fldCharType="begin">
                <w:fldData>PEVuZE5vdGU+PENpdGU+PEF1dGhvcj5IZWlucmljaDwvQXV0aG9yPjxZZWFyPjIwMjY8L1llYXI+PFJlY051bT4yMTwvUmVjTnVtPjxEaXNwbGF5VGV4dD5bVjE2LTIxXTwvRGlzcGxheVRleHQ+PHJlY29yZD48cmVjLW51bWJlcj4yMTwvcmVjLW51bWJlcj48Zm9yZWlnbi1rZXlzPjxrZXkgYXBwPSJFTiIgZGItaWQ9IjYyZWQ2M2M2LTgzOWQtNWM5OC1hYTc5LWJjNTEwMDU1MDU5OCIgdGltZXN0YW1wPSIxNzkzMjgzNjg0Ij4yM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r>
              <w:t xml:space="preserve">Retrospective three-center German study, 2002–2021: 19 incidental biliary tract cancers found on explant versus 140 HCC recipients within Milan criteria. All incidental cases were T 1/T 2; the cohort includes more than just iCCA/pCCA. Twelve of 19 had PSC or autoimmune liver disease.</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PDF p 2 methods and surveillance; p 3 overall outcomes; pp 5–7 subgroup analyses and limitations; p 8 supporting-information descriptions.</w:t>
            </w:r>
          </w:p>
          <w:p>
            <w:pPr>
              <w:pStyle w:val="Normal"/>
              <w:widowControl/>
              <w:spacing w:before="60" w:after="20"/>
            </w:pPr>
            <w:r>
              <w:t xml:space="preserve">Review depth: Complete eight-page main article read. Supporting-information captions were read but separate supporting tables were not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was 65% in incidental BTC versus 73% in HCC (p=.31); DFS 54% versus 69% (p approximately .25). Failure to reject a difference is not proof of equivalence.; Six of 19 developed recurrence. Seventeen received no adjuvant treatment; two treated cases do not establish adjuvant benefit.; The observed surveillance schedule was CT/MRI every six months for three years, then annually through year five. It does not support attributing an every-three-month years 1–2/every-six-month years 3–5 schedule to this study.; CA 19-9 was available in only 13 patients; the four with &gt;100 U/mL all recurred. This tiny incomplete-data association is not a new absolute exclusion threshold.; Subgroup denominators in the body are internally inconsistent with total n=19; do not reproduce separate iCCA/pCCA/distal/GBC recurrence denominators without supporting-table clarification.</w:t>
            </w:r>
          </w:p>
          <w:p>
            <w:pPr>
              <w:pStyle w:val="Normal"/>
              <w:widowControl/>
              <w:spacing w:before="60" w:after="20"/>
            </w:pPr>
            <w:r>
              <w:rPr>
                <w:b/>
              </w:rPr>
              <w:t xml:space="preserve">Do not infer: </w:t>
            </w:r>
            <w:r>
              <w:t xml:space="preserve">Incidental tumors without pre-LT suspicion, mixed anatomic sites, tiny sample, selection/era confounding and underpowered survival comparisons. Not evidence for intentional transplantation of known advanced iCCA or pCCA. Surveillance was observed practice, not randomized optimization. Time origin: OS and DFS begin at LT; death without recurrence counts as a DFS event. Mean follow-up 61 months, range 4–254 months.</w:t>
            </w:r>
          </w:p>
        </w:tc>
      </w:tr>
      <w:tr>
        <w:trPr/>
        <w:tc>
          <w:tcPr>
            <w:tcW w:w="3400" w:type="dxa"/>
            <w:tcMar>
              <w:top w:w="90" w:type="dxa"/>
              <w:left w:w="90" w:type="dxa"/>
              <w:bottom w:w="90" w:type="dxa"/>
              <w:right w:w="90" w:type="dxa"/>
            </w:tcMar>
          </w:tcPr>
          <w:p>
            <w:pPr>
              <w:pStyle w:val="Normal"/>
              <w:widowControl/>
              <w:spacing w:before="60" w:after="20"/>
            </w:pPr>
            <w:r>
              <w:rPr>
                <w:b/>
              </w:rPr>
              <w:t xml:space="preserve">NCCN Biliary Tract Cancers v1.2026</w:t>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jJlZDYzYzYtODM5ZC01Yzk4LWFhNzktYmM1MTAwNTUwNTk4IiB0aW1lc3RhbXA9IjE3OTMyODM2ODQ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</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r>
              <w:t xml:space="preserve">Selection: Clinical guidance and allocation criteria are separate; no new independent transplant outcomes.</w:t>
            </w:r>
          </w:p>
          <w:p>
            <w:pPr>
              <w:pStyle w:val="Normal"/>
              <w:widowControl/>
              <w:spacing w:before="60" w:after="20"/>
            </w:pPr>
            <w:hyperlink r:id="rId59">
              <w:r>
                <w:rPr>
                  <w:color w:val="77230C"/>
                  <w:sz w:val="20"/>
                  <w:u w:val="single"/>
                </w:rPr>
                <w:t>Primary source</w:t>
              </w:r>
            </w:hyperlink>
            <w:r>
              <w:t xml:space="preserve"> | </w:t>
            </w:r>
            <w:hyperlink r:id="rId60">
              <w:r>
                <w:rPr>
                  <w:color w:val="77230C"/>
                  <w:sz w:val="20"/>
                  <w:u w:val="single"/>
                </w:rPr>
                <w:t>Full-text PDF</w:t>
              </w:r>
            </w:hyperlink>
          </w:p>
          <w:p>
            <w:pPr>
              <w:pStyle w:val="Normal"/>
              <w:widowControl/>
              <w:spacing w:before="60" w:after="20"/>
            </w:pPr>
            <w:r>
              <w:t xml:space="preserve">Locator: PDF 23 EXTRA-1 footnote h; PDF 65 MS-18 transplantation discussion; PDF 16 INTRA-1 footnotes l and s; PDF 61 MS-14; PDF 23 EXTRA-1 footnote h; PDF 58–59 MS-11–12; PDF 16 INTRA-1 and PDF 21 INTRA-C; PDF 18 INTRA-A; PDF 25 EXTRA-A; PDF 59 MS-12; PDF 16 INTRA-1 footnotes; PDF 61 MS-14; PDF 36 BIL-C 1; PDF 37 BIL-C 2; PDF 41 BIL-D; PDF 65 MS-18; PDF 23 EXTRA-1; PDF 37 BIL-C 2; PDF 65 MS-18; PDF 17 INTRA-2; PDF 24 EXTRA-2; PDF 61 MS-14 and PDF 65 MS-18</w:t>
            </w:r>
          </w:p>
          <w:p>
            <w:pPr>
              <w:pStyle w:val="Normal"/>
              <w:widowControl/>
              <w:spacing w:before="60" w:after="20"/>
            </w:pPr>
            <w:r>
              <w:t xml:space="preserve">Review depth: Targeted complete relevant guideline sections reviewed; exact pages and limits in nccn_biliary_final_check.json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NCCN uses radial size ≤3 cm for highly selected pCCA LT consideration, with no nodal, intrahepatic or extrahepatic metastatic disease. This differs from current OPTN Policy 9.5.A's single mass &lt;3 cm requirement. The transplant-referral option links to footnote l for small single tumors &lt;3 cm. Footnotes also describe biopsy-proven iCCA/mixed HCC-iCCA, cirrhosis, unresectability, prior locoregional/systemic therapy and six months from diagnosis or last treatment without new lesions/extrahepatic disease. Current NLRB guidance uses ≤3 cm, so the exactly 3.0 cm boundary is not identical. Determine pCCA resection/transplant status before primary biopsy; potential LT candidates should be referred before transperitoneal or surgical primary-tumor biopsy. For unresectable iCCA, obtain tissue confirmation and biomarkers. A preoperative biopsy is not always necessary when proceeding directly to potentially curative resection. These are different clinical settings. Resection remains the standard potentially curative route when feasible. For pCCA, assess functional/volumetric FLR, arterial and portal inflow, biliary drainage, and whether remnant-directed drainage/PVE or expert vascular reconstruction can permit R 0 surgery. The guideline does not define a universal numeric FLR cutoff in these sections. The original diagnosis-or-last-treatment wording is genuinely present in this version of NCCN, not a fabricated phrase. NCCN's summary does not resolve the two formulations in the controlling NLRB guidance. The systemic-therapy page's named neoadjuvant subsection is for gallbladder cancer only. Unresectable/metastatic BTC regimens include GemCis plus durvalumab/pembrolizumab as preferred options, and chemotherapy-only alternatives. This does not establish a transplant-specific NAT regimen or pre-LT ICI safety. The pCCA LT discussion cites selected neoadjuvant chemoradiation experience without prescribing a universal radiation schedule. NCCN supports tissue/genomic assessment for unresectable disease to guide systemic treatment. It does not establish a blanket permanent LT exclusion for every prior targeted or other systemic therapy. The postoperative-resection algorithms suggest abdominal/pelvic cross-sectional imaging plus chest CT every 3–6 months for 2 years, then every 6–12 months through year 5. Both explicitly acknowledge lack of data for an optimal schedule and cite the BILCAP schedule. NCCN summarizes highly selected observational and small prospective LT experience and notes selection differences in pCCA LT/resection comparisons. This does not overturn the main-paper evidence audit or validate expanded advanced/node-positive disease.</w:t>
            </w:r>
          </w:p>
          <w:p>
            <w:pPr>
              <w:pStyle w:val="Normal"/>
              <w:widowControl/>
              <w:spacing w:before="60" w:after="20"/>
            </w:pPr>
            <w:r>
              <w:rPr>
                <w:b/>
              </w:rPr>
              <w:t xml:space="preserve">Do not infer: </w:t>
            </w:r>
            <w:r>
              <w:t xml:space="preserve">Targeted relevant-section review, not a whole-guideline audit. Source-specific wording does not override OPTN policy or establish an experimentally expanded eligibility rule.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t xml:space="preserve"> </w:t>
            </w:r>
            <w:r>
              <w:fldChar w:fldCharType="begin"/>
            </w:r>
            <w:r>
              <w:instrText xml:space="preserve"> ADDIN EN.CITE </w:instrText>
            </w:r>
            <w:r>
              <w:fldChar w:fldCharType="begin">
                <w:fldData>PEVuZE5vdGU+PENpdGU+PEF1dGhvcj5UZTwvQXV0aG9yPjxZZWFyPjIwMjU8L1llYXI+PFJlY051bT4yNDwvUmVjTnVtPjxEaXNwbGF5VGV4dD5bVjE2LTI0XTwvRGlzcGxheVRleHQ+PHJlY29yZD48cmVjLW51bWJlcj4yNDwvcmVjLW51bWJlcj48Zm9yZWlnbi1rZXlzPjxrZXkgYXBwPSJFTiIgZGItaWQ9IjYyZWQ2M2M2LTgzOWQtNWM5OC1hYTc5LWJjNTEwMDU1MDU5OCIgdGltZXN0YW1wPSIxNzkzMjgzNjg0Ij4yND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61">
              <w:r>
                <w:rPr>
                  <w:color w:val="77230C"/>
                  <w:sz w:val="20"/>
                  <w:u w:val="single"/>
                </w:rPr>
                <w:t>Primary source</w:t>
              </w:r>
            </w:hyperlink>
            <w:r>
              <w:t xml:space="preserve"> | </w:t>
            </w:r>
            <w:hyperlink r:id="rId62">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Bowlus 2022</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NjwvUmVjTnVtPjxEaXNwbGF5VGV4dD5bVjE2LTZdPC9EaXNwbGF5VGV4dD48cmVjb3JkPjxyZWMtbnVtYmVyPjY8L3JlYy1udW1iZXI+PGZvcmVpZ24ta2V5cz48a2V5IGFwcD0iRU4iIGRiLWlkPSI2MmVkNjNjNi04MzlkLTVjOTgtYWE3OS1iYzUxMDA1NTA1OTgiIHRpbWVzdGFtcD0iMTc5MzI4MzY4NCI+Nj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AASLD practice guidance, published online 2022 and in the 2023 issue; no new trial denominator. Recommendations and their underlying studies must be distinguished.</w:t>
            </w:r>
          </w:p>
          <w:p>
            <w:pPr>
              <w:pStyle w:val="Normal"/>
              <w:widowControl/>
              <w:spacing w:before="60" w:after="20"/>
            </w:pPr>
            <w:hyperlink r:id="rId63">
              <w:r>
                <w:rPr>
                  <w:color w:val="77230C"/>
                  <w:sz w:val="20"/>
                  <w:u w:val="single"/>
                </w:rPr>
                <w:t>Primary source</w:t>
              </w:r>
            </w:hyperlink>
            <w:r>
              <w:t xml:space="preserve"> | </w:t>
            </w:r>
            <w:hyperlink r:id="rId64">
              <w:r>
                <w:rPr>
                  <w:color w:val="77230C"/>
                  <w:sz w:val="20"/>
                  <w:u w:val="single"/>
                </w:rPr>
                <w:t>Full-text PDF</w:t>
              </w:r>
            </w:hyperlink>
          </w:p>
          <w:p>
            <w:pPr>
              <w:pStyle w:val="Normal"/>
              <w:widowControl/>
              <w:spacing w:before="60" w:after="20"/>
            </w:pPr>
            <w:r>
              <w:t xml:space="preserve">Locator: PDF p 24 guidance statement 33 and diagnostic workup; p 25 statements 39–40 and iCCA discussion; pp 26–28 pCCA biopsy, resection, NAT/LT and statement 48.</w:t>
            </w:r>
          </w:p>
          <w:p>
            <w:pPr>
              <w:pStyle w:val="Normal"/>
              <w:widowControl/>
              <w:spacing w:before="60" w:after="20"/>
            </w:pPr>
            <w:r>
              <w:t xml:space="preserve">Review depth: Targeted full-text review of all biliary cancer clinical sections in PDF pp 21–28, including diagnostic, resection and LT guidance and Figure 9. The unrelated remainder of the 44-page PSC guideline was not reread in full during this supplement.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iCCA diagnosis requires core biopsy and molecular characterization as appropriate; primary-tumor transperitoneal/EUS avoidance belongs to potential pCCA-LT candidates. EUS sampling of suspicious regional nodes is a different procedure.; R 0 resection with sufficient functional remnant remains the curative first route when feasible. The guidance's general remnant discussion is not a universal 40% numeric rule for every patient.; Guidance statement 48 uses pCCA radial size ≤3 cm, whereas current OPTN Policy 9.5.A requires a single mass, if present, &lt;3 cm. Exactly 3.0 cm is an explicit guideline/policy discrepancy, not an automatic standardized-exception case.; The guidance describes selected very-early iCCA evidence and keeps advanced iCCA in research; it does not turn incidental-cohort outcomes into a routine advanced-disease indication.; The guidance narrative mislabels the multicenter Murad 78% RFS as five-year; the primary article gives 78% at two years and 65% at five years. Its De Martin burden description also should not replace the primary largest-nodule measurement.</w:t>
            </w:r>
          </w:p>
          <w:p>
            <w:pPr>
              <w:pStyle w:val="Normal"/>
              <w:widowControl/>
              <w:spacing w:before="60" w:after="20"/>
            </w:pPr>
            <w:r>
              <w:rPr>
                <w:b/>
              </w:rPr>
              <w:t xml:space="preserve">Do not infer: </w:t>
            </w:r>
            <w:r>
              <w:t xml:space="preserve">Professional guidance is not allocation policy. Several secondary numerical summaries are inaccurate; use verified primary-study results. The systemic-treatment section predates newer trial updates and is not the sole source for 2026 non-LT therapy. Time origin: Not applicable to the guidance itself; use primary studies for outcome origins.</w:t>
            </w:r>
          </w:p>
        </w:tc>
      </w:tr>
      <w:tr>
        <w:trPr/>
        <w:tc>
          <w:tcPr>
            <w:tcW w:w="3400" w:type="dxa"/>
            <w:tcMar>
              <w:top w:w="90" w:type="dxa"/>
              <w:left w:w="90" w:type="dxa"/>
              <w:bottom w:w="90" w:type="dxa"/>
              <w:right w:w="90" w:type="dxa"/>
            </w:tcMar>
          </w:tcPr>
          <w:p>
            <w:pPr>
              <w:pStyle w:val="Normal"/>
              <w:widowControl/>
              <w:spacing w:before="60" w:after="20"/>
            </w:pPr>
            <w:r>
              <w:rPr>
                <w:b/>
              </w:rPr>
              <w:t xml:space="preserve">Oh 2025</w:t>
            </w:r>
            <w:r>
              <w:t xml:space="preserve"> </w:t>
            </w:r>
            <w:r>
              <w:t xml:space="preserve"> </w:t>
            </w:r>
            <w:r>
              <w:t xml:space="preserve"> </w:t>
            </w:r>
            <w:r>
              <w:fldChar w:fldCharType="begin"/>
            </w:r>
            <w:r>
              <w:instrText xml:space="preserve"> ADDIN EN.CITE </w:instrText>
            </w:r>
            <w:r>
              <w:fldChar w:fldCharType="begin">
                <w:fldData>PEVuZE5vdGU+PENpdGU+PEF1dGhvcj5PaDwvQXV0aG9yPjxZZWFyPjIwMjU8L1llYXI+PFJlY051bT4zNDwvUmVjTnVtPjxEaXNwbGF5VGV4dD5bVjE2LTM0XTwvRGlzcGxheVRleHQ+PHJlY29yZD48cmVjLW51bWJlcj4zNDwvcmVjLW51bWJlcj48Zm9yZWlnbi1rZXlzPjxrZXkgYXBwPSJFTiIgZGItaWQ9IjYyZWQ2M2M2LTgzOWQtNWM5OC1hYTc5LWJjNTEwMDU1MDU5OCIgdGltZXN0YW1wPSIxNzkzMjgzNjg0Ij4zND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[V16-34]</w:t>
            </w:r>
            <w:r>
              <w:fldChar w:fldCharType="end"/>
            </w:r>
          </w:p>
          <w:p>
            <w:pPr>
              <w:pStyle w:val="Normal"/>
              <w:widowControl/>
              <w:spacing w:before="60" w:after="20"/>
            </w:pPr>
            <w:r>
              <w:t xml:space="preserve">Exploratory three-year update of randomized TOPAZ-1: 685 participants, 341 durvalumab/GemCis and 344 placebo/GemCis; not an independent new trial.</w:t>
            </w:r>
          </w:p>
          <w:p>
            <w:pPr>
              <w:pStyle w:val="Normal"/>
              <w:widowControl/>
              <w:spacing w:before="60" w:after="20"/>
            </w:pPr>
            <w:r>
              <w:t xml:space="preserve">Selection: 589/685 metastatic, 95 locally advanced and one unknown; 383 iCCA. Not a liver-only, six-month-response-selected LT population.</w:t>
            </w:r>
          </w:p>
          <w:p>
            <w:pPr>
              <w:pStyle w:val="Normal"/>
              <w:widowControl/>
              <w:spacing w:before="60" w:after="20"/>
            </w:pPr>
            <w:hyperlink r:id="rId65">
              <w:r>
                <w:rPr>
                  <w:color w:val="77230C"/>
                  <w:sz w:val="20"/>
                  <w:u w:val="single"/>
                </w:rPr>
                <w:t>Primary source</w:t>
              </w:r>
            </w:hyperlink>
            <w:r>
              <w:t xml:space="preserve"> | </w:t>
            </w:r>
            <w:hyperlink r:id="rId66">
              <w:r>
                <w:rPr>
                  <w:color w:val="77230C"/>
                  <w:sz w:val="20"/>
                  <w:u w:val="single"/>
                </w:rPr>
                <w:t>Full-text PDF</w:t>
              </w:r>
            </w:hyperlink>
          </w:p>
          <w:p>
            <w:pPr>
              <w:pStyle w:val="Normal"/>
              <w:widowControl/>
              <w:spacing w:before="60" w:after="20"/>
            </w:pPr>
            <w:r>
              <w:t xml:space="preserve">Locator: Complete 11-page J Hepatol 2025; 83:1092–1101 PDF, Methods, baseline, survival and safety.</w:t>
            </w:r>
          </w:p>
          <w:p>
            <w:pPr>
              <w:pStyle w:val="Normal"/>
              <w:widowControl/>
              <w:spacing w:before="60" w:after="20"/>
            </w:pPr>
            <w:r>
              <w:t xml:space="preserve">Review depth: Complete J Hepatol 2025; 83:1092–1101 article plus graphical-abstract cover; all main-paper pages reviewed. Exploratory three-year update of the existing randomized trial, not a new trial.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median OS 12.9 versus 11.3 months; HR .74 (CI .63–.87), 36-month OS 14.6% versus 6.9%, median follow-up 41.3 months. Serious adverse events: 165/338 versus 152/342; treatment-related serious events: 52/338 versus 59/342.</w:t>
            </w:r>
          </w:p>
          <w:p>
            <w:pPr>
              <w:pStyle w:val="Normal"/>
              <w:widowControl/>
              <w:spacing w:before="60" w:after="20"/>
            </w:pPr>
            <w:r>
              <w:rPr>
                <w:b/>
              </w:rPr>
              <w:t xml:space="preserve">Do not infer: </w:t>
            </w:r>
            <w:r>
              <w:t xml:space="preserve">Strong non-LT systemic evidence, not validation of LT benefit, pre-LT ICI safety or washout. No formal confirmatory test in this update; only serious-adverse-event collection continued after February 2022.</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TY8L1JlY051bT48RGlzcGxheVRleHQ+W1YxNi0xNl08L0Rpc3BsYXlUZXh0PjxyZWNvcmQ+PHJlYy1udW1iZXI+MTY8L3JlYy1udW1iZXI+PGZvcmVpZ24ta2V5cz48a2V5IGFwcD0iRU4iIGRiLWlkPSI2MmVkNjNjNi04MzlkLTVjOTgtYWE3OS1iYzUxMDA1NTA1OTgiIHRpbWVzdGFtcD0iMTc5MzI4MzY4NCI+MTY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67">
              <w:r>
                <w:rPr>
                  <w:color w:val="77230C"/>
                  <w:sz w:val="20"/>
                  <w:u w:val="single"/>
                </w:rPr>
                <w:t>Primary source</w:t>
              </w:r>
            </w:hyperlink>
            <w:r>
              <w:t xml:space="preserve"> | </w:t>
            </w:r>
            <w:hyperlink r:id="rId68">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bl>
    <w:p>
      <w:pPr>
        <w:pStyle w:val="Normal"/>
        <w:widowControl/>
      </w:pPr>
      <w:hyperlink r:id="rId69">
        <w:r>
          <w:rPr>
            <w:color w:val="77230C"/>
            <w:sz w:val="20"/>
            <w:u w:val="single"/>
          </w:rPr>
          <w:t>Separate evidence/alignment meeting record — OPEN boundary decisions</w:t>
        </w:r>
      </w:hyperlink>
    </w:p>
    <w:p>
      <w:pPr>
        <w:pStyle w:val="Normal"/>
        <w:widowControl/>
      </w:pPr>
      <w:r>
        <w:t xml:space="preserve">Evidence review record: </w:t>
      </w:r>
      <w:hyperlink r:id="rId70">
        <w:r>
          <w:rPr>
            <w:color w:val="77230C"/>
            <w:sz w:val="20"/>
            <w:u w:val="single"/>
          </w:rPr>
          <w:t>Five analyst comments and reconciliation</w:t>
        </w:r>
      </w:hyperlink>
      <w:r>
        <w:t xml:space="preserve">  |  </w:t>
      </w:r>
      <w:hyperlink r:id="rId71">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Standard-route clarification. The standardized pathway requires no extrahepatic disease. This section states how previously treated, responded extrahepatic disease is handled, and records the program position proposed for review.</w:t>
      </w:r>
    </w:p>
    <w:p>
      <w:pPr>
        <w:pStyle w:val="Heading2"/>
        <w:widowControl/>
        <w:keepNext/>
      </w:pPr>
      <w:bookmarkStart w:id="16010" w:name="iCCA_B4"/>
      <w:r>
        <w:t xml:space="preserve">iCCA-B4 — Previously treated nodal or extrahepatic disease</w:t>
      </w:r>
      <w:bookmarkEnd w:id="16010"/>
    </w:p>
    <w:p>
      <w:pPr>
        <w:pStyle w:val="Normal"/>
        <w:widowControl/>
        <w:spacing w:after="120"/>
      </w:pPr>
      <w:r>
        <w:t xml:space="preserve">Status: Closed. OPEN proposal for multidisciplinary review; not activated.</w:t>
      </w:r>
    </w:p>
    <w:p>
      <w:pPr>
        <w:pStyle w:val="Normal"/>
        <w:widowControl/>
        <w:spacing w:after="120"/>
      </w:pPr>
      <w:r>
        <w:t xml:space="preserve">Question: Should a patient whose iCCA nodal or extrahepatic disease has responded or been resected ever be considered for transplantation?</w:t>
      </w:r>
    </w:p>
    <w:p>
      <w:pPr>
        <w:pStyle w:val="Normal"/>
        <w:widowControl/>
        <w:spacing w:after="120"/>
      </w:pPr>
      <w:r>
        <w:t xml:space="preserve">Proposed position (OPEN): Keep closed. Proven nodal metastasis or extrahepatic disease, current or previously treated (including resected), excludes the small-cirrhotic route and the advanced-iCCA study. Confirm node-negative status with tissue before listing, and characterize every indeterminate extrahepatic lesion. Applies also to mixed HCC–iCCA.</w:t>
      </w:r>
    </w:p>
    <w:p>
      <w:pPr>
        <w:pStyle w:val="Heading3"/>
        <w:widowControl/>
        <w:keepNext/>
      </w:pPr>
      <w:r>
        <w:t xml:space="preserve">Proposed rules</w:t>
      </w:r>
    </w:p>
    <w:p>
      <w:pPr>
        <w:pStyle w:val="Normal"/>
        <w:widowControl/>
        <w:spacing w:after="120"/>
        <w:numPr>
          <w:ilvl w:val="0"/>
          <w:numId w:val="5"/>
        </w:numPr>
      </w:pPr>
      <w:r>
        <w:t xml:space="preserve">Previously proven malignant nodes, even after radiological or pathological response, and any previous distant metastasis (peritoneum, lung, bone, distant nodes) are outside the initial iCCA routes. Resection of an extrahepatic site does not clear this history.</w:t>
      </w:r>
    </w:p>
    <w:p>
      <w:pPr>
        <w:pStyle w:val="Normal"/>
        <w:widowControl/>
        <w:spacing w:after="120"/>
        <w:numPr>
          <w:ilvl w:val="0"/>
          <w:numId w:val="5"/>
        </w:numPr>
      </w:pPr>
      <w:r>
        <w:t xml:space="preserve">Suspicious or indeterminate nodes are HOLD until resolved with tissue; an imaging response is not nodal clearance.</w:t>
      </w:r>
    </w:p>
    <w:p>
      <w:pPr>
        <w:pStyle w:val="Normal"/>
        <w:widowControl/>
        <w:spacing w:after="120"/>
        <w:numPr>
          <w:ilvl w:val="0"/>
          <w:numId w:val="5"/>
        </w:numPr>
      </w:pPr>
      <w:r>
        <w:t xml:space="preserve">Advanced-iCCA study: before listing, sample stations 8 and 12 surgically, plus any suspicious node (EUS-FNA or surgical). For living donation, complete this before listing, not only at the combined donor–recipient laparotomy. A positive result ends the route.</w:t>
      </w:r>
    </w:p>
    <w:p>
      <w:pPr>
        <w:pStyle w:val="Normal"/>
        <w:widowControl/>
        <w:spacing w:after="120"/>
        <w:numPr>
          <w:ilvl w:val="0"/>
          <w:numId w:val="5"/>
        </w:numPr>
      </w:pPr>
      <w:r>
        <w:t xml:space="preserve">Indeterminate extrahepatic lesions (subcentimetre lung nodules, bone lesions) need biopsy or interval imaging; “stable on chemotherapy” is not clearance.</w:t>
      </w:r>
    </w:p>
    <w:p>
      <w:pPr>
        <w:pStyle w:val="Normal"/>
        <w:widowControl/>
        <w:spacing w:after="120"/>
        <w:numPr>
          <w:ilvl w:val="0"/>
          <w:numId w:val="5"/>
        </w:numPr>
      </w:pPr>
      <w:r>
        <w:t xml:space="preserve">Previously node-positive disease that has cleared is a separate future research question; do not combine it with multifocal, G3 or living-donor expansions.</w:t>
      </w:r>
    </w:p>
    <w:p>
      <w:pPr>
        <w:pStyle w:val="Normal"/>
        <w:widowControl/>
        <w:spacing w:after="120"/>
      </w:pPr>
      <w:r>
        <w:t xml:space="preserve">Why: Published iCCA transplant protocols exclude proven nodal and extrahepatic disease (one pilot, Wong 2019, admitted regional lymphadenopathy), and the Milan protocol excludes even resected extrahepatic spread. In the published series, early recurrences came from nodal disease missed by imaging, from indeterminate lesions accepted as stable, or from positive margins and perihilar-fat invasion.</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Lunsford 2018 · Houston iCCA protocol</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Houston prospective protocol; 6 transplanted. Excluded extrahepatic metastases and lymph-node involvement; suspicious regional nodes biopsied by EUS.</w:t>
            </w:r>
          </w:p>
        </w:tc>
        <w:tc>
          <w:tcPr>
            <w:tcW w:w="3743" w:type="dxa"/>
            <w:vAlign w:val="top"/>
            <w:shd w:fill="F1F5F8"/>
          </w:tcPr>
          <w:p>
            <w:pPr>
              <w:pStyle w:val="Normal"/>
              <w:widowControl/>
              <w:spacing w:after="55" w:line="240" w:lineRule="auto"/>
              <w:keepNext w:val="0"/>
              <w:keepLines/>
            </w:pPr>
            <w:r>
              <w:rPr>
                <w:sz w:val="21"/>
                <w:szCs w:val="21"/>
              </w:rPr>
              <w:t xml:space="preserve">Results: One recipient with unbiopsied, PET-negative periportal nodes that regressed (node-negative on explant) recurred in the peritoneum at 9.7 months, attributed by the authors to perihilar-fat invasion with a positive margin; in 2 of 6, “stable” extrahepatic lesions proved metastatic after transplant.</w:t>
            </w:r>
          </w:p>
          <w:p>
            <w:pPr>
              <w:pStyle w:val="Normal"/>
              <w:widowControl/>
              <w:spacing w:after="55" w:line="240" w:lineRule="auto"/>
              <w:keepNext w:val="0"/>
              <w:keepLines/>
            </w:pPr>
            <w:r>
              <w:rPr>
                <w:sz w:val="21"/>
                <w:szCs w:val="21"/>
              </w:rPr>
              <w:t xml:space="preserve">Limits: Six recipients.</w:t>
            </w:r>
          </w:p>
          <w:p>
            <w:pPr>
              <w:pStyle w:val="Normal"/>
              <w:widowControl/>
              <w:spacing w:after="55" w:line="240" w:lineRule="auto"/>
              <w:keepNext w:val="0"/>
              <w:keepLines/>
            </w:pPr>
            <w:r>
              <w:rPr>
                <w:sz w:val="21"/>
                <w:szCs w:val="21"/>
              </w:rPr>
              <w:t xml:space="preserve">Lancet Gastroenterol Hepatol 2018; Methods, Table 2.</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209">
              <w:r>
                <w:rPr>
                  <w:color w:val="0563C1"/>
                  <w:u w:val="single"/>
                </w:rPr>
                <w:t>Source</w:t>
              </w:r>
            </w:hyperlink>
            <w:r>
              <w:t xml:space="preserve"> · </w:t>
            </w:r>
            <w:hyperlink r:id="rId210">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McMillan 2021 · Houston iCCA LT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Houston extended series; 32 listed, 18 transplanted. Nodal or distant metastasis defined as extrahepatic disease and excluded; delisted on extrahepatic progression.</w:t>
            </w:r>
          </w:p>
        </w:tc>
        <w:tc>
          <w:tcPr>
            <w:tcW w:w="3743" w:type="dxa"/>
            <w:vAlign w:val="top"/>
            <w:shd w:fill="FFFFFF"/>
          </w:tcPr>
          <w:p>
            <w:pPr>
              <w:pStyle w:val="Normal"/>
              <w:widowControl/>
              <w:spacing w:after="55" w:line="240" w:lineRule="auto"/>
              <w:keepNext w:val="0"/>
              <w:keepLines/>
            </w:pPr>
            <w:r>
              <w:rPr>
                <w:sz w:val="21"/>
                <w:szCs w:val="21"/>
              </w:rPr>
              <w:t xml:space="preserve">Results: Survival from listing 100/71/57% at 1/3/5 years (all listed: 90/61/49%); one explant had metastatic carcinoma in 4 of 7 hilar nodes; two early recurrences arose from indeterminate pre-transplant lesions.</w:t>
            </w:r>
          </w:p>
          <w:p>
            <w:pPr>
              <w:pStyle w:val="Normal"/>
              <w:widowControl/>
              <w:spacing w:after="55" w:line="240" w:lineRule="auto"/>
              <w:keepNext w:val="0"/>
              <w:keepLines/>
            </w:pPr>
            <w:r>
              <w:rPr>
                <w:sz w:val="21"/>
                <w:szCs w:val="21"/>
              </w:rPr>
              <w:t xml:space="preserve">Limits: Single centre.</w:t>
            </w:r>
          </w:p>
          <w:p>
            <w:pPr>
              <w:pStyle w:val="Normal"/>
              <w:widowControl/>
              <w:spacing w:after="55" w:line="240" w:lineRule="auto"/>
              <w:keepNext w:val="0"/>
              <w:keepLines/>
            </w:pPr>
            <w:r>
              <w:rPr>
                <w:sz w:val="21"/>
                <w:szCs w:val="21"/>
              </w:rPr>
              <w:t xml:space="preserve">Am J Transplant 2022 (online 2021); Sections 2.1–2.2, 3.4–3.5.</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01pbGxhbjwvQXV0aG9yPjxZZWFyPjIwMjI8L1llYXI+PFJlY051bT44PC9SZWNOdW0+PERpc3BsYXlUZXh0PltWMTYtOF08L0Rpc3BsYXlUZXh0PjxyZWNvcmQ+PHJlYy1udW1iZXI+ODwvcmVjLW51bWJlcj48Zm9yZWlnbi1rZXlzPjxrZXkgYXBwPSJFTiIgZGItaWQ9IjYyZWQ2M2M2LTgzOWQtNWM5OC1hYTc5LWJjNTEwMDU1MDU5OCIgdGltZXN0YW1wPSIxNzkzMjgzNjg0Ij44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[V16-8]</w:t>
            </w:r>
            <w:r>
              <w:fldChar w:fldCharType="end"/>
            </w:r>
            <w:r>
              <w:br/>
            </w:r>
            <w:hyperlink r:id="rId211">
              <w:r>
                <w:rPr>
                  <w:color w:val="0563C1"/>
                  <w:u w:val="single"/>
                </w:rPr>
                <w:t>Source</w:t>
              </w:r>
            </w:hyperlink>
            <w:r>
              <w:t xml:space="preserve"> · </w:t>
            </w:r>
            <w:hyperlink r:id="rId212">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Maspero 2024 · Milan SYS-TARE</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Milan SYS-TARE protocol; 13 enrolled, 4 transplanted. Excludes “prior resected extrahepatic tumor spread”; surgical sampling of stations 8 and 12 before listing.</w:t>
            </w:r>
          </w:p>
        </w:tc>
        <w:tc>
          <w:tcPr>
            <w:tcW w:w="3743" w:type="dxa"/>
            <w:vAlign w:val="top"/>
            <w:shd w:fill="F1F5F8"/>
          </w:tcPr>
          <w:p>
            <w:pPr>
              <w:pStyle w:val="Normal"/>
              <w:widowControl/>
              <w:spacing w:after="55" w:line="240" w:lineRule="auto"/>
              <w:keepNext w:val="0"/>
              <w:keepLines/>
            </w:pPr>
            <w:r>
              <w:rPr>
                <w:sz w:val="21"/>
                <w:szCs w:val="21"/>
              </w:rPr>
              <w:t xml:space="preserve">Results: Positive nodes in 2 of 6 explored, missed by imaging and PET; all 4 transplanted patients disease-free at 8–73 months.</w:t>
            </w:r>
          </w:p>
          <w:p>
            <w:pPr>
              <w:pStyle w:val="Normal"/>
              <w:widowControl/>
              <w:spacing w:after="55" w:line="240" w:lineRule="auto"/>
              <w:keepNext w:val="0"/>
              <w:keepLines/>
            </w:pPr>
            <w:r>
              <w:rPr>
                <w:sz w:val="21"/>
                <w:szCs w:val="21"/>
              </w:rPr>
              <w:t xml:space="preserve">Limits: Small; abstract and Results drop-out counts differ.</w:t>
            </w:r>
          </w:p>
          <w:p>
            <w:pPr>
              <w:pStyle w:val="Normal"/>
              <w:widowControl/>
              <w:spacing w:after="55" w:line="240" w:lineRule="auto"/>
              <w:keepNext w:val="0"/>
              <w:keepLines/>
            </w:pPr>
            <w:r>
              <w:rPr>
                <w:sz w:val="21"/>
                <w:szCs w:val="21"/>
              </w:rPr>
              <w:t xml:space="preserve">Transpl Int 2024; Methods,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XNwZXJvPC9BdXRob3I+PFllYXI+MjAyNDwvWWVhcj48UmVjTnVtPjM1PC9SZWNOdW0+PERpc3BsYXlUZXh0PltWMTYtMzVdPC9EaXNwbGF5VGV4dD48cmVjb3JkPjxyZWMtbnVtYmVyPjM1PC9yZWMtbnVtYmVyPjxmb3JlaWduLWtleXM+PGtleSBhcHA9IkVOIiBkYi1pZD0iNjJlZDYzYzYtODM5ZC01Yzk4LWFhNzktYmM1MTAwNTUwNTk4IiB0aW1lc3RhbXA9IjE3OTMyODM2ODQiPjM1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[V16-35]</w:t>
            </w:r>
            <w:r>
              <w:fldChar w:fldCharType="end"/>
            </w:r>
            <w:r>
              <w:br/>
            </w:r>
            <w:hyperlink r:id="rId213">
              <w:r>
                <w:rPr>
                  <w:color w:val="0563C1"/>
                  <w:u w:val="single"/>
                </w:rPr>
                <w:t>Source</w:t>
              </w:r>
            </w:hyperlink>
            <w:r>
              <w:t xml:space="preserve"> · </w:t>
            </w:r>
            <w:hyperlink r:id="rId214">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Sethi 2026 · UPMC LDLT for iCCA</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UPMC living-donor series, 7 recipients (co-authored by Hao Liu). Liver-confined disease; nodes biopsied at the combined laparotomy.</w:t>
            </w:r>
          </w:p>
        </w:tc>
        <w:tc>
          <w:tcPr>
            <w:tcW w:w="3743" w:type="dxa"/>
            <w:vAlign w:val="top"/>
            <w:shd w:fill="FFFFFF"/>
          </w:tcPr>
          <w:p>
            <w:pPr>
              <w:pStyle w:val="Normal"/>
              <w:widowControl/>
              <w:spacing w:after="55" w:line="240" w:lineRule="auto"/>
              <w:keepNext w:val="0"/>
              <w:keepLines/>
            </w:pPr>
            <w:r>
              <w:rPr>
                <w:sz w:val="21"/>
                <w:szCs w:val="21"/>
              </w:rPr>
              <w:t xml:space="preserve">Results: 2 of 6 explants with viable tumor were node-positive although the protocol included nodal biopsy at the same laparotomy; one died at about 7 months; a sub-PET-threshold lung nodule became a metastasis.</w:t>
            </w:r>
          </w:p>
          <w:p>
            <w:pPr>
              <w:pStyle w:val="Normal"/>
              <w:widowControl/>
              <w:spacing w:after="55" w:line="240" w:lineRule="auto"/>
              <w:keepNext w:val="0"/>
              <w:keepLines/>
            </w:pPr>
            <w:r>
              <w:rPr>
                <w:sz w:val="21"/>
                <w:szCs w:val="21"/>
              </w:rPr>
              <w:t xml:space="preserve">Limits: Seven patients.</w:t>
            </w:r>
          </w:p>
          <w:p>
            <w:pPr>
              <w:pStyle w:val="Normal"/>
              <w:widowControl/>
              <w:spacing w:after="55" w:line="240" w:lineRule="auto"/>
              <w:keepNext w:val="0"/>
              <w:keepLines/>
            </w:pPr>
            <w:r>
              <w:rPr>
                <w:sz w:val="21"/>
                <w:szCs w:val="21"/>
              </w:rPr>
              <w:t xml:space="preserve">Am J Transplant 2026; Results, Table 2.</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ZXRoaTwvQXV0aG9yPjxZZWFyPjIwMjY8L1llYXI+PFJlY051bT45PC9SZWNOdW0+PERpc3BsYXlUZXh0PltWMTYtOV08L0Rpc3BsYXlUZXh0PjxyZWNvcmQ+PHJlYy1udW1iZXI+OTwvcmVjLW51bWJlcj48Zm9yZWlnbi1rZXlzPjxrZXkgYXBwPSJFTiIgZGItaWQ9IjYyZWQ2M2M2LTgzOWQtNWM5OC1hYTc5LWJjNTEwMDU1MDU5OCIgdGltZXN0YW1wPSIxNzkzMjgzNjg0Ij45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r>
              <w:br/>
            </w:r>
            <w:hyperlink r:id="rId215">
              <w:r>
                <w:rPr>
                  <w:color w:val="0563C1"/>
                  <w:u w:val="single"/>
                </w:rPr>
                <w:t>Source</w:t>
              </w:r>
            </w:hyperlink>
            <w:r>
              <w:t xml:space="preserve"> · </w:t>
            </w:r>
            <w:hyperlink r:id="rId216">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Campbell 2026 · biliary cancer LT, single centre</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Single-centre series, 98 biliary-cancer transplants. Explant nodal status.</w:t>
            </w:r>
          </w:p>
        </w:tc>
        <w:tc>
          <w:tcPr>
            <w:tcW w:w="3743" w:type="dxa"/>
            <w:vAlign w:val="top"/>
            <w:shd w:fill="F1F5F8"/>
          </w:tcPr>
          <w:p>
            <w:pPr>
              <w:pStyle w:val="Normal"/>
              <w:widowControl/>
              <w:spacing w:after="55" w:line="240" w:lineRule="auto"/>
              <w:keepNext w:val="0"/>
              <w:keepLines/>
            </w:pPr>
            <w:r>
              <w:rPr>
                <w:sz w:val="21"/>
                <w:szCs w:val="21"/>
              </w:rPr>
              <w:t xml:space="preserve">Results: Node positivity predicted recurrence (HR 3.27, 1.32–8.10) but not overall survival (p=0.14); in the intentional pCCA/iCCA subset (n=53) the recurrence HR was 2.48 and not significant (p=0.17).</w:t>
            </w:r>
          </w:p>
          <w:p>
            <w:pPr>
              <w:pStyle w:val="Normal"/>
              <w:widowControl/>
              <w:spacing w:after="55" w:line="240" w:lineRule="auto"/>
              <w:keepNext w:val="0"/>
              <w:keepLines/>
            </w:pPr>
            <w:r>
              <w:rPr>
                <w:sz w:val="21"/>
                <w:szCs w:val="21"/>
              </w:rPr>
              <w:t xml:space="preserve">Limits: Mixed subtypes; nodes found on explant, not before.</w:t>
            </w:r>
          </w:p>
          <w:p>
            <w:pPr>
              <w:pStyle w:val="Normal"/>
              <w:widowControl/>
              <w:spacing w:after="55" w:line="240" w:lineRule="auto"/>
              <w:keepNext w:val="0"/>
              <w:keepLines/>
            </w:pPr>
            <w:r>
              <w:rPr>
                <w:sz w:val="21"/>
                <w:szCs w:val="21"/>
              </w:rPr>
              <w:t xml:space="preserve">Ann Surg Oncol 2026;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I0NS9zMTA0MzQtMDI2LTE5OTc1LTY8L3VybD48L3JlbGF0ZWQtdXJscz48L3VybHM+PC9yZWNvcmQ+PC9DaXRlPjwvRW5kTm90ZT4=</w:fldData>
              </w:fldChar>
            </w:r>
            <w:r>
              <w:instrText xml:space="preserve"> ADDIN EN.CITE.DATA </w:instrText>
            </w:r>
            <w:r>
              <w:fldChar w:fldCharType="end"/>
            </w:r>
            <w:r>
              <w:fldChar w:fldCharType="separate"/>
            </w:r>
            <w:r>
              <w:t xml:space="preserve">[V16-36]</w:t>
            </w:r>
            <w:r>
              <w:fldChar w:fldCharType="end"/>
            </w:r>
            <w:r>
              <w:br/>
            </w:r>
            <w:hyperlink r:id="rId217">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ILTS–ILCA 2024 consensus (Kodali 2026)</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2024 ILTS–ILCA consensus. Transplant for iCCA only without extrahepatic metastasis (cirrhotic ≤3 cm) or for liver-confined disease within protocols.</w:t>
            </w:r>
          </w:p>
        </w:tc>
        <w:tc>
          <w:tcPr>
            <w:tcW w:w="3743" w:type="dxa"/>
            <w:vAlign w:val="top"/>
            <w:shd w:fill="FFFFFF"/>
          </w:tcPr>
          <w:p>
            <w:pPr>
              <w:pStyle w:val="Normal"/>
              <w:widowControl/>
              <w:spacing w:after="55" w:line="240" w:lineRule="auto"/>
              <w:keepNext w:val="0"/>
              <w:keepLines/>
            </w:pPr>
            <w:r>
              <w:rPr>
                <w:sz w:val="21"/>
                <w:szCs w:val="21"/>
              </w:rPr>
              <w:t xml:space="preserve">Results: No outcome data.</w:t>
            </w:r>
          </w:p>
          <w:p>
            <w:pPr>
              <w:pStyle w:val="Normal"/>
              <w:widowControl/>
              <w:spacing w:after="55" w:line="240" w:lineRule="auto"/>
              <w:keepNext w:val="0"/>
              <w:keepLines/>
            </w:pPr>
            <w:r>
              <w:rPr>
                <w:sz w:val="21"/>
                <w:szCs w:val="21"/>
              </w:rPr>
              <w:t xml:space="preserve">Limits: Silent on previously treated disease.</w:t>
            </w:r>
          </w:p>
          <w:p>
            <w:pPr>
              <w:pStyle w:val="Normal"/>
              <w:widowControl/>
              <w:spacing w:after="55" w:line="240" w:lineRule="auto"/>
              <w:keepNext w:val="0"/>
              <w:keepLines/>
            </w:pPr>
            <w:r>
              <w:rPr>
                <w:sz w:val="21"/>
                <w:szCs w:val="21"/>
              </w:rPr>
              <w:t xml:space="preserve">Liver Cancer 2026; Working Group statements.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</w:fldData>
              </w:fldChar>
            </w:r>
            <w:r>
              <w:instrText xml:space="preserve"> ADDIN EN.CITE.DATA </w:instrText>
            </w:r>
            <w:r>
              <w:fldChar w:fldCharType="end"/>
            </w:r>
            <w:r>
              <w:fldChar w:fldCharType="separate"/>
            </w:r>
            <w:r>
              <w:t xml:space="preserve">[V16-37]</w:t>
            </w:r>
            <w:r>
              <w:fldChar w:fldCharType="end"/>
            </w:r>
            <w:r>
              <w:br/>
            </w:r>
            <w:hyperlink r:id="rId218">
              <w:r>
                <w:rPr>
                  <w:color w:val="0563C1"/>
                  <w:u w:val="single"/>
                </w:rPr>
                <w:t>Source</w:t>
              </w:r>
            </w:hyperlink>
            <w:r>
              <w:t xml:space="preserve"> · </w:t>
            </w:r>
            <w:hyperlink r:id="rId219">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Hu 2011 · LT for iCCA</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Single-centre series, 20 transplants. Nodal invasion recorded.</w:t>
            </w:r>
          </w:p>
        </w:tc>
        <w:tc>
          <w:tcPr>
            <w:tcW w:w="3743" w:type="dxa"/>
            <w:vAlign w:val="top"/>
            <w:shd w:fill="F1F5F8"/>
          </w:tcPr>
          <w:p>
            <w:pPr>
              <w:pStyle w:val="Normal"/>
              <w:widowControl/>
              <w:spacing w:after="55" w:line="240" w:lineRule="auto"/>
              <w:keepNext w:val="0"/>
              <w:keepLines/>
            </w:pPr>
            <w:r>
              <w:rPr>
                <w:sz w:val="21"/>
                <w:szCs w:val="21"/>
              </w:rPr>
              <w:t xml:space="preserve">Results: Nodal invasion an independent predictor of death.</w:t>
            </w:r>
          </w:p>
          <w:p>
            <w:pPr>
              <w:pStyle w:val="Normal"/>
              <w:widowControl/>
              <w:spacing w:after="55" w:line="240" w:lineRule="auto"/>
              <w:keepNext w:val="0"/>
              <w:keepLines/>
            </w:pPr>
            <w:r>
              <w:rPr>
                <w:sz w:val="21"/>
                <w:szCs w:val="21"/>
              </w:rPr>
              <w:t xml:space="preserve">Limits: Small, older series.</w:t>
            </w:r>
          </w:p>
          <w:p>
            <w:pPr>
              <w:pStyle w:val="Normal"/>
              <w:widowControl/>
              <w:spacing w:after="55" w:line="240" w:lineRule="auto"/>
              <w:keepNext w:val="0"/>
              <w:keepLines/>
            </w:pPr>
            <w:r>
              <w:rPr>
                <w:sz w:val="21"/>
                <w:szCs w:val="21"/>
              </w:rPr>
              <w:t xml:space="preserve">Hepatogastroenterology 2011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</w:fldData>
              </w:fldChar>
            </w:r>
            <w:r>
              <w:instrText xml:space="preserve"> ADDIN EN.CITE.DATA </w:instrText>
            </w:r>
            <w:r>
              <w:fldChar w:fldCharType="end"/>
            </w:r>
            <w:r>
              <w:fldChar w:fldCharType="separate"/>
            </w:r>
            <w:r>
              <w:t xml:space="preserve">[V16-38]</w:t>
            </w:r>
            <w:r>
              <w:fldChar w:fldCharType="end"/>
            </w:r>
            <w:r>
              <w:br/>
            </w:r>
            <w:hyperlink r:id="rId220">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One pilot admitted regional lymphadenopathy in mixed hilar and intrahepatic tumors (5 of 18 transplanted, one nodal recurrence); whether the nodes were proven malignant is not reported in the abstract, and it cannot establish a cleared-node pathway.</w:t>
      </w:r>
    </w:p>
    <w:p>
      <w:pPr>
        <w:pStyle w:val="Normal"/>
        <w:widowControl/>
        <w:spacing w:after="120"/>
      </w:pPr>
      <w:r>
        <w:t xml:space="preserve">Certainty: Low that liver-confined disease after sustained response selects better recipients; very low for transplantation after previously malignant nodes; none for previously treated distant disease.</w:t>
      </w:r>
    </w:p>
    <w:p>
      <w:pPr>
        <w:pStyle w:val="Normal"/>
        <w:widowControl/>
        <w:spacing w:after="120"/>
      </w:pPr>
      <w:r>
        <w:t xml:space="preserve">What would change the answer: A protocol series with tissue-proven nodal clearance before listing and ≥3-year outcomes.</w:t>
      </w:r>
    </w:p>
    <w:p>
      <w:pPr>
        <w:pStyle w:val="Normal"/>
        <w:widowControl/>
        <w:spacing w:after="120"/>
      </w:pPr>
      <w:r>
        <w:t xml:space="preserve">Meeting question iCCA-B4,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Selected-recipient survival and early LDLT reports omitted key timing and donor-morbidity qualifications. </w:t>
      </w:r>
      <w:r>
        <w:rPr>
          <w:b/>
        </w:rPr>
        <w:t xml:space="preserve">Correction and reason: </w:t>
      </w:r>
      <w:r>
        <w:t xml:space="preserve">Added listing-based time origins, occult adverse pathology, donor reoperation/drainage and the distinction between conversion-to-resection evidence and transplant evidence.</w:t>
      </w:r>
    </w:p>
    <w:p>
      <w:pPr>
        <w:pStyle w:val="Normal"/>
        <w:keepNext/>
        <w:widowControl/>
        <w:keepLines/>
      </w:pPr>
      <w:r>
        <w:rPr>
          <w:b/>
        </w:rPr>
        <w:t xml:space="preserve">Problem: </w:t>
      </w:r>
      <w:r>
        <w:t xml:space="preserve">pCCA-specific biopsy/resection exclusions and a CRLM growth rule had been imported into iCCA. </w:t>
      </w:r>
      <w:r>
        <w:rPr>
          <w:b/>
        </w:rPr>
        <w:t xml:space="preserve">Correction and reason: </w:t>
      </w:r>
      <w:r>
        <w:t xml:space="preserve">Removed those cross-disease errors; retained required tissue diagnosis, appropriate reassessment and the actual iCCA guidance criteria.</w:t>
      </w:r>
    </w:p>
    <w:p>
      <w:pPr>
        <w:pStyle w:val="Normal"/>
        <w:keepNext/>
        <w:widowControl/>
        <w:keepLines/>
      </w:pPr>
      <w:r>
        <w:rPr>
          <w:b/>
        </w:rPr>
        <w:t xml:space="preserve">Problem: </w:t>
      </w:r>
      <w:r>
        <w:t xml:space="preserve">Six-month clock wording and the 2–3-cm evidence boundary were oversimplified. </w:t>
      </w:r>
      <w:r>
        <w:rPr>
          <w:b/>
        </w:rPr>
        <w:t xml:space="preserve">Correction and reason: </w:t>
      </w:r>
      <w:r>
        <w:t xml:space="preserve">Kept both official clock formulations visible for allocation clarification and distinguished selected early-iCCA outcomes from expanded LT evidence.</w:t>
      </w:r>
    </w:p>
    <w:p>
      <w:pPr>
        <w:pStyle w:val="Normal"/>
        <w:keepNext/>
        <w:widowControl/>
        <w:keepLines/>
      </w:pPr>
      <w:r>
        <w:rPr>
          <w:b/>
        </w:rPr>
        <w:t xml:space="preserve">Problem: </w:t>
      </w:r>
      <w:r>
        <w:t xml:space="preserve">A cohort median mTOR start and surveillance practice appeared as mandatory rules. </w:t>
      </w:r>
      <w:r>
        <w:rPr>
          <w:b/>
        </w:rPr>
        <w:t xml:space="preserve">Correction and reason: </w:t>
      </w:r>
      <w:r>
        <w:t xml:space="preserve">Removed the fixed conversion deadline and unproven cancer benefit; retained day-30 everolimus safety, graft safeguards and explicitly proposed follow-up.</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Revision history</w:t>
      </w:r>
    </w:p>
    <w:p>
      <w:pPr>
        <w:pStyle w:val="Normal"/>
        <w:widowControl/>
        <w:spacing w:after="120"/>
      </w:pPr>
      <w:r>
        <w:t xml:space="preserve">2026-10-25 04:38 CDT. Problem and correction: Integrate iCCA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221">
        <w:r>
          <w:rPr>
            <w:color w:val="0563C1"/>
            <w:u w:val="single"/>
          </w:rPr>
          <w:t>Source</w:t>
        </w:r>
      </w:hyperlink>
      <w:r>
        <w:t xml:space="preserve"> | </w:t>
      </w:r>
      <w:hyperlink r:id="rId222">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223">
        <w:r>
          <w:rPr>
            <w:color w:val="0563C1"/>
            <w:u w:val="single"/>
          </w:rPr>
          <w:t>Source</w:t>
        </w:r>
      </w:hyperlink>
      <w:r>
        <w:t xml:space="preserve"> | </w:t>
      </w:r>
      <w:hyperlink r:id="rId224">
        <w:r>
          <w:rPr>
            <w:color w:val="0563C1"/>
            <w:u w:val="single"/>
          </w:rPr>
          <w:t>Full-text access</w:t>
        </w:r>
      </w:hyperlink>
    </w:p>
    <w:p>
      <w:pPr>
        <w:pStyle w:val="Normal"/>
        <w:widowControl/>
        <w:spacing w:after="120"/>
      </w:pPr>
      <w:r>
        <w:t xml:space="preserve"/>
      </w:r>
      <w:r>
        <w:t xml:space="preserve">[V16-3] National Comprehensive Cancer Network. NCCN Clinical Practice Guidelines in Oncology: Biliary Tract Cancers, Version 1.2026 (10 March 2026). . 2026. </w:t>
      </w:r>
      <w:hyperlink r:id="rId225">
        <w:r>
          <w:rPr>
            <w:color w:val="0563C1"/>
            <w:u w:val="single"/>
          </w:rPr>
          <w:t>Source</w:t>
        </w:r>
      </w:hyperlink>
      <w:r>
        <w:t xml:space="preserve"> | </w:t>
      </w:r>
      <w:hyperlink r:id="rId226">
        <w:r>
          <w:rPr>
            <w:color w:val="0563C1"/>
            <w:u w:val="single"/>
          </w:rPr>
          <w:t>Full-text access</w:t>
        </w:r>
      </w:hyperlink>
    </w:p>
    <w:p>
      <w:pPr>
        <w:pStyle w:val="Normal"/>
        <w:widowControl/>
        <w:spacing w:after="120"/>
      </w:pPr>
      <w:r>
        <w:t xml:space="preserve"/>
      </w:r>
      <w:r>
        <w:t xml:space="preserve">[V16-4] Dove, Lorna; Chadha, Ryan M.; Lai, Jennifer C.; et al. AASLD AST Practice Guideline on adult liver transplantation: Candidate evaluation. Hepatology. 2026; 83(6):1609-1645. </w:t>
      </w:r>
      <w:hyperlink r:id="rId227">
        <w:r>
          <w:rPr>
            <w:color w:val="0563C1"/>
            <w:u w:val="single"/>
          </w:rPr>
          <w:t>Source</w:t>
        </w:r>
      </w:hyperlink>
      <w:r>
        <w:t xml:space="preserve"> | </w:t>
      </w:r>
      <w:hyperlink r:id="rId228">
        <w:r>
          <w:rPr>
            <w:color w:val="0563C1"/>
            <w:u w:val="single"/>
          </w:rPr>
          <w:t>Full-text access</w:t>
        </w:r>
      </w:hyperlink>
    </w:p>
    <w:p>
      <w:pPr>
        <w:pStyle w:val="Normal"/>
        <w:widowControl/>
        <w:spacing w:after="120"/>
      </w:pPr>
      <w:r>
        <w:t xml:space="preserve"/>
      </w:r>
      <w:r>
        <w:t xml:space="preserve">[V16-5] Sapisochin, G; Facciuto, M; Rubbia-Brandt, L; et al. Liver transplantation for "very early" intrahepatic cholangiocarcinoma: International retrospective study supporting a prospective assessment. Hepatology (Baltimore, Md.). 2016; 64(4):1178-88. </w:t>
      </w:r>
      <w:hyperlink r:id="rId229">
        <w:r>
          <w:rPr>
            <w:color w:val="0563C1"/>
            <w:u w:val="single"/>
          </w:rPr>
          <w:t>Source</w:t>
        </w:r>
      </w:hyperlink>
      <w:r>
        <w:t xml:space="preserve"> | </w:t>
      </w:r>
      <w:hyperlink r:id="rId230">
        <w:r>
          <w:rPr>
            <w:color w:val="0563C1"/>
            <w:u w:val="single"/>
          </w:rPr>
          <w:t>Full-text access</w:t>
        </w:r>
      </w:hyperlink>
    </w:p>
    <w:p>
      <w:pPr>
        <w:pStyle w:val="Normal"/>
        <w:widowControl/>
        <w:spacing w:after="120"/>
      </w:pPr>
      <w:r>
        <w:t xml:space="preserve"/>
      </w:r>
      <w:r>
        <w:t xml:space="preserve">[V16-6] Bowlus, Christopher L.; Arrivé, Lionel; Bergquist, Annika; et al. AASLD practice guidance on primary sclerosing cholangitis and cholangiocarcinoma. Hepatology. 2022; 77(2):659-702. </w:t>
      </w:r>
      <w:hyperlink r:id="rId231">
        <w:r>
          <w:rPr>
            <w:color w:val="0563C1"/>
            <w:u w:val="single"/>
          </w:rPr>
          <w:t>Source</w:t>
        </w:r>
      </w:hyperlink>
      <w:r>
        <w:t xml:space="preserve"> | </w:t>
      </w:r>
      <w:hyperlink r:id="rId232">
        <w:r>
          <w:rPr>
            <w:color w:val="0563C1"/>
            <w:u w:val="single"/>
          </w:rPr>
          <w:t>Full-text access</w:t>
        </w:r>
      </w:hyperlink>
    </w:p>
    <w:p>
      <w:pPr>
        <w:pStyle w:val="Normal"/>
        <w:widowControl/>
        <w:spacing w:after="120"/>
      </w:pPr>
      <w:r>
        <w:t xml:space="preserve"/>
      </w:r>
      <w:r>
        <w:t xml:space="preserve">[V16-7] Schleimer, Lauren E; Rousian, Merve; Alessandris, Remo; et al. Eligibility for Liver Transplantation in Patients with Intrahepatic Cholangiocarcinoma. Annals of surgical oncology. 2026; 33(7):6099-6109. </w:t>
      </w:r>
      <w:hyperlink r:id="rId233">
        <w:r>
          <w:rPr>
            <w:color w:val="0563C1"/>
            <w:u w:val="single"/>
          </w:rPr>
          <w:t>Source</w:t>
        </w:r>
      </w:hyperlink>
      <w:r>
        <w:t xml:space="preserve"> | </w:t>
      </w:r>
      <w:hyperlink r:id="rId234">
        <w:r>
          <w:rPr>
            <w:color w:val="0563C1"/>
            <w:u w:val="single"/>
          </w:rPr>
          <w:t>Full-text access</w:t>
        </w:r>
      </w:hyperlink>
    </w:p>
    <w:p>
      <w:pPr>
        <w:pStyle w:val="Normal"/>
        <w:widowControl/>
        <w:spacing w:after="120"/>
      </w:pPr>
      <w:r>
        <w:t xml:space="preserve"/>
      </w:r>
      <w:r>
        <w:t xml:space="preserve">[V16-8] McMillan, Robert R; Javle, Milind; Kodali, Sudha; et al. Survival following liver transplantation for locally advanced, unresectable intrahepatic cholangiocarcinoma. American journal of transplantation : official journal of the American Society of Transplantation and the American Society of Transplant Surgeons. 2022; 22(3):823-832. </w:t>
      </w:r>
      <w:hyperlink r:id="rId235">
        <w:r>
          <w:rPr>
            <w:color w:val="0563C1"/>
            <w:u w:val="single"/>
          </w:rPr>
          <w:t>Source</w:t>
        </w:r>
      </w:hyperlink>
      <w:r>
        <w:t xml:space="preserve"> | </w:t>
      </w:r>
      <w:hyperlink r:id="rId236">
        <w:r>
          <w:rPr>
            <w:color w:val="0563C1"/>
            <w:u w:val="single"/>
          </w:rPr>
          <w:t>Full-text access</w:t>
        </w:r>
      </w:hyperlink>
    </w:p>
    <w:p>
      <w:pPr>
        <w:pStyle w:val="Normal"/>
        <w:widowControl/>
        <w:spacing w:after="120"/>
      </w:pPr>
      <w:r>
        <w:t xml:space="preserve"/>
      </w:r>
      <w:r>
        <w:t xml:space="preserve">[V16-9] Sethi, Vrishketan; Gunabushanam, Vikraman; Liu, Hao; et al. Outcomes after living donor liver transplant for intrahepatic cholangiocarcinoma. American Journal of Transplantation. 2026. </w:t>
      </w:r>
      <w:hyperlink r:id="rId237">
        <w:r>
          <w:rPr>
            <w:color w:val="0563C1"/>
            <w:u w:val="single"/>
          </w:rPr>
          <w:t>Source</w:t>
        </w:r>
      </w:hyperlink>
      <w:r>
        <w:t xml:space="preserve"> | </w:t>
      </w:r>
      <w:hyperlink r:id="rId238">
        <w:r>
          <w:rPr>
            <w:color w:val="0563C1"/>
            <w:u w:val="single"/>
          </w:rPr>
          <w:t>Full-text access</w:t>
        </w:r>
      </w:hyperlink>
    </w:p>
    <w:p>
      <w:pPr>
        <w:pStyle w:val="Normal"/>
        <w:widowControl/>
        <w:spacing w:after="120"/>
      </w:pPr>
      <w:r>
        <w:t xml:space="preserve"/>
      </w:r>
      <w:r>
        <w:t xml:space="preserve">[V16-10] Yaqub, Sheraz; Busund, Sondre; Smedman, Tor Magnus; et al. Liver transplantation for locally advanced non-resectable intrahepatic cholangiocarcinoma treated with neoadjuvant therapy: early results from the TESLA trial. British Journal of Surgery. 2025. </w:t>
      </w:r>
      <w:hyperlink r:id="rId239">
        <w:r>
          <w:rPr>
            <w:color w:val="0563C1"/>
            <w:u w:val="single"/>
          </w:rPr>
          <w:t>Source</w:t>
        </w:r>
      </w:hyperlink>
      <w:r>
        <w:t xml:space="preserve"> | </w:t>
      </w:r>
      <w:hyperlink r:id="rId240">
        <w:r>
          <w:rPr>
            <w:color w:val="0563C1"/>
            <w:u w:val="single"/>
          </w:rPr>
          <w:t>Full-text access</w:t>
        </w:r>
      </w:hyperlink>
    </w:p>
    <w:p>
      <w:pPr>
        <w:pStyle w:val="Normal"/>
        <w:widowControl/>
        <w:spacing w:after="120"/>
      </w:pPr>
      <w:r>
        <w:t xml:space="preserve"/>
      </w:r>
      <w:r>
        <w:t xml:space="preserve">[V16-11] Shroff RT; Kennedy EB; Alarcon Rozas AE; et al. Treatment of Advanced Biliary Tract Cancer: ASCO Living Guideline, Version 2026.1.0.. Journal of clinical oncology : official journal of the American Society of Clinical Oncology. 2026; :101200JCO2602462. </w:t>
      </w:r>
      <w:hyperlink r:id="rId241">
        <w:r>
          <w:rPr>
            <w:color w:val="0563C1"/>
            <w:u w:val="single"/>
          </w:rPr>
          <w:t>Source</w:t>
        </w:r>
      </w:hyperlink>
      <w:r>
        <w:t xml:space="preserve"> | </w:t>
      </w:r>
      <w:hyperlink r:id="rId242">
        <w:r>
          <w:rPr>
            <w:color w:val="0563C1"/>
            <w:u w:val="single"/>
          </w:rPr>
          <w:t>Full-text access</w:t>
        </w:r>
      </w:hyperlink>
    </w:p>
    <w:p>
      <w:pPr>
        <w:pStyle w:val="Normal"/>
        <w:widowControl/>
        <w:spacing w:after="120"/>
      </w:pPr>
      <w:r>
        <w:t xml:space="preserve"/>
      </w:r>
      <w:r>
        <w:t xml:space="preserve">[V16-12]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243">
        <w:r>
          <w:rPr>
            <w:color w:val="0563C1"/>
            <w:u w:val="single"/>
          </w:rPr>
          <w:t>Source</w:t>
        </w:r>
      </w:hyperlink>
      <w:r>
        <w:t xml:space="preserve"> | </w:t>
      </w:r>
      <w:hyperlink r:id="rId244">
        <w:r>
          <w:rPr>
            <w:color w:val="0563C1"/>
            <w:u w:val="single"/>
          </w:rPr>
          <w:t>Full-text access</w:t>
        </w:r>
      </w:hyperlink>
    </w:p>
    <w:p>
      <w:pPr>
        <w:pStyle w:val="Normal"/>
        <w:widowControl/>
        <w:spacing w:after="120"/>
      </w:pPr>
      <w:r>
        <w:t xml:space="preserve"/>
      </w:r>
      <w:r>
        <w:t xml:space="preserve">[V16-13] Kobayashi S; Terashima T; Shiba S; et al. Multicenter retrospective analysis of systemic chemotherapy for unresectable combined hepatocellular and cholangiocarcinoma.. Cancer science. 2018; 109(8):2549-2557. </w:t>
      </w:r>
      <w:hyperlink r:id="rId245">
        <w:r>
          <w:rPr>
            <w:color w:val="0563C1"/>
            <w:u w:val="single"/>
          </w:rPr>
          <w:t>Source</w:t>
        </w:r>
      </w:hyperlink>
      <w:r>
        <w:t xml:space="preserve"> | </w:t>
      </w:r>
      <w:hyperlink r:id="rId246">
        <w:r>
          <w:rPr>
            <w:color w:val="0563C1"/>
            <w:u w:val="single"/>
          </w:rPr>
          <w:t>Full-text access</w:t>
        </w:r>
      </w:hyperlink>
    </w:p>
    <w:p>
      <w:pPr>
        <w:pStyle w:val="Normal"/>
        <w:widowControl/>
        <w:spacing w:after="120"/>
      </w:pPr>
      <w:r>
        <w:t xml:space="preserve"/>
      </w:r>
      <w:r>
        <w:t xml:space="preserve">[V16-14] Singal, Amit G; Llovet, Josep M; Yarchoan, Mark; et al. AASLD Practice Guidance on prevention, diagnosis, and treatment of hepatocellular carcinoma. Hepatology (Baltimore, Md.). 2023; 78(6):1922-1965. </w:t>
      </w:r>
      <w:hyperlink r:id="rId247">
        <w:r>
          <w:rPr>
            <w:color w:val="0563C1"/>
            <w:u w:val="single"/>
          </w:rPr>
          <w:t>Source</w:t>
        </w:r>
      </w:hyperlink>
      <w:r>
        <w:t xml:space="preserve"> | </w:t>
      </w:r>
      <w:hyperlink r:id="rId248">
        <w:r>
          <w:rPr>
            <w:color w:val="0563C1"/>
            <w:u w:val="single"/>
          </w:rPr>
          <w:t>Full-text access</w:t>
        </w:r>
      </w:hyperlink>
    </w:p>
    <w:p>
      <w:pPr>
        <w:pStyle w:val="Normal"/>
        <w:widowControl/>
        <w:spacing w:after="120"/>
      </w:pPr>
      <w:r>
        <w:t xml:space="preserve"/>
      </w:r>
      <w:r>
        <w:t xml:space="preserve">[V16-15] Moeckli, Beat; Wassmer, Charles-Henri; El Hajji, Sofia; et al. Determining safe washout period for immune checkpoint inhibitors prior to liver transplantation: An international retrospective cohort study. Hepatology. 2025; 82(5):1122-1137. </w:t>
      </w:r>
      <w:hyperlink r:id="rId249">
        <w:r>
          <w:rPr>
            <w:color w:val="0563C1"/>
            <w:u w:val="single"/>
          </w:rPr>
          <w:t>Source</w:t>
        </w:r>
      </w:hyperlink>
      <w:r>
        <w:t xml:space="preserve"> | </w:t>
      </w:r>
      <w:hyperlink r:id="rId250">
        <w:r>
          <w:rPr>
            <w:color w:val="0563C1"/>
            <w:u w:val="single"/>
          </w:rPr>
          <w:t>Full-text access</w:t>
        </w:r>
      </w:hyperlink>
    </w:p>
    <w:p>
      <w:pPr>
        <w:pStyle w:val="Normal"/>
        <w:widowControl/>
        <w:spacing w:after="120"/>
      </w:pPr>
      <w:r>
        <w:t xml:space="preserve"/>
      </w:r>
      <w:r>
        <w:t xml:space="preserve">[V16-16] Tabrizian, Parissa; Holzner, Matthew L.; Ajmera, Veeral; et al. Intention-to-treat outcomes of patients with hepatocellular carcinoma receiving immunotherapy before liver transplant: The multicenter VITALITY study. Journal of Hepatology. 2025; 82(3):512-522. </w:t>
      </w:r>
      <w:hyperlink r:id="rId251">
        <w:r>
          <w:rPr>
            <w:color w:val="0563C1"/>
            <w:u w:val="single"/>
          </w:rPr>
          <w:t>Source</w:t>
        </w:r>
      </w:hyperlink>
      <w:r>
        <w:t xml:space="preserve"> | </w:t>
      </w:r>
      <w:hyperlink r:id="rId252">
        <w:r>
          <w:rPr>
            <w:color w:val="0563C1"/>
            <w:u w:val="single"/>
          </w:rPr>
          <w:t>Full-text access</w:t>
        </w:r>
      </w:hyperlink>
    </w:p>
    <w:p>
      <w:pPr>
        <w:pStyle w:val="Normal"/>
        <w:widowControl/>
        <w:spacing w:after="120"/>
      </w:pPr>
      <w:r>
        <w:t xml:space="preserve"/>
      </w:r>
      <w:r>
        <w:t xml:space="preserve">[V16-17] Lunsford, Keri E; Javle, Milind; Heyne, Kirk; et al. Liver transplantation for locally advanced intrahepatic cholangiocarcinoma treated with neoadjuvant therapy: a prospective case-series. The lancet. Gastroenterology &amp; hepatology. 2018; 3(5):337-348. </w:t>
      </w:r>
      <w:hyperlink r:id="rId253">
        <w:r>
          <w:rPr>
            <w:color w:val="0563C1"/>
            <w:u w:val="single"/>
          </w:rPr>
          <w:t>Source</w:t>
        </w:r>
      </w:hyperlink>
      <w:r>
        <w:t xml:space="preserve"> | </w:t>
      </w:r>
      <w:hyperlink r:id="rId254">
        <w:r>
          <w:rPr>
            <w:color w:val="0563C1"/>
            <w:u w:val="single"/>
          </w:rPr>
          <w:t>Full-text access</w:t>
        </w:r>
      </w:hyperlink>
    </w:p>
    <w:p>
      <w:pPr>
        <w:pStyle w:val="Normal"/>
        <w:widowControl/>
        <w:spacing w:after="120"/>
      </w:pPr>
      <w:r>
        <w:t xml:space="preserve"/>
      </w:r>
      <w:r>
        <w:t xml:space="preserve">[V16-18] Ramanan, Poornima; Cummins, Nathan W.; Wilhelm, Mark P.; et al. Epidemiology, risk factors, and outcomes of infections in patients undergoing liver transplantation for hilar cholangiocarcinoma. Clinical Transplantation. 2017; 31(8). </w:t>
      </w:r>
      <w:hyperlink r:id="rId255">
        <w:r>
          <w:rPr>
            <w:color w:val="0563C1"/>
            <w:u w:val="single"/>
          </w:rPr>
          <w:t>Source</w:t>
        </w:r>
      </w:hyperlink>
      <w:r>
        <w:t xml:space="preserve"> | </w:t>
      </w:r>
      <w:hyperlink r:id="rId256">
        <w:r>
          <w:rPr>
            <w:color w:val="0563C1"/>
            <w:u w:val="single"/>
          </w:rPr>
          <w:t>Full-text access</w:t>
        </w:r>
      </w:hyperlink>
    </w:p>
    <w:p>
      <w:pPr>
        <w:pStyle w:val="Normal"/>
        <w:widowControl/>
        <w:spacing w:after="120"/>
      </w:pPr>
      <w:r>
        <w:t xml:space="preserve"/>
      </w:r>
      <w:r>
        <w:t xml:space="preserve">[V16-19] Semaan, Samar; Connor, Ashton A.; Saharia, Ashish; et al. Transplantation for Peri-Hilar and Intrahepatic Cholangiocarcinoma With mTOR Immunosuppression. Transplantation Proceedings. 2025; 57(2):255-263. </w:t>
      </w:r>
      <w:hyperlink r:id="rId257">
        <w:r>
          <w:rPr>
            <w:color w:val="0563C1"/>
            <w:u w:val="single"/>
          </w:rPr>
          <w:t>Source</w:t>
        </w:r>
      </w:hyperlink>
      <w:r>
        <w:t xml:space="preserve"> | </w:t>
      </w:r>
      <w:hyperlink r:id="rId258">
        <w:r>
          <w:rPr>
            <w:color w:val="0563C1"/>
            <w:u w:val="single"/>
          </w:rPr>
          <w:t>Full-text access</w:t>
        </w:r>
      </w:hyperlink>
    </w:p>
    <w:p>
      <w:pPr>
        <w:pStyle w:val="Normal"/>
        <w:widowControl/>
        <w:spacing w:after="120"/>
      </w:pPr>
      <w:r>
        <w:t xml:space="preserve"/>
      </w:r>
      <w:r>
        <w:t xml:space="preserve">[V16-20] Novartis Pharmaceuticals Corporation. Zortress (everolimus) US prescribing information, updated 16 September 2026. DailyMed. 2026. </w:t>
      </w:r>
      <w:hyperlink r:id="rId259">
        <w:r>
          <w:rPr>
            <w:color w:val="0563C1"/>
            <w:u w:val="single"/>
          </w:rPr>
          <w:t>Source</w:t>
        </w:r>
      </w:hyperlink>
      <w:r>
        <w:t xml:space="preserve"> | </w:t>
      </w:r>
      <w:hyperlink r:id="rId260">
        <w:r>
          <w:rPr>
            <w:color w:val="0563C1"/>
            <w:u w:val="single"/>
          </w:rPr>
          <w:t>Full-text access</w:t>
        </w:r>
      </w:hyperlink>
    </w:p>
    <w:p>
      <w:pPr>
        <w:pStyle w:val="Normal"/>
        <w:widowControl/>
        <w:spacing w:after="120"/>
      </w:pPr>
      <w:r>
        <w:t xml:space="preserve"/>
      </w:r>
      <w:r>
        <w:t xml:space="preserve">[V16-21] Heinrich, Sophia; Campos‐Murguia, Alejandro; Mensah, Angelina; et al. A Retrospective Multicenter Study Identifies a Similar Overall Survival of Patients After Liver Transplantation With Incidental Cholangiocarcinoma Compared to Hepatocellular Carcinoma. Clinical Transplantation. 2026; 40(5). </w:t>
      </w:r>
      <w:hyperlink r:id="rId261">
        <w:r>
          <w:rPr>
            <w:color w:val="0563C1"/>
            <w:u w:val="single"/>
          </w:rPr>
          <w:t>Source</w:t>
        </w:r>
      </w:hyperlink>
      <w:r>
        <w:t xml:space="preserve"> | </w:t>
      </w:r>
      <w:hyperlink r:id="rId262">
        <w:r>
          <w:rPr>
            <w:color w:val="0563C1"/>
            <w:u w:val="single"/>
          </w:rPr>
          <w:t>Full-text access</w:t>
        </w:r>
      </w:hyperlink>
    </w:p>
    <w:p>
      <w:pPr>
        <w:pStyle w:val="Normal"/>
        <w:widowControl/>
        <w:spacing w:after="120"/>
      </w:pPr>
      <w:r>
        <w:t xml:space="preserve"/>
      </w:r>
      <w:r>
        <w:t xml:space="preserve">[V16-22] Sharma, Pratima; Izzy, Manhal; Ghabril, Marwan S.; et al. AASLD AST Practice Guideline on adult liver transplantation: Diagnosis and post-transplant management of non-graft–related complications. Liver Transplantation. 2025; 32(8):1157-1193. </w:t>
      </w:r>
      <w:hyperlink r:id="rId263">
        <w:r>
          <w:rPr>
            <w:color w:val="0563C1"/>
            <w:u w:val="single"/>
          </w:rPr>
          <w:t>Source</w:t>
        </w:r>
      </w:hyperlink>
      <w:r>
        <w:t xml:space="preserve"> | </w:t>
      </w:r>
      <w:hyperlink r:id="rId264">
        <w:r>
          <w:rPr>
            <w:color w:val="0563C1"/>
            <w:u w:val="single"/>
          </w:rPr>
          <w:t>Full-text access</w:t>
        </w:r>
      </w:hyperlink>
    </w:p>
    <w:p>
      <w:pPr>
        <w:pStyle w:val="Normal"/>
        <w:widowControl/>
        <w:spacing w:after="120"/>
      </w:pPr>
      <w:r>
        <w:t xml:space="preserve"/>
      </w:r>
      <w:r>
        <w:t xml:space="preserve">[V16-23] Gül-Klein, Safak; Schmitz, Paulina; Schöning, Wenzel; et al. The Role of Immunosuppression for Recurrent Cholangiocellular Carcinoma after Liver Transplantation. Cancers. 2022; 14(12):2890. </w:t>
      </w:r>
      <w:hyperlink r:id="rId265">
        <w:r>
          <w:rPr>
            <w:color w:val="0563C1"/>
            <w:u w:val="single"/>
          </w:rPr>
          <w:t>Source</w:t>
        </w:r>
      </w:hyperlink>
      <w:r>
        <w:t xml:space="preserve"> | </w:t>
      </w:r>
      <w:hyperlink r:id="rId266">
        <w:r>
          <w:rPr>
            <w:color w:val="0563C1"/>
            <w:u w:val="single"/>
          </w:rPr>
          <w:t>Full-text access</w:t>
        </w:r>
      </w:hyperlink>
    </w:p>
    <w:p>
      <w:pPr>
        <w:pStyle w:val="Normal"/>
        <w:widowControl/>
        <w:spacing w:after="120"/>
      </w:pPr>
      <w:r>
        <w:t xml:space="preserve"/>
      </w:r>
      <w:r>
        <w:t xml:space="preserve">[V16-24] Te, Helen S.; Agopian, Vatche G.; Demetris, Anthony J.; et al. AASLD AST Practice Guideline on adult liver transplantation: Diagnosis and management of graft-related complications. Liver Transplantation. 2025; 32(3):444-490. </w:t>
      </w:r>
      <w:hyperlink r:id="rId267">
        <w:r>
          <w:rPr>
            <w:color w:val="0563C1"/>
            <w:u w:val="single"/>
          </w:rPr>
          <w:t>Source</w:t>
        </w:r>
      </w:hyperlink>
      <w:r>
        <w:t xml:space="preserve"> | </w:t>
      </w:r>
      <w:hyperlink r:id="rId268">
        <w:r>
          <w:rPr>
            <w:color w:val="0563C1"/>
            <w:u w:val="single"/>
          </w:rPr>
          <w:t>Full-text access</w:t>
        </w:r>
      </w:hyperlink>
    </w:p>
    <w:p>
      <w:pPr>
        <w:pStyle w:val="Normal"/>
        <w:widowControl/>
        <w:spacing w:after="120"/>
      </w:pPr>
      <w:r>
        <w:t xml:space="preserve"/>
      </w:r>
      <w:r>
        <w:t xml:space="preserve">[V16-25] Abdelrahim, Maen; Esmail, Abdullah; Connor, Ashton A; et al. Utilization of immunotherapy as a neoadjuvant treatment in liver transplant recipients with hepatobiliary carcinoma. Frontiers in oncology. 2026; 16:1866870. </w:t>
      </w:r>
      <w:hyperlink r:id="rId269">
        <w:r>
          <w:rPr>
            <w:color w:val="0563C1"/>
            <w:u w:val="single"/>
          </w:rPr>
          <w:t>Source</w:t>
        </w:r>
      </w:hyperlink>
      <w:r>
        <w:t xml:space="preserve"> | </w:t>
      </w:r>
      <w:hyperlink r:id="rId270">
        <w:r>
          <w:rPr>
            <w:color w:val="0563C1"/>
            <w:u w:val="single"/>
          </w:rPr>
          <w:t>Full-text access</w:t>
        </w:r>
      </w:hyperlink>
    </w:p>
    <w:p>
      <w:pPr>
        <w:pStyle w:val="Normal"/>
        <w:widowControl/>
        <w:spacing w:after="120"/>
      </w:pPr>
      <w:r>
        <w:t xml:space="preserve"/>
      </w:r>
      <w:r>
        <w:t xml:space="preserve">[V16-26] Abecassis, M.M.; Fisher, R.A.; Olthoff, K.M.; et al. Complications of Living Donor Hepatic Lobectomy—A Comprehensive Report. American Journal of Transplantation. 2012; 12(5):1208-1217. </w:t>
      </w:r>
      <w:hyperlink r:id="rId271">
        <w:r>
          <w:rPr>
            <w:color w:val="0563C1"/>
            <w:u w:val="single"/>
          </w:rPr>
          <w:t>Source</w:t>
        </w:r>
      </w:hyperlink>
      <w:r>
        <w:t xml:space="preserve"> | </w:t>
      </w:r>
      <w:hyperlink r:id="rId272">
        <w:r>
          <w:rPr>
            <w:color w:val="0563C1"/>
            <w:u w:val="single"/>
          </w:rPr>
          <w:t>Full-text access</w:t>
        </w:r>
      </w:hyperlink>
    </w:p>
    <w:p>
      <w:pPr>
        <w:pStyle w:val="Normal"/>
        <w:widowControl/>
        <w:spacing w:after="120"/>
      </w:pPr>
      <w:r>
        <w:t xml:space="preserve"/>
      </w:r>
      <w:r>
        <w:t xml:space="preserve">[V16-27] DiMartini, A.; Dew, M.A.; Liu, Q.; et al. Social and Financial Outcomes of Living Liver Donation: A Prospective Investigation Within the Adult-to-Adult Living Donor Liver Transplantation Cohort Study 2 (A2ALL-2). American Journal of Transplantation. 2017; 17(4):1081-1096. </w:t>
      </w:r>
      <w:hyperlink r:id="rId273">
        <w:r>
          <w:rPr>
            <w:color w:val="0563C1"/>
            <w:u w:val="single"/>
          </w:rPr>
          <w:t>Source</w:t>
        </w:r>
      </w:hyperlink>
      <w:r>
        <w:t xml:space="preserve"> | </w:t>
      </w:r>
      <w:hyperlink r:id="rId274">
        <w:r>
          <w:rPr>
            <w:color w:val="0563C1"/>
            <w:u w:val="single"/>
          </w:rPr>
          <w:t>Full-text access</w:t>
        </w:r>
      </w:hyperlink>
    </w:p>
    <w:p>
      <w:pPr>
        <w:pStyle w:val="Normal"/>
        <w:widowControl/>
        <w:spacing w:after="120"/>
      </w:pPr>
      <w:r>
        <w:t xml:space="preserve"/>
      </w:r>
      <w:r>
        <w:t xml:space="preserve">[V16-28] Xiao, Jieling; Zeng, Rebecca Wenling; Lim, Wen Hui; et al. The incidence of adverse outcome in donors after living donor liver transplantation: A meta-analysis of 60,829 donors. Liver Transplantation. 2024; 30(5):493-504. </w:t>
      </w:r>
      <w:hyperlink r:id="rId275">
        <w:r>
          <w:rPr>
            <w:color w:val="0563C1"/>
            <w:u w:val="single"/>
          </w:rPr>
          <w:t>Source</w:t>
        </w:r>
      </w:hyperlink>
      <w:r>
        <w:t xml:space="preserve"> | </w:t>
      </w:r>
      <w:hyperlink r:id="rId276">
        <w:r>
          <w:rPr>
            <w:color w:val="0563C1"/>
            <w:u w:val="single"/>
          </w:rPr>
          <w:t>Full-text access</w:t>
        </w:r>
      </w:hyperlink>
    </w:p>
    <w:p>
      <w:pPr>
        <w:pStyle w:val="Normal"/>
        <w:widowControl/>
        <w:spacing w:after="120"/>
      </w:pPr>
      <w:r>
        <w:t xml:space="preserve"/>
      </w:r>
      <w:r>
        <w:t xml:space="preserve">[V16-29] Shi, Guo-Ming; Huang, Xiao-Yong; Liang, Fei; et al. Neoadjuvant GOLP in Resectable High-Risk Intrahepatic Cholangiocarcinoma. The New England journal of medicine. 2026; 394(10):983-995. </w:t>
      </w:r>
      <w:hyperlink r:id="rId277">
        <w:r>
          <w:rPr>
            <w:color w:val="0563C1"/>
            <w:u w:val="single"/>
          </w:rPr>
          <w:t>Source</w:t>
        </w:r>
      </w:hyperlink>
      <w:r>
        <w:t xml:space="preserve"> | </w:t>
      </w:r>
      <w:hyperlink r:id="rId278">
        <w:r>
          <w:rPr>
            <w:color w:val="0563C1"/>
            <w:u w:val="single"/>
          </w:rPr>
          <w:t>Full-text access</w:t>
        </w:r>
      </w:hyperlink>
    </w:p>
    <w:p>
      <w:pPr>
        <w:pStyle w:val="Normal"/>
        <w:widowControl/>
        <w:spacing w:after="120"/>
      </w:pPr>
      <w:r>
        <w:t xml:space="preserve"/>
      </w:r>
      <w:r>
        <w:t xml:space="preserve">[V16-30] Dageforde, Leigh Anne; Vachharajani, Neeta; Tabrizian, Parissa; et al. Multi-Center Analysis of Liver Transplantation for Combined Hepatocellular Carcinoma-Cholangiocarcinoma Liver Tumors. Journal of the American College of Surgeons. 2021. </w:t>
      </w:r>
      <w:hyperlink r:id="rId279">
        <w:r>
          <w:rPr>
            <w:color w:val="0563C1"/>
            <w:u w:val="single"/>
          </w:rPr>
          <w:t>Source</w:t>
        </w:r>
      </w:hyperlink>
      <w:r>
        <w:t xml:space="preserve"> | </w:t>
      </w:r>
      <w:hyperlink r:id="rId280">
        <w:r>
          <w:rPr>
            <w:color w:val="0563C1"/>
            <w:u w:val="single"/>
          </w:rPr>
          <w:t>Full-text access</w:t>
        </w:r>
      </w:hyperlink>
    </w:p>
    <w:p>
      <w:pPr>
        <w:pStyle w:val="Normal"/>
        <w:widowControl/>
        <w:spacing w:after="120"/>
      </w:pPr>
      <w:r>
        <w:t xml:space="preserve"/>
      </w:r>
      <w:r>
        <w:t xml:space="preserve">[V16-31] De Martin, E; Rayar, M; Golse, N; et al. Analysis of Liver Resection Versus Liver Transplantation on Outcome of Small Intrahepatic Cholangiocarcinoma and Combined Hepatocellular-Cholangiocarcinoma in the Setting of Cirrhosis. Liver Transplantation. 2020. </w:t>
      </w:r>
      <w:hyperlink r:id="rId281">
        <w:r>
          <w:rPr>
            <w:color w:val="0563C1"/>
            <w:u w:val="single"/>
          </w:rPr>
          <w:t>Source</w:t>
        </w:r>
      </w:hyperlink>
      <w:r>
        <w:t xml:space="preserve"> | </w:t>
      </w:r>
      <w:hyperlink r:id="rId282">
        <w:r>
          <w:rPr>
            <w:color w:val="0563C1"/>
            <w:u w:val="single"/>
          </w:rPr>
          <w:t>Full-text access</w:t>
        </w:r>
      </w:hyperlink>
    </w:p>
    <w:p>
      <w:pPr>
        <w:pStyle w:val="Normal"/>
        <w:widowControl/>
        <w:spacing w:after="120"/>
      </w:pPr>
      <w:r>
        <w:t xml:space="preserve"/>
      </w:r>
      <w:r>
        <w:t xml:space="preserve">[V16-32] Giguet, Baptiste; Artru, Florent; Jeddou, Heithem; et al. Liver transplantation in unresectable intrahepatic cholangiocarcinoma following neoadjuvant chemotherapy and SIRT. JHEP Reports. 2026. </w:t>
      </w:r>
      <w:hyperlink r:id="rId283">
        <w:r>
          <w:rPr>
            <w:color w:val="0563C1"/>
            <w:u w:val="single"/>
          </w:rPr>
          <w:t>Source</w:t>
        </w:r>
      </w:hyperlink>
      <w:r>
        <w:t xml:space="preserve"> | </w:t>
      </w:r>
      <w:hyperlink r:id="rId284">
        <w:r>
          <w:rPr>
            <w:color w:val="0563C1"/>
            <w:u w:val="single"/>
          </w:rPr>
          <w:t>Full-text access</w:t>
        </w:r>
      </w:hyperlink>
    </w:p>
    <w:p>
      <w:pPr>
        <w:pStyle w:val="Normal"/>
        <w:widowControl/>
        <w:spacing w:after="120"/>
      </w:pPr>
      <w:r>
        <w:t xml:space="preserve"/>
      </w:r>
      <w:r>
        <w:t xml:space="preserve">[V16-33] Shroff, Rachna T; King, Gentry; Colby, Sarah; et al. SWOG S1815: A Phase III Randomized Trial of Gemcitabine, Cisplatin, and Nab-Paclitaxel Versus Gemcitabine and Cisplatin in Newly Diagnosed, Advanced Biliary Tract Cancers. Journal of clinical oncology : official journal of the American Society of Clinical Oncology. 2025; 43(5):536-544. </w:t>
      </w:r>
      <w:hyperlink r:id="rId285">
        <w:r>
          <w:rPr>
            <w:color w:val="0563C1"/>
            <w:u w:val="single"/>
          </w:rPr>
          <w:t>Source</w:t>
        </w:r>
      </w:hyperlink>
      <w:r>
        <w:t xml:space="preserve"> | </w:t>
      </w:r>
      <w:hyperlink r:id="rId286">
        <w:r>
          <w:rPr>
            <w:color w:val="0563C1"/>
            <w:u w:val="single"/>
          </w:rPr>
          <w:t>Full-text access</w:t>
        </w:r>
      </w:hyperlink>
    </w:p>
    <w:p>
      <w:pPr>
        <w:pStyle w:val="Normal"/>
        <w:widowControl/>
        <w:spacing w:after="120"/>
      </w:pPr>
      <w:r>
        <w:t xml:space="preserve"/>
      </w:r>
      <w:r>
        <w:t xml:space="preserve">[V16-34] Oh, Do-Youn; He, Aiwu Ruth; Qin, Shukui; et al. Durvalumab plus chemotherapy in advanced biliary tract cancer: 3-year overall survival update from the phase III TOPAZ-1 study. Journal of Hepatology. 2025. </w:t>
      </w:r>
      <w:hyperlink r:id="rId287">
        <w:r>
          <w:rPr>
            <w:color w:val="0563C1"/>
            <w:u w:val="single"/>
          </w:rPr>
          <w:t>Source</w:t>
        </w:r>
      </w:hyperlink>
      <w:r>
        <w:t xml:space="preserve"> | </w:t>
      </w:r>
      <w:hyperlink r:id="rId288">
        <w:r>
          <w:rPr>
            <w:color w:val="0563C1"/>
            <w:u w:val="single"/>
          </w:rPr>
          <w:t>Full-text access</w:t>
        </w:r>
      </w:hyperlink>
    </w:p>
    <w:p>
      <w:pPr>
        <w:pStyle w:val="Normal"/>
        <w:widowControl/>
        <w:spacing w:after="120"/>
      </w:pPr>
      <w:r>
        <w:t xml:space="preserve"/>
      </w:r>
      <w:r>
        <w:t xml:space="preserve">[V16-35]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89">
        <w:r>
          <w:rPr>
            <w:color w:val="0563C1"/>
            <w:u w:val="single"/>
          </w:rPr>
          <w:t>Source</w:t>
        </w:r>
      </w:hyperlink>
      <w:r>
        <w:t xml:space="preserve"> | </w:t>
      </w:r>
      <w:hyperlink r:id="rId290">
        <w:r>
          <w:rPr>
            <w:color w:val="0563C1"/>
            <w:u w:val="single"/>
          </w:rPr>
          <w:t>Full-text access</w:t>
        </w:r>
      </w:hyperlink>
    </w:p>
    <w:p>
      <w:pPr>
        <w:pStyle w:val="Normal"/>
        <w:widowControl/>
        <w:spacing w:after="120"/>
      </w:pPr>
      <w:r>
        <w:t xml:space="preserve"/>
      </w:r>
      <w:r>
        <w:t xml:space="preserve">[V16-36] Campbell, Sally; Ahmed, Ola; Cullinan, Darren; et al. Liver Transplantation for Unresectable Biliary Tract Cancers: Largest Single-Center Analysis of Subtype-Specific Survival and Recurrence (2007-2025). Annals of surgical oncology. 2026; 33(9):7870-7880. </w:t>
      </w:r>
      <w:hyperlink r:id="rId291">
        <w:r>
          <w:rPr>
            <w:color w:val="0563C1"/>
            <w:u w:val="single"/>
          </w:rPr>
          <w:t>Source</w:t>
        </w:r>
      </w:hyperlink>
      <w:r>
        <w:t xml:space="preserve"> | Local PDF not available in this update</w:t>
      </w:r>
    </w:p>
    <w:p>
      <w:pPr>
        <w:pStyle w:val="Normal"/>
        <w:widowControl/>
        <w:spacing w:after="120"/>
      </w:pPr>
      <w:r>
        <w:t xml:space="preserve"/>
      </w:r>
      <w:r>
        <w:t xml:space="preserve">[V16-37]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292">
        <w:r>
          <w:rPr>
            <w:color w:val="0563C1"/>
            <w:u w:val="single"/>
          </w:rPr>
          <w:t>Source</w:t>
        </w:r>
      </w:hyperlink>
      <w:r>
        <w:t xml:space="preserve"> | </w:t>
      </w:r>
      <w:hyperlink r:id="rId293">
        <w:r>
          <w:rPr>
            <w:color w:val="0563C1"/>
            <w:u w:val="single"/>
          </w:rPr>
          <w:t>Full-text access</w:t>
        </w:r>
      </w:hyperlink>
    </w:p>
    <w:p>
      <w:pPr>
        <w:pStyle w:val="Normal"/>
        <w:widowControl/>
        <w:spacing w:after="120"/>
      </w:pPr>
      <w:r>
        <w:t xml:space="preserve"/>
      </w:r>
      <w:r>
        <w:t xml:space="preserve">[V16-38] Hu, Xiao-Xing; Yan, Lu-Nan. Retrospective analysis of prognostic factors after liver transplantation for intrahepatic cholangiocarcinoma in China: a single-center experience. Hepato-gastroenterology. 2011; 58(109):1255-9. </w:t>
      </w:r>
      <w:hyperlink r:id="rId294">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iCCA-B4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6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iqa-q5pxnh6rlrbigja05" Type="http://schemas.openxmlformats.org/officeDocument/2006/relationships/hyperlink" Target="https://www.nccn.org/professionals/physician_gls/pdf/btc.pdf#page=16" TargetMode="External"/><Relationship Id="rIdsfzbedrz9qzcr937bzzuc" Type="http://schemas.openxmlformats.org/officeDocument/2006/relationships/hyperlink" Target="https://doi.org/10.1097/HEP.0000000000001644" TargetMode="External"/><Relationship Id="rIdcg8meyfsz0bmjnhwzvczz" Type="http://schemas.openxmlformats.org/officeDocument/2006/relationships/hyperlink" Target="https://doi.org/10.1002/hep.32771" TargetMode="External"/><Relationship Id="rIdhpve-elr2_shlzi_mvxxl" Type="http://schemas.openxmlformats.org/officeDocument/2006/relationships/hyperlink" Target="https://pubmed.ncbi.nlm.nih.gov/41991890" TargetMode="External"/><Relationship Id="rIdexda8wsukgi3v3vy8b8pf" Type="http://schemas.openxmlformats.org/officeDocument/2006/relationships/hyperlink" Target="https://pubmed.ncbi.nlm.nih.gov/42073607" TargetMode="External"/><Relationship Id="rId1v8pv354vpkxaaef2ri8t" Type="http://schemas.openxmlformats.org/officeDocument/2006/relationships/hyperlink" Target="https://www.ncbi.nlm.nih.gov/pmc/articles/PMC10663390/" TargetMode="External"/><Relationship Id="rIdpgx8utgpalcrktmuninc4" Type="http://schemas.openxmlformats.org/officeDocument/2006/relationships/hyperlink" Target="https://meetings.asco.org/abstracts-presentations/247656" TargetMode="External"/><Relationship Id="rId2v02qz9e8hk69cpv1wpda" Type="http://schemas.openxmlformats.org/officeDocument/2006/relationships/hyperlink" Target="https://meetings.asco.org/abstracts-presentations/255564" TargetMode="External"/><Relationship Id="rIdezmd3b86lfy-ymntip4zo" Type="http://schemas.openxmlformats.org/officeDocument/2006/relationships/hyperlink" Target="https://pubmed.ncbi.nlm.nih.gov/29548617" TargetMode="External"/><Relationship Id="rIdbzxdx5z8iv-cu9gjngpt0" Type="http://schemas.openxmlformats.org/officeDocument/2006/relationships/hyperlink" Target="https://onlinelibrary.wiley.com/doi/10.1111/ctr.13023" TargetMode="External"/><Relationship Id="rIdszyp66l9fiesl4dpma6yy" Type="http://schemas.openxmlformats.org/officeDocument/2006/relationships/hyperlink" Target="https://pubmed.ncbi.nlm.nih.gov/39939239" TargetMode="External"/><Relationship Id="rId5eboyzog_xvnwugtgbhjc" Type="http://schemas.openxmlformats.org/officeDocument/2006/relationships/hyperlink" Target="https://onlinelibrary.wiley.com/doi/10.1111/ctr.70547" TargetMode="External"/><Relationship Id="rIdjfu1dqn2hmy7dilosodu2" Type="http://schemas.openxmlformats.org/officeDocument/2006/relationships/hyperlink" Target="https://doi.org/10.1097/LVT.0000000000000785" TargetMode="External"/><Relationship Id="rIdcljpb_ryluws-ziqqiu2e" Type="http://schemas.openxmlformats.org/officeDocument/2006/relationships/hyperlink" Target="https://pubmed.ncbi.nlm.nih.gov/35740555" TargetMode="External"/><Relationship Id="rId20" Type="http://schemas.openxmlformats.org/officeDocument/2006/relationships/fontTable" Target="fontTable.xml"/><Relationship Id="rId21" Type="http://schemas.openxmlformats.org/officeDocument/2006/relationships/hyperlink" Target="https://doi.org/10.1097/HEP.0000000000001644" TargetMode="External"/><Relationship Id="rId22" Type="http://schemas.openxmlformats.org/officeDocument/2006/relationships/hyperlink" Target="https://drliuhao.github.io/mh-liver-pathways/evidence-libraries/" TargetMode="External"/><Relationship Id="rId23" Type="http://schemas.openxmlformats.org/officeDocument/2006/relationships/hyperlink" Target="https://doi.org/10.3389/fonc.2026.1866870"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111/j.1600-6143.2011.03972.x"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111/ajt.14055"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097/LVT.0000000000000303"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056/NEJMoa2513918"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pubmed.ncbi.nlm.nih.gov/33316425/"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onlinelibrary.wiley.com/doi/full/10.1002/lt.25737"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pmc.ncbi.nlm.nih.gov/articles/PMC13254992/"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doi.org/10.1016/j.ajt.2026.09.039"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academic.oup.com/bjs/article/112/3/znaf054/8083032"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doi.org/10.1111/ajt.16906"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doi.org/10.1097/HEP.0000000000001289"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doi.org/10.1200/JCO-24-01383"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pubmed.ncbi.nlm.nih.gov/35740555"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doi.org/10.1097/lvt.0000000000000785"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pubmed.ncbi.nlm.nih.gov/39939239"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onlinelibrary.wiley.com/doi/10.1111/ctr.13023"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onlinelibrary.wiley.com/doi/10.1111/ctr.70547"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www.nccn.org/professionals/physician_gls/pdf/btc.pdf#page=16" TargetMode="External"/><Relationship Id="rId60" Type="http://schemas.openxmlformats.org/officeDocument/2006/relationships/hyperlink" Target="https://drliuhao.github.io/mh-liver-pathways/evidence-libraries/" TargetMode="External"/><Relationship Id="rId61" Type="http://schemas.openxmlformats.org/officeDocument/2006/relationships/hyperlink" Target="https://doi.org/10.1097/lvt.0000000000000715" TargetMode="External"/><Relationship Id="rId62" Type="http://schemas.openxmlformats.org/officeDocument/2006/relationships/hyperlink" Target="https://drliuhao.github.io/mh-liver-pathways/evidence-libraries/" TargetMode="External"/><Relationship Id="rId63" Type="http://schemas.openxmlformats.org/officeDocument/2006/relationships/hyperlink" Target="https://doi.org/10.1002/hep.32771" TargetMode="External"/><Relationship Id="rId64" Type="http://schemas.openxmlformats.org/officeDocument/2006/relationships/hyperlink" Target="https://drliuhao.github.io/mh-liver-pathways/evidence-libraries/" TargetMode="External"/><Relationship Id="rId65" Type="http://schemas.openxmlformats.org/officeDocument/2006/relationships/hyperlink" Target="https://www.journal-of-hepatology.eu/article/S0168-8278(25)02201-9/fulltext"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oi.org/10.1016/j.jhep.2024.09.003"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www.hrsa.gov/sites/default/files/hrsa/optn/optn_policies.pdf"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www.hrsa.gov/sites/default/files/hrsa/optn/adult-meld-exception-transplant-oncology-review-guidance.pdf"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www.nccn.org/professionals/physician_gls/pdf/btc.pdf#page=16"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doi.org/10.1097/HEP.0000000000001644"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doi.org/10.1002/hep.28744"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doi.org/10.1002/hep.32771"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oi.org/10.1245/s10434-026-19652-8"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doi.org/10.1111/ajt.16906"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doi.org/10.1016/j.ajt.2026.09.039" TargetMode="External"/><Relationship Id="rId89" Type="http://schemas.openxmlformats.org/officeDocument/2006/relationships/hyperlink" Target="https://drliuhao.github.io/mh-liver-pathways/evidence-libraries/" TargetMode="External"/><Relationship Id="rId90" Type="http://schemas.openxmlformats.org/officeDocument/2006/relationships/hyperlink" Target="https://academic.oup.com/bjs/article/112/3/znaf054/8083032"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doi.org/10.1097/HEP.0000000000000466"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doi.org/10.1097/HEP.0000000000001289"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oi.org/10.1016/j.jhep.2024.09.003"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oi.org/10.1016/S2468-1253(18)30045-1"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onlinelibrary.wiley.com/doi/10.1111/ctr.13023"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pubmed.ncbi.nlm.nih.gov/39939239" TargetMode="External"/><Relationship Id="rId103" Type="http://schemas.openxmlformats.org/officeDocument/2006/relationships/hyperlink" Target="https://drliuhao.github.io/mh-liver-pathways/evidence-libraries/" TargetMode="External"/><Relationship Id="rId104" Type="http://schemas.openxmlformats.org/officeDocument/2006/relationships/hyperlink" Target="https://dailymed.nlm.nih.gov/dailymed/drugInfo.cfm?setid=e082a024-7850-400b-a5c2-2a140612562a" TargetMode="External"/><Relationship Id="rId105" Type="http://schemas.openxmlformats.org/officeDocument/2006/relationships/hyperlink" Target="https://drliuhao.github.io/mh-liver-pathways/evidence-libraries/" TargetMode="External"/><Relationship Id="rId106" Type="http://schemas.openxmlformats.org/officeDocument/2006/relationships/hyperlink" Target="https://onlinelibrary.wiley.com/doi/10.1111/ctr.70547"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097/lvt.0000000000000785"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pubmed.ncbi.nlm.nih.gov/35740555"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oi.org/10.1097/lvt.0000000000000715"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3389/fonc.2026.1866870"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111/j.1600-6143.2011.03972.x"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111/ajt.14055"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doi.org/10.1097/LVT.0000000000000303"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doi.org/10.1056/NEJMoa2513918"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pubmed.ncbi.nlm.nih.gov/33316425/"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onlinelibrary.wiley.com/doi/full/10.1002/lt.25737"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pmc.ncbi.nlm.nih.gov/articles/PMC13254992/"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doi.org/10.1200/JCO-24-01383"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www.journal-of-hepatology.eu/article/S0168-8278(25)02201-9/fulltext"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drliuhao.github.io/mh-liver-pathways/evidence-libraries/" TargetMode="External"/><Relationship Id="rId135" Type="http://schemas.openxmlformats.org/officeDocument/2006/relationships/hyperlink" Target="https://doi.org/10.1200/JCO-26-02462" TargetMode="External"/><Relationship Id="rId136" Type="http://schemas.openxmlformats.org/officeDocument/2006/relationships/hyperlink" Target="https://drliuhao.github.io/mh-liver-pathways/evidence-libraries/" TargetMode="External"/><Relationship Id="rId137" Type="http://schemas.openxmlformats.org/officeDocument/2006/relationships/hyperlink" Target="https://doi.org/10.1016/S2468-1253(24)00119-5" TargetMode="External"/><Relationship Id="rId138" Type="http://schemas.openxmlformats.org/officeDocument/2006/relationships/hyperlink" Target="https://drliuhao.github.io/mh-liver-pathways/evidence-libraries/" TargetMode="External"/><Relationship Id="rId139" Type="http://schemas.openxmlformats.org/officeDocument/2006/relationships/hyperlink" Target="https://doi.org/10.1111/cas.13656" TargetMode="External"/><Relationship Id="rId140" Type="http://schemas.openxmlformats.org/officeDocument/2006/relationships/hyperlink" Target="https://drliuhao.github.io/mh-liver-pathways/evidence-libraries/" TargetMode="External"/><Relationship Id="rId141" Type="http://schemas.openxmlformats.org/officeDocument/2006/relationships/hyperlink" Target="https://www.hrsa.gov/sites/default/files/hrsa/optn/optn_policies.pdf" TargetMode="External"/><Relationship Id="rId142" Type="http://schemas.openxmlformats.org/officeDocument/2006/relationships/hyperlink" Target="https://drliuhao.github.io/mh-liver-pathways/evidence-libraries/" TargetMode="External"/><Relationship Id="rId143" Type="http://schemas.openxmlformats.org/officeDocument/2006/relationships/hyperlink" Target="https://www.hrsa.gov/sites/default/files/hrsa/optn/adult-meld-exception-transplant-oncology-review-guidance.pdf" TargetMode="External"/><Relationship Id="rId144" Type="http://schemas.openxmlformats.org/officeDocument/2006/relationships/hyperlink" Target="https://drliuhao.github.io/mh-liver-pathways/evidence-libraries/" TargetMode="External"/><Relationship Id="rId145" Type="http://schemas.openxmlformats.org/officeDocument/2006/relationships/hyperlink" Target="https://www.nccn.org/professionals/physician_gls/pdf/btc.pdf#page=16" TargetMode="External"/><Relationship Id="rId146" Type="http://schemas.openxmlformats.org/officeDocument/2006/relationships/hyperlink" Target="https://drliuhao.github.io/mh-liver-pathways/evidence-libraries/" TargetMode="External"/><Relationship Id="rId147" Type="http://schemas.openxmlformats.org/officeDocument/2006/relationships/hyperlink" Target="https://doi.org/10.1097/HEP.0000000000001644" TargetMode="External"/><Relationship Id="rId148" Type="http://schemas.openxmlformats.org/officeDocument/2006/relationships/hyperlink" Target="https://drliuhao.github.io/mh-liver-pathways/evidence-libraries/" TargetMode="External"/><Relationship Id="rId149" Type="http://schemas.openxmlformats.org/officeDocument/2006/relationships/hyperlink" Target="https://doi.org/10.1002/hep.28744" TargetMode="External"/><Relationship Id="rId150" Type="http://schemas.openxmlformats.org/officeDocument/2006/relationships/hyperlink" Target="https://drliuhao.github.io/mh-liver-pathways/evidence-libraries/" TargetMode="External"/><Relationship Id="rId151" Type="http://schemas.openxmlformats.org/officeDocument/2006/relationships/hyperlink" Target="https://doi.org/10.1002/hep.32771" TargetMode="External"/><Relationship Id="rId152" Type="http://schemas.openxmlformats.org/officeDocument/2006/relationships/hyperlink" Target="https://drliuhao.github.io/mh-liver-pathways/evidence-libraries/" TargetMode="External"/><Relationship Id="rId153" Type="http://schemas.openxmlformats.org/officeDocument/2006/relationships/hyperlink" Target="https://doi.org/10.1245/s10434-026-19652-8" TargetMode="External"/><Relationship Id="rId154" Type="http://schemas.openxmlformats.org/officeDocument/2006/relationships/hyperlink" Target="https://drliuhao.github.io/mh-liver-pathways/evidence-libraries/" TargetMode="External"/><Relationship Id="rId155" Type="http://schemas.openxmlformats.org/officeDocument/2006/relationships/hyperlink" Target="https://doi.org/10.1111/ajt.16906" TargetMode="External"/><Relationship Id="rId156" Type="http://schemas.openxmlformats.org/officeDocument/2006/relationships/hyperlink" Target="https://drliuhao.github.io/mh-liver-pathways/evidence-libraries/" TargetMode="External"/><Relationship Id="rId157" Type="http://schemas.openxmlformats.org/officeDocument/2006/relationships/hyperlink" Target="https://doi.org/10.1016/j.ajt.2026.09.039" TargetMode="External"/><Relationship Id="rId158" Type="http://schemas.openxmlformats.org/officeDocument/2006/relationships/hyperlink" Target="https://drliuhao.github.io/mh-liver-pathways/evidence-libraries/" TargetMode="External"/><Relationship Id="rId159" Type="http://schemas.openxmlformats.org/officeDocument/2006/relationships/hyperlink" Target="https://academic.oup.com/bjs/article/112/3/znaf054/8083032" TargetMode="External"/><Relationship Id="rId160" Type="http://schemas.openxmlformats.org/officeDocument/2006/relationships/hyperlink" Target="https://drliuhao.github.io/mh-liver-pathways/evidence-libraries/" TargetMode="External"/><Relationship Id="rId161" Type="http://schemas.openxmlformats.org/officeDocument/2006/relationships/hyperlink" Target="https://doi.org/10.1200/JCO-26-02462" TargetMode="External"/><Relationship Id="rId162" Type="http://schemas.openxmlformats.org/officeDocument/2006/relationships/hyperlink" Target="https://drliuhao.github.io/mh-liver-pathways/evidence-libraries/" TargetMode="External"/><Relationship Id="rId163" Type="http://schemas.openxmlformats.org/officeDocument/2006/relationships/hyperlink" Target="https://doi.org/10.1016/S2468-1253(24)00119-5" TargetMode="External"/><Relationship Id="rId164" Type="http://schemas.openxmlformats.org/officeDocument/2006/relationships/hyperlink" Target="https://drliuhao.github.io/mh-liver-pathways/evidence-libraries/" TargetMode="External"/><Relationship Id="rId165" Type="http://schemas.openxmlformats.org/officeDocument/2006/relationships/hyperlink" Target="https://doi.org/10.1111/cas.13656" TargetMode="External"/><Relationship Id="rId166" Type="http://schemas.openxmlformats.org/officeDocument/2006/relationships/hyperlink" Target="https://drliuhao.github.io/mh-liver-pathways/evidence-libraries/" TargetMode="External"/><Relationship Id="rId167" Type="http://schemas.openxmlformats.org/officeDocument/2006/relationships/hyperlink" Target="https://doi.org/10.1097/HEP.0000000000000466" TargetMode="External"/><Relationship Id="rId168" Type="http://schemas.openxmlformats.org/officeDocument/2006/relationships/hyperlink" Target="https://drliuhao.github.io/mh-liver-pathways/evidence-libraries/" TargetMode="External"/><Relationship Id="rId169" Type="http://schemas.openxmlformats.org/officeDocument/2006/relationships/hyperlink" Target="https://doi.org/10.1097/HEP.0000000000001289" TargetMode="External"/><Relationship Id="rId170" Type="http://schemas.openxmlformats.org/officeDocument/2006/relationships/hyperlink" Target="https://drliuhao.github.io/mh-liver-pathways/evidence-libraries/" TargetMode="External"/><Relationship Id="rId171" Type="http://schemas.openxmlformats.org/officeDocument/2006/relationships/hyperlink" Target="https://doi.org/10.1016/j.jhep.2024.09.003" TargetMode="External"/><Relationship Id="rId172" Type="http://schemas.openxmlformats.org/officeDocument/2006/relationships/hyperlink" Target="https://drliuhao.github.io/mh-liver-pathways/evidence-libraries/" TargetMode="External"/><Relationship Id="rId173" Type="http://schemas.openxmlformats.org/officeDocument/2006/relationships/hyperlink" Target="https://doi.org/10.1016/S2468-1253(18)30045-1" TargetMode="External"/><Relationship Id="rId174" Type="http://schemas.openxmlformats.org/officeDocument/2006/relationships/hyperlink" Target="https://drliuhao.github.io/mh-liver-pathways/evidence-libraries/" TargetMode="External"/><Relationship Id="rId175" Type="http://schemas.openxmlformats.org/officeDocument/2006/relationships/hyperlink" Target="https://onlinelibrary.wiley.com/doi/10.1111/ctr.13023" TargetMode="External"/><Relationship Id="rId176" Type="http://schemas.openxmlformats.org/officeDocument/2006/relationships/hyperlink" Target="https://drliuhao.github.io/mh-liver-pathways/evidence-libraries/" TargetMode="External"/><Relationship Id="rId177" Type="http://schemas.openxmlformats.org/officeDocument/2006/relationships/hyperlink" Target="https://pubmed.ncbi.nlm.nih.gov/39939239" TargetMode="External"/><Relationship Id="rId178" Type="http://schemas.openxmlformats.org/officeDocument/2006/relationships/hyperlink" Target="https://drliuhao.github.io/mh-liver-pathways/evidence-libraries/" TargetMode="External"/><Relationship Id="rId179" Type="http://schemas.openxmlformats.org/officeDocument/2006/relationships/hyperlink" Target="https://dailymed.nlm.nih.gov/dailymed/drugInfo.cfm?setid=e082a024-7850-400b-a5c2-2a140612562a" TargetMode="External"/><Relationship Id="rId180" Type="http://schemas.openxmlformats.org/officeDocument/2006/relationships/hyperlink" Target="https://drliuhao.github.io/mh-liver-pathways/evidence-libraries/" TargetMode="External"/><Relationship Id="rId181" Type="http://schemas.openxmlformats.org/officeDocument/2006/relationships/hyperlink" Target="https://onlinelibrary.wiley.com/doi/10.1111/ctr.70547" TargetMode="External"/><Relationship Id="rId182" Type="http://schemas.openxmlformats.org/officeDocument/2006/relationships/hyperlink" Target="https://drliuhao.github.io/mh-liver-pathways/evidence-libraries/" TargetMode="External"/><Relationship Id="rId183" Type="http://schemas.openxmlformats.org/officeDocument/2006/relationships/hyperlink" Target="https://doi.org/10.1097/lvt.0000000000000785" TargetMode="External"/><Relationship Id="rId184" Type="http://schemas.openxmlformats.org/officeDocument/2006/relationships/hyperlink" Target="https://drliuhao.github.io/mh-liver-pathways/evidence-libraries/" TargetMode="External"/><Relationship Id="rId185" Type="http://schemas.openxmlformats.org/officeDocument/2006/relationships/hyperlink" Target="https://pubmed.ncbi.nlm.nih.gov/35740555" TargetMode="External"/><Relationship Id="rId186" Type="http://schemas.openxmlformats.org/officeDocument/2006/relationships/hyperlink" Target="https://drliuhao.github.io/mh-liver-pathways/evidence-libraries/" TargetMode="External"/><Relationship Id="rId187" Type="http://schemas.openxmlformats.org/officeDocument/2006/relationships/hyperlink" Target="https://doi.org/10.1097/lvt.0000000000000715" TargetMode="External"/><Relationship Id="rId188" Type="http://schemas.openxmlformats.org/officeDocument/2006/relationships/hyperlink" Target="https://drliuhao.github.io/mh-liver-pathways/evidence-libraries/" TargetMode="External"/><Relationship Id="rId189" Type="http://schemas.openxmlformats.org/officeDocument/2006/relationships/hyperlink" Target="https://doi.org/10.3389/fonc.2026.1866870" TargetMode="External"/><Relationship Id="rId190" Type="http://schemas.openxmlformats.org/officeDocument/2006/relationships/hyperlink" Target="https://drliuhao.github.io/mh-liver-pathways/evidence-libraries/" TargetMode="External"/><Relationship Id="rId191" Type="http://schemas.openxmlformats.org/officeDocument/2006/relationships/hyperlink" Target="https://doi.org/10.1111/j.1600-6143.2011.03972.x" TargetMode="External"/><Relationship Id="rId192" Type="http://schemas.openxmlformats.org/officeDocument/2006/relationships/hyperlink" Target="https://drliuhao.github.io/mh-liver-pathways/evidence-libraries/" TargetMode="External"/><Relationship Id="rId193" Type="http://schemas.openxmlformats.org/officeDocument/2006/relationships/hyperlink" Target="https://doi.org/10.1111/ajt.14055" TargetMode="External"/><Relationship Id="rId194" Type="http://schemas.openxmlformats.org/officeDocument/2006/relationships/hyperlink" Target="https://drliuhao.github.io/mh-liver-pathways/evidence-libraries/" TargetMode="External"/><Relationship Id="rId195" Type="http://schemas.openxmlformats.org/officeDocument/2006/relationships/hyperlink" Target="https://doi.org/10.1097/LVT.0000000000000303" TargetMode="External"/><Relationship Id="rId196" Type="http://schemas.openxmlformats.org/officeDocument/2006/relationships/hyperlink" Target="https://drliuhao.github.io/mh-liver-pathways/evidence-libraries/" TargetMode="External"/><Relationship Id="rId197" Type="http://schemas.openxmlformats.org/officeDocument/2006/relationships/hyperlink" Target="https://doi.org/10.1056/NEJMoa2513918" TargetMode="External"/><Relationship Id="rId198" Type="http://schemas.openxmlformats.org/officeDocument/2006/relationships/hyperlink" Target="https://drliuhao.github.io/mh-liver-pathways/evidence-libraries/" TargetMode="External"/><Relationship Id="rId199" Type="http://schemas.openxmlformats.org/officeDocument/2006/relationships/hyperlink" Target="https://pubmed.ncbi.nlm.nih.gov/33316425/" TargetMode="External"/><Relationship Id="rId200" Type="http://schemas.openxmlformats.org/officeDocument/2006/relationships/hyperlink" Target="https://drliuhao.github.io/mh-liver-pathways/evidence-libraries/" TargetMode="External"/><Relationship Id="rId201" Type="http://schemas.openxmlformats.org/officeDocument/2006/relationships/hyperlink" Target="https://onlinelibrary.wiley.com/doi/full/10.1002/lt.25737" TargetMode="External"/><Relationship Id="rId202" Type="http://schemas.openxmlformats.org/officeDocument/2006/relationships/hyperlink" Target="https://drliuhao.github.io/mh-liver-pathways/evidence-libraries/" TargetMode="External"/><Relationship Id="rId203" Type="http://schemas.openxmlformats.org/officeDocument/2006/relationships/hyperlink" Target="https://pmc.ncbi.nlm.nih.gov/articles/PMC13254992/" TargetMode="External"/><Relationship Id="rId204" Type="http://schemas.openxmlformats.org/officeDocument/2006/relationships/hyperlink" Target="https://drliuhao.github.io/mh-liver-pathways/evidence-libraries/" TargetMode="External"/><Relationship Id="rId205" Type="http://schemas.openxmlformats.org/officeDocument/2006/relationships/hyperlink" Target="https://doi.org/10.1200/JCO-24-01383" TargetMode="External"/><Relationship Id="rId206" Type="http://schemas.openxmlformats.org/officeDocument/2006/relationships/hyperlink" Target="https://drliuhao.github.io/mh-liver-pathways/evidence-libraries/" TargetMode="External"/><Relationship Id="rId207" Type="http://schemas.openxmlformats.org/officeDocument/2006/relationships/hyperlink" Target="https://www.journal-of-hepatology.eu/article/S0168-8278(25)02201-9/fulltext" TargetMode="External"/><Relationship Id="rId208" Type="http://schemas.openxmlformats.org/officeDocument/2006/relationships/hyperlink" Target="https://drliuhao.github.io/mh-liver-pathways/evidence-libraries/" TargetMode="External"/><Relationship Id="rId209" Type="http://schemas.openxmlformats.org/officeDocument/2006/relationships/hyperlink" Target="https://doi.org/10.1016/S2468-1253(18)30045-1" TargetMode="External"/><Relationship Id="rId210" Type="http://schemas.openxmlformats.org/officeDocument/2006/relationships/hyperlink" Target="https://drliuhao.github.io/mh-liver-pathways/evidence-libraries/" TargetMode="External"/><Relationship Id="rId211" Type="http://schemas.openxmlformats.org/officeDocument/2006/relationships/hyperlink" Target="https://doi.org/10.1111/ajt.16906" TargetMode="External"/><Relationship Id="rId212" Type="http://schemas.openxmlformats.org/officeDocument/2006/relationships/hyperlink" Target="https://drliuhao.github.io/mh-liver-pathways/evidence-libraries/" TargetMode="External"/><Relationship Id="rId213" Type="http://schemas.openxmlformats.org/officeDocument/2006/relationships/hyperlink" Target="https://doi.org/10.3389/ti.2024.13641" TargetMode="External"/><Relationship Id="rId214" Type="http://schemas.openxmlformats.org/officeDocument/2006/relationships/hyperlink" Target="https://drliuhao.github.io/mh-liver-pathways/evidence-libraries/" TargetMode="External"/><Relationship Id="rId215" Type="http://schemas.openxmlformats.org/officeDocument/2006/relationships/hyperlink" Target="https://doi.org/10.1016/j.ajt.2026.09.039" TargetMode="External"/><Relationship Id="rId216" Type="http://schemas.openxmlformats.org/officeDocument/2006/relationships/hyperlink" Target="https://drliuhao.github.io/mh-liver-pathways/evidence-libraries/" TargetMode="External"/><Relationship Id="rId217" Type="http://schemas.openxmlformats.org/officeDocument/2006/relationships/hyperlink" Target="https://doi.org/10.1245/s10434-026-19975-6" TargetMode="External"/><Relationship Id="rId218" Type="http://schemas.openxmlformats.org/officeDocument/2006/relationships/hyperlink" Target="https://doi.org/10.1097/LVT.0000000000000589" TargetMode="External"/><Relationship Id="rId219" Type="http://schemas.openxmlformats.org/officeDocument/2006/relationships/hyperlink" Target="https://drliuhao.github.io/mh-liver-pathways/evidence-libraries/" TargetMode="External"/><Relationship Id="rId220" Type="http://schemas.openxmlformats.org/officeDocument/2006/relationships/hyperlink" Target="https://doi.org/10.5754/hge10704" TargetMode="External"/><Relationship Id="rId221" Type="http://schemas.openxmlformats.org/officeDocument/2006/relationships/hyperlink" Target="https://www.hrsa.gov/sites/default/files/hrsa/optn/optn_policies.pdf" TargetMode="External"/><Relationship Id="rId222" Type="http://schemas.openxmlformats.org/officeDocument/2006/relationships/hyperlink" Target="https://drliuhao.github.io/mh-liver-pathways/evidence-libraries/" TargetMode="External"/><Relationship Id="rId223" Type="http://schemas.openxmlformats.org/officeDocument/2006/relationships/hyperlink" Target="https://www.hrsa.gov/sites/default/files/hrsa/optn/adult-meld-exception-transplant-oncology-review-guidance.pdf" TargetMode="External"/><Relationship Id="rId224" Type="http://schemas.openxmlformats.org/officeDocument/2006/relationships/hyperlink" Target="https://drliuhao.github.io/mh-liver-pathways/evidence-libraries/" TargetMode="External"/><Relationship Id="rId225" Type="http://schemas.openxmlformats.org/officeDocument/2006/relationships/hyperlink" Target="https://www.nccn.org/professionals/physician_gls/pdf/btc.pdf#page=16" TargetMode="External"/><Relationship Id="rId226" Type="http://schemas.openxmlformats.org/officeDocument/2006/relationships/hyperlink" Target="https://drliuhao.github.io/mh-liver-pathways/evidence-libraries/" TargetMode="External"/><Relationship Id="rId227" Type="http://schemas.openxmlformats.org/officeDocument/2006/relationships/hyperlink" Target="https://doi.org/10.1097/HEP.0000000000001644" TargetMode="External"/><Relationship Id="rId228" Type="http://schemas.openxmlformats.org/officeDocument/2006/relationships/hyperlink" Target="https://drliuhao.github.io/mh-liver-pathways/evidence-libraries/" TargetMode="External"/><Relationship Id="rId229" Type="http://schemas.openxmlformats.org/officeDocument/2006/relationships/hyperlink" Target="https://doi.org/10.1002/hep.28744" TargetMode="External"/><Relationship Id="rId230" Type="http://schemas.openxmlformats.org/officeDocument/2006/relationships/hyperlink" Target="https://drliuhao.github.io/mh-liver-pathways/evidence-libraries/" TargetMode="External"/><Relationship Id="rId231" Type="http://schemas.openxmlformats.org/officeDocument/2006/relationships/hyperlink" Target="https://doi.org/10.1002/hep.32771" TargetMode="External"/><Relationship Id="rId232" Type="http://schemas.openxmlformats.org/officeDocument/2006/relationships/hyperlink" Target="https://drliuhao.github.io/mh-liver-pathways/evidence-libraries/" TargetMode="External"/><Relationship Id="rId233" Type="http://schemas.openxmlformats.org/officeDocument/2006/relationships/hyperlink" Target="https://doi.org/10.1245/s10434-026-19652-8" TargetMode="External"/><Relationship Id="rId234" Type="http://schemas.openxmlformats.org/officeDocument/2006/relationships/hyperlink" Target="https://drliuhao.github.io/mh-liver-pathways/evidence-libraries/" TargetMode="External"/><Relationship Id="rId235" Type="http://schemas.openxmlformats.org/officeDocument/2006/relationships/hyperlink" Target="https://doi.org/10.1111/ajt.16906" TargetMode="External"/><Relationship Id="rId236" Type="http://schemas.openxmlformats.org/officeDocument/2006/relationships/hyperlink" Target="https://drliuhao.github.io/mh-liver-pathways/evidence-libraries/" TargetMode="External"/><Relationship Id="rId237" Type="http://schemas.openxmlformats.org/officeDocument/2006/relationships/hyperlink" Target="https://doi.org/10.1016/j.ajt.2026.09.039" TargetMode="External"/><Relationship Id="rId238" Type="http://schemas.openxmlformats.org/officeDocument/2006/relationships/hyperlink" Target="https://drliuhao.github.io/mh-liver-pathways/evidence-libraries/" TargetMode="External"/><Relationship Id="rId239" Type="http://schemas.openxmlformats.org/officeDocument/2006/relationships/hyperlink" Target="https://academic.oup.com/bjs/article/112/3/znaf054/8083032" TargetMode="External"/><Relationship Id="rId240" Type="http://schemas.openxmlformats.org/officeDocument/2006/relationships/hyperlink" Target="https://drliuhao.github.io/mh-liver-pathways/evidence-libraries/" TargetMode="External"/><Relationship Id="rId241" Type="http://schemas.openxmlformats.org/officeDocument/2006/relationships/hyperlink" Target="https://doi.org/10.1200/JCO-26-02462" TargetMode="External"/><Relationship Id="rId242" Type="http://schemas.openxmlformats.org/officeDocument/2006/relationships/hyperlink" Target="https://drliuhao.github.io/mh-liver-pathways/evidence-libraries/" TargetMode="External"/><Relationship Id="rId243" Type="http://schemas.openxmlformats.org/officeDocument/2006/relationships/hyperlink" Target="https://doi.org/10.1016/S2468-1253(24)00119-5" TargetMode="External"/><Relationship Id="rId244" Type="http://schemas.openxmlformats.org/officeDocument/2006/relationships/hyperlink" Target="https://drliuhao.github.io/mh-liver-pathways/evidence-libraries/" TargetMode="External"/><Relationship Id="rId245" Type="http://schemas.openxmlformats.org/officeDocument/2006/relationships/hyperlink" Target="https://doi.org/10.1111/cas.13656" TargetMode="External"/><Relationship Id="rId246" Type="http://schemas.openxmlformats.org/officeDocument/2006/relationships/hyperlink" Target="https://drliuhao.github.io/mh-liver-pathways/evidence-libraries/" TargetMode="External"/><Relationship Id="rId247" Type="http://schemas.openxmlformats.org/officeDocument/2006/relationships/hyperlink" Target="https://doi.org/10.1097/HEP.0000000000000466" TargetMode="External"/><Relationship Id="rId248" Type="http://schemas.openxmlformats.org/officeDocument/2006/relationships/hyperlink" Target="https://drliuhao.github.io/mh-liver-pathways/evidence-libraries/" TargetMode="External"/><Relationship Id="rId249" Type="http://schemas.openxmlformats.org/officeDocument/2006/relationships/hyperlink" Target="https://doi.org/10.1097/HEP.0000000000001289" TargetMode="External"/><Relationship Id="rId250" Type="http://schemas.openxmlformats.org/officeDocument/2006/relationships/hyperlink" Target="https://drliuhao.github.io/mh-liver-pathways/evidence-libraries/" TargetMode="External"/><Relationship Id="rId251" Type="http://schemas.openxmlformats.org/officeDocument/2006/relationships/hyperlink" Target="https://doi.org/10.1016/j.jhep.2024.09.003" TargetMode="External"/><Relationship Id="rId252" Type="http://schemas.openxmlformats.org/officeDocument/2006/relationships/hyperlink" Target="https://drliuhao.github.io/mh-liver-pathways/evidence-libraries/" TargetMode="External"/><Relationship Id="rId253" Type="http://schemas.openxmlformats.org/officeDocument/2006/relationships/hyperlink" Target="https://doi.org/10.1016/S2468-1253(18)30045-1" TargetMode="External"/><Relationship Id="rId254" Type="http://schemas.openxmlformats.org/officeDocument/2006/relationships/hyperlink" Target="https://drliuhao.github.io/mh-liver-pathways/evidence-libraries/" TargetMode="External"/><Relationship Id="rId255" Type="http://schemas.openxmlformats.org/officeDocument/2006/relationships/hyperlink" Target="https://onlinelibrary.wiley.com/doi/10.1111/ctr.13023" TargetMode="External"/><Relationship Id="rId256" Type="http://schemas.openxmlformats.org/officeDocument/2006/relationships/hyperlink" Target="https://drliuhao.github.io/mh-liver-pathways/evidence-libraries/" TargetMode="External"/><Relationship Id="rId257" Type="http://schemas.openxmlformats.org/officeDocument/2006/relationships/hyperlink" Target="https://pubmed.ncbi.nlm.nih.gov/39939239" TargetMode="External"/><Relationship Id="rId258" Type="http://schemas.openxmlformats.org/officeDocument/2006/relationships/hyperlink" Target="https://drliuhao.github.io/mh-liver-pathways/evidence-libraries/" TargetMode="External"/><Relationship Id="rId259" Type="http://schemas.openxmlformats.org/officeDocument/2006/relationships/hyperlink" Target="https://dailymed.nlm.nih.gov/dailymed/drugInfo.cfm?setid=e082a024-7850-400b-a5c2-2a140612562a" TargetMode="External"/><Relationship Id="rId260" Type="http://schemas.openxmlformats.org/officeDocument/2006/relationships/hyperlink" Target="https://drliuhao.github.io/mh-liver-pathways/evidence-libraries/" TargetMode="External"/><Relationship Id="rId261" Type="http://schemas.openxmlformats.org/officeDocument/2006/relationships/hyperlink" Target="https://onlinelibrary.wiley.com/doi/10.1111/ctr.70547" TargetMode="External"/><Relationship Id="rId262" Type="http://schemas.openxmlformats.org/officeDocument/2006/relationships/hyperlink" Target="https://drliuhao.github.io/mh-liver-pathways/evidence-libraries/" TargetMode="External"/><Relationship Id="rId263" Type="http://schemas.openxmlformats.org/officeDocument/2006/relationships/hyperlink" Target="https://doi.org/10.1097/lvt.0000000000000785" TargetMode="External"/><Relationship Id="rId264" Type="http://schemas.openxmlformats.org/officeDocument/2006/relationships/hyperlink" Target="https://drliuhao.github.io/mh-liver-pathways/evidence-libraries/" TargetMode="External"/><Relationship Id="rId265" Type="http://schemas.openxmlformats.org/officeDocument/2006/relationships/hyperlink" Target="https://pubmed.ncbi.nlm.nih.gov/35740555" TargetMode="External"/><Relationship Id="rId266" Type="http://schemas.openxmlformats.org/officeDocument/2006/relationships/hyperlink" Target="https://drliuhao.github.io/mh-liver-pathways/evidence-libraries/" TargetMode="External"/><Relationship Id="rId267" Type="http://schemas.openxmlformats.org/officeDocument/2006/relationships/hyperlink" Target="https://doi.org/10.1097/lvt.0000000000000715" TargetMode="External"/><Relationship Id="rId268" Type="http://schemas.openxmlformats.org/officeDocument/2006/relationships/hyperlink" Target="https://drliuhao.github.io/mh-liver-pathways/evidence-libraries/" TargetMode="External"/><Relationship Id="rId269" Type="http://schemas.openxmlformats.org/officeDocument/2006/relationships/hyperlink" Target="https://doi.org/10.3389/fonc.2026.1866870" TargetMode="External"/><Relationship Id="rId270" Type="http://schemas.openxmlformats.org/officeDocument/2006/relationships/hyperlink" Target="https://drliuhao.github.io/mh-liver-pathways/evidence-libraries/" TargetMode="External"/><Relationship Id="rId271" Type="http://schemas.openxmlformats.org/officeDocument/2006/relationships/hyperlink" Target="https://doi.org/10.1111/j.1600-6143.2011.03972.x" TargetMode="External"/><Relationship Id="rId272" Type="http://schemas.openxmlformats.org/officeDocument/2006/relationships/hyperlink" Target="https://drliuhao.github.io/mh-liver-pathways/evidence-libraries/" TargetMode="External"/><Relationship Id="rId273" Type="http://schemas.openxmlformats.org/officeDocument/2006/relationships/hyperlink" Target="https://doi.org/10.1111/ajt.14055" TargetMode="External"/><Relationship Id="rId274" Type="http://schemas.openxmlformats.org/officeDocument/2006/relationships/hyperlink" Target="https://drliuhao.github.io/mh-liver-pathways/evidence-libraries/" TargetMode="External"/><Relationship Id="rId275" Type="http://schemas.openxmlformats.org/officeDocument/2006/relationships/hyperlink" Target="https://doi.org/10.1097/LVT.0000000000000303" TargetMode="External"/><Relationship Id="rId276" Type="http://schemas.openxmlformats.org/officeDocument/2006/relationships/hyperlink" Target="https://drliuhao.github.io/mh-liver-pathways/evidence-libraries/" TargetMode="External"/><Relationship Id="rId277" Type="http://schemas.openxmlformats.org/officeDocument/2006/relationships/hyperlink" Target="https://doi.org/10.1056/NEJMoa2513918" TargetMode="External"/><Relationship Id="rId278" Type="http://schemas.openxmlformats.org/officeDocument/2006/relationships/hyperlink" Target="https://drliuhao.github.io/mh-liver-pathways/evidence-libraries/" TargetMode="External"/><Relationship Id="rId279" Type="http://schemas.openxmlformats.org/officeDocument/2006/relationships/hyperlink" Target="https://pubmed.ncbi.nlm.nih.gov/33316425/" TargetMode="External"/><Relationship Id="rId280" Type="http://schemas.openxmlformats.org/officeDocument/2006/relationships/hyperlink" Target="https://drliuhao.github.io/mh-liver-pathways/evidence-libraries/" TargetMode="External"/><Relationship Id="rId281" Type="http://schemas.openxmlformats.org/officeDocument/2006/relationships/hyperlink" Target="https://onlinelibrary.wiley.com/doi/full/10.1002/lt.25737" TargetMode="External"/><Relationship Id="rId282" Type="http://schemas.openxmlformats.org/officeDocument/2006/relationships/hyperlink" Target="https://drliuhao.github.io/mh-liver-pathways/evidence-libraries/" TargetMode="External"/><Relationship Id="rId283" Type="http://schemas.openxmlformats.org/officeDocument/2006/relationships/hyperlink" Target="https://pmc.ncbi.nlm.nih.gov/articles/PMC13254992/" TargetMode="External"/><Relationship Id="rId284" Type="http://schemas.openxmlformats.org/officeDocument/2006/relationships/hyperlink" Target="https://drliuhao.github.io/mh-liver-pathways/evidence-libraries/" TargetMode="External"/><Relationship Id="rId285" Type="http://schemas.openxmlformats.org/officeDocument/2006/relationships/hyperlink" Target="https://doi.org/10.1200/JCO-24-01383" TargetMode="External"/><Relationship Id="rId286" Type="http://schemas.openxmlformats.org/officeDocument/2006/relationships/hyperlink" Target="https://drliuhao.github.io/mh-liver-pathways/evidence-libraries/" TargetMode="External"/><Relationship Id="rId287" Type="http://schemas.openxmlformats.org/officeDocument/2006/relationships/hyperlink" Target="https://www.journal-of-hepatology.eu/article/S0168-8278(25)02201-9/fulltext" TargetMode="External"/><Relationship Id="rId288" Type="http://schemas.openxmlformats.org/officeDocument/2006/relationships/hyperlink" Target="https://drliuhao.github.io/mh-liver-pathways/evidence-libraries/" TargetMode="External"/><Relationship Id="rId289" Type="http://schemas.openxmlformats.org/officeDocument/2006/relationships/hyperlink" Target="https://doi.org/10.3389/ti.2024.13641" TargetMode="External"/><Relationship Id="rId290" Type="http://schemas.openxmlformats.org/officeDocument/2006/relationships/hyperlink" Target="https://drliuhao.github.io/mh-liver-pathways/evidence-libraries/" TargetMode="External"/><Relationship Id="rId291" Type="http://schemas.openxmlformats.org/officeDocument/2006/relationships/hyperlink" Target="https://doi.org/10.1245/s10434-026-19975-6" TargetMode="External"/><Relationship Id="rId292" Type="http://schemas.openxmlformats.org/officeDocument/2006/relationships/hyperlink" Target="https://doi.org/10.1097/LVT.0000000000000589" TargetMode="External"/><Relationship Id="rId293" Type="http://schemas.openxmlformats.org/officeDocument/2006/relationships/hyperlink" Target="https://drliuhao.github.io/mh-liver-pathways/evidence-libraries/" TargetMode="External"/><Relationship Id="rId294" Type="http://schemas.openxmlformats.org/officeDocument/2006/relationships/hyperlink" Target="https://doi.org/10.5754/hge1070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2026-07-15T23:24:01.673Z</dcterms:created>
  <dcterms:modified xsi:type="dcterms:W3CDTF">2026-10-29T14:21:25Z</dcterms:modified>
  <dc:title>UTHealth Houston / Memorial Hermann — Intrahepatic cholangiocarcinoma Standard / Guidance-Aligned Transplant Protocol V8</dc:title>
  <dc:subject>Non-standard NLRB pathway under December 2025 transplant-oncology guidance</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