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pPr>
      <w:r>
        <w:rPr>
          <w:b/>
          <w:bCs/>
          <w:color w:val="176A87"/>
          <w:spacing w:val="36"/>
          <w:sz w:val="16"/>
          <w:szCs w:val="16"/>
        </w:rPr>
        <w:t xml:space="preserve">MEMORIAL HERMANN / UTHEALTH HOUSTON</w:t>
      </w:r>
    </w:p>
    <w:p>
      <w:pPr>
        <w:spacing w:after="100"/>
      </w:pPr>
      <w:r>
        <w:rPr>
          <w:rFonts w:ascii="Cambria" w:cs="Cambria" w:eastAsia="Cambria" w:hAnsi="Cambria"/>
          <w:b/>
          <w:bCs/>
          <w:color w:val="17365D"/>
          <w:sz w:val="48"/>
          <w:szCs w:val="48"/>
        </w:rPr>
        <w:t xml:space="preserve">Neuroendocrine liver metastases</w:t>
      </w:r>
    </w:p>
    <w:p>
      <w:pPr>
        <w:spacing w:after="120"/>
      </w:pPr>
      <w:r>
        <w:rPr>
          <w:i/>
          <w:sz w:val="18"/>
        </w:rPr>
        <w:t xml:space="preserve">Standardized document set, 29 October 2026: this is the full-content document for the cancer roadmap. Questions for consensus: NELM_2_Cancer_Roadmap_Questions.docx. Decision discussion for all settings: NELM_7_Decision_Discussion.docx. Web page: https://drliuhao.github.io/mh-liver-pathways/nelm/ 3 statements corrected on 29 October 2026 against the full texts of papers previously cited from their abstracts.</w:t>
      </w:r>
    </w:p>
    <w:p>
      <w:pPr>
        <w:spacing w:after="320"/>
      </w:pPr>
      <w:r>
        <w:rPr>
          <w:rFonts w:ascii="Cambria" w:cs="Cambria" w:eastAsia="Cambria" w:hAnsi="Cambria"/>
          <w:i/>
          <w:iCs/>
          <w:color w:val="5A6069"/>
          <w:sz w:val="28"/>
          <w:szCs w:val="28"/>
        </w:rPr>
        <w:t xml:space="preserve">Memorial Hermann system roadmap</w:t>
      </w:r>
    </w:p>
    <w:p>
      <w:pPr>
        <w:pBdr>
          <w:bottom w:val="single" w:color="D3DCE4" w:sz="6" w:space="1"/>
        </w:pBdr>
        <w:spacing w:after="260"/>
      </w:pPr>
    </w:p>
    <w:p>
      <w:pPr>
        <w:spacing w:after="60" w:line="276"/>
      </w:pPr>
      <w:r>
        <w:rPr>
          <w:b/>
          <w:bCs/>
          <w:color w:val="15181F"/>
          <w:sz w:val="22"/>
          <w:szCs w:val="22"/>
        </w:rPr>
        <w:t xml:space="preserve">Neuroendocrine liver metastases · system roadmap V16 · Extrahepatic-disease update, 29 October 2026</w:t>
      </w:r>
    </w:p>
    <w:p>
      <w:pPr>
        <w:spacing w:after="320" w:line="276"/>
      </w:pPr>
      <w:r>
        <w:rPr>
          <w:color w:val="5A6069"/>
          <w:sz w:val="20"/>
          <w:szCs w:val="20"/>
        </w:rPr>
        <w:t xml:space="preserve">9 gates · 40 cited sources · 34 stated uncertainties · 14 open decisions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9360"/>
      </w:tblGrid>
      <w:tr>
        <w:tc>
          <w:tcPr>
            <w:tcW w:type="dxa" w:w="9360"/>
            <w:shd w:fill="FBF1E2" w:color="auto" w:val="clear"/>
            <w:tcMar>
              <w:top w:type="dxa" w:w="70"/>
              <w:left w:type="dxa" w:w="110"/>
              <w:bottom w:type="dxa" w:w="70"/>
              <w:right w:type="dxa" w:w="110"/>
            </w:tcMar>
            <w:vAlign w:val="top"/>
          </w:tcPr>
          <w:p>
            <w:pPr>
              <w:spacing w:after="120"/>
            </w:pPr>
            <w:r>
              <w:rPr>
                <w:b/>
                <w:bCs/>
                <w:color w:val="8E5008"/>
                <w:spacing w:val="20"/>
                <w:sz w:val="20"/>
                <w:szCs w:val="20"/>
              </w:rPr>
              <w:t xml:space="preserve">DRAFT — NOT RATIFIED CLINICAL POLICY</w:t>
            </w:r>
          </w:p>
          <w:p>
            <w:pPr>
              <w:spacing w:after="100" w:line="276"/>
            </w:pPr>
            <w:r>
              <w:rPr>
                <w:color w:val="15181F"/>
                <w:sz w:val="18"/>
                <w:szCs w:val="18"/>
              </w:rPr>
              <w:t xml:space="preserve">This document is a draft under active development, prepared for multidisciplinary and institutional governance review. It has not been approved by the specialties named in it, and it must not be used for patient care decisions.</w:t>
            </w:r>
          </w:p>
          <w:p>
            <w:pPr>
              <w:spacing w:after="0" w:line="276"/>
            </w:pPr>
            <w:r>
              <w:rPr>
                <w:color w:val="15181F"/>
                <w:sz w:val="18"/>
                <w:szCs w:val="18"/>
              </w:rPr>
              <w:t xml:space="preserve">The content is a decision-focused evidence synthesis, not a systematic review. Every criterion drawn from OPTN policy, drug labelling, NCCN or a device authorisation must be re-verified against the current source before any use. Clinical transplant candidacy and allocation eligibility are separate judgements.</w:t>
            </w:r>
          </w:p>
        </w:tc>
      </w:tr>
    </w:tbl>
    <w:p>
      <w:r>
        <w:br w:type="page"/>
      </w:r>
    </w:p>
    <w:p>
      <w:pPr>
        <w:pStyle w:val="Heading1"/>
        <w:keepNext/>
        <w:spacing w:after="110" w:before="320"/>
      </w:pPr>
      <w:r>
        <w:rPr>
          <w:rFonts w:ascii="Cambria" w:cs="Cambria" w:eastAsia="Cambria" w:hAnsi="Cambria"/>
          <w:b/>
          <w:bCs/>
          <w:color w:val="17365D"/>
          <w:sz w:val="32"/>
          <w:szCs w:val="32"/>
        </w:rPr>
        <w:t xml:space="preserve">What this roadmap answers</w:t>
      </w:r>
    </w:p>
    <w:p>
      <w:pPr>
        <w:spacing w:after="120" w:line="276"/>
      </w:pPr>
      <w:r>
        <w:rPr>
          <w:color w:val="15181F"/>
          <w:sz w:val="20"/>
          <w:szCs w:val="20"/>
        </w:rPr>
        <w:t xml:space="preserve">Which pathway this patient belongs to once differentiation and grade are known, and what the liver is allowed to be asked to do over a disease measured in years.</w:t>
      </w:r>
    </w:p>
    <w:p>
      <w:pPr>
        <w:spacing w:after="120" w:line="276"/>
      </w:pPr>
      <w:r>
        <w:rPr>
          <w:color w:val="15181F"/>
          <w:sz w:val="20"/>
          <w:szCs w:val="20"/>
        </w:rPr>
        <w:t xml:space="preserve">The gates below run in the order the roadmap asks them, and the order is the point: each one can foreclose the next. Each gate states what has to be in hand before it can be answered, the question it actually settles, and then the standard, the reasonable alternative and what to avoid — each carrying a recommendation label, an evidence grade and the sources behind it.</w:t>
      </w:r>
    </w:p>
    <w:p>
      <w:pPr>
        <w:pStyle w:val="Heading2"/>
        <w:keepNext/>
        <w:spacing w:after="110" w:before="240"/>
      </w:pPr>
      <w:r>
        <w:rPr>
          <w:rFonts w:ascii="Cambria" w:cs="Cambria" w:eastAsia="Cambria" w:hAnsi="Cambria"/>
          <w:b/>
          <w:bCs/>
          <w:color w:val="17365D"/>
          <w:sz w:val="26"/>
          <w:szCs w:val="26"/>
        </w:rPr>
        <w:t xml:space="preserve">How to read a recommendation</w:t>
      </w:r>
    </w:p>
    <w:p>
      <w:pPr>
        <w:spacing w:after="60" w:before="160"/>
      </w:pPr>
      <w:r>
        <w:rPr>
          <w:b/>
          <w:bCs/>
          <w:color w:val="176A87"/>
          <w:spacing w:val="24"/>
          <w:sz w:val="15"/>
          <w:szCs w:val="15"/>
        </w:rPr>
        <w:t xml:space="preserve">RECOMMENDATION LABEL — WHAT WE ADVISE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pacing w:val="16"/>
                <w:sz w:val="17"/>
                <w:szCs w:val="17"/>
              </w:rPr>
              <w:t xml:space="preserve">STANDARD</w:t>
            </w:r>
          </w:p>
        </w:tc>
        <w:tc>
          <w:tcPr>
            <w:tcW w:type="dxa" w:w="7860"/>
            <w:tcMar>
              <w:top w:type="dxa" w:w="70"/>
              <w:left w:type="dxa" w:w="110"/>
              <w:bottom w:type="dxa" w:w="70"/>
              <w:right w:type="dxa" w:w="110"/>
            </w:tcMar>
            <w:vAlign w:val="top"/>
          </w:tcPr>
          <w:p>
            <w:pPr>
              <w:spacing w:after="0" w:line="276"/>
            </w:pPr>
            <w:r>
              <w:rPr>
                <w:color w:val="15181F"/>
                <w:sz w:val="18"/>
                <w:szCs w:val="18"/>
              </w:rPr>
              <w:t xml:space="preserve">Default when eligibility is met; a departure needs a recorded reason.</w:t>
            </w:r>
          </w:p>
        </w:tc>
      </w:tr>
      <w:tr>
        <w:trPr>
          <w:cantSplit/>
        </w:trPr>
        <w:tc>
          <w:tcPr>
            <w:tcW w:type="dxa" w:w="1500"/>
            <w:tcMar>
              <w:top w:type="dxa" w:w="70"/>
              <w:left w:type="dxa" w:w="110"/>
              <w:bottom w:type="dxa" w:w="70"/>
              <w:right w:type="dxa" w:w="110"/>
            </w:tcMar>
            <w:vAlign w:val="top"/>
          </w:tcPr>
          <w:p>
            <w:r>
              <w:rPr>
                <w:b/>
                <w:bCs/>
                <w:color w:val="176A87"/>
                <w:spacing w:val="16"/>
                <w:sz w:val="17"/>
                <w:szCs w:val="17"/>
              </w:rPr>
              <w:t xml:space="preserve">REASONABLE</w:t>
            </w:r>
          </w:p>
        </w:tc>
        <w:tc>
          <w:tcPr>
            <w:tcW w:type="dxa" w:w="7860"/>
            <w:tcMar>
              <w:top w:type="dxa" w:w="70"/>
              <w:left w:type="dxa" w:w="110"/>
              <w:bottom w:type="dxa" w:w="70"/>
              <w:right w:type="dxa" w:w="110"/>
            </w:tcMar>
            <w:vAlign w:val="top"/>
          </w:tcPr>
          <w:p>
            <w:pPr>
              <w:spacing w:after="0" w:line="276"/>
            </w:pPr>
            <w:r>
              <w:rPr>
                <w:color w:val="15181F"/>
                <w:sz w:val="18"/>
                <w:szCs w:val="18"/>
              </w:rPr>
              <w:t xml:space="preserve">Acceptable after documented multidisciplinary review; the benefit is context dependent.</w:t>
            </w:r>
          </w:p>
        </w:tc>
      </w:tr>
      <w:tr>
        <w:trPr>
          <w:cantSplit/>
        </w:trPr>
        <w:tc>
          <w:tcPr>
            <w:tcW w:type="dxa" w:w="1500"/>
            <w:tcMar>
              <w:top w:type="dxa" w:w="70"/>
              <w:left w:type="dxa" w:w="110"/>
              <w:bottom w:type="dxa" w:w="70"/>
              <w:right w:type="dxa" w:w="110"/>
            </w:tcMar>
            <w:vAlign w:val="top"/>
          </w:tcPr>
          <w:p>
            <w:r>
              <w:rPr>
                <w:b/>
                <w:bCs/>
                <w:color w:val="8C2F26"/>
                <w:spacing w:val="16"/>
                <w:sz w:val="17"/>
                <w:szCs w:val="17"/>
              </w:rPr>
              <w:t xml:space="preserve">AVOID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Expected harm, futility, or absent benefit generally outweighs the benefit.</w:t>
            </w:r>
          </w:p>
        </w:tc>
      </w:tr>
    </w:tbl>
    <w:p>
      <w:pPr>
        <w:spacing w:after="120" w:line="276"/>
      </w:pPr>
      <w:r>
        <w:rPr>
          <w:color w:val="15181F"/>
          <w:sz w:val="20"/>
          <w:szCs w:val="20"/>
        </w:rPr>
        <w:t xml:space="preserve"/>
      </w:r>
    </w:p>
    <w:p>
      <w:pPr>
        <w:spacing w:after="60" w:before="160"/>
      </w:pPr>
      <w:r>
        <w:rPr>
          <w:b/>
          <w:bCs/>
          <w:color w:val="176A87"/>
          <w:spacing w:val="24"/>
          <w:sz w:val="15"/>
          <w:szCs w:val="15"/>
        </w:rPr>
        <w:t xml:space="preserve">EVIDENCE GRADE — HOW STRONG THE BASIS IS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17365D"/>
                <w:sz w:val="20"/>
                <w:szCs w:val="20"/>
              </w:rPr>
              <w:t xml:space="preserve">A</w:t>
            </w:r>
          </w:p>
        </w:tc>
        <w:tc>
          <w:tcPr>
            <w:tcW w:type="dxa" w:w="7860"/>
            <w:tcMar>
              <w:top w:type="dxa" w:w="70"/>
              <w:left w:type="dxa" w:w="110"/>
              <w:bottom w:type="dxa" w:w="70"/>
              <w:right w:type="dxa" w:w="110"/>
            </w:tcMar>
            <w:vAlign w:val="top"/>
          </w:tcPr>
          <w:p>
            <w:pPr>
              <w:spacing w:after="0" w:line="276"/>
            </w:pPr>
            <w:r>
              <w:rPr>
                <w:color w:val="15181F"/>
                <w:sz w:val="18"/>
                <w:szCs w:val="18"/>
              </w:rPr>
              <w:t xml:space="preserve">Guideline supported by randomised trials or strong consistent comparative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B</w:t>
            </w:r>
          </w:p>
        </w:tc>
        <w:tc>
          <w:tcPr>
            <w:tcW w:type="dxa" w:w="7860"/>
            <w:tcMar>
              <w:top w:type="dxa" w:w="70"/>
              <w:left w:type="dxa" w:w="110"/>
              <w:bottom w:type="dxa" w:w="70"/>
              <w:right w:type="dxa" w:w="110"/>
            </w:tcMar>
            <w:vAlign w:val="top"/>
          </w:tcPr>
          <w:p>
            <w:pPr>
              <w:spacing w:after="0" w:line="276"/>
            </w:pPr>
            <w:r>
              <w:rPr>
                <w:color w:val="15181F"/>
                <w:sz w:val="18"/>
                <w:szCs w:val="18"/>
              </w:rPr>
              <w:t xml:space="preserve">One randomised trial, prospective comparative evidence, or strong prospective cohorts.</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C</w:t>
            </w:r>
          </w:p>
        </w:tc>
        <w:tc>
          <w:tcPr>
            <w:tcW w:type="dxa" w:w="7860"/>
            <w:tcMar>
              <w:top w:type="dxa" w:w="70"/>
              <w:left w:type="dxa" w:w="110"/>
              <w:bottom w:type="dxa" w:w="70"/>
              <w:right w:type="dxa" w:w="110"/>
            </w:tcMar>
            <w:vAlign w:val="top"/>
          </w:tcPr>
          <w:p>
            <w:pPr>
              <w:spacing w:after="0" w:line="276"/>
            </w:pPr>
            <w:r>
              <w:rPr>
                <w:color w:val="15181F"/>
                <w:sz w:val="18"/>
                <w:szCs w:val="18"/>
              </w:rPr>
              <w:t xml:space="preserve">Single-arm prospective, retrospective comparative, or inconsistent evidence.</w:t>
            </w:r>
          </w:p>
        </w:tc>
      </w:tr>
      <w:tr>
        <w:trPr>
          <w:cantSplit/>
        </w:trPr>
        <w:tc>
          <w:tcPr>
            <w:tcW w:type="dxa" w:w="1500"/>
            <w:tcMar>
              <w:top w:type="dxa" w:w="70"/>
              <w:left w:type="dxa" w:w="110"/>
              <w:bottom w:type="dxa" w:w="70"/>
              <w:right w:type="dxa" w:w="110"/>
            </w:tcMar>
            <w:vAlign w:val="top"/>
          </w:tcPr>
          <w:p>
            <w:r>
              <w:rPr>
                <w:b/>
                <w:bCs/>
                <w:color w:val="17365D"/>
                <w:sz w:val="20"/>
                <w:szCs w:val="20"/>
              </w:rPr>
              <w:t xml:space="preserve">D</w:t>
            </w:r>
          </w:p>
        </w:tc>
        <w:tc>
          <w:tcPr>
            <w:tcW w:type="dxa" w:w="7860"/>
            <w:tcMar>
              <w:top w:type="dxa" w:w="70"/>
              <w:left w:type="dxa" w:w="110"/>
              <w:bottom w:type="dxa" w:w="70"/>
              <w:right w:type="dxa" w:w="110"/>
            </w:tcMar>
            <w:vAlign w:val="top"/>
          </w:tcPr>
          <w:p>
            <w:pPr>
              <w:spacing w:after="0" w:line="276"/>
            </w:pPr>
            <w:r>
              <w:rPr>
                <w:color w:val="15181F"/>
                <w:sz w:val="18"/>
                <w:szCs w:val="18"/>
              </w:rPr>
              <w:t xml:space="preserve">Expert consensus or local operational requirement, no comparative outcome data.</w:t>
            </w:r>
          </w:p>
        </w:tc>
      </w:tr>
    </w:tbl>
    <w:p>
      <w:pPr>
        <w:spacing w:after="160" w:line="276"/>
      </w:pPr>
      <w:r>
        <w:rPr>
          <w:i/>
          <w:iCs/>
          <w:color w:val="5A6069"/>
          <w:sz w:val="18"/>
          <w:szCs w:val="18"/>
        </w:rPr>
        <w:t xml:space="preserve">A strong label does not imply a high grade. Several operating requirements are deliberately Standard at grade D because they are local policy choices rather than evidence claims.</w:t>
      </w:r>
    </w:p>
    <w:p>
      <w:pPr>
        <w:spacing w:after="60" w:before="160"/>
      </w:pPr>
      <w:r>
        <w:rPr>
          <w:b/>
          <w:bCs/>
          <w:color w:val="176A87"/>
          <w:spacing w:val="24"/>
          <w:sz w:val="15"/>
          <w:szCs w:val="15"/>
        </w:rPr>
        <w:t xml:space="preserve">DEPENDENCY FLAGS — WHAT IT RESTS ON LOCALLY</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1500"/>
        <w:gridCol w:w="7860"/>
      </w:tblGrid>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EXPERTISE</w:t>
            </w:r>
          </w:p>
        </w:tc>
        <w:tc>
          <w:tcPr>
            <w:tcW w:type="dxa" w:w="7860"/>
            <w:tcMar>
              <w:top w:type="dxa" w:w="70"/>
              <w:left w:type="dxa" w:w="110"/>
              <w:bottom w:type="dxa" w:w="70"/>
              <w:right w:type="dxa" w:w="110"/>
            </w:tcMar>
            <w:vAlign w:val="top"/>
          </w:tcPr>
          <w:p>
            <w:pPr>
              <w:spacing w:after="0" w:line="276"/>
            </w:pPr>
            <w:r>
              <w:rPr>
                <w:color w:val="15181F"/>
                <w:sz w:val="18"/>
                <w:szCs w:val="18"/>
              </w:rPr>
              <w:t xml:space="preserve">Demonstrated operator and team experience with this technique at this site.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REGISTRY</w:t>
            </w:r>
          </w:p>
        </w:tc>
        <w:tc>
          <w:tcPr>
            <w:tcW w:type="dxa" w:w="7860"/>
            <w:tcMar>
              <w:top w:type="dxa" w:w="70"/>
              <w:left w:type="dxa" w:w="110"/>
              <w:bottom w:type="dxa" w:w="70"/>
              <w:right w:type="dxa" w:w="110"/>
            </w:tcMar>
            <w:vAlign w:val="top"/>
          </w:tcPr>
          <w:p>
            <w:pPr>
              <w:spacing w:after="0" w:line="276"/>
            </w:pPr>
            <w:r>
              <w:rPr>
                <w:color w:val="15181F"/>
                <w:sz w:val="18"/>
                <w:szCs w:val="18"/>
              </w:rPr>
              <w:t xml:space="preserve">Mandatory prospective outcomes registry; effectiveness evidence is immature.</w:t>
            </w:r>
          </w:p>
        </w:tc>
      </w:tr>
      <w:tr>
        <w:trPr>
          <w:cantSplit/>
        </w:trPr>
        <w:tc>
          <w:tcPr>
            <w:tcW w:type="dxa" w:w="1500"/>
            <w:tcMar>
              <w:top w:type="dxa" w:w="70"/>
              <w:left w:type="dxa" w:w="110"/>
              <w:bottom w:type="dxa" w:w="70"/>
              <w:right w:type="dxa" w:w="110"/>
            </w:tcMar>
            <w:vAlign w:val="top"/>
          </w:tcPr>
          <w:p>
            <w:r>
              <w:rPr>
                <w:b/>
                <w:bCs/>
                <w:color w:val="8E5008"/>
                <w:spacing w:val="14"/>
                <w:sz w:val="16"/>
                <w:szCs w:val="16"/>
              </w:rPr>
              <w:t xml:space="preserve">PROTOCOL</w:t>
            </w:r>
          </w:p>
        </w:tc>
        <w:tc>
          <w:tcPr>
            <w:tcW w:type="dxa" w:w="7860"/>
            <w:tcMar>
              <w:top w:type="dxa" w:w="70"/>
              <w:left w:type="dxa" w:w="110"/>
              <w:bottom w:type="dxa" w:w="70"/>
              <w:right w:type="dxa" w:w="110"/>
            </w:tcMar>
            <w:vAlign w:val="top"/>
          </w:tcPr>
          <w:p>
            <w:pPr>
              <w:spacing w:after="0" w:line="276"/>
            </w:pPr>
            <w:r>
              <w:rPr>
                <w:color w:val="15181F"/>
                <w:sz w:val="18"/>
                <w:szCs w:val="18"/>
              </w:rPr>
              <w:t xml:space="preserve">Only inside a clinical trial or an approved institutional protocol.</w:t>
            </w:r>
          </w:p>
        </w:tc>
      </w:tr>
    </w:tbl>
    <w:p>
      <w:pPr>
        <w:pStyle w:val="Heading1"/>
        <w:keepNext/>
        <w:pageBreakBefore/>
        <w:spacing w:after="110" w:before="320"/>
      </w:pPr>
      <w:r>
        <w:rPr>
          <w:rFonts w:ascii="Cambria" w:cs="Cambria" w:eastAsia="Cambria" w:hAnsi="Cambria"/>
          <w:b/>
          <w:bCs/>
          <w:color w:val="17365D"/>
          <w:sz w:val="32"/>
          <w:szCs w:val="32"/>
        </w:rPr>
        <w:t xml:space="preserve">The gates</w:t>
      </w:r>
    </w:p>
    <w:p>
      <w:pPr>
        <w:spacing w:after="200" w:line="276"/>
      </w:pPr>
      <w:r>
        <w:rPr>
          <w:i/>
          <w:iCs/>
          <w:color w:val="5A6069"/>
          <w:sz w:val="20"/>
          <w:szCs w:val="20"/>
        </w:rPr>
        <w:t xml:space="preserve">In the order the roadmap asks them.</w:t>
      </w:r>
    </w:p>
    <w:p>
      <w:pPr>
        <w:pStyle w:val="Heading2"/>
        <w:keepNext/>
        <w:pageBreakBefore/>
        <w:spacing w:after="110" w:before="240"/>
      </w:pPr>
      <w:r>
        <w:rPr>
          <w:rFonts w:ascii="Cambria" w:cs="Cambria" w:eastAsia="Cambria" w:hAnsi="Cambria"/>
          <w:b/>
          <w:bCs/>
          <w:color w:val="17365D"/>
          <w:sz w:val="26"/>
          <w:szCs w:val="26"/>
        </w:rPr>
        <w:t xml:space="preserve">1 · Differentiation and grade</w:t>
      </w:r>
    </w:p>
    <w:p>
      <w:pPr>
        <w:spacing w:after="140"/>
      </w:pPr>
      <w:r>
        <w:rPr>
          <w:b/>
          <w:bCs/>
          <w:color w:val="176A87"/>
          <w:sz w:val="19"/>
          <w:szCs w:val="19"/>
        </w:rPr>
        <w:t xml:space="preserve">The question. </w:t>
      </w:r>
      <w:r>
        <w:rPr>
          <w:sz w:val="19"/>
          <w:szCs w:val="19"/>
        </w:rPr>
        <w:t xml:space="preserve">Is this a well-differentiated neuroendocrine tumour or a poorly differentiated carcinoma, and do I have the Ki-67 to prove it?</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Biopsy reporting differentiation, an exact Ki-67 index and a mitotic count</w:t>
      </w:r>
    </w:p>
    <w:p>
      <w:pPr>
        <w:pStyle w:val="ListParagraph"/>
        <w:numPr>
          <w:ilvl w:val="0"/>
          <w:numId w:val="2"/>
        </w:numPr>
        <w:spacing w:after="60" w:line="268"/>
      </w:pPr>
      <w:r>
        <w:rPr>
          <w:color w:val="15181F"/>
          <w:sz w:val="18"/>
          <w:szCs w:val="18"/>
        </w:rPr>
        <w:t xml:space="preserve">Somatostatin-receptor PET/CT for receptor status and whole-body staging</w:t>
      </w:r>
    </w:p>
    <w:p>
      <w:pPr>
        <w:pStyle w:val="ListParagraph"/>
        <w:numPr>
          <w:ilvl w:val="0"/>
          <w:numId w:val="2"/>
        </w:numPr>
        <w:spacing w:after="60" w:line="268"/>
      </w:pPr>
      <w:r>
        <w:rPr>
          <w:color w:val="15181F"/>
          <w:sz w:val="18"/>
          <w:szCs w:val="18"/>
        </w:rPr>
        <w:t xml:space="preserve">Functional syndrome recorded explicitly, confirmed with directed tests</w:t>
      </w:r>
    </w:p>
    <w:p>
      <w:pPr>
        <w:pStyle w:val="ListParagraph"/>
        <w:numPr>
          <w:ilvl w:val="0"/>
          <w:numId w:val="2"/>
        </w:numPr>
        <w:spacing w:after="60" w:line="268"/>
      </w:pPr>
      <w:r>
        <w:rPr>
          <w:color w:val="15181F"/>
          <w:sz w:val="18"/>
          <w:szCs w:val="18"/>
        </w:rPr>
        <w:t xml:space="preserve">Hepatic burden and distribution: unilobar versus bilobar, resectable versus diffuse-miliary</w:t>
      </w:r>
    </w:p>
    <w:p>
      <w:pPr>
        <w:pStyle w:val="ListParagraph"/>
        <w:numPr>
          <w:ilvl w:val="0"/>
          <w:numId w:val="2"/>
        </w:numPr>
        <w:spacing w:after="60" w:line="268"/>
      </w:pPr>
      <w:r>
        <w:rPr>
          <w:color w:val="15181F"/>
          <w:sz w:val="18"/>
          <w:szCs w:val="18"/>
        </w:rPr>
        <w:t xml:space="preserve">Primary site, whether it is resected, and the extrahepatic sites</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Get a biopsy with the Ki-67 index and the mitotic count, read by a pathologist experienced in neuroendocrine neoplasms, and have differentiation stated explicitly rather than inferred from grade.</w:t>
      </w:r>
    </w:p>
    <w:p>
      <w:pPr>
        <w:spacing w:after="50" w:line="276"/>
        <w:ind w:left="240"/>
      </w:pPr>
      <w:r>
        <w:rPr>
          <w:color w:val="15181F"/>
          <w:sz w:val="18"/>
          <w:szCs w:val="18"/>
        </w:rPr>
        <w:t xml:space="preserve">Every patient before a pathway is assigned, and again on any specimen sampled metachronously — a well-differentiated G3 tumour and a poorly differentiated carcinoma can share a Ki-67 range and need different pathways.</w:t>
      </w:r>
    </w:p>
    <w:p>
      <w:pPr>
        <w:spacing w:after="50"/>
        <w:ind w:left="240"/>
      </w:pPr>
      <w:r>
        <w:rPr>
          <w:b/>
          <w:bCs/>
          <w:color w:val="8C2F26"/>
          <w:sz w:val="18"/>
          <w:szCs w:val="18"/>
        </w:rPr>
        <w:t xml:space="preserve">Caveat. </w:t>
      </w:r>
      <w:r>
        <w:rPr>
          <w:color w:val="15181F"/>
          <w:sz w:val="18"/>
          <w:szCs w:val="18"/>
        </w:rPr>
        <w:t xml:space="preserve">Do not accept a report giving Ki-67 as a range, and do not let grade stand in for differentiation; if the report does not say which it is, ask the pathologist before the board meets.</w:t>
      </w:r>
    </w:p>
    <w:p>
      <w:pPr>
        <w:spacing w:after="50" w:line="276"/>
        <w:ind w:left="240"/>
      </w:pPr>
      <w:r>
        <w:rPr>
          <w:i/>
          <w:iCs/>
          <w:color w:val="5A6069"/>
          <w:sz w:val="17"/>
          <w:szCs w:val="17"/>
        </w:rPr>
        <w:t xml:space="preserve">Downgraded to C on the full-text read. The requirement is right but its evidence is consensus, not comparison: NANETS 2017 means a show of hands from a 15-member panel with no evidence grading and no systematic literature search, and consensus was recorded only that both differentiation and grade be reported, with a significant majority — 75% or more — that both mitotic rate and Ki-67 be measured and fine-needle aspiration accepted as adequate in most cases. The Ki-67 55% figure that ENETS 2023 calls the best discriminator between carcinoma and well-differentiated G3 is drawn from a single report, and the same paper concedes morphology can be ambiguous, particularly for large-cell carcinoma. A mixed neuroendocrine–non-neuroendocrine neoplasm is named as such, and its clinically dominant aggressive component sets the pathway.</w:t>
      </w:r>
    </w:p>
    <w:p>
      <w:pPr>
        <w:spacing w:after="60" w:line="276"/>
        <w:ind w:left="240"/>
      </w:pPr>
      <w:r>
        <w:rPr>
          <w:color w:val="5A6069"/>
          <w:sz w:val="16"/>
          <w:szCs w:val="16"/>
        </w:rPr>
        <w:t xml:space="preserve">Sources: NANETS 2017 medical; ENETS 2023 NEC</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Stage with somatostatin-receptor PET/CT, 68Ga-DOTATATE or equivalent, alongside cross-sectional CT or MRI.</w:t>
      </w:r>
    </w:p>
    <w:p>
      <w:pPr>
        <w:spacing w:after="50" w:line="276"/>
        <w:ind w:left="240"/>
      </w:pPr>
      <w:r>
        <w:rPr>
          <w:color w:val="15181F"/>
          <w:sz w:val="18"/>
          <w:szCs w:val="18"/>
        </w:rPr>
        <w:t xml:space="preserve">All patients at staging and at restaging: it is the gateway to both the analogue and the PRRT decisions, and the EANM consensus judged it necessary at staging of all NET as complementary to conventional imaging.</w:t>
      </w:r>
    </w:p>
    <w:p>
      <w:pPr>
        <w:spacing w:after="50"/>
        <w:ind w:left="240"/>
      </w:pPr>
      <w:r>
        <w:rPr>
          <w:b/>
          <w:bCs/>
          <w:color w:val="8C2F26"/>
          <w:sz w:val="18"/>
          <w:szCs w:val="18"/>
        </w:rPr>
        <w:t xml:space="preserve">Caveat. </w:t>
      </w:r>
      <w:r>
        <w:rPr>
          <w:color w:val="15181F"/>
          <w:sz w:val="18"/>
          <w:szCs w:val="18"/>
        </w:rPr>
        <w:t xml:space="preserve">Do not use receptor uptake as a substitute for anatomic burden assessment or as a universal response measure, and do not order octreotide SPECT/CT unless SSTR-PET is unavailable.</w:t>
      </w:r>
    </w:p>
    <w:p>
      <w:pPr>
        <w:spacing w:after="50" w:line="276"/>
        <w:ind w:left="240"/>
      </w:pPr>
      <w:r>
        <w:rPr>
          <w:i/>
          <w:iCs/>
          <w:color w:val="5A6069"/>
          <w:sz w:val="17"/>
          <w:szCs w:val="17"/>
        </w:rPr>
        <w:t xml:space="preserve">Graded B on diagnostic accuracy rather than on outcome: NANETS 2017 reports 68Ga-DOTATATE PET/CT sensitivity of 95% against 31% for octreotide SPECT, which is why the substitution is made. The EANM position itself is a modified three-round Delphi vote — necessary at staging of all NET in 19 of 23 panellists (82.6%), CT or MRI also necessary in 20 of 23 (87.0%) — with consensus set at 70% agreement for a single answer and only 50% preference in multiple-choice format, and consensus failed on 12 of 43 questions. The panel was drawn from high-volume centres with full access to Ga-68 tracer and PRRT, so availability is assumed rather than tested. Where SSTR-PET has not been done, the board records its absence explicitly rather than proceeding as if it had.</w:t>
      </w:r>
    </w:p>
    <w:p>
      <w:pPr>
        <w:spacing w:after="60" w:line="276"/>
        <w:ind w:left="240"/>
      </w:pPr>
      <w:r>
        <w:rPr>
          <w:color w:val="5A6069"/>
          <w:sz w:val="16"/>
          <w:szCs w:val="16"/>
        </w:rPr>
        <w:t xml:space="preserve">Sources: EANM Focus 3; ASCO 2023 systemic</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Record carcinoid syndrome, insulinoma, gastrinoma or any other functional syndrome explicitly, confirmed with tests directed at the suspected syndrome rather than a panel of every available marker.</w:t>
      </w:r>
    </w:p>
    <w:p>
      <w:pPr>
        <w:spacing w:after="50" w:line="276"/>
        <w:ind w:left="240"/>
      </w:pPr>
      <w:r>
        <w:rPr>
          <w:color w:val="15181F"/>
          <w:sz w:val="18"/>
          <w:szCs w:val="18"/>
        </w:rPr>
        <w:t xml:space="preserve">Before any hepatic procedure — this changes procedural safety planning, not only symptom management, and high hepatic burden with a midgut primary is the dominant carcinoid-crisis risk combination.</w:t>
      </w:r>
    </w:p>
    <w:p>
      <w:pPr>
        <w:spacing w:after="50"/>
        <w:ind w:left="240"/>
      </w:pPr>
      <w:r>
        <w:rPr>
          <w:b/>
          <w:bCs/>
          <w:color w:val="8C2F26"/>
          <w:sz w:val="18"/>
          <w:szCs w:val="18"/>
        </w:rPr>
        <w:t xml:space="preserve">Caveat. </w:t>
      </w:r>
      <w:r>
        <w:rPr>
          <w:color w:val="15181F"/>
          <w:sz w:val="18"/>
          <w:szCs w:val="18"/>
        </w:rPr>
        <w:t xml:space="preserve">Do not treat a normal marker panel as excluding a functional syndrome, and do not leave the syndrome undocumented because symptoms are currently controlled on an analogue.</w:t>
      </w:r>
    </w:p>
    <w:p>
      <w:pPr>
        <w:spacing w:after="50" w:line="276"/>
        <w:ind w:left="240"/>
      </w:pPr>
      <w:r>
        <w:rPr>
          <w:i/>
          <w:iCs/>
          <w:color w:val="5A6069"/>
          <w:sz w:val="17"/>
          <w:szCs w:val="17"/>
        </w:rPr>
        <w:t xml:space="preserve">Grade D: a named local requirement with no comparative outcome evidence behind the thresholds themselves.</w:t>
      </w:r>
    </w:p>
    <w:p>
      <w:pPr>
        <w:spacing w:after="60" w:line="276"/>
        <w:ind w:left="240"/>
      </w:pPr>
      <w:r>
        <w:rPr>
          <w:color w:val="5A6069"/>
          <w:sz w:val="16"/>
          <w:szCs w:val="16"/>
        </w:rPr>
        <w:t xml:space="preserve">Sources: Carcinoid crisis in PRRT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State the hepatic tumour burden, unilobar versus bilobar, resectable versus diffuse-miliary pattern, the primary site and whether it is resected, the extrahepatic sites, and which problem is driving the clinical picture.</w:t>
      </w:r>
    </w:p>
    <w:p>
      <w:pPr>
        <w:spacing w:after="50" w:line="276"/>
        <w:ind w:left="240"/>
      </w:pPr>
      <w:r>
        <w:rPr>
          <w:color w:val="15181F"/>
          <w:sz w:val="18"/>
          <w:szCs w:val="18"/>
        </w:rPr>
        <w:t xml:space="preserve">Every case at submission: burden and distribution decide whether cytoreduction, embolotherapy or transplantation is even on the table.</w:t>
      </w:r>
    </w:p>
    <w:p>
      <w:pPr>
        <w:spacing w:after="50"/>
        <w:ind w:left="240"/>
      </w:pPr>
      <w:r>
        <w:rPr>
          <w:b/>
          <w:bCs/>
          <w:color w:val="8C2F26"/>
          <w:sz w:val="18"/>
          <w:szCs w:val="18"/>
        </w:rPr>
        <w:t xml:space="preserve">Caveat. </w:t>
      </w:r>
      <w:r>
        <w:rPr>
          <w:color w:val="15181F"/>
          <w:sz w:val="18"/>
          <w:szCs w:val="18"/>
        </w:rPr>
        <w:t xml:space="preserve">Do not open a treatment discussion where the dominant problem has not been named — hormonal symptoms and tumour progression need different answers and conflating them produces treatment without an endpoint.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Obtain FDG PET where the grade is high, where behaviour is discordant with grade, where SSTR uptake is heterogeneous, or where a CT or MRI lesion shows no SSTR uptake.</w:t>
      </w:r>
    </w:p>
    <w:p>
      <w:pPr>
        <w:spacing w:after="50" w:line="276"/>
        <w:ind w:left="240"/>
      </w:pPr>
      <w:r>
        <w:rPr>
          <w:color w:val="15181F"/>
          <w:sz w:val="18"/>
          <w:szCs w:val="18"/>
        </w:rPr>
        <w:t xml:space="preserve">Before committing to receptor-directed therapy in G2–G3 disease or rapid progression, to find receptor-negative, FDG-avid disease that PRRT will not treat.</w:t>
      </w:r>
    </w:p>
    <w:p>
      <w:pPr>
        <w:spacing w:after="50"/>
        <w:ind w:left="240"/>
      </w:pPr>
      <w:r>
        <w:rPr>
          <w:b/>
          <w:bCs/>
          <w:color w:val="8C2F26"/>
          <w:sz w:val="18"/>
          <w:szCs w:val="18"/>
        </w:rPr>
        <w:t xml:space="preserve">Caveat. </w:t>
      </w:r>
      <w:r>
        <w:rPr>
          <w:color w:val="15181F"/>
          <w:sz w:val="18"/>
          <w:szCs w:val="18"/>
        </w:rPr>
        <w:t xml:space="preserve">Not for routine staging of well-differentiated disease, where NANETS found no value in it.</w:t>
      </w:r>
    </w:p>
    <w:p>
      <w:pPr>
        <w:spacing w:after="50" w:line="276"/>
        <w:ind w:left="240"/>
      </w:pPr>
      <w:r>
        <w:rPr>
          <w:i/>
          <w:iCs/>
          <w:color w:val="5A6069"/>
          <w:sz w:val="17"/>
          <w:szCs w:val="17"/>
        </w:rPr>
        <w:t xml:space="preserve">The roadmap keeps FDG selective on the Itanet triggers rather than requiring it for every G2–G3 PRRT candidate as EANM Focus 3 does. EANM endorsed FDG before PRRT in G2–G3 to exclude mismatched FDG-positive, SSTR-negative lesions in 19 of 23 panellists (82.6%) by modified Delphi, and Itanet grades the FDG trigger 3b-A. What neither establishes is that acting on the mismatch changes outcome: EANM's extension of PRRT into G3 rests on two small retrospective series confined to Ki-67 under 55%, and EANM reached no consensus at all on PRRT with mismatched lesions.</w:t>
      </w:r>
    </w:p>
    <w:p>
      <w:pPr>
        <w:spacing w:after="60" w:line="276"/>
        <w:ind w:left="240"/>
      </w:pPr>
      <w:r>
        <w:rPr>
          <w:color w:val="5A6069"/>
          <w:sz w:val="16"/>
          <w:szCs w:val="16"/>
        </w:rPr>
        <w:t xml:space="preserve">Sources: EANM Focus 3; Itanet 2024 RLT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Consider re-biopsy on unexpected behavioural change or discordant FDG avidity.</w:t>
      </w:r>
    </w:p>
    <w:p>
      <w:pPr>
        <w:spacing w:after="50" w:line="276"/>
        <w:ind w:left="240"/>
      </w:pPr>
      <w:r>
        <w:rPr>
          <w:color w:val="15181F"/>
          <w:sz w:val="18"/>
          <w:szCs w:val="18"/>
        </w:rPr>
        <w:t xml:space="preserve">Where the original grading is years old or the disease has clearly changed pace: grade progression and transformation both occur and change the pathway.</w:t>
      </w:r>
    </w:p>
    <w:p>
      <w:pPr>
        <w:spacing w:after="50"/>
        <w:ind w:left="240"/>
      </w:pPr>
      <w:r>
        <w:rPr>
          <w:b/>
          <w:bCs/>
          <w:color w:val="8C2F26"/>
          <w:sz w:val="18"/>
          <w:szCs w:val="18"/>
        </w:rPr>
        <w:t xml:space="preserve">Caveat. </w:t>
      </w:r>
      <w:r>
        <w:rPr>
          <w:color w:val="15181F"/>
          <w:sz w:val="18"/>
          <w:szCs w:val="18"/>
        </w:rPr>
        <w:t xml:space="preserve">Not as a scheduled ritual — no study defines the trigger or the interval, which is why this sits at C and remains an open local decision.</w:t>
      </w:r>
    </w:p>
    <w:p>
      <w:pPr>
        <w:spacing w:after="50" w:line="276"/>
        <w:ind w:left="240"/>
      </w:pPr>
      <w:r>
        <w:rPr>
          <w:i/>
          <w:iCs/>
          <w:color w:val="5A6069"/>
          <w:sz w:val="17"/>
          <w:szCs w:val="17"/>
        </w:rPr>
        <w:t xml:space="preserve">Itanet attaches 3a-A to re-evaluation before radioligand therapy when behaviour changes, which is stronger than the roadmap's 'consider'; whether it becomes a required step before PRRT is a ratification item.</w:t>
      </w:r>
    </w:p>
    <w:p>
      <w:pPr>
        <w:spacing w:after="60" w:line="276"/>
        <w:ind w:left="240"/>
      </w:pPr>
      <w:r>
        <w:rPr>
          <w:color w:val="5A6069"/>
          <w:sz w:val="16"/>
          <w:szCs w:val="16"/>
        </w:rPr>
        <w:t xml:space="preserve">Sources: Itanet 2024 RLT</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assign a pathway on grade alone.</w:t>
      </w:r>
    </w:p>
    <w:p>
      <w:pPr>
        <w:spacing w:after="50" w:line="276"/>
        <w:ind w:left="240"/>
      </w:pPr>
      <w:r>
        <w:rPr>
          <w:color w:val="15181F"/>
          <w:sz w:val="18"/>
          <w:szCs w:val="18"/>
        </w:rPr>
        <w:t xml:space="preserve">The differentiation fork drives every later decision, so the tissue standard is deliberately set high.</w:t>
      </w:r>
    </w:p>
    <w:p>
      <w:pPr>
        <w:spacing w:after="50"/>
        <w:ind w:left="240"/>
      </w:pPr>
      <w:r>
        <w:rPr>
          <w:b/>
          <w:bCs/>
          <w:color w:val="8C2F26"/>
          <w:sz w:val="18"/>
          <w:szCs w:val="18"/>
        </w:rPr>
        <w:t xml:space="preserve">Caveat. </w:t>
      </w:r>
      <w:r>
        <w:rPr>
          <w:color w:val="15181F"/>
          <w:sz w:val="18"/>
          <w:szCs w:val="18"/>
        </w:rPr>
        <w:t xml:space="preserve">If differentiation cannot be established on the available material, get more material rather than guessing from Ki-67.</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manage a poorly differentiated carcinoma on the indolent-disease pathway.</w:t>
      </w:r>
    </w:p>
    <w:p>
      <w:pPr>
        <w:spacing w:after="50" w:line="276"/>
        <w:ind w:left="240"/>
      </w:pPr>
      <w:r>
        <w:rPr>
          <w:color w:val="15181F"/>
          <w:sz w:val="18"/>
          <w:szCs w:val="18"/>
        </w:rPr>
        <w:t xml:space="preserve">Carcinoma is managed as an aggressive carcinoma. In the SEER figures ENETS 2023 reproduces, median survival is 33.9 months for stage I–II, 16.3 months for stage III and 5.2 months for distant disease, with 5-year survival 42%, 25.6% and 4.7%; metastatic patients survive a median 11 to 12 months on palliative platinum–etoposide and about 1 month without it. Performance status then dominates: median survival 18 months at PS 0, 12 at PS 1 and 5 at PS 2.</w:t>
      </w:r>
    </w:p>
    <w:p>
      <w:pPr>
        <w:spacing w:after="50"/>
        <w:ind w:left="240"/>
      </w:pPr>
      <w:r>
        <w:rPr>
          <w:b/>
          <w:bCs/>
          <w:color w:val="8C2F26"/>
          <w:sz w:val="18"/>
          <w:szCs w:val="18"/>
        </w:rPr>
        <w:t xml:space="preserve">Caveat. </w:t>
      </w:r>
      <w:r>
        <w:rPr>
          <w:color w:val="15181F"/>
          <w:sz w:val="18"/>
          <w:szCs w:val="18"/>
        </w:rPr>
        <w:t xml:space="preserve">Somatostatin analogue for antiproliferative intent, PRRT, hepatic debulking for cytoreduction and transplantation are all inappropriate here. Managing a carcinoma on the indolent pathway costs months of ineffective therapy in a disease measured in months. Note what the recommendation is made of: ENETS grades both the advice against metastasectomy and the advice against PRRT in metastatic digestive NEC 5D, its weakest grade, resting on no comparative data, and well-differentiated G3 NET is outside that paper's scope by design — so the guidance is strongest exactly where the diagnosis is unambiguous and silent where it is not.</w:t>
      </w:r>
    </w:p>
    <w:p>
      <w:pPr>
        <w:spacing w:after="60" w:line="276"/>
        <w:ind w:left="240"/>
      </w:pPr>
      <w:r>
        <w:rPr>
          <w:color w:val="5A6069"/>
          <w:sz w:val="16"/>
          <w:szCs w:val="16"/>
        </w:rPr>
        <w:t xml:space="preserve">Sources: ENETS 2023 NEC</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2 · G1–G2, low burden: treat or observe</w:t>
      </w:r>
    </w:p>
    <w:p>
      <w:pPr>
        <w:spacing w:after="140"/>
      </w:pPr>
      <w:r>
        <w:rPr>
          <w:b/>
          <w:bCs/>
          <w:color w:val="176A87"/>
          <w:sz w:val="19"/>
          <w:szCs w:val="19"/>
        </w:rPr>
        <w:t xml:space="preserve">The question. </w:t>
      </w:r>
      <w:r>
        <w:rPr>
          <w:sz w:val="19"/>
          <w:szCs w:val="19"/>
        </w:rPr>
        <w:t xml:space="preserve">This patient has three small liver lesions and no symptoms — do I start an analogue, operate, or scan again in three months?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NET, grade 1 or grade 2</w:t>
      </w:r>
    </w:p>
    <w:p>
      <w:pPr>
        <w:pStyle w:val="ListParagraph"/>
        <w:numPr>
          <w:ilvl w:val="0"/>
          <w:numId w:val="2"/>
        </w:numPr>
        <w:spacing w:after="60" w:line="268"/>
      </w:pPr>
      <w:r>
        <w:rPr>
          <w:color w:val="15181F"/>
          <w:sz w:val="18"/>
          <w:szCs w:val="18"/>
        </w:rPr>
        <w:t xml:space="preserve">Low hepatic tumour burden, resectable or ablatable</w:t>
      </w:r>
    </w:p>
    <w:p>
      <w:pPr>
        <w:pStyle w:val="ListParagraph"/>
        <w:numPr>
          <w:ilvl w:val="0"/>
          <w:numId w:val="2"/>
        </w:numPr>
        <w:spacing w:after="60" w:line="268"/>
      </w:pPr>
      <w:r>
        <w:rPr>
          <w:color w:val="15181F"/>
          <w:sz w:val="18"/>
          <w:szCs w:val="18"/>
        </w:rPr>
        <w:t xml:space="preserve">Radiologically stable or slowly progressive</w:t>
      </w:r>
    </w:p>
    <w:p>
      <w:pPr>
        <w:pStyle w:val="ListParagraph"/>
        <w:numPr>
          <w:ilvl w:val="0"/>
          <w:numId w:val="2"/>
        </w:numPr>
        <w:spacing w:after="60" w:line="268"/>
      </w:pPr>
      <w:r>
        <w:rPr>
          <w:color w:val="15181F"/>
          <w:sz w:val="18"/>
          <w:szCs w:val="18"/>
        </w:rPr>
        <w:t xml:space="preserve">Asymptomatic, or symptoms attributable to a hormonal syndrome rather than to bulk</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A</w:t>
      </w:r>
    </w:p>
    <w:p>
      <w:pPr>
        <w:spacing w:after="60" w:line="276"/>
      </w:pPr>
      <w:r>
        <w:rPr>
          <w:color w:val="15181F"/>
          <w:sz w:val="19"/>
          <w:szCs w:val="19"/>
        </w:rPr>
        <w:t xml:space="preserve">Start a somatostatin analogue for antiproliferative effect and symptom control.</w:t>
      </w:r>
    </w:p>
    <w:p>
      <w:pPr>
        <w:spacing w:after="50" w:line="276"/>
        <w:ind w:left="240"/>
      </w:pPr>
      <w:r>
        <w:rPr>
          <w:color w:val="15181F"/>
          <w:sz w:val="18"/>
          <w:szCs w:val="18"/>
        </w:rPr>
        <w:t xml:space="preserve">Receptor-positive or functional phenotypes, and anyone in whom progression would be hard to salvage. PROMID (n=85, treatment-naive midgut) gave time to progression 14.3 versus 6.0 months, hazard ratio 0.34 (95% CI 0.20–0.59); CLARINET (n=204, non-functioning enteropancreatic, Ki-67 under 10%) gave a progression-free survival hazard ratio of 0.47 (0.30–0.73) with 24-month progression-free survival 65.1% versus 33.0%.</w:t>
      </w:r>
    </w:p>
    <w:p>
      <w:pPr>
        <w:spacing w:after="50"/>
        <w:ind w:left="240"/>
      </w:pPr>
      <w:r>
        <w:rPr>
          <w:b/>
          <w:bCs/>
          <w:color w:val="8C2F26"/>
          <w:sz w:val="18"/>
          <w:szCs w:val="18"/>
        </w:rPr>
        <w:t xml:space="preserve">Caveat. </w:t>
      </w:r>
      <w:r>
        <w:rPr>
          <w:color w:val="15181F"/>
          <w:sz w:val="18"/>
          <w:szCs w:val="18"/>
        </w:rPr>
        <w:t xml:space="preserve">Do not make it mandatory for every patient. Grade A applies to the antiproliferative indication in unresectable disease: PROMID and CLARINET enrolled only patients with no curative option, unresectable disease or declined surgery. In resectable or ablatable disease, analogue versus resection or ablation is an MDT decision.</w:t>
      </w:r>
    </w:p>
    <w:p>
      <w:pPr>
        <w:spacing w:after="50" w:line="276"/>
        <w:ind w:left="240"/>
      </w:pPr>
      <w:r>
        <w:rPr>
          <w:i/>
          <w:iCs/>
          <w:color w:val="5A6069"/>
          <w:sz w:val="17"/>
          <w:szCs w:val="17"/>
        </w:rPr>
        <w:t xml:space="preserve">Neither trial established an overall-survival benefit — CLARINET found no significant difference in overall survival or quality of life, and PROMID is an interim analysis at 67 progressions and 16 deaths of a trial that enrolled 85 of a planned 162 patients and was then closed for slow accrual, so its confirmatory survival analysis at 121 deaths was never performed. The effect is stabilisation, not shrinkage: one partial remission per arm in PROMID, and objective remissions with an analogue are rare. For a liver pathway the decisive limitation is that PROMID's effect was concentrated where there was least liver to treat — hazard ratio 0.17 (0.08–0.40) at 0 to 10% hepatic involvement, 0.40 (0.10–1.67) at 10 to 50% and 0.71 (0.11–4.45) above 50%, with 95% of patients having Ki-67 of 2% or less and 61% having 10% or less liver involvement. CLARINET held across hepatic volume, hazard ratio 0.45 (0.22–0.91) above 25%, but that dichotomy is a post hoc simplification of a prespecified five-category variable whose component hazard ratios ran 0.24 to 0.54. For carcinoid-syndrome control the source is ENETS 2024, not these trials.</w:t>
      </w:r>
    </w:p>
    <w:p>
      <w:pPr>
        <w:spacing w:after="60" w:line="276"/>
        <w:ind w:left="240"/>
      </w:pPr>
      <w:r>
        <w:rPr>
          <w:color w:val="5A6069"/>
          <w:sz w:val="16"/>
          <w:szCs w:val="16"/>
        </w:rPr>
        <w:t xml:space="preserve">Sources: PROMID; CLARINET; ENETS 2024 small intestine</w:t>
      </w:r>
    </w:p>
    <w:p>
      <w:pPr>
        <w:spacing w:after="60" w:before="180"/>
      </w:pPr>
      <w:r>
        <w:rPr>
          <w:b/>
          <w:bCs/>
          <w:color w:val="176A87"/>
          <w:spacing w:val="16"/>
          <w:sz w:val="16"/>
          <w:szCs w:val="16"/>
        </w:rPr>
        <w:t xml:space="preserve">REASONABLE</w:t>
      </w:r>
      <w:r>
        <w:rPr>
          <w:color w:val="5A6069"/>
          <w:sz w:val="16"/>
          <w:szCs w:val="16"/>
        </w:rPr>
        <w:t xml:space="preserve">   grade B</w:t>
      </w:r>
    </w:p>
    <w:p>
      <w:pPr>
        <w:spacing w:after="100" w:line="276"/>
      </w:pPr>
      <w:r>
        <w:rPr>
          <w:i/>
          <w:iCs/>
          <w:color w:val="5A6069"/>
          <w:sz w:val="17"/>
          <w:szCs w:val="17"/>
        </w:rPr>
        <w:t xml:space="preserve">Observation is listed first because the guidelines treat it as an equally acceptable course in this phenotype, not because it outperforms anything; cytoreduction is second because its evidence is single-arm. Neither order reflects a survival advantage — no randomised comparison of debulking against systemic therapy alone exists.</w:t>
      </w:r>
    </w:p>
    <w:p>
      <w:pPr>
        <w:spacing w:after="50" w:before="120"/>
        <w:ind w:left="240"/>
      </w:pPr>
      <w:r>
        <w:rPr>
          <w:b/>
          <w:bCs/>
          <w:color w:val="15181F"/>
          <w:sz w:val="19"/>
          <w:szCs w:val="19"/>
        </w:rPr>
        <w:t xml:space="preserve">Observation with scheduled imaging</w:t>
      </w:r>
      <w:r>
        <w:rPr>
          <w:color w:val="5A6069"/>
          <w:sz w:val="15"/>
          <w:szCs w:val="15"/>
        </w:rPr>
        <w:t xml:space="preserve">   grade B</w:t>
      </w:r>
    </w:p>
    <w:p>
      <w:pPr>
        <w:spacing w:after="50" w:line="276"/>
        <w:ind w:left="240"/>
      </w:pPr>
      <w:r>
        <w:rPr>
          <w:color w:val="15181F"/>
          <w:sz w:val="18"/>
          <w:szCs w:val="18"/>
        </w:rPr>
        <w:t xml:space="preserve">NCCN says observation with serial imaging is an option if the patient has a low tumour burden; ENETS 2024 supports watch and wait only for selected G1, asymptomatic, low-burden and/or stable small-intestine NET at B-2b, ESMO restricts it to Ki-67 under 2% with low burden and stable disease [IV, A], and ASCO puts the evidence strongest at Ki-67 under 10% with imaging every 3 to 6 months. The three thresholds do not agree with one another and none was derived.</w:t>
      </w:r>
    </w:p>
    <w:p>
      <w:pPr>
        <w:spacing w:after="50" w:line="276"/>
        <w:ind w:left="240"/>
      </w:pPr>
      <w:r>
        <w:rPr>
          <w:color w:val="15181F"/>
          <w:sz w:val="18"/>
          <w:szCs w:val="18"/>
        </w:rPr>
        <w:t xml:space="preserve">Asymptomatic, low-volume, radiologically stable disease: cross-sectional imaging every 3 to 4 months at first and about every 6 months once stability is shown, with treatment started on progression or symptoms. The CLARINET placebo arm itself ran a median 18.0 months without progression.</w:t>
      </w:r>
    </w:p>
    <w:p>
      <w:pPr>
        <w:spacing w:after="50"/>
        <w:ind w:left="240"/>
      </w:pPr>
      <w:r>
        <w:rPr>
          <w:b/>
          <w:bCs/>
          <w:color w:val="8C2F26"/>
          <w:sz w:val="18"/>
          <w:szCs w:val="18"/>
        </w:rPr>
        <w:t xml:space="preserve">Caveat. </w:t>
      </w:r>
      <w:r>
        <w:rPr>
          <w:color w:val="15181F"/>
          <w:sz w:val="18"/>
          <w:szCs w:val="18"/>
        </w:rPr>
        <w:t xml:space="preserve">Not where the syndrome is active, where receptor-positive bulk is accumulating, or where the patient will not reliably return for imaging. The 3–4-month interval is a local choice within the NCCN range of every 12 weeks to 12 months.</w:t>
      </w:r>
    </w:p>
    <w:p>
      <w:pPr>
        <w:spacing w:after="60" w:line="276"/>
        <w:ind w:left="240"/>
      </w:pPr>
      <w:r>
        <w:rPr>
          <w:color w:val="5A6069"/>
          <w:sz w:val="16"/>
          <w:szCs w:val="16"/>
        </w:rPr>
        <w:t xml:space="preserve">Sources: NANETS 2017 medical; ASCO 2023 systemic; ENETS 2024 small intestine</w:t>
      </w:r>
    </w:p>
    <w:p>
      <w:pPr>
        <w:spacing w:after="50" w:before="120"/>
        <w:ind w:left="240"/>
      </w:pPr>
      <w:r>
        <w:rPr>
          <w:b/>
          <w:bCs/>
          <w:color w:val="15181F"/>
          <w:sz w:val="19"/>
          <w:szCs w:val="19"/>
        </w:rPr>
        <w:t xml:space="preserve">Hepatic cytoreduction — resection, ablation, or both</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Reasonable consideration, grade C: aim for maximal debulking with parenchymal-sparing resection and resect the primary where appropriate. The supporting series are single-arm with strong selection.</w:t>
      </w:r>
    </w:p>
    <w:p>
      <w:pPr>
        <w:spacing w:after="50" w:line="276"/>
        <w:ind w:left="240"/>
      </w:pPr>
      <w:r>
        <w:rPr>
          <w:color w:val="15181F"/>
          <w:sz w:val="18"/>
          <w:szCs w:val="18"/>
        </w:rPr>
        <w:t xml:space="preserve">Burden that can largely be cleared in a patient fit for a long operation, where the target and the expected residual can be named before the incision — see gate 5 for the thresholds and what supports them.</w:t>
      </w:r>
    </w:p>
    <w:p>
      <w:pPr>
        <w:spacing w:after="50"/>
        <w:ind w:left="240"/>
      </w:pPr>
      <w:r>
        <w:rPr>
          <w:b/>
          <w:bCs/>
          <w:color w:val="8C2F26"/>
          <w:sz w:val="18"/>
          <w:szCs w:val="18"/>
        </w:rPr>
        <w:t xml:space="preserve">Caveat. </w:t>
      </w:r>
      <w:r>
        <w:rPr>
          <w:color w:val="15181F"/>
          <w:sz w:val="18"/>
          <w:szCs w:val="18"/>
        </w:rPr>
        <w:t xml:space="preserve">Poorly differentiated carcinoma, diffuse miliary disease, uncontrolled extrahepatic progression, significant untreated carcinoid heart disease. Do not offer it as an alternative to an analogue on the strength of the debulking survival figures.</w:t>
      </w:r>
    </w:p>
    <w:p>
      <w:pPr>
        <w:spacing w:after="60" w:line="276"/>
        <w:ind w:left="240"/>
      </w:pPr>
      <w:r>
        <w:rPr>
          <w:color w:val="5A6069"/>
          <w:sz w:val="16"/>
          <w:szCs w:val="16"/>
        </w:rPr>
        <w:t xml:space="preserve">Sources: Graff-Baker debulking; NANETS 2017 surgical</w:t>
      </w:r>
    </w:p>
    <w:p>
      <w:pPr>
        <w:spacing w:after="60" w:line="276"/>
        <w:ind w:left="240"/>
      </w:pPr>
      <w:r>
        <w:rPr>
          <w:i/>
          <w:iCs/>
          <w:color w:val="5A6069"/>
          <w:sz w:val="16"/>
          <w:szCs w:val="16"/>
        </w:rPr>
        <w:t xml:space="preserve">Whether observation with 3–4-monthly imaging is an acceptable documented alternative to an immediate analogue, and whether grade B is the right label for it, is alignment area 3 and remains a ratification item.</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read debulking series survival figures as a treatment effect.</w:t>
      </w:r>
    </w:p>
    <w:p>
      <w:pPr>
        <w:spacing w:after="50" w:line="276"/>
        <w:ind w:left="240"/>
      </w:pPr>
      <w:r>
        <w:rPr>
          <w:color w:val="15181F"/>
          <w:sz w:val="18"/>
          <w:szCs w:val="18"/>
        </w:rPr>
        <w:t xml:space="preserve">Present them to patients as the outcomes of selected patients: single-arm, heavily selected, with no randomised comparison against systemic therapy alone.</w:t>
      </w:r>
    </w:p>
    <w:p>
      <w:pPr>
        <w:spacing w:after="50"/>
        <w:ind w:left="240"/>
      </w:pPr>
      <w:r>
        <w:rPr>
          <w:b/>
          <w:bCs/>
          <w:color w:val="8C2F26"/>
          <w:sz w:val="18"/>
          <w:szCs w:val="18"/>
        </w:rPr>
        <w:t xml:space="preserve">Caveat. </w:t>
      </w:r>
      <w:r>
        <w:rPr>
          <w:color w:val="15181F"/>
          <w:sz w:val="18"/>
          <w:szCs w:val="18"/>
        </w:rPr>
        <w:t xml:space="preserve">Quoting 90% 5-year disease-specific survival as what an operation delivers.</w:t>
      </w:r>
    </w:p>
    <w:p>
      <w:pPr>
        <w:spacing w:after="60" w:line="276"/>
        <w:ind w:left="240"/>
      </w:pPr>
      <w:r>
        <w:rPr>
          <w:color w:val="5A6069"/>
          <w:sz w:val="16"/>
          <w:szCs w:val="16"/>
        </w:rPr>
        <w:t xml:space="preserve">Sources: Graff-Baker debulking</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offer Y90 radioembolisation without a phenotype-specific rationale.</w:t>
      </w:r>
    </w:p>
    <w:p>
      <w:pPr>
        <w:spacing w:after="50" w:line="276"/>
        <w:ind w:left="240"/>
      </w:pPr>
      <w:r>
        <w:rPr>
          <w:color w:val="15181F"/>
          <w:sz w:val="18"/>
          <w:szCs w:val="18"/>
        </w:rPr>
        <w:t xml:space="preserve">Selected early use may be appropriate where the rationale is stated — lobar or segmental liver-dominant distribution, or prior Whipple or biliary instrumentation.</w:t>
      </w:r>
    </w:p>
    <w:p>
      <w:pPr>
        <w:spacing w:after="50"/>
        <w:ind w:left="240"/>
      </w:pPr>
      <w:r>
        <w:rPr>
          <w:b/>
          <w:bCs/>
          <w:color w:val="8C2F26"/>
          <w:sz w:val="18"/>
          <w:szCs w:val="18"/>
        </w:rPr>
        <w:t xml:space="preserve">Caveat. </w:t>
      </w:r>
      <w:r>
        <w:rPr>
          <w:color w:val="15181F"/>
          <w:sz w:val="18"/>
          <w:szCs w:val="18"/>
        </w:rPr>
        <w:t xml:space="preserve">Low-burden disease in a patient with years of treatment horizon ahead: radiation-induced liver injury accrues over exactly the time the patient has. Imaging signs of cirrhosis-like morphology or portal hypertension appeared in 15 of 52 patients (29%) followed beyond a year, more often after bilobar treatment, though no single imaging finding reached significance and the series was not powered for it. Read the denominator: of 93 patients treated, 41 had under a year of follow-up, so the long-term toxicity estimate is survivor-biased, and no radioembolisation-induced liver failure occurred in that series or in the 148-patient multicentre series.</w:t>
      </w:r>
    </w:p>
    <w:p>
      <w:pPr>
        <w:spacing w:after="60" w:line="276"/>
        <w:ind w:left="240"/>
      </w:pPr>
      <w:r>
        <w:rPr>
          <w:color w:val="5A6069"/>
          <w:sz w:val="16"/>
          <w:szCs w:val="16"/>
        </w:rPr>
        <w:t xml:space="preserve">Sources: Y-90 late toxicity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3 · G1–G2, high burden or progressing</w:t>
      </w:r>
    </w:p>
    <w:p>
      <w:pPr>
        <w:spacing w:after="140"/>
      </w:pPr>
      <w:r>
        <w:rPr>
          <w:b/>
          <w:bCs/>
          <w:color w:val="176A87"/>
          <w:sz w:val="19"/>
          <w:szCs w:val="19"/>
        </w:rPr>
        <w:t xml:space="preserve">The question. </w:t>
      </w:r>
      <w:r>
        <w:rPr>
          <w:sz w:val="19"/>
          <w:szCs w:val="19"/>
        </w:rPr>
        <w:t xml:space="preserve">Which problem am I treating here — the tumour burden or the hormone — and what is this liver procedure meant to achieve?</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Diffuse or bilobar hepatic disease</w:t>
      </w:r>
    </w:p>
    <w:p>
      <w:pPr>
        <w:pStyle w:val="ListParagraph"/>
        <w:numPr>
          <w:ilvl w:val="0"/>
          <w:numId w:val="2"/>
        </w:numPr>
        <w:spacing w:after="60" w:line="268"/>
      </w:pPr>
      <w:r>
        <w:rPr>
          <w:color w:val="15181F"/>
          <w:sz w:val="18"/>
          <w:szCs w:val="18"/>
        </w:rPr>
        <w:t xml:space="preserve">Progression on a somatostatin analogue</w:t>
      </w:r>
    </w:p>
    <w:p>
      <w:pPr>
        <w:pStyle w:val="ListParagraph"/>
        <w:numPr>
          <w:ilvl w:val="0"/>
          <w:numId w:val="2"/>
        </w:numPr>
        <w:spacing w:after="60" w:line="268"/>
      </w:pPr>
      <w:r>
        <w:rPr>
          <w:color w:val="15181F"/>
          <w:sz w:val="18"/>
          <w:szCs w:val="18"/>
        </w:rPr>
        <w:t xml:space="preserve">Clinically significant hepatic burden driving the picture</w:t>
      </w:r>
    </w:p>
    <w:p>
      <w:pPr>
        <w:pStyle w:val="ListParagraph"/>
        <w:numPr>
          <w:ilvl w:val="0"/>
          <w:numId w:val="2"/>
        </w:numPr>
        <w:spacing w:after="60" w:line="268"/>
      </w:pPr>
      <w:r>
        <w:rPr>
          <w:color w:val="15181F"/>
          <w:sz w:val="18"/>
          <w:szCs w:val="18"/>
        </w:rPr>
        <w:t xml:space="preserve">Hormonal symptoms poorly controlled on an analogue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Continue the somatostatin analogue for functional-syndrome control where it is needed, and after clinically significant progression in a nonfunctional tumour do not automatically continue it for antiproliferative benefit.</w:t>
      </w:r>
    </w:p>
    <w:p>
      <w:pPr>
        <w:spacing w:after="50" w:line="276"/>
        <w:ind w:left="240"/>
      </w:pPr>
      <w:r>
        <w:rPr>
          <w:color w:val="15181F"/>
          <w:sz w:val="18"/>
          <w:szCs w:val="18"/>
        </w:rPr>
        <w:t xml:space="preserve">Functional disease, where the analogue is doing hormonal work that nothing else in the plan replaces.</w:t>
      </w:r>
    </w:p>
    <w:p>
      <w:pPr>
        <w:spacing w:after="50"/>
        <w:ind w:left="240"/>
      </w:pPr>
      <w:r>
        <w:rPr>
          <w:b/>
          <w:bCs/>
          <w:color w:val="8C2F26"/>
          <w:sz w:val="18"/>
          <w:szCs w:val="18"/>
        </w:rPr>
        <w:t xml:space="preserve">Caveat. </w:t>
      </w:r>
      <w:r>
        <w:rPr>
          <w:color w:val="15181F"/>
          <w:sz w:val="18"/>
          <w:szCs w:val="18"/>
        </w:rPr>
        <w:t xml:space="preserve">Carrying an analogue indefinitely in a nonfunctional tumour that has progressed on it, on the assumption that it is still holding the tumour back.</w:t>
      </w:r>
    </w:p>
    <w:p>
      <w:pPr>
        <w:spacing w:after="50" w:line="276"/>
        <w:ind w:left="240"/>
      </w:pPr>
      <w:r>
        <w:rPr>
          <w:i/>
          <w:iCs/>
          <w:color w:val="5A6069"/>
          <w:sz w:val="17"/>
          <w:szCs w:val="17"/>
        </w:rPr>
        <w:t xml:space="preserve">Downgraded to C: this is a position taken in the absence of evidence rather than from it. The NANETS midgut panel reached no consensus on continuing an analogue past progression, and no trial has tested continuation after documented progression in either direction — PROMID and CLARINET both enrolled patients who were not progressing, 96% of CLARINET patients having had no progression in the 3 to 6 months before randomisation. The roadmap's position is that the indication after progression is hormonal, not antiproliferative; that is a defensible reading of what the trials enrolled, not a demonstrated equivalence.</w:t>
      </w:r>
    </w:p>
    <w:p>
      <w:pPr>
        <w:spacing w:after="60" w:line="276"/>
        <w:ind w:left="240"/>
      </w:pPr>
      <w:r>
        <w:rPr>
          <w:color w:val="5A6069"/>
          <w:sz w:val="16"/>
          <w:szCs w:val="16"/>
        </w:rPr>
        <w:t xml:space="preserve">Sources: CLARINET; NANETS 2017 medical</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Escalate systemically on progression, with the agent chosen by primary site, receptor status, growth rate and burden — see gate 6.</w:t>
      </w:r>
    </w:p>
    <w:p>
      <w:pPr>
        <w:spacing w:after="50" w:line="276"/>
        <w:ind w:left="240"/>
      </w:pPr>
      <w:r>
        <w:rPr>
          <w:color w:val="15181F"/>
          <w:sz w:val="18"/>
          <w:szCs w:val="18"/>
        </w:rPr>
        <w:t xml:space="preserve">Receptor-positive midgut disease progressing on an analogue: 177Lu-DOTATATE. Pancreatic primaries: sunitinib or capecitabine–temozolomide. Everolimus across non-functional GI and lung disease.</w:t>
      </w:r>
    </w:p>
    <w:p>
      <w:pPr>
        <w:spacing w:after="50"/>
        <w:ind w:left="240"/>
      </w:pPr>
      <w:r>
        <w:rPr>
          <w:b/>
          <w:bCs/>
          <w:color w:val="8C2F26"/>
          <w:sz w:val="18"/>
          <w:szCs w:val="18"/>
        </w:rPr>
        <w:t xml:space="preserve">Caveat. </w:t>
      </w:r>
      <w:r>
        <w:rPr>
          <w:color w:val="15181F"/>
          <w:sz w:val="18"/>
          <w:szCs w:val="18"/>
        </w:rPr>
        <w:t xml:space="preserve">Do not treat the grade as a survival claim for any one agent: NETTER-1's final overall-survival analysis gave median 48.0 versus 36.3 months, hazard ratio 0.84 (95% CI 0.60–1.17), p=0.30, and did not meet its endpoint. Every other agent in the sequence is a progression-free survival result too, and ASCO rated overall-survival certainty very low for CLARINET, RADIANT-3, RADIANT-4 and the sunitinib trial and low for NETTER-1.</w:t>
      </w:r>
    </w:p>
    <w:p>
      <w:pPr>
        <w:spacing w:after="50" w:line="276"/>
        <w:ind w:left="240"/>
      </w:pPr>
      <w:r>
        <w:rPr>
          <w:i/>
          <w:iCs/>
          <w:color w:val="5A6069"/>
          <w:sz w:val="17"/>
          <w:szCs w:val="17"/>
        </w:rPr>
        <w:t xml:space="preserve">Downgraded from A to B. The class of systemic escalation is expected practice, but every ASCO recommendation covering it is graded weak on low or moderate evidence quality, and ASCO states outright that there is insufficient evidence to recommend any sequence after progression. §6 sets out what each trial actually showed.</w:t>
      </w:r>
    </w:p>
    <w:p>
      <w:pPr>
        <w:spacing w:after="60" w:line="276"/>
        <w:ind w:left="240"/>
      </w:pPr>
      <w:r>
        <w:rPr>
          <w:color w:val="5A6069"/>
          <w:sz w:val="16"/>
          <w:szCs w:val="16"/>
        </w:rPr>
        <w:t xml:space="preserve">Sources: NETTER-1; NETTER-1 final OS</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Add a liver-directed procedure where the hepatic goal is stated: bland embolisation or conventional TACE for symptoms, progression or bulky liver-dominant disease, Y90 for selected lobar or segmental distribution.</w:t>
      </w:r>
    </w:p>
    <w:p>
      <w:pPr>
        <w:spacing w:after="50" w:line="276"/>
        <w:ind w:left="240"/>
      </w:pPr>
      <w:r>
        <w:rPr>
          <w:color w:val="15181F"/>
          <w:sz w:val="18"/>
          <w:szCs w:val="18"/>
        </w:rPr>
        <w:t xml:space="preserve">Liver-dominant bulk or a hormonal syndrome poorly controlled on an analogue, where the viable target, the goal, the liver-function cost, the owner and the reassessment date can all be named — see gate 7 for the modality choice. The largest technique comparison is retrospective and non-randomised: in 69 carcinoid patients bland embolisation gave a radiologic response of 81.0% against 44.4% for chemoembolisation (multivariate odds ratio 6.41, 95% CI 1.97–20.84, P=0.002) with no difference in progression-free or overall survival, while in 54 islet-cell patients chemoembolisation trended better on response and survival without reaching significance and those patients had more resected primaries and less liver involvement.</w:t>
      </w:r>
    </w:p>
    <w:p>
      <w:pPr>
        <w:spacing w:after="50"/>
        <w:ind w:left="240"/>
      </w:pPr>
      <w:r>
        <w:rPr>
          <w:b/>
          <w:bCs/>
          <w:color w:val="8C2F26"/>
          <w:sz w:val="18"/>
          <w:szCs w:val="18"/>
        </w:rPr>
        <w:t xml:space="preserve">Caveat. </w:t>
      </w:r>
      <w:r>
        <w:rPr>
          <w:color w:val="15181F"/>
          <w:sz w:val="18"/>
          <w:szCs w:val="18"/>
        </w:rPr>
        <w:t xml:space="preserve">Do not group bland embolisation, conventional TACE and radioembolisation as equivalent, and do not use drug-eluting embolics in NET.</w:t>
      </w:r>
    </w:p>
    <w:p>
      <w:pPr>
        <w:spacing w:after="50" w:line="276"/>
        <w:ind w:left="240"/>
      </w:pPr>
      <w:r>
        <w:rPr>
          <w:i/>
          <w:iCs/>
          <w:color w:val="5A6069"/>
          <w:sz w:val="17"/>
          <w:szCs w:val="17"/>
        </w:rPr>
        <w:t xml:space="preserve">NCCN NE-H accepts bland embolisation and conventional TACE and advises against drug-eluting embolics because of increased hepatobiliary toxicity in the NET population. Comparative superiority of bland versus conventional chemoembolisation remains unresolved, and the two ENETS papers on the page point in opposite directions: the 2024 small-intestine guidance generally prefers bland embolisation, while the 2023 functioning-pancreatic guidance says chemoembolisation is possibly more effective. Treatment choice in the supporting series was made by the referring physician, so the apparent technique effects are confounded with who was sent where.</w:t>
      </w:r>
    </w:p>
    <w:p>
      <w:pPr>
        <w:spacing w:after="60" w:line="276"/>
        <w:ind w:left="240"/>
      </w:pPr>
      <w:r>
        <w:rPr>
          <w:color w:val="5A6069"/>
          <w:sz w:val="16"/>
          <w:szCs w:val="16"/>
        </w:rPr>
        <w:t xml:space="preserve">Sources: Gupta embolisation; Kennedy Y-90</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add a liver-directed procedure on systemic progression without a stated hepatic goal.</w:t>
      </w:r>
    </w:p>
    <w:p>
      <w:pPr>
        <w:spacing w:after="50" w:line="276"/>
        <w:ind w:left="240"/>
      </w:pPr>
      <w:r>
        <w:rPr>
          <w:color w:val="15181F"/>
          <w:sz w:val="18"/>
          <w:szCs w:val="18"/>
        </w:rPr>
        <w:t xml:space="preserve">The trigger for a liver-directed procedure is a hepatic problem — bulk, symptoms, a dominant growing lesion — not the fact that a drug has failed.</w:t>
      </w:r>
    </w:p>
    <w:p>
      <w:pPr>
        <w:spacing w:after="50"/>
        <w:ind w:left="240"/>
      </w:pPr>
      <w:r>
        <w:rPr>
          <w:b/>
          <w:bCs/>
          <w:color w:val="8C2F26"/>
          <w:sz w:val="18"/>
          <w:szCs w:val="18"/>
        </w:rPr>
        <w:t xml:space="preserve">Caveat. </w:t>
      </w:r>
      <w:r>
        <w:rPr>
          <w:color w:val="15181F"/>
          <w:sz w:val="18"/>
          <w:szCs w:val="18"/>
        </w:rPr>
        <w:t xml:space="preserve">A repeat embolic or radiation cycle with no named target, goal, liver-function cost, owner or reassessment date. Worsening liver function after embolic or radiation therapy is a stop, not a reason to change device: cumulative hepatic injury is the limiting resource in a long-horizon disease.</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4 · High-grade disease: G3 NET or carcinoma</w:t>
      </w:r>
    </w:p>
    <w:p>
      <w:pPr>
        <w:spacing w:after="140"/>
      </w:pPr>
      <w:r>
        <w:rPr>
          <w:b/>
          <w:bCs/>
          <w:color w:val="176A87"/>
          <w:sz w:val="19"/>
          <w:szCs w:val="19"/>
        </w:rPr>
        <w:t xml:space="preserve">The question. </w:t>
      </w:r>
      <w:r>
        <w:rPr>
          <w:sz w:val="19"/>
          <w:szCs w:val="19"/>
        </w:rPr>
        <w:t xml:space="preserve">Ki-67 is 34% — is this a well-differentiated G3 tumour I can treat with receptor-directed therapy, or a carcinoma that needs platinum tomorrow?</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Ki-67 above 20%</w:t>
      </w:r>
    </w:p>
    <w:p>
      <w:pPr>
        <w:pStyle w:val="ListParagraph"/>
        <w:numPr>
          <w:ilvl w:val="0"/>
          <w:numId w:val="2"/>
        </w:numPr>
        <w:spacing w:after="60" w:line="268"/>
      </w:pPr>
      <w:r>
        <w:rPr>
          <w:color w:val="15181F"/>
          <w:sz w:val="18"/>
          <w:szCs w:val="18"/>
        </w:rPr>
        <w:t xml:space="preserve">Poorly differentiated small-cell or large-cell morphology</w:t>
      </w:r>
    </w:p>
    <w:p>
      <w:pPr>
        <w:pStyle w:val="ListParagraph"/>
        <w:numPr>
          <w:ilvl w:val="0"/>
          <w:numId w:val="2"/>
        </w:numPr>
        <w:spacing w:after="60" w:line="268"/>
      </w:pPr>
      <w:r>
        <w:rPr>
          <w:color w:val="15181F"/>
          <w:sz w:val="18"/>
          <w:szCs w:val="18"/>
        </w:rPr>
        <w:t xml:space="preserve">Grade progression from a prior G1 or G2 tumour</w:t>
      </w:r>
    </w:p>
    <w:p>
      <w:pPr>
        <w:pStyle w:val="ListParagraph"/>
        <w:numPr>
          <w:ilvl w:val="0"/>
          <w:numId w:val="2"/>
        </w:numPr>
        <w:spacing w:after="60" w:line="268"/>
      </w:pPr>
      <w:r>
        <w:rPr>
          <w:color w:val="15181F"/>
          <w:sz w:val="18"/>
          <w:szCs w:val="18"/>
        </w:rPr>
        <w:t xml:space="preserve">A mixed neuroendocrine–non-neuroendocrine neoplasm</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PRRT is listed first for the receptor-positive Ki-67 10–55% phenotype because that is the phenotype a randomised trial tested; chemotherapy is first where receptor expression is low or growth is fast. The order reflects the trials' entry criteria and a progression-free survival result, not a demonstrated survival advantage for either.</w:t>
      </w:r>
    </w:p>
    <w:p>
      <w:pPr>
        <w:spacing w:after="50" w:before="120"/>
        <w:ind w:left="240"/>
      </w:pPr>
      <w:r>
        <w:rPr>
          <w:b/>
          <w:bCs/>
          <w:color w:val="15181F"/>
          <w:sz w:val="19"/>
          <w:szCs w:val="19"/>
        </w:rPr>
        <w:t xml:space="preserve">177Lu-DOTATATE, well-differentiated G3, receptor-positive</w:t>
      </w:r>
      <w:r>
        <w:rPr>
          <w:color w:val="5A6069"/>
          <w:sz w:val="15"/>
          <w:szCs w:val="15"/>
        </w:rPr>
        <w:t xml:space="preserve">   grade B</w:t>
      </w:r>
    </w:p>
    <w:p>
      <w:pPr>
        <w:spacing w:after="50" w:line="276"/>
        <w:ind w:left="240"/>
      </w:pPr>
      <w:r>
        <w:rPr>
          <w:color w:val="15181F"/>
          <w:sz w:val="18"/>
          <w:szCs w:val="18"/>
        </w:rPr>
        <w:t xml:space="preserve">Preferred for a defined phenotype, and note which one: NETTER-2 (n=226) enrolled newly diagnosed, inoperable, SSTR-positive, well-differentiated GEP-NET with Ki-67 10–55% diagnosed within the previous 6 months, no patient having progressed on a prior analogue, and gave median progression-free survival 22.8 versus 8.5 months by blinded central review, stratified hazard ratio 0.276 (0.182–0.418), p&lt;0.0001, with objective response 43.0% versus 9.3% and 8 complete responses (5%) versus none.</w:t>
      </w:r>
    </w:p>
    <w:p>
      <w:pPr>
        <w:spacing w:after="50" w:line="276"/>
        <w:ind w:left="240"/>
      </w:pPr>
      <w:r>
        <w:rPr>
          <w:color w:val="15181F"/>
          <w:sz w:val="18"/>
          <w:szCs w:val="18"/>
        </w:rPr>
        <w:t xml:space="preserve">Receptor uptake greater than normal liver in the target disease, Ki-67 inside 10–55%, renal, marrow and hepatic reserve documented, and clinically significant burden — the last being a local selection criterion, not a trial entry criterion.</w:t>
      </w:r>
    </w:p>
    <w:p>
      <w:pPr>
        <w:spacing w:after="50"/>
        <w:ind w:left="240"/>
      </w:pPr>
      <w:r>
        <w:rPr>
          <w:b/>
          <w:bCs/>
          <w:color w:val="8C2F26"/>
          <w:sz w:val="18"/>
          <w:szCs w:val="18"/>
        </w:rPr>
        <w:t xml:space="preserve">Caveat. </w:t>
      </w:r>
      <w:r>
        <w:rPr>
          <w:color w:val="15181F"/>
          <w:sz w:val="18"/>
          <w:szCs w:val="18"/>
        </w:rPr>
        <w:t xml:space="preserve">Ki-67 above 55% was not studied. Receptor-negative or FDG-avid, SSTR-negative disease will not be treated by it: NETTER-2 required uptake score 3 or 4 in </w:t>
      </w:r>
      <w:r>
        <w:rPr>
          <w:i/>
          <w:iCs/>
          <w:color w:val="15181F"/>
          <w:sz w:val="18"/>
          <w:szCs w:val="18"/>
        </w:rPr>
        <w:t xml:space="preserve">all</w:t>
      </w:r>
      <w:r>
        <w:rPr>
          <w:color w:val="15181F"/>
          <w:sz w:val="18"/>
          <w:szCs w:val="18"/>
        </w:rPr>
        <w:t xml:space="preserve"> target lesions, so heterogeneous-uptake disease was never enrolled. It also excluded any previous hepatic artery embolisation or radiofrequency ablation, which excludes a large part of the population this page's gate 7 creates. In a series of 69 receptor-expressing high-grade neoplasms, median progression-free survival was 9.6 months and overall survival 19.9 months, falling to 4 and 7 months once Ki-67 exceeded 55%.</w:t>
      </w:r>
    </w:p>
    <w:p>
      <w:pPr>
        <w:spacing w:after="60" w:line="276"/>
        <w:ind w:left="240"/>
      </w:pPr>
      <w:r>
        <w:rPr>
          <w:color w:val="5A6069"/>
          <w:sz w:val="16"/>
          <w:szCs w:val="16"/>
        </w:rPr>
        <w:t xml:space="preserve">Sources: NETTER-2; NETTER-1 final OS; NANETS/SNMMI PRRT; Itanet 2024 RLT</w:t>
      </w:r>
    </w:p>
    <w:p>
      <w:pPr>
        <w:spacing w:after="50" w:before="120"/>
        <w:ind w:left="240"/>
      </w:pPr>
      <w:r>
        <w:rPr>
          <w:b/>
          <w:bCs/>
          <w:color w:val="15181F"/>
          <w:sz w:val="19"/>
          <w:szCs w:val="19"/>
        </w:rPr>
        <w:t xml:space="preserve">Capecitabine–temozolomide, or platinum-based therapy</w:t>
      </w:r>
      <w:r>
        <w:rPr>
          <w:color w:val="5A6069"/>
          <w:sz w:val="15"/>
          <w:szCs w:val="15"/>
        </w:rPr>
        <w:t xml:space="preserve">   grade B</w:t>
      </w:r>
    </w:p>
    <w:p>
      <w:pPr>
        <w:spacing w:after="50" w:line="276"/>
        <w:ind w:left="240"/>
      </w:pPr>
      <w:r>
        <w:rPr>
          <w:color w:val="15181F"/>
          <w:sz w:val="18"/>
          <w:szCs w:val="18"/>
        </w:rPr>
        <w:t xml:space="preserve">Reasonable alternative where behaviour is aggressive and receptor expression is low or absent. E2211 (n=133, pancreatic, progression within 12 months) met its primary endpoint at an interim analysis with an adjusted two-sided alpha of 0.119 in a phase 2 trial designed at a two-sided significance level of 0.20: median progression-free survival 22.7 versus 14.4 months with temozolomide alone, hazard ratio 0.58 (95% CI 0.36–0.93), P=.022. The final analysis at a median 59.9 months gave 23.2 versus 15.1 months, hazard ratio 0.71 (0.46–1.07).</w:t>
      </w:r>
    </w:p>
    <w:p>
      <w:pPr>
        <w:spacing w:after="50" w:line="276"/>
        <w:ind w:left="240"/>
      </w:pPr>
      <w:r>
        <w:rPr>
          <w:color w:val="15181F"/>
          <w:sz w:val="18"/>
          <w:szCs w:val="18"/>
        </w:rPr>
        <w:t xml:space="preserve">High burden, tumour-related symptoms or rapid progression, especially with a pancreatic primary; and where receptor imaging will not support PRRT.</w:t>
      </w:r>
    </w:p>
    <w:p>
      <w:pPr>
        <w:spacing w:after="50"/>
        <w:ind w:left="240"/>
      </w:pPr>
      <w:r>
        <w:rPr>
          <w:b/>
          <w:bCs/>
          <w:color w:val="8C2F26"/>
          <w:sz w:val="18"/>
          <w:szCs w:val="18"/>
        </w:rPr>
        <w:t xml:space="preserve">Caveat. </w:t>
      </w:r>
      <w:r>
        <w:rPr>
          <w:color w:val="15181F"/>
          <w:sz w:val="18"/>
          <w:szCs w:val="18"/>
        </w:rPr>
        <w:t xml:space="preserve">Do not apply a universal platinum regimen to all G3 NET — Itanet reports etoposide–platinum efficacy as limited in advanced G3 NET compared with its use in carcinoma, and ASCO records that platinum–etoposide has little supporting evidence in well-differentiated G3 disease. In E2211 overall survival was not significant (53.8 versus 58.7 months, hazard ratio 0.82, P=.42; a significant interim difference, hazard ratio 0.41, P=.012, did not persist), the response rate did not differ from temozolomide alone (39.7% versus 33.8%, P=0.59) and grade 3–4 treatment-related toxicity doubled, 45% versus 22%.</w:t>
      </w:r>
    </w:p>
    <w:p>
      <w:pPr>
        <w:spacing w:after="60" w:line="276"/>
        <w:ind w:left="240"/>
      </w:pPr>
      <w:r>
        <w:rPr>
          <w:color w:val="5A6069"/>
          <w:sz w:val="16"/>
          <w:szCs w:val="16"/>
        </w:rPr>
        <w:t xml:space="preserve">Sources: E2211 CAPTEM; Itanet 2024 RLT</w:t>
      </w:r>
    </w:p>
    <w:p>
      <w:pPr>
        <w:spacing w:after="60" w:line="276"/>
        <w:ind w:left="240"/>
      </w:pPr>
      <w:r>
        <w:rPr>
          <w:i/>
          <w:iCs/>
          <w:color w:val="5A6069"/>
          <w:sz w:val="16"/>
          <w:szCs w:val="16"/>
        </w:rPr>
        <w:t xml:space="preserve">The roadmap does not state whether hepatic debulking is appropriate in well-differentiated G3 disease, which is the decision a liver surgeon will face. Both NANETS surgical papers advise against cytoreducing G3 liver metastases — NANETS 2017 refers grade 3 liver metastases for systemic therapy, and NANETS 2020 says poorly differentiated carcinoma should not be resected while localised well-differentiated G3 tumours may be resected within multimodal therapy, with liver cytoreduction often not indicated because of high relapse and poor survival. NANETS 2020 states in the same breath that its well-differentiated G3 recommendations are unsupported, pending studies using the 2017 WHO classification, and that grade 2 disease is not a contraindication. Alignment area 15 asks whether G3 debulking should be added to the Avoid column except for selected limited disease within multimodal therapy.</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Poorly differentiated neuroendocrine carcinoma: platinum–etoposide systemic therapy, managed as an aggressive carcinoma.</w:t>
      </w:r>
    </w:p>
    <w:p>
      <w:pPr>
        <w:spacing w:after="50" w:line="276"/>
        <w:ind w:left="240"/>
      </w:pPr>
      <w:r>
        <w:rPr>
          <w:color w:val="15181F"/>
          <w:sz w:val="18"/>
          <w:szCs w:val="18"/>
        </w:rPr>
        <w:t xml:space="preserve">Small-cell or large-cell carcinoma morphology, whatever the hepatic burden. Carboplatin–etoposide first line gives response 30 to 50%, progression-free survival 4 to 6 months and overall survival 11 to 12 months.</w:t>
      </w:r>
    </w:p>
    <w:p>
      <w:pPr>
        <w:spacing w:after="50"/>
        <w:ind w:left="240"/>
      </w:pPr>
      <w:r>
        <w:rPr>
          <w:b/>
          <w:bCs/>
          <w:color w:val="8C2F26"/>
          <w:sz w:val="18"/>
          <w:szCs w:val="18"/>
        </w:rPr>
        <w:t xml:space="preserve">Caveat. </w:t>
      </w:r>
      <w:r>
        <w:rPr>
          <w:color w:val="15181F"/>
          <w:sz w:val="18"/>
          <w:szCs w:val="18"/>
        </w:rPr>
        <w:t xml:space="preserve">Somatostatin analogue for antiproliferative intent, PRRT, hepatic debulking for cytoreduction and transplantation are all inappropriate. ENETS grades the recommendation against metastasectomy and against PRRT in metastatic digestive NEC 5D — its weakest grade, resting on no comparative data — but it is the statement that would close down a liver resection discussion at board. Almost every therapeutic recommendation in that paper is 4B or weaker and no randomised trial underpins either first- or second-line therapy.</w:t>
      </w:r>
    </w:p>
    <w:p>
      <w:pPr>
        <w:spacing w:after="50" w:line="276"/>
        <w:ind w:left="240"/>
      </w:pPr>
      <w:r>
        <w:rPr>
          <w:i/>
          <w:iCs/>
          <w:color w:val="5A6069"/>
          <w:sz w:val="17"/>
          <w:szCs w:val="17"/>
        </w:rPr>
        <w:t xml:space="preserve">Molecular profiling of advanced high-grade disease, where available, may identify additional treatment options. A prior history of G1 or G2 NET strongly favours G3 NET over carcinoma if G3 disease is confirmed.</w:t>
      </w:r>
    </w:p>
    <w:p>
      <w:pPr>
        <w:spacing w:after="60" w:line="276"/>
        <w:ind w:left="240"/>
      </w:pPr>
      <w:r>
        <w:rPr>
          <w:color w:val="5A6069"/>
          <w:sz w:val="16"/>
          <w:szCs w:val="16"/>
        </w:rPr>
        <w:t xml:space="preserve">Sources: ENETS 2023 NEC</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In carcinoma, use liver-directed therapy only for a specific symptomatic or oligoprogressive problem, with a stated goal and a stated duration.</w:t>
      </w:r>
    </w:p>
    <w:p>
      <w:pPr>
        <w:spacing w:after="50" w:line="276"/>
        <w:ind w:left="240"/>
      </w:pPr>
      <w:r>
        <w:rPr>
          <w:color w:val="15181F"/>
          <w:sz w:val="18"/>
          <w:szCs w:val="18"/>
        </w:rPr>
        <w:t xml:space="preserve">A single bleeding, painful or obstructing deposit in a patient whose systemic disease is otherwise being controlled.</w:t>
      </w:r>
    </w:p>
    <w:p>
      <w:pPr>
        <w:spacing w:after="50"/>
        <w:ind w:left="240"/>
      </w:pPr>
      <w:r>
        <w:rPr>
          <w:b/>
          <w:bCs/>
          <w:color w:val="8C2F26"/>
          <w:sz w:val="18"/>
          <w:szCs w:val="18"/>
        </w:rPr>
        <w:t xml:space="preserve">Caveat. </w:t>
      </w:r>
      <w:r>
        <w:rPr>
          <w:color w:val="15181F"/>
          <w:sz w:val="18"/>
          <w:szCs w:val="18"/>
        </w:rPr>
        <w:t xml:space="preserve">Cytoreduction for its own sake, or any liver-directed plan without an end date, in a disease whose median survival on treatment is about a year.</w:t>
      </w:r>
    </w:p>
    <w:p>
      <w:pPr>
        <w:spacing w:after="60" w:line="276"/>
        <w:ind w:left="240"/>
      </w:pPr>
      <w:r>
        <w:rPr>
          <w:color w:val="5A6069"/>
          <w:sz w:val="16"/>
          <w:szCs w:val="16"/>
        </w:rPr>
        <w:t xml:space="preserve">Sources: ENETS 2023 NEC</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assume an overall-survival benefit from the PRRT trials.</w:t>
      </w:r>
    </w:p>
    <w:p>
      <w:pPr>
        <w:spacing w:after="50" w:line="276"/>
        <w:ind w:left="240"/>
      </w:pPr>
      <w:r>
        <w:rPr>
          <w:color w:val="15181F"/>
          <w:sz w:val="18"/>
          <w:szCs w:val="18"/>
        </w:rPr>
        <w:t xml:space="preserve">State plainly what they showed: NETTER-1 met progression-free survival decisively — hazard ratio 0.18 (0.11–0.29) on health-authority re-review of baseline scans, updated from the published 0.21 (0.13–0.33) — and did not meet overall survival (48.0 versus 36.3 months, hazard ratio 0.84, 95% CI 0.60–1.17, p=0.30); NETTER-2 met progression-free survival with a large effect and its overall survival is immature, with 48% of control patients crossing over.</w:t>
      </w:r>
    </w:p>
    <w:p>
      <w:pPr>
        <w:spacing w:after="50"/>
        <w:ind w:left="240"/>
      </w:pPr>
      <w:r>
        <w:rPr>
          <w:b/>
          <w:bCs/>
          <w:color w:val="8C2F26"/>
          <w:sz w:val="18"/>
          <w:szCs w:val="18"/>
        </w:rPr>
        <w:t xml:space="preserve">Caveat. </w:t>
      </w:r>
      <w:r>
        <w:rPr>
          <w:color w:val="15181F"/>
          <w:sz w:val="18"/>
          <w:szCs w:val="18"/>
        </w:rPr>
        <w:t xml:space="preserve">Telling a patient that PRRT has been shown to make them live longer. In NETTER-1 the proportional-hazards assumption failed (Schoenfeld residuals p=0.03), 36% of controls crossed over and 32% received 177Lu-dotatate specifically, so the final comparison is closer to early versus delayed PRRT than to PRRT versus none; the crossover-adjusted hazard ratio was 0.73 (0.40–1.34). Overall survival was a secondary endpoint powered for 158 deaths and the 5-year calendar cutoff arrived first at 142, and the restricted-mean-survival analysis that carries the authors' positive message was added by protocol amendment and does not exclude zero at 5 years (5.1 months, 95% CI -0.5 to 10.7).</w:t>
      </w:r>
    </w:p>
    <w:p>
      <w:pPr>
        <w:spacing w:after="60" w:line="276"/>
        <w:ind w:left="240"/>
      </w:pPr>
      <w:r>
        <w:rPr>
          <w:color w:val="5A6069"/>
          <w:sz w:val="16"/>
          <w:szCs w:val="16"/>
        </w:rPr>
        <w:t xml:space="preserve">Sources: NETTER-1 final OS; NETTER-2</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apply a universal platinum regimen to all G3 NET, and keep surgery and transplant criteria distinct from systemic-treatment options.</w:t>
      </w:r>
    </w:p>
    <w:p>
      <w:pPr>
        <w:spacing w:after="50" w:line="276"/>
        <w:ind w:left="240"/>
      </w:pPr>
      <w:r>
        <w:rPr>
          <w:color w:val="15181F"/>
          <w:sz w:val="18"/>
          <w:szCs w:val="18"/>
        </w:rPr>
        <w:t xml:space="preserve">Phenotype-based G3 options: receptor status, growth rate and primary site choose the drug.</w:t>
      </w:r>
    </w:p>
    <w:p>
      <w:pPr>
        <w:spacing w:after="50"/>
        <w:ind w:left="240"/>
      </w:pPr>
      <w:r>
        <w:rPr>
          <w:b/>
          <w:bCs/>
          <w:color w:val="8C2F26"/>
          <w:sz w:val="18"/>
          <w:szCs w:val="18"/>
        </w:rPr>
        <w:t xml:space="preserve">Caveat. </w:t>
      </w:r>
      <w:r>
        <w:rPr>
          <w:color w:val="15181F"/>
          <w:sz w:val="18"/>
          <w:szCs w:val="18"/>
        </w:rPr>
        <w:t xml:space="preserve">Treating well-differentiated G3 as carcinoma, or reading eligibility for a G3 systemic option as eligibility for cytoreduction or transplantation.</w:t>
      </w:r>
    </w:p>
    <w:p>
      <w:pPr>
        <w:spacing w:after="60" w:line="276"/>
        <w:ind w:left="240"/>
      </w:pPr>
      <w:r>
        <w:rPr>
          <w:color w:val="5A6069"/>
          <w:sz w:val="16"/>
          <w:szCs w:val="16"/>
        </w:rPr>
        <w:t xml:space="preserve">Sources: Itanet 2024 RLT;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5 · Hepatic cytoreduction</w:t>
      </w:r>
    </w:p>
    <w:p>
      <w:pPr>
        <w:spacing w:after="140"/>
      </w:pPr>
      <w:r>
        <w:rPr>
          <w:b/>
          <w:bCs/>
          <w:color w:val="176A87"/>
          <w:sz w:val="19"/>
          <w:szCs w:val="19"/>
        </w:rPr>
        <w:t xml:space="preserve">The question. </w:t>
      </w:r>
      <w:r>
        <w:rPr>
          <w:sz w:val="19"/>
          <w:szCs w:val="19"/>
        </w:rPr>
        <w:t xml:space="preserve">Can I clear enough of this liver to be worth the operation, and what exactly am I leaving behind?</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Well-differentiated NET, not poorly differentiated carcinoma</w:t>
      </w:r>
    </w:p>
    <w:p>
      <w:pPr>
        <w:pStyle w:val="ListParagraph"/>
        <w:numPr>
          <w:ilvl w:val="0"/>
          <w:numId w:val="2"/>
        </w:numPr>
        <w:spacing w:after="60" w:line="268"/>
      </w:pPr>
      <w:r>
        <w:rPr>
          <w:color w:val="15181F"/>
          <w:sz w:val="18"/>
          <w:szCs w:val="18"/>
        </w:rPr>
        <w:t xml:space="preserve">A substantial fraction of the hepatic burden can be cleared — the target and the expected residual named before operating</w:t>
      </w:r>
    </w:p>
    <w:p>
      <w:pPr>
        <w:pStyle w:val="ListParagraph"/>
        <w:numPr>
          <w:ilvl w:val="0"/>
          <w:numId w:val="2"/>
        </w:numPr>
        <w:spacing w:after="60" w:line="268"/>
      </w:pPr>
      <w:r>
        <w:rPr>
          <w:color w:val="15181F"/>
          <w:sz w:val="18"/>
          <w:szCs w:val="18"/>
        </w:rPr>
        <w:t xml:space="preserve">No diffuse-miliary pattern and no uncontrolled extrahepatic progression</w:t>
      </w:r>
    </w:p>
    <w:p>
      <w:pPr>
        <w:pStyle w:val="ListParagraph"/>
        <w:numPr>
          <w:ilvl w:val="0"/>
          <w:numId w:val="2"/>
        </w:numPr>
        <w:spacing w:after="60" w:line="268"/>
      </w:pPr>
      <w:r>
        <w:rPr>
          <w:color w:val="15181F"/>
          <w:sz w:val="18"/>
          <w:szCs w:val="18"/>
        </w:rPr>
        <w:t xml:space="preserve">Adequate performance status and hepatic reserve, with significant carcinoid heart disease addressed first</w:t>
      </w:r>
    </w:p>
    <w:p>
      <w:pPr>
        <w:pStyle w:val="ListParagraph"/>
        <w:numPr>
          <w:ilvl w:val="0"/>
          <w:numId w:val="2"/>
        </w:numPr>
        <w:spacing w:after="60" w:line="268"/>
      </w:pPr>
      <w:r>
        <w:rPr>
          <w:color w:val="15181F"/>
          <w:sz w:val="18"/>
          <w:szCs w:val="18"/>
        </w:rPr>
        <w:t xml:space="preserve">Demonstrated local experience with parenchymal-sparing hepatic surgery</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EXPERTISE</w:t>
      </w:r>
    </w:p>
    <w:p>
      <w:pPr>
        <w:spacing w:after="60" w:line="276"/>
      </w:pPr>
      <w:r>
        <w:rPr>
          <w:color w:val="15181F"/>
          <w:sz w:val="19"/>
          <w:szCs w:val="19"/>
        </w:rPr>
        <w:t xml:space="preserve">Operate for meaningful reduction of hepatic burden with parenchymal-sparing resection — often multiple small wedges — using ablation as an adjunct for lesions unsuited to resection, and resect the primary where appropriate.</w:t>
      </w:r>
    </w:p>
    <w:p>
      <w:pPr>
        <w:spacing w:after="50" w:line="276"/>
        <w:ind w:left="240"/>
      </w:pPr>
      <w:r>
        <w:rPr>
          <w:color w:val="15181F"/>
          <w:sz w:val="18"/>
          <w:szCs w:val="18"/>
        </w:rPr>
        <w:t xml:space="preserve">Well-differentiated disease where a substantial fraction of the burden can be cleared and the patient will tolerate a long operation. The expanded-criteria series of 52 patients reported 5-year disease-specific survival 90%, 5-year overall survival 88% and median liver progression-free survival 71.6 months (95% CI 56.0–87.3) with a 5-year liver progression-free rate of 64%, with 51 of 52 having wedge resections and 47 bilobar resections, median 15 tumours resected, median largest metastasis 2.5 cm and 65% having extrahepatic disease. ENETS 2024 makes the parallel recommendation for stage IV G1/G2 liver-only disease where R0 is achievable at B-4.</w:t>
      </w:r>
    </w:p>
    <w:p>
      <w:pPr>
        <w:spacing w:after="50"/>
        <w:ind w:left="240"/>
      </w:pPr>
      <w:r>
        <w:rPr>
          <w:b/>
          <w:bCs/>
          <w:color w:val="8C2F26"/>
          <w:sz w:val="18"/>
          <w:szCs w:val="18"/>
        </w:rPr>
        <w:t xml:space="preserve">Caveat. </w:t>
      </w:r>
      <w:r>
        <w:rPr>
          <w:color w:val="15181F"/>
          <w:sz w:val="18"/>
          <w:szCs w:val="18"/>
        </w:rPr>
        <w:t xml:space="preserve">Poorly differentiated carcinoma, diffuse miliary disease, uncontrolled extrahepatic progression, poor performance status, hepatic dysfunction, or liver replacement above roughly 50 to 70% — where NANETS says embolisation, PRRT or medical therapy are preferable. Debulking must not be called complete eradication.</w:t>
      </w:r>
    </w:p>
    <w:p>
      <w:pPr>
        <w:spacing w:after="50" w:line="276"/>
        <w:ind w:left="240"/>
      </w:pPr>
      <w:r>
        <w:rPr>
          <w:i/>
          <w:iCs/>
          <w:color w:val="5A6069"/>
          <w:sz w:val="17"/>
          <w:szCs w:val="17"/>
        </w:rPr>
        <w:t xml:space="preserve">Read the series with its limits in front of you. It is retrospective, single-surgeon and single-institution; the debulking percentage is the operating surgeon's own intraoperative visual and ultrasonographic estimate, not a volumetric or blinded radiological measurement, and the same surgeon selected who was operated on at all. Decisively, patients in whom the surgeon judged intraoperatively that 70% was not achievable were not resected, so the series contains no sub-70% group and cannot test the threshold it is used to justify. Within it, extent of debulking did not correlate with liver progression-free survival (P=.74) or disease-specific survival (P=.37), progression rates were 27.3%, 27.3% and 31.6% across the 70–89%, 90–99% and 100% groups (P=.95), complete resection of all gross disease was achieved in only 12 of 52 (25%) and conferred no advantage, and the only variable that predicted anything was age — 5-year liver progression-free survival 25.7% under age 50 versus 85% at 50 or older (P=.001). The lowest-debulking group contains 11 patients, no morbidity or mortality rate is reported anywhere in the paper, only a median length of stay of 6 days, median follow-up was 37.4 months against a median liver progression-free survival of 71.6 months, and 88% were kept on octreotide LAR, which the authors themselves say may account for the unusually long progression-free survival rather than the debulking strategy. ENETS 2023 puts the target at 70 to 90% or more of visible disease with adequate liver function at level 2b, grade B, and gives no guidance on which end of that 20-point range applies to whom; ENETS 2024 does not address the 70 versus 90 question at all. Recurrence after an R0 resection in this disease runs about 80% at 5 years, so lifelong follow-up is part of the operation.</w:t>
      </w:r>
    </w:p>
    <w:p>
      <w:pPr>
        <w:spacing w:after="60" w:line="276"/>
        <w:ind w:left="240"/>
      </w:pPr>
      <w:r>
        <w:rPr>
          <w:color w:val="5A6069"/>
          <w:sz w:val="16"/>
          <w:szCs w:val="16"/>
        </w:rPr>
        <w:t xml:space="preserve">Sources: Graff-Baker debulking; NANETS 2017 surgical; NANETS 2020 surgical; ENETS 2023 functioning panNET</w:t>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These are adjuncts to and alternatives within the same operation, not a ladder: ablation is listed with resection because the roadmap pairs them, and primary resection is a separate decision taken at the same board. Neither order carries a survival claim.</w:t>
      </w:r>
    </w:p>
    <w:p>
      <w:pPr>
        <w:spacing w:after="50" w:before="120"/>
        <w:ind w:left="240"/>
      </w:pPr>
      <w:r>
        <w:rPr>
          <w:b/>
          <w:bCs/>
          <w:color w:val="15181F"/>
          <w:sz w:val="19"/>
          <w:szCs w:val="19"/>
        </w:rPr>
        <w:t xml:space="preserve">Thermal ablation as complete local treatment</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Selected oligometastatic complete local treatment, usually four lesions or fewer each under 3 cm as NCCN describes it; ENETS 2024 puts percutaneous ablation at three to five metastases each under 3 cm at B-3. Neither limit comes from the series that support ablation: those enrolled up to 15 tumours, up to 10 cm, with under 20% liver volume involved, a mean largest tumour of 3.6 cm and a mean of six lesions treated. Cure evidence is weak.</w:t>
      </w:r>
    </w:p>
    <w:p>
      <w:pPr>
        <w:spacing w:after="50" w:line="276"/>
        <w:ind w:left="240"/>
      </w:pPr>
      <w:r>
        <w:rPr>
          <w:color w:val="15181F"/>
          <w:sz w:val="18"/>
          <w:szCs w:val="18"/>
        </w:rPr>
        <w:t xml:space="preserve">Limited well-differentiated disease where all known sites can be addressed, alone or combined with resection, with safe access and margins — an upfront local option for suitable oligometastatic disease, or focal salvage, not necessarily after every systemic treatment. Quote local control per patient as well as per lesion: local recurrence at an ablated site occurred in 7 of 63 patients (11%) and in 22% of 89 patients, against per-lesion rates of 6.3% and 7.9%. Morbidity was 5% and 5.6% with one 30-day death (1%) in the larger series and a mean hospital stay of 1.1 days.</w:t>
      </w:r>
    </w:p>
    <w:p>
      <w:pPr>
        <w:spacing w:after="50"/>
        <w:ind w:left="240"/>
      </w:pPr>
      <w:r>
        <w:rPr>
          <w:b/>
          <w:bCs/>
          <w:color w:val="8C2F26"/>
          <w:sz w:val="18"/>
          <w:szCs w:val="18"/>
        </w:rPr>
        <w:t xml:space="preserve">Caveat. </w:t>
      </w:r>
      <w:r>
        <w:rPr>
          <w:color w:val="15181F"/>
          <w:sz w:val="18"/>
          <w:szCs w:val="18"/>
        </w:rPr>
        <w:t xml:space="preserve">Do not call it cure: 80% of the 45 patients with imaging follow-up in one series developed new or progressive liver disease, mostly growth of sub-centimetre lesions deliberately left untreated, and in the larger series 63% developed new liver lesions and 59% developed extrahepatic disease. Neither series reports grade or Ki-67 at all — at the published discussion the authors confirmed the analysis had not been done — and both pool medullary thyroid carcinoma (9 and 11 patients) and bronchial carcinoids with gastroenteropancreatic disease, so long survival after ablation reflects indolent biology and multimodality salvage as much as the procedure. Record residual disease and grade.</w:t>
      </w:r>
    </w:p>
    <w:p>
      <w:pPr>
        <w:spacing w:after="60" w:line="276"/>
        <w:ind w:left="240"/>
      </w:pPr>
      <w:r>
        <w:rPr>
          <w:color w:val="5A6069"/>
          <w:sz w:val="16"/>
          <w:szCs w:val="16"/>
        </w:rPr>
        <w:t xml:space="preserve">Sources: Mazzaglia RFA; Akyildiz RFA; ENETS 2024 small intestine</w:t>
      </w:r>
    </w:p>
    <w:p>
      <w:pPr>
        <w:spacing w:after="50" w:before="120"/>
        <w:ind w:left="240"/>
      </w:pPr>
      <w:r>
        <w:rPr>
          <w:b/>
          <w:bCs/>
          <w:color w:val="15181F"/>
          <w:sz w:val="19"/>
          <w:szCs w:val="19"/>
        </w:rPr>
        <w:t xml:space="preserve">Resection of the primary tumour with liver metastases present</w:t>
      </w:r>
      <w:r>
        <w:rPr>
          <w:color w:val="5A6069"/>
          <w:sz w:val="15"/>
          <w:szCs w:val="15"/>
        </w:rPr>
        <w:t xml:space="preserve">   grade C</w:t>
      </w:r>
    </w:p>
    <w:p>
      <w:pPr>
        <w:spacing w:after="50" w:line="276"/>
        <w:ind w:left="240"/>
      </w:pPr>
      <w:r>
        <w:rPr>
          <w:color w:val="15181F"/>
          <w:sz w:val="18"/>
          <w:szCs w:val="18"/>
        </w:rPr>
        <w:t xml:space="preserve">NCCN says resection of ileum or jejunum NETs with their mesenteric nodes should be performed when symptoms arise from the primary, and should be considered in asymptomatic cases to reduce future obstruction, mesenteric ischaemia, bleeding or perforation.</w:t>
      </w:r>
    </w:p>
    <w:p>
      <w:pPr>
        <w:spacing w:after="50" w:line="276"/>
        <w:ind w:left="240"/>
      </w:pPr>
      <w:r>
        <w:rPr>
          <w:color w:val="15181F"/>
          <w:sz w:val="18"/>
          <w:szCs w:val="18"/>
        </w:rPr>
        <w:t xml:space="preserve">Small-bowel primaries, where NANETS reached full consensus that resection should be considered when feasible on retrospective medians of 7.4 versus 4.0 years, 9.9 versus 4.7 years and 159 versus 47 months favouring resection; and before PRRT where mesenteric ischaemia or obstruction risk is real. Transplant candidacy depends on the primary being out.</w:t>
      </w:r>
    </w:p>
    <w:p>
      <w:pPr>
        <w:spacing w:after="50"/>
        <w:ind w:left="240"/>
      </w:pPr>
      <w:r>
        <w:rPr>
          <w:b/>
          <w:bCs/>
          <w:color w:val="8C2F26"/>
          <w:sz w:val="18"/>
          <w:szCs w:val="18"/>
        </w:rPr>
        <w:t xml:space="preserve">Caveat. </w:t>
      </w:r>
      <w:r>
        <w:rPr>
          <w:color w:val="15181F"/>
          <w:sz w:val="18"/>
          <w:szCs w:val="18"/>
        </w:rPr>
        <w:t xml:space="preserve">No universal resect-or-observe instruction for pancreatic primaries: NANETS 2020 reached no consensus, with the majority holding that resection may help only in selected circumstances — functional tumour, body or tail location, local complications. ENETS notes that at least three propensity-matched studies show no survival benefit in asymptomatic stage IV disease.</w:t>
      </w:r>
    </w:p>
    <w:p>
      <w:pPr>
        <w:spacing w:after="60" w:line="276"/>
        <w:ind w:left="240"/>
      </w:pPr>
      <w:r>
        <w:rPr>
          <w:color w:val="5A6069"/>
          <w:sz w:val="16"/>
          <w:szCs w:val="16"/>
        </w:rPr>
        <w:t xml:space="preserve">Sources: NANETS 2017 surgical; NANETS 2020 surgical; ENETS 2024 small intestine</w:t>
      </w:r>
    </w:p>
    <w:p>
      <w:pPr>
        <w:spacing w:after="60" w:line="276"/>
        <w:ind w:left="240"/>
      </w:pPr>
      <w:r>
        <w:rPr>
          <w:i/>
          <w:iCs/>
          <w:color w:val="5A6069"/>
          <w:sz w:val="16"/>
          <w:szCs w:val="16"/>
        </w:rPr>
        <w:t xml:space="preserve">The hepatic burden threshold above which cytoreduction is not attempted is unresolved local decision 3. The two numbers in circulation have different parentage and neither is evidence-derived. The 90% figure, which NCCN still prints, came from an observation about symptom relief and was never validated as an oncologic threshold. The 70% figure was set by the NANETS 2017 panel on two retrospective single-institution series from the centres that championed it, with one dissenting vote, and the series most often cited for it excluded by design every patient in whom 70% was not achievable. NANETS 2020 reached no consensus on the threshold for pancreatic primaries at all, over half the panel favouring an individualised 70% and a minority questioning whether any benefit of cytoreduction has been established. Registry tracking: burden before and after, residual, liver progression-free survival.</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call debulking complete eradication, and do not operate without naming the target and the expected residual first.</w:t>
      </w:r>
    </w:p>
    <w:p>
      <w:pPr>
        <w:spacing w:after="50" w:line="276"/>
        <w:ind w:left="240"/>
      </w:pPr>
      <w:r>
        <w:rPr>
          <w:color w:val="15181F"/>
          <w:sz w:val="18"/>
          <w:szCs w:val="18"/>
        </w:rPr>
        <w:t xml:space="preserve">It is worth doing only if a substantial fraction of the burden can be cleared; say what fraction and what will be left before the patient consents.</w:t>
      </w:r>
    </w:p>
    <w:p>
      <w:pPr>
        <w:spacing w:after="50"/>
        <w:ind w:left="240"/>
      </w:pPr>
      <w:r>
        <w:rPr>
          <w:b/>
          <w:bCs/>
          <w:color w:val="8C2F26"/>
          <w:sz w:val="18"/>
          <w:szCs w:val="18"/>
        </w:rPr>
        <w:t xml:space="preserve">Caveat. </w:t>
      </w:r>
      <w:r>
        <w:rPr>
          <w:color w:val="15181F"/>
          <w:sz w:val="18"/>
          <w:szCs w:val="18"/>
        </w:rPr>
        <w:t xml:space="preserve">An operation whose success is defined after the fact by what turned out to be resectable.</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debulk in poorly differentiated carcinoma, diffuse miliary disease, or uncontrolled extrahepatic progression.</w:t>
      </w:r>
    </w:p>
    <w:p>
      <w:pPr>
        <w:spacing w:after="50" w:line="276"/>
        <w:ind w:left="240"/>
      </w:pPr>
      <w:r>
        <w:rPr>
          <w:color w:val="15181F"/>
          <w:sz w:val="18"/>
          <w:szCs w:val="18"/>
        </w:rPr>
        <w:t xml:space="preserve">Systemic therapy is the pathway in carcinoma; in diffuse disease that cannot reach a meaningful clearance, embolisation, PRRT or medical therapy are preferable.</w:t>
      </w:r>
    </w:p>
    <w:p>
      <w:pPr>
        <w:spacing w:after="50"/>
        <w:ind w:left="240"/>
      </w:pPr>
      <w:r>
        <w:rPr>
          <w:b/>
          <w:bCs/>
          <w:color w:val="8C2F26"/>
          <w:sz w:val="18"/>
          <w:szCs w:val="18"/>
        </w:rPr>
        <w:t xml:space="preserve">Caveat. </w:t>
      </w:r>
      <w:r>
        <w:rPr>
          <w:color w:val="15181F"/>
          <w:sz w:val="18"/>
          <w:szCs w:val="18"/>
        </w:rPr>
        <w:t xml:space="preserve">Significant carcinoid heart disease is a contraindication to hepatic cytoreduction until it is addressed — raised right-sided pressure increases the risk of liver surgery, and NCCN advises valve replacement before liver resection where carcinoid heart disease is significant. Do not extend the list beyond what the panels said: NANETS 2020 holds that extrahepatic disease by itself should not contraindicate resection of the primary or hepatic cytoreduction, because it is rarely the cause of death, and that grade 2 disease in the primary or the liver metastases is not a contraindication either.</w:t>
      </w:r>
    </w:p>
    <w:p>
      <w:pPr>
        <w:spacing w:after="60" w:line="276"/>
        <w:ind w:left="240"/>
      </w:pPr>
      <w:r>
        <w:rPr>
          <w:color w:val="5A6069"/>
          <w:sz w:val="16"/>
          <w:szCs w:val="16"/>
        </w:rPr>
        <w:t xml:space="preserve">Sources: ENETS 2023 NEC; NANETS 2017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6 · Systemic therapy: what each trial showed</w:t>
      </w:r>
    </w:p>
    <w:p>
      <w:pPr>
        <w:spacing w:after="140"/>
      </w:pPr>
      <w:r>
        <w:rPr>
          <w:b/>
          <w:bCs/>
          <w:color w:val="176A87"/>
          <w:sz w:val="19"/>
          <w:szCs w:val="19"/>
        </w:rPr>
        <w:t xml:space="preserve">The question. </w:t>
      </w:r>
      <w:r>
        <w:rPr>
          <w:sz w:val="19"/>
          <w:szCs w:val="19"/>
        </w:rPr>
        <w:t xml:space="preserve">I have four drugs and no trial that compares them — what decides the order for this patient?</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Progression on a somatostatin analogue</w:t>
      </w:r>
    </w:p>
    <w:p>
      <w:pPr>
        <w:pStyle w:val="ListParagraph"/>
        <w:numPr>
          <w:ilvl w:val="0"/>
          <w:numId w:val="2"/>
        </w:numPr>
        <w:spacing w:after="60" w:line="268"/>
      </w:pPr>
      <w:r>
        <w:rPr>
          <w:color w:val="15181F"/>
          <w:sz w:val="18"/>
          <w:szCs w:val="18"/>
        </w:rPr>
        <w:t xml:space="preserve">Unresectable disease with no liver-directed goal to serve</w:t>
      </w:r>
    </w:p>
    <w:p>
      <w:pPr>
        <w:pStyle w:val="ListParagraph"/>
        <w:numPr>
          <w:ilvl w:val="0"/>
          <w:numId w:val="2"/>
        </w:numPr>
        <w:spacing w:after="60" w:line="268"/>
      </w:pPr>
      <w:r>
        <w:rPr>
          <w:color w:val="15181F"/>
          <w:sz w:val="18"/>
          <w:szCs w:val="18"/>
        </w:rPr>
        <w:t xml:space="preserve">Receptor-positive disease being considered for PRRT</w:t>
      </w:r>
    </w:p>
    <w:p>
      <w:pPr>
        <w:pStyle w:val="ListParagraph"/>
        <w:numPr>
          <w:ilvl w:val="0"/>
          <w:numId w:val="2"/>
        </w:numPr>
        <w:spacing w:after="60" w:line="268"/>
      </w:pPr>
      <w:r>
        <w:rPr>
          <w:color w:val="15181F"/>
          <w:sz w:val="18"/>
          <w:szCs w:val="18"/>
        </w:rPr>
        <w:t xml:space="preserve">A pancreatic primary needing a sequencing decision</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B</w:t>
      </w:r>
    </w:p>
    <w:p>
      <w:pPr>
        <w:spacing w:after="100" w:line="276"/>
      </w:pPr>
      <w:r>
        <w:rPr>
          <w:i/>
          <w:iCs/>
          <w:color w:val="5A6069"/>
          <w:sz w:val="17"/>
          <w:szCs w:val="17"/>
        </w:rPr>
        <w:t xml:space="preserve">The order follows primary site and receptor status, not survival: receptor-positive disease first to PRRT, pancreatic primaries to sunitinib or capecitabine–temozolomide, non-functional disease to everolimus, cabozantinib after those. Every one of these is a progression-free survival result. There is no randomised evidence establishing a sequence and the roadmap does not claim one — sequencing is driven by primary site, receptor status, growth rate, hepatic burden, the need for rapid shrinkage, prior therapy, toxicity tolerance and access.</w:t>
      </w:r>
    </w:p>
    <w:p>
      <w:pPr>
        <w:spacing w:after="50" w:before="120"/>
        <w:ind w:left="240"/>
      </w:pPr>
      <w:r>
        <w:rPr>
          <w:b/>
          <w:bCs/>
          <w:color w:val="15181F"/>
          <w:sz w:val="19"/>
          <w:szCs w:val="19"/>
        </w:rPr>
        <w:t xml:space="preserve">177Lu-DOTATATE</w:t>
      </w:r>
      <w:r>
        <w:rPr>
          <w:color w:val="5A6069"/>
          <w:sz w:val="15"/>
          <w:szCs w:val="15"/>
        </w:rPr>
        <w:t xml:space="preserve">   grade B</w:t>
      </w:r>
    </w:p>
    <w:p>
      <w:pPr>
        <w:spacing w:after="50" w:line="276"/>
        <w:ind w:left="240"/>
      </w:pPr>
      <w:r>
        <w:rPr>
          <w:color w:val="15181F"/>
          <w:sz w:val="18"/>
          <w:szCs w:val="18"/>
        </w:rPr>
        <w:t xml:space="preserve">NCCN: lutetium Lu 177 dotatate is FDA-approved for SSTR-positive GEP NETs including foregut, midgut and hindgut tumours. NETTER-1 (n=229, midgut jejunoileal or proximal colon disease, Ki-67 20% or less, progressing on standard-dose octreotide) met progression-free survival decisively — 65.2% versus 10.8% progression-free at month 20, hazard ratio 0.21 (0.13–0.33), updated to 0.18 (0.11–0.29) on health-authority re-review, median not reached versus 8.4 months, objective response 18% versus 3%.</w:t>
      </w:r>
    </w:p>
    <w:p>
      <w:pPr>
        <w:spacing w:after="50" w:line="276"/>
        <w:ind w:left="240"/>
      </w:pPr>
      <w:r>
        <w:rPr>
          <w:color w:val="15181F"/>
          <w:sz w:val="18"/>
          <w:szCs w:val="18"/>
        </w:rPr>
        <w:t xml:space="preserve">Receptor-positive disease with uptake greater than normal liver in the target disease on SSTR PET, renal, marrow and hepatic reserve documented before each course, and surgical evaluation first — especially where mesenteric ischaemia or obstruction is a risk. NANETS and Itanet both prefer it second line in SSTR-positive midgut disease.</w:t>
      </w:r>
    </w:p>
    <w:p>
      <w:pPr>
        <w:spacing w:after="50"/>
        <w:ind w:left="240"/>
      </w:pPr>
      <w:r>
        <w:rPr>
          <w:b/>
          <w:bCs/>
          <w:color w:val="8C2F26"/>
          <w:sz w:val="18"/>
          <w:szCs w:val="18"/>
        </w:rPr>
        <w:t xml:space="preserve">Caveat. </w:t>
      </w:r>
      <w:r>
        <w:rPr>
          <w:color w:val="15181F"/>
          <w:sz w:val="18"/>
          <w:szCs w:val="18"/>
        </w:rPr>
        <w:t xml:space="preserve">The final overall-survival analysis did not meet its endpoint: 48.0 versus 36.3 months, hazard ratio 0.84 (95% CI 0.60–1.17), p=0.30. The label is wider than the trial: only midgut primaries were enrolled, so the foregut and hindgut indications rest on retrospective and registry data, which is also why EANM declined to recommend PRRT second line for pancreatic NET and why ESMO places it in pancreatic NET only after failure of approved therapies [III, A]. Avoid generally at GFR under 30 and use with caution at GFR 30 to 50. Where SSTR uptake is heterogeneous, a CT or MRI lesion shows no uptake, or progression is rapid, get FDG PET first to find receptor-negative disease PRRT will not treat.</w:t>
      </w:r>
    </w:p>
    <w:p>
      <w:pPr>
        <w:spacing w:after="60" w:line="276"/>
        <w:ind w:left="240"/>
      </w:pPr>
      <w:r>
        <w:rPr>
          <w:color w:val="5A6069"/>
          <w:sz w:val="16"/>
          <w:szCs w:val="16"/>
        </w:rPr>
        <w:t xml:space="preserve">Sources: NETTER-1; NETTER-1 final OS; NANETS/SNMMI PRRT; EANM Focus 3; Itanet 2024 RLT</w:t>
      </w:r>
    </w:p>
    <w:p>
      <w:pPr>
        <w:spacing w:after="50" w:before="120"/>
        <w:ind w:left="240"/>
      </w:pPr>
      <w:r>
        <w:rPr>
          <w:b/>
          <w:bCs/>
          <w:color w:val="15181F"/>
          <w:sz w:val="19"/>
          <w:szCs w:val="19"/>
        </w:rPr>
        <w:t xml:space="preserve">Everolimus</w:t>
      </w:r>
      <w:r>
        <w:rPr>
          <w:color w:val="5A6069"/>
          <w:sz w:val="15"/>
          <w:szCs w:val="15"/>
        </w:rPr>
        <w:t xml:space="preserve">   grade B</w:t>
      </w:r>
    </w:p>
    <w:p>
      <w:pPr>
        <w:spacing w:after="50" w:line="276"/>
        <w:ind w:left="240"/>
      </w:pPr>
      <w:r>
        <w:rPr>
          <w:color w:val="15181F"/>
          <w:sz w:val="18"/>
          <w:szCs w:val="18"/>
        </w:rPr>
        <w:t xml:space="preserve">RADIANT-3 (n=410, pancreatic): progression-free survival 11.0 versus 4.6 months, hazard ratio 0.35 (0.27–0.45). RADIANT-4 (n=302, non-functional GI and lung): 11.0 versus 3.9 months, hazard ratio 0.48 (0.35–0.67).</w:t>
      </w:r>
    </w:p>
    <w:p>
      <w:pPr>
        <w:spacing w:after="50" w:line="276"/>
        <w:ind w:left="240"/>
      </w:pPr>
      <w:r>
        <w:rPr>
          <w:color w:val="15181F"/>
          <w:sz w:val="18"/>
          <w:szCs w:val="18"/>
        </w:rPr>
        <w:t xml:space="preserve">Non-functional disease across primary sites, and where receptor-negative biology or haematologic risk rules out PRRT.</w:t>
      </w:r>
    </w:p>
    <w:p>
      <w:pPr>
        <w:spacing w:after="50"/>
        <w:ind w:left="240"/>
      </w:pPr>
      <w:r>
        <w:rPr>
          <w:b/>
          <w:bCs/>
          <w:color w:val="8C2F26"/>
          <w:sz w:val="18"/>
          <w:szCs w:val="18"/>
        </w:rPr>
        <w:t xml:space="preserve">Caveat. </w:t>
      </w:r>
      <w:r>
        <w:rPr>
          <w:color w:val="15181F"/>
          <w:sz w:val="18"/>
          <w:szCs w:val="18"/>
        </w:rPr>
        <w:t xml:space="preserve">No survival benefit is established. RADIANT-3's overall survival is uninterpretable — 73% of the placebo arm crossed over — and RADIANT-4's interim overall survival was a first look at 70 deaths against a planned 191, hazard ratio 0.64 (0.40–1.05), one-sided p=0.037 against a boundary of 0.0002. RADIANT-4 excluded carcinoid syndrome and pancreatic primaries and 30% of patients had lung primaries with only 23% ileal and 8% jejunal, so it does not cover the functional small-bowel patient who most often reaches a liver surgeon. The cost is real: dose reduction or interruption in 67% versus 30%, non-infectious pneumonitis of any grade in 16%, and discontinuation for grade 3–4 drug-related events in 12% versus 3%.</w:t>
      </w:r>
    </w:p>
    <w:p>
      <w:pPr>
        <w:spacing w:after="60" w:line="276"/>
        <w:ind w:left="240"/>
      </w:pPr>
      <w:r>
        <w:rPr>
          <w:color w:val="5A6069"/>
          <w:sz w:val="16"/>
          <w:szCs w:val="16"/>
        </w:rPr>
        <w:t xml:space="preserve">Sources: RADIANT-3; RADIANT-4</w:t>
      </w:r>
    </w:p>
    <w:p>
      <w:pPr>
        <w:spacing w:after="50" w:before="120"/>
        <w:ind w:left="240"/>
      </w:pPr>
      <w:r>
        <w:rPr>
          <w:b/>
          <w:bCs/>
          <w:color w:val="15181F"/>
          <w:sz w:val="19"/>
          <w:szCs w:val="19"/>
        </w:rPr>
        <w:t xml:space="preserve">Sunitinib, pancreatic primaries</w:t>
      </w:r>
      <w:r>
        <w:rPr>
          <w:color w:val="5A6069"/>
          <w:sz w:val="15"/>
          <w:szCs w:val="15"/>
        </w:rPr>
        <w:t xml:space="preserve">   grade B</w:t>
      </w:r>
    </w:p>
    <w:p>
      <w:pPr>
        <w:spacing w:after="50" w:line="276"/>
        <w:ind w:left="240"/>
      </w:pPr>
      <w:r>
        <w:rPr>
          <w:color w:val="15181F"/>
          <w:sz w:val="18"/>
          <w:szCs w:val="18"/>
        </w:rPr>
        <w:t xml:space="preserve">n=171, well-differentiated pancreatic NET with documented progression in the previous 12 months: progression-free survival 11.4 versus 5.5 months, hazard ratio 0.42 (0.26–0.66), P&lt;0.001; overall survival hazard ratio 0.41 (0.19–0.89).</w:t>
      </w:r>
    </w:p>
    <w:p>
      <w:pPr>
        <w:spacing w:after="50" w:line="276"/>
        <w:ind w:left="240"/>
      </w:pPr>
      <w:r>
        <w:rPr>
          <w:color w:val="15181F"/>
          <w:sz w:val="18"/>
          <w:szCs w:val="18"/>
        </w:rPr>
        <w:t xml:space="preserve">Progressive pancreatic NET where a tyrosine kinase inhibitor suits the comorbidity profile.</w:t>
      </w:r>
    </w:p>
    <w:p>
      <w:pPr>
        <w:spacing w:after="50"/>
        <w:ind w:left="240"/>
      </w:pPr>
      <w:r>
        <w:rPr>
          <w:b/>
          <w:bCs/>
          <w:color w:val="8C2F26"/>
          <w:sz w:val="18"/>
          <w:szCs w:val="18"/>
        </w:rPr>
        <w:t xml:space="preserve">Caveat. </w:t>
      </w:r>
      <w:r>
        <w:rPr>
          <w:color w:val="15181F"/>
          <w:sz w:val="18"/>
          <w:szCs w:val="18"/>
        </w:rPr>
        <w:t xml:space="preserve">Closed early by the data and safety monitoring committee at 171 of 340 planned patients and 81 of 260 planned events after more deaths and serious adverse events with placebo; the observed statistic did not cross the prespecified efficacy boundary (z 3.85 against 3.88), so the headline result never formally met the protocol threshold. Censoring was heavily imbalanced (65% versus 40%), response was investigator-assessed with no central review in a trial unblinded at closure, and 59 placebo patients crossed to open-label sunitinib, so the survival signal cannot be taken at face value. Ki-67 was evaluable in only about 42% of patients. A 9.3% response rate means it stabilises rather than shrinks — it will not convert unresectable hepatic disease.</w:t>
      </w:r>
    </w:p>
    <w:p>
      <w:pPr>
        <w:spacing w:after="60" w:line="276"/>
        <w:ind w:left="240"/>
      </w:pPr>
      <w:r>
        <w:rPr>
          <w:color w:val="5A6069"/>
          <w:sz w:val="16"/>
          <w:szCs w:val="16"/>
        </w:rPr>
        <w:t xml:space="preserve">Sources: Sunitinib A6181111</w:t>
      </w:r>
    </w:p>
    <w:p>
      <w:pPr>
        <w:spacing w:after="50" w:before="120"/>
        <w:ind w:left="240"/>
      </w:pPr>
      <w:r>
        <w:rPr>
          <w:b/>
          <w:bCs/>
          <w:color w:val="15181F"/>
          <w:sz w:val="19"/>
          <w:szCs w:val="19"/>
        </w:rPr>
        <w:t xml:space="preserve">Capecitabine–temozolomide, pancreatic primaries</w:t>
      </w:r>
      <w:r>
        <w:rPr>
          <w:color w:val="5A6069"/>
          <w:sz w:val="15"/>
          <w:szCs w:val="15"/>
        </w:rPr>
        <w:t xml:space="preserve">   grade B</w:t>
      </w:r>
    </w:p>
    <w:p>
      <w:pPr>
        <w:spacing w:after="50" w:line="276"/>
        <w:ind w:left="240"/>
      </w:pPr>
      <w:r>
        <w:rPr>
          <w:color w:val="15181F"/>
          <w:sz w:val="18"/>
          <w:szCs w:val="18"/>
        </w:rPr>
        <w:t xml:space="preserve">E2211 (n=133): 22.7 versus 14.4 months against temozolomide alone, hazard ratio 0.58 (0.36–0.93), P=.022, declared at an interim analysis with an adjusted two-sided alpha of 0.119 in a phase 2 trial designed at a two-sided significance level of 0.20; final analysis 23.2 versus 15.1 months, hazard ratio 0.71 (0.46–1.07).</w:t>
      </w:r>
    </w:p>
    <w:p>
      <w:pPr>
        <w:spacing w:after="50" w:line="276"/>
        <w:ind w:left="240"/>
      </w:pPr>
      <w:r>
        <w:rPr>
          <w:color w:val="15181F"/>
          <w:sz w:val="18"/>
          <w:szCs w:val="18"/>
        </w:rPr>
        <w:t xml:space="preserve">Pancreatic primaries with high burden, tumour-related symptoms or rapid progression, which is where ASCO places it first line; MGMT deficiency was associated with response, 52% versus 15%, though both arms contained temozolomide so it cannot be called predictive.</w:t>
      </w:r>
    </w:p>
    <w:p>
      <w:pPr>
        <w:spacing w:after="50"/>
        <w:ind w:left="240"/>
      </w:pPr>
      <w:r>
        <w:rPr>
          <w:b/>
          <w:bCs/>
          <w:color w:val="8C2F26"/>
          <w:sz w:val="18"/>
          <w:szCs w:val="18"/>
        </w:rPr>
        <w:t xml:space="preserve">Caveat. </w:t>
      </w:r>
      <w:r>
        <w:rPr>
          <w:color w:val="15181F"/>
          <w:sz w:val="18"/>
          <w:szCs w:val="18"/>
        </w:rPr>
        <w:t xml:space="preserve">Phase 2, open label, not powered for overall survival, which was not significant (53.8 versus 58.7 months, hazard ratio 0.82, P=.42) after a significant interim difference failed to persist; the response rate did not differ from temozolomide alone (39.7% versus 33.8%, P=0.59), so this is not the agent to choose when shrinkage is the object. Grade 3–4 toxicity doubled, 45% versus 22%, with seven second primary cancers including one myelodysplastic syndrome. The control arm was single-agent temozolomide, never a standard of care, so the trial does not compare the combination with everolimus, sunitinib or PRRT.</w:t>
      </w:r>
    </w:p>
    <w:p>
      <w:pPr>
        <w:spacing w:after="60" w:line="276"/>
        <w:ind w:left="240"/>
      </w:pPr>
      <w:r>
        <w:rPr>
          <w:color w:val="5A6069"/>
          <w:sz w:val="16"/>
          <w:szCs w:val="16"/>
        </w:rPr>
        <w:t xml:space="preserve">Sources: E2211 CAPTEM</w:t>
      </w:r>
    </w:p>
    <w:p>
      <w:pPr>
        <w:spacing w:after="50" w:before="120"/>
        <w:ind w:left="240"/>
      </w:pPr>
      <w:r>
        <w:rPr>
          <w:b/>
          <w:bCs/>
          <w:color w:val="15181F"/>
          <w:sz w:val="19"/>
          <w:szCs w:val="19"/>
        </w:rPr>
        <w:t xml:space="preserve">Cabozantinib, after PRRT or targeted therapy</w:t>
      </w:r>
      <w:r>
        <w:rPr>
          <w:color w:val="5A6069"/>
          <w:sz w:val="15"/>
          <w:szCs w:val="15"/>
        </w:rPr>
        <w:t xml:space="preserve">   grade B</w:t>
      </w:r>
    </w:p>
    <w:p>
      <w:pPr>
        <w:spacing w:after="50" w:line="276"/>
        <w:ind w:left="240"/>
      </w:pPr>
      <w:r>
        <w:rPr>
          <w:color w:val="15181F"/>
          <w:sz w:val="18"/>
          <w:szCs w:val="18"/>
        </w:rPr>
        <w:t xml:space="preserve">CABINET, placebo-controlled 2:1: extrapancreatic cohort (n=203) 8.4 versus 3.9 months, hazard ratio 0.38 (0.25–0.59); pancreatic cohort (n=95) 13.8 versus 4.4 months, hazard ratio 0.23 (0.12–0.42).</w:t>
      </w:r>
    </w:p>
    <w:p>
      <w:pPr>
        <w:spacing w:after="50" w:line="276"/>
        <w:ind w:left="240"/>
      </w:pPr>
      <w:r>
        <w:rPr>
          <w:color w:val="15181F"/>
          <w:sz w:val="18"/>
          <w:szCs w:val="18"/>
        </w:rPr>
        <w:t xml:space="preserve">Late line, after PRRT, everolimus or sunitinib: patients had a median of two to three prior lines and 59% had already had 177Lu-dotatate.</w:t>
      </w:r>
    </w:p>
    <w:p>
      <w:pPr>
        <w:spacing w:after="50"/>
        <w:ind w:left="240"/>
      </w:pPr>
      <w:r>
        <w:rPr>
          <w:b/>
          <w:bCs/>
          <w:color w:val="8C2F26"/>
          <w:sz w:val="18"/>
          <w:szCs w:val="18"/>
        </w:rPr>
        <w:t xml:space="preserve">Caveat. </w:t>
      </w:r>
      <w:r>
        <w:rPr>
          <w:color w:val="15181F"/>
          <w:sz w:val="18"/>
          <w:szCs w:val="18"/>
        </w:rPr>
        <w:t xml:space="preserve">Objective response was 5% and 19%, and there was no overall-survival benefit — 21.9 versus 19.7 months, hazard ratio 0.86 (0.56–1.31), and 40.0 versus 31.1 months, hazard ratio 0.95 (0.45–2.00) — with 33% and 41% of placebo patients crossing over. Grade 3 or higher adverse events ran 62 to 65% versus 23 to 27%, two-thirds needed dose reduction to a median of about 38 mg against the assigned 60 mg, and four patients in the extrapancreatic cabozantinib group had a grade 5 event judged at least possibly treatment-related. The trial stopped early at interim on local rather than central assessment — a different endpoint from the one reported as primary — with only 111 of 164 planned events in the extrapancreatic cohort, and 7 pancreatic patients were registered into the extrapancreatic cohort and 3 the other way.</w:t>
      </w:r>
    </w:p>
    <w:p>
      <w:pPr>
        <w:spacing w:after="60" w:line="276"/>
        <w:ind w:left="240"/>
      </w:pPr>
      <w:r>
        <w:rPr>
          <w:color w:val="5A6069"/>
          <w:sz w:val="16"/>
          <w:szCs w:val="16"/>
        </w:rPr>
        <w:t xml:space="preserve">Sources: CABINET</w:t>
      </w:r>
    </w:p>
    <w:p>
      <w:pPr>
        <w:spacing w:after="60" w:line="276"/>
        <w:ind w:left="240"/>
      </w:pPr>
      <w:r>
        <w:rPr>
          <w:i/>
          <w:iCs/>
          <w:color w:val="5A6069"/>
          <w:sz w:val="16"/>
          <w:szCs w:val="16"/>
        </w:rPr>
        <w:t xml:space="preserve">Whether first-line PRRT is offered for receptor-positive grade 2–3 disease, and to whom, is unresolved local decision 2: one open-label randomised trial with a progression-free survival endpoint, overall survival immature. Registry tracking: every PRRT course, progression-free survival, hepatic and renal function. Itanet grades PRRT over targeted agents 2b-B and over chemotherapy 3b-A on cross-trial comparison; ESMO records that one of its own authors dissented on PRRT sequencing.</w:t>
      </w:r>
    </w:p>
    <w:p>
      <w:pPr>
        <w:spacing w:after="60" w:before="180"/>
      </w:pPr>
      <w:r>
        <w:rPr>
          <w:b/>
          <w:bCs/>
          <w:color w:val="17365D"/>
          <w:spacing w:val="16"/>
          <w:sz w:val="16"/>
          <w:szCs w:val="16"/>
        </w:rPr>
        <w:t xml:space="preserve">STANDARD</w:t>
      </w:r>
      <w:r>
        <w:rPr>
          <w:color w:val="5A6069"/>
          <w:sz w:val="16"/>
          <w:szCs w:val="16"/>
        </w:rPr>
        <w:t xml:space="preserve">   grade B</w:t>
      </w:r>
    </w:p>
    <w:p>
      <w:pPr>
        <w:spacing w:after="60" w:line="276"/>
      </w:pPr>
      <w:r>
        <w:rPr>
          <w:color w:val="15181F"/>
          <w:sz w:val="19"/>
          <w:szCs w:val="19"/>
        </w:rPr>
        <w:t xml:space="preserve">Document somatostatin-receptor uptake greater than normal liver in the target disease, and renal, marrow and hepatic reserve, before every PRRT course.</w:t>
      </w:r>
    </w:p>
    <w:p>
      <w:pPr>
        <w:spacing w:after="50" w:line="276"/>
        <w:ind w:left="240"/>
      </w:pPr>
      <w:r>
        <w:rPr>
          <w:color w:val="15181F"/>
          <w:sz w:val="18"/>
          <w:szCs w:val="18"/>
        </w:rPr>
        <w:t xml:space="preserve">PRRT is receptor-dependent: uptake above normal liver is the NCCN threshold and EANM asks for Krenning 3 or 4 in all metastases.</w:t>
      </w:r>
    </w:p>
    <w:p>
      <w:pPr>
        <w:spacing w:after="50"/>
        <w:ind w:left="240"/>
      </w:pPr>
      <w:r>
        <w:rPr>
          <w:b/>
          <w:bCs/>
          <w:color w:val="8C2F26"/>
          <w:sz w:val="18"/>
          <w:szCs w:val="18"/>
        </w:rPr>
        <w:t xml:space="preserve">Caveat. </w:t>
      </w:r>
      <w:r>
        <w:rPr>
          <w:color w:val="15181F"/>
          <w:sz w:val="18"/>
          <w:szCs w:val="18"/>
        </w:rPr>
        <w:t xml:space="preserve">Do not spend marrow, renal and hepatic reserve on FDG-avid, receptor-negative disease that PRRT will not treat; assess discordant FDG-positive, SSTR-negative lesions first. Surgical evaluation should be performed before PRRT.</w:t>
      </w:r>
    </w:p>
    <w:p>
      <w:pPr>
        <w:spacing w:after="50" w:line="276"/>
        <w:ind w:left="240"/>
      </w:pPr>
      <w:r>
        <w:rPr>
          <w:i/>
          <w:iCs/>
          <w:color w:val="5A6069"/>
          <w:sz w:val="17"/>
          <w:szCs w:val="17"/>
        </w:rPr>
        <w:t xml:space="preserve">Prior liver-directed therapy may raise PRRT hepatotoxicity, and the safe sequence of radioembolisation and PRRT is unresolved — NANETS states plainly that cumulative hepatic radiation from radioembolisation followed by PRRT is unstudied, so cumulative hepatic exposure is reviewed before either. NETTER-2 excluded any prior hepatic artery embolisation or ablation outright, so the first-line PRRT evidence does not describe a patient who has already had liver-directed therapy.</w:t>
      </w:r>
    </w:p>
    <w:p>
      <w:pPr>
        <w:spacing w:after="60" w:line="276"/>
        <w:ind w:left="240"/>
      </w:pPr>
      <w:r>
        <w:rPr>
          <w:color w:val="5A6069"/>
          <w:sz w:val="16"/>
          <w:szCs w:val="16"/>
        </w:rPr>
        <w:t xml:space="preserve">Sources: NANETS/SNMMI PRRT; EANM Focus 3</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Hepatic debulking before PRRT may improve response and progression-free survival, and reduces the mass of amine-producing cells before a radioligand course.</w:t>
      </w:r>
    </w:p>
    <w:p>
      <w:pPr>
        <w:spacing w:after="50" w:line="276"/>
        <w:ind w:left="240"/>
      </w:pPr>
      <w:r>
        <w:rPr>
          <w:color w:val="15181F"/>
          <w:sz w:val="18"/>
          <w:szCs w:val="18"/>
        </w:rPr>
        <w:t xml:space="preserve">A fit patient with high hepatic burden and a functional syndrome facing PRRT, where cytoreduction is independently justified.</w:t>
      </w:r>
    </w:p>
    <w:p>
      <w:pPr>
        <w:spacing w:after="50"/>
        <w:ind w:left="240"/>
      </w:pPr>
      <w:r>
        <w:rPr>
          <w:b/>
          <w:bCs/>
          <w:color w:val="8C2F26"/>
          <w:sz w:val="18"/>
          <w:szCs w:val="18"/>
        </w:rPr>
        <w:t xml:space="preserve">Caveat. </w:t>
      </w:r>
      <w:r>
        <w:rPr>
          <w:color w:val="15181F"/>
          <w:sz w:val="18"/>
          <w:szCs w:val="18"/>
        </w:rPr>
        <w:t xml:space="preserve">Do not build a debulking indication on this alone: NANETS/SNMMI attributes it to limited retrospective data, and the crisis-prevention argument comes from a narrative review whose own institutional audit of 127 administrations recorded no carcinoid crisis at all.</w:t>
      </w:r>
    </w:p>
    <w:p>
      <w:pPr>
        <w:spacing w:after="50" w:line="276"/>
        <w:ind w:left="240"/>
      </w:pPr>
      <w:r>
        <w:rPr>
          <w:i/>
          <w:iCs/>
          <w:color w:val="5A6069"/>
          <w:sz w:val="17"/>
          <w:szCs w:val="17"/>
        </w:rPr>
        <w:t xml:space="preserve">This is the one place where the surgeon sits inside the PRRT safety pathway rather than beside it.</w:t>
      </w:r>
    </w:p>
    <w:p>
      <w:pPr>
        <w:spacing w:after="60" w:line="276"/>
        <w:ind w:left="240"/>
      </w:pPr>
      <w:r>
        <w:rPr>
          <w:color w:val="5A6069"/>
          <w:sz w:val="16"/>
          <w:szCs w:val="16"/>
        </w:rPr>
        <w:t xml:space="preserve">Sources: NANETS/SNMMI PRRT; Carcinoid crisis in PRRT</w:t>
      </w:r>
    </w:p>
    <w:p>
      <w:pPr>
        <w:spacing w:after="60" w:before="180"/>
      </w:pPr>
      <w:r>
        <w:rPr>
          <w:b/>
          <w:bCs/>
          <w:color w:val="8C2F26"/>
          <w:spacing w:val="16"/>
          <w:sz w:val="16"/>
          <w:szCs w:val="16"/>
        </w:rPr>
        <w:t xml:space="preserve">AVOID</w:t>
      </w:r>
      <w:r>
        <w:rPr>
          <w:color w:val="5A6069"/>
          <w:sz w:val="16"/>
          <w:szCs w:val="16"/>
        </w:rPr>
        <w:t xml:space="preserve">   grade A</w:t>
      </w:r>
    </w:p>
    <w:p>
      <w:pPr>
        <w:spacing w:after="60" w:line="276"/>
      </w:pPr>
      <w:r>
        <w:rPr>
          <w:color w:val="15181F"/>
          <w:sz w:val="19"/>
          <w:szCs w:val="19"/>
        </w:rPr>
        <w:t xml:space="preserve">Do not claim a sequence the evidence does not support.</w:t>
      </w:r>
    </w:p>
    <w:p>
      <w:pPr>
        <w:spacing w:after="50" w:line="276"/>
        <w:ind w:left="240"/>
      </w:pPr>
      <w:r>
        <w:rPr>
          <w:color w:val="15181F"/>
          <w:sz w:val="18"/>
          <w:szCs w:val="18"/>
        </w:rPr>
        <w:t xml:space="preserve">Record the order chosen and the reason for it at tumour board for each patient, and track it in the registry.</w:t>
      </w:r>
    </w:p>
    <w:p>
      <w:pPr>
        <w:spacing w:after="50"/>
        <w:ind w:left="240"/>
      </w:pPr>
      <w:r>
        <w:rPr>
          <w:b/>
          <w:bCs/>
          <w:color w:val="8C2F26"/>
          <w:sz w:val="18"/>
          <w:szCs w:val="18"/>
        </w:rPr>
        <w:t xml:space="preserve">Caveat. </w:t>
      </w:r>
      <w:r>
        <w:rPr>
          <w:color w:val="15181F"/>
          <w:sz w:val="18"/>
          <w:szCs w:val="18"/>
        </w:rPr>
        <w:t xml:space="preserve">ASCO states explicitly that there is insufficient evidence to recommend any particular sequence after progression, because the trials used placebo controls with almost no head-to-head comparisons; overall-survival certainty was rated very low for CLARINET, RADIANT-3, RADIANT-4 and the sunitinib trial and low for NETTER-1, chiefly because of crossover, which ASCO puts at 85% in RADIANT-3 and 69% in the sunitinib trial. ESMO records that one of its own authors held PRRT should come earlier in SSTR-positive pancreatic NET.</w:t>
      </w:r>
    </w:p>
    <w:p>
      <w:pPr>
        <w:spacing w:after="60" w:line="276"/>
        <w:ind w:left="240"/>
      </w:pPr>
      <w:r>
        <w:rPr>
          <w:color w:val="5A6069"/>
          <w:sz w:val="16"/>
          <w:szCs w:val="16"/>
        </w:rPr>
        <w:t xml:space="preserve">Sources: ASCO 2023 systemic; ESMO 2020 GEP-NEN</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continue a somatostatin analogue for antiproliferative benefit in every nonfunctional NET after significant progression.</w:t>
      </w:r>
    </w:p>
    <w:p>
      <w:pPr>
        <w:spacing w:after="50" w:line="276"/>
        <w:ind w:left="240"/>
      </w:pPr>
      <w:r>
        <w:rPr>
          <w:color w:val="15181F"/>
          <w:sz w:val="18"/>
          <w:szCs w:val="18"/>
        </w:rPr>
        <w:t xml:space="preserve">Continue it for hormonal control where the tumour is functional.</w:t>
      </w:r>
    </w:p>
    <w:p>
      <w:pPr>
        <w:spacing w:after="50"/>
        <w:ind w:left="240"/>
      </w:pPr>
      <w:r>
        <w:rPr>
          <w:b/>
          <w:bCs/>
          <w:color w:val="8C2F26"/>
          <w:sz w:val="18"/>
          <w:szCs w:val="18"/>
        </w:rPr>
        <w:t xml:space="preserve">Caveat. </w:t>
      </w:r>
      <w:r>
        <w:rPr>
          <w:color w:val="15181F"/>
          <w:sz w:val="18"/>
          <w:szCs w:val="18"/>
        </w:rPr>
        <w:t xml:space="preserve">PROMID and CLARINET tested delay of progression in stable, indolent disease — 96% of CLARINET patients had no progression in the 3 to 6 months before randomisation — and neither establishes an antiproliferative role after documented progression.</w:t>
      </w:r>
    </w:p>
    <w:p>
      <w:pPr>
        <w:spacing w:after="60" w:line="276"/>
        <w:ind w:left="240"/>
      </w:pPr>
      <w:r>
        <w:rPr>
          <w:color w:val="5A6069"/>
          <w:sz w:val="16"/>
          <w:szCs w:val="16"/>
        </w:rPr>
        <w:t xml:space="preserve">Sources: PROMID; CLARINET</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7 · Liver-directed therapy: which modality</w:t>
      </w:r>
    </w:p>
    <w:p>
      <w:pPr>
        <w:spacing w:after="140"/>
      </w:pPr>
      <w:r>
        <w:rPr>
          <w:b/>
          <w:bCs/>
          <w:color w:val="176A87"/>
          <w:sz w:val="19"/>
          <w:szCs w:val="19"/>
        </w:rPr>
        <w:t xml:space="preserve">The question. </w:t>
      </w:r>
      <w:r>
        <w:rPr>
          <w:sz w:val="19"/>
          <w:szCs w:val="19"/>
        </w:rPr>
        <w:t xml:space="preserve">This liver needs treating — which device, and what does it cost me in reserve later?</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Bulky or symptomatic liver-dominant disease</w:t>
      </w:r>
    </w:p>
    <w:p>
      <w:pPr>
        <w:pStyle w:val="ListParagraph"/>
        <w:numPr>
          <w:ilvl w:val="0"/>
          <w:numId w:val="2"/>
        </w:numPr>
        <w:spacing w:after="60" w:line="268"/>
      </w:pPr>
      <w:r>
        <w:rPr>
          <w:color w:val="15181F"/>
          <w:sz w:val="18"/>
          <w:szCs w:val="18"/>
        </w:rPr>
        <w:t xml:space="preserve">Hepatic progression with a stated hepatic goal</w:t>
      </w:r>
    </w:p>
    <w:p>
      <w:pPr>
        <w:pStyle w:val="ListParagraph"/>
        <w:numPr>
          <w:ilvl w:val="0"/>
          <w:numId w:val="2"/>
        </w:numPr>
        <w:spacing w:after="60" w:line="268"/>
      </w:pPr>
      <w:r>
        <w:rPr>
          <w:color w:val="15181F"/>
          <w:sz w:val="18"/>
          <w:szCs w:val="18"/>
        </w:rPr>
        <w:t xml:space="preserve">Hormonal symptoms poorly controlled on a somatostatin analogue</w:t>
      </w:r>
    </w:p>
    <w:p>
      <w:pPr>
        <w:pStyle w:val="ListParagraph"/>
        <w:numPr>
          <w:ilvl w:val="0"/>
          <w:numId w:val="2"/>
        </w:numPr>
        <w:spacing w:after="60" w:line="268"/>
      </w:pPr>
      <w:r>
        <w:rPr>
          <w:color w:val="15181F"/>
          <w:sz w:val="18"/>
          <w:szCs w:val="18"/>
        </w:rPr>
        <w:t xml:space="preserve">Lobar or segmental distribution, or prior Whipple or biliary instrumentation</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p>
    <w:p>
      <w:pPr>
        <w:spacing w:after="100" w:line="276"/>
      </w:pPr>
      <w:r>
        <w:rPr>
          <w:i/>
          <w:iCs/>
          <w:color w:val="5A6069"/>
          <w:sz w:val="17"/>
          <w:szCs w:val="17"/>
        </w:rPr>
        <w:t xml:space="preserve">Do not use a universal ablation, SBRT, Y90, TACE, HAI, histotripsy ladder. An upfront alternative chosen because of anatomy or organ reserve is not a post-progression second line. The order here reflects how often each is reached for in liver-dominant NET and the wording of NCCN NE-H, not any survival advantage — no optimal order has been established for combining PRRT, systemic therapy and liver-directed treatment, and a liver-directed procedure does not replace indicated systemic therapy. After progression or toxicity, restage and reconsider complete treatment rather than automatically repeating the same procedure.</w:t>
      </w:r>
    </w:p>
    <w:p>
      <w:pPr>
        <w:spacing w:after="50" w:before="120"/>
        <w:ind w:left="240"/>
      </w:pPr>
      <w:r>
        <w:rPr>
          <w:b/>
          <w:bCs/>
          <w:color w:val="15181F"/>
          <w:sz w:val="19"/>
          <w:szCs w:val="19"/>
        </w:rPr>
        <w:t xml:space="preserve">Bland embolisation or conventional TACE</w:t>
      </w:r>
      <w:r>
        <w:rPr>
          <w:color w:val="5A6069"/>
          <w:sz w:val="15"/>
          <w:szCs w:val="15"/>
        </w:rPr>
        <w:t xml:space="preserve">   grade C</w:t>
      </w:r>
    </w:p>
    <w:p>
      <w:pPr>
        <w:spacing w:after="50" w:line="276"/>
        <w:ind w:left="240"/>
      </w:pPr>
      <w:r>
        <w:rPr>
          <w:color w:val="15181F"/>
          <w:sz w:val="18"/>
          <w:szCs w:val="18"/>
        </w:rPr>
        <w:t xml:space="preserve">NCCN: there are no completed randomised studies comparing TAE with conventional TACE and both are acceptable. An accepted liver-control and hormone-symptom strategy in well-differentiated NET, for symptoms or progression on an analogue or other systemic therapy, and for bulky disease without waiting for progression.</w:t>
      </w:r>
    </w:p>
    <w:p>
      <w:pPr>
        <w:spacing w:after="50" w:line="276"/>
        <w:ind w:left="240"/>
      </w:pPr>
      <w:r>
        <w:rPr>
          <w:color w:val="15181F"/>
          <w:sz w:val="18"/>
          <w:szCs w:val="18"/>
        </w:rPr>
        <w:t xml:space="preserve">Bulky or symptomatic liver-dominant disease — an early liver-directed choice, not universally second line to PRRT, Y90 or ablation. In a retrospective series of 123 patients treated between 1992 and 2000, radiologic response by WHO criteria was 66.7% in carcinoid versus 35.2% in islet-cell tumours (P&lt;0.0001) with no complete response in any carcinoid patient, median progression-free survival 22.7 versus 16.1 months and median overall survival 33.8 versus 23.2 months. Within the carcinoid group bland embolisation outperformed chemoembolisation on response, 81.0% versus 44.4% (odds ratio 6.41, 1.97–20.84, P=0.002), with no difference in progression-free or overall survival. Plan staged treatment, liver reserve, biliary infection precautions and a carcinoid-crisis response.</w:t>
      </w:r>
    </w:p>
    <w:p>
      <w:pPr>
        <w:spacing w:after="50"/>
        <w:ind w:left="240"/>
      </w:pPr>
      <w:r>
        <w:rPr>
          <w:b/>
          <w:bCs/>
          <w:color w:val="8C2F26"/>
          <w:sz w:val="18"/>
          <w:szCs w:val="18"/>
        </w:rPr>
        <w:t xml:space="preserve">Caveat. </w:t>
      </w:r>
      <w:r>
        <w:rPr>
          <w:color w:val="15181F"/>
          <w:sz w:val="18"/>
          <w:szCs w:val="18"/>
        </w:rPr>
        <w:t xml:space="preserve">Serious adverse events followed 25 embolisation sessions (8.5%) in 19 patients in that series — hepatorenal syndrome in 7, sepsis in 6, hepatic abscess in 2 and one death — and major complications ran 27.3% where liver involvement exceeded 75% against 12.9% below it, a difference that did not reach significance (P=0.11). ENETS 2024 generally prefers bland embolisation in small-intestine NET; ENETS 2023 says the opposite for functioning pancreatic NET, calling chemoembolisation possibly more effective.</w:t>
      </w:r>
    </w:p>
    <w:p>
      <w:pPr>
        <w:spacing w:after="60" w:line="276"/>
        <w:ind w:left="240"/>
      </w:pPr>
      <w:r>
        <w:rPr>
          <w:color w:val="5A6069"/>
          <w:sz w:val="16"/>
          <w:szCs w:val="16"/>
        </w:rPr>
        <w:t xml:space="preserve">Sources: Gupta embolisation; RETNET protocol; ENETS 2024 small intestine</w:t>
      </w:r>
    </w:p>
    <w:p>
      <w:pPr>
        <w:spacing w:after="50" w:before="120"/>
        <w:ind w:left="240"/>
      </w:pPr>
      <w:r>
        <w:rPr>
          <w:b/>
          <w:bCs/>
          <w:color w:val="15181F"/>
          <w:sz w:val="19"/>
          <w:szCs w:val="19"/>
        </w:rPr>
        <w:t xml:space="preserve">Radioembolisation — Y-90 or holmium-166</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Revised local position, Reasonable consideration: selected lobar or segmental liver-dominant control, not restricted to last resort. A phenotype-selected alternative to bland or conventional chemoembolisation, which may be used earlier when justified; NCCN permits it especially for lobar or segmental distribution or prior Whipple or biliary instrumentation, where embolic infection risk may be lower.</w:t>
      </w:r>
    </w:p>
    <w:p>
      <w:pPr>
        <w:spacing w:after="50" w:line="276"/>
        <w:ind w:left="240"/>
      </w:pPr>
      <w:r>
        <w:rPr>
          <w:color w:val="15181F"/>
          <w:sz w:val="18"/>
          <w:szCs w:val="18"/>
        </w:rPr>
        <w:t xml:space="preserve">Lobar or segmental liver-dominant disease with a positive rationale stated. In a 10-centre series of 148 patients and 185 treatments, imaging response at 3 months was partial in 112 treatments (60.5%) and complete in 5 (2.7%), with median survival 70 months from first treatment. Adding 166Ho-SIRT to PRRT in 24 matched pairs gave 2-year hepatic progression-free survival 82% (57–96) versus 50% (28–72) and best objective response 71% versus 25%.</w:t>
      </w:r>
    </w:p>
    <w:p>
      <w:pPr>
        <w:spacing w:after="50"/>
        <w:ind w:left="240"/>
      </w:pPr>
      <w:r>
        <w:rPr>
          <w:b/>
          <w:bCs/>
          <w:color w:val="8C2F26"/>
          <w:sz w:val="18"/>
          <w:szCs w:val="18"/>
        </w:rPr>
        <w:t xml:space="preserve">Caveat. </w:t>
      </w:r>
      <w:r>
        <w:rPr>
          <w:color w:val="15181F"/>
          <w:sz w:val="18"/>
          <w:szCs w:val="18"/>
        </w:rPr>
        <w:t xml:space="preserve">Weigh late hepatic injury, bilobar treatment, prior radiation and future PRRT. Imaging signs of cirrhosis-like morphology or portal hypertension appeared in 15 of 52 patients (29%) followed beyond a year, more often after bilobar treatment though no single finding reached significance, and ALP and AST elevations were still present in the 11 followed beyond four years. In that same single-centre cohort of 93 patients median survival was 28.0 months, not 70, and baseline findings changed the conversation entirely: 7.3 months with ascites versus 53.8 without, and 21.1 months with extrahepatic disease versus 58.0 without. A long expected survival raises the threshold for radioembolisation rather than lowering it.</w:t>
      </w:r>
    </w:p>
    <w:p>
      <w:pPr>
        <w:spacing w:after="60" w:line="276"/>
        <w:ind w:left="240"/>
      </w:pPr>
      <w:r>
        <w:rPr>
          <w:color w:val="5A6069"/>
          <w:sz w:val="16"/>
          <w:szCs w:val="16"/>
        </w:rPr>
        <w:t xml:space="preserve">Sources: Kennedy Y-90; Y-90 late toxicity; HEPAR PLuS</w:t>
      </w:r>
    </w:p>
    <w:p>
      <w:pPr>
        <w:spacing w:after="50" w:before="120"/>
        <w:ind w:left="240"/>
      </w:pPr>
      <w:r>
        <w:rPr>
          <w:b/>
          <w:bCs/>
          <w:color w:val="15181F"/>
          <w:sz w:val="19"/>
          <w:szCs w:val="19"/>
        </w:rPr>
        <w:t xml:space="preserve">Thermal ablation</w:t>
      </w:r>
      <w:r>
        <w:rPr>
          <w:color w:val="5A6069"/>
          <w:sz w:val="15"/>
          <w:szCs w:val="15"/>
        </w:rPr>
        <w:t xml:space="preserve">   grade C</w:t>
      </w:r>
      <w:r>
        <w:rPr>
          <w:b/>
          <w:bCs/>
          <w:color w:val="8E5008"/>
          <w:spacing w:val="12"/>
          <w:sz w:val="14"/>
          <w:szCs w:val="14"/>
        </w:rPr>
        <w:t xml:space="preserve">   EXPERTISE</w:t>
      </w:r>
    </w:p>
    <w:p>
      <w:pPr>
        <w:spacing w:after="50" w:line="276"/>
        <w:ind w:left="240"/>
      </w:pPr>
      <w:r>
        <w:rPr>
          <w:color w:val="15181F"/>
          <w:sz w:val="18"/>
          <w:szCs w:val="18"/>
        </w:rPr>
        <w:t xml:space="preserve">Selected oligometastatic complete local treatment, usually four lesions or fewer each under 3 cm; otherwise cytoreduction, symptom control or treatment of a growing dominant lesion.</w:t>
      </w:r>
    </w:p>
    <w:p>
      <w:pPr>
        <w:spacing w:after="50" w:line="276"/>
        <w:ind w:left="240"/>
      </w:pPr>
      <w:r>
        <w:rPr>
          <w:color w:val="15181F"/>
          <w:sz w:val="18"/>
          <w:szCs w:val="18"/>
        </w:rPr>
        <w:t xml:space="preserve">Safe access, achievable margins, all sites reviewed and a hormone-syndrome plan in place — an upfront local option for suitable oligometastatic disease, or focal salvage.</w:t>
      </w:r>
    </w:p>
    <w:p>
      <w:pPr>
        <w:spacing w:after="50"/>
        <w:ind w:left="240"/>
      </w:pPr>
      <w:r>
        <w:rPr>
          <w:b/>
          <w:bCs/>
          <w:color w:val="8C2F26"/>
          <w:sz w:val="18"/>
          <w:szCs w:val="18"/>
        </w:rPr>
        <w:t xml:space="preserve">Caveat. </w:t>
      </w:r>
      <w:r>
        <w:rPr>
          <w:color w:val="15181F"/>
          <w:sz w:val="18"/>
          <w:szCs w:val="18"/>
        </w:rPr>
        <w:t xml:space="preserve">Separate complete treatment from debulking: there is no established cured fraction, local recurrence per patient was 11% and 22% against per-lesion rates of 6.3% and 7.9%, and long survival after ablation is strongly affected by indolent biology, multimodality salvage and entry criteria that selected the least burdened patients — under 20% liver volume, at most 15 tumours, at most 10 cm.</w:t>
      </w:r>
    </w:p>
    <w:p>
      <w:pPr>
        <w:spacing w:after="60" w:line="276"/>
        <w:ind w:left="240"/>
      </w:pPr>
      <w:r>
        <w:rPr>
          <w:color w:val="5A6069"/>
          <w:sz w:val="16"/>
          <w:szCs w:val="16"/>
        </w:rPr>
        <w:t xml:space="preserve">Sources: Mazzaglia RFA; Akyildiz RFA</w:t>
      </w:r>
    </w:p>
    <w:p>
      <w:pPr>
        <w:spacing w:after="60" w:line="276"/>
        <w:ind w:left="240"/>
      </w:pPr>
      <w:r>
        <w:rPr>
          <w:i/>
          <w:iCs/>
          <w:color w:val="5A6069"/>
          <w:sz w:val="16"/>
          <w:szCs w:val="16"/>
        </w:rPr>
        <w:t xml:space="preserve">Two ratification items sit here. Which embolisation technique is the programme's default is unresolved decision 1: one small randomised TAE versus TACE trial (Maire 2012, 26 patients, cited from ENETS rather than read in full) found no significant 2-year progression-free survival difference but was underpowered, the only prospective three-way comparison is still running, and any choice is expertise and availability. Whether the programme offers radioembolisation at all, and at what point, is unresolved decision 4 — a mandatory exhaustion-of-all-options rule before Y90 is a local restriction and not NCCN. Note also that the shared liver-directed matrix carries RETNET outcome figures: the RETNET paper in this depot is the study protocol and reports no outcome data of any kind, so no efficacy figure on this page is attributed to it, and the matrix entry should be corrected at its source.</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SBRT or ablative radiotherapy can provide local treatment of selected liver targets in well-differentiated NET, particularly where access or anatomy prevents ablation.</w:t>
      </w:r>
    </w:p>
    <w:p>
      <w:pPr>
        <w:spacing w:after="50" w:line="276"/>
        <w:ind w:left="240"/>
      </w:pPr>
      <w:r>
        <w:rPr>
          <w:color w:val="15181F"/>
          <w:sz w:val="18"/>
          <w:szCs w:val="18"/>
        </w:rPr>
        <w:t xml:space="preserve">An alternative focal therapy, or control of oligoprogression, with the continuing systemic or PRRT strategy coordinated.</w:t>
      </w:r>
    </w:p>
    <w:p>
      <w:pPr>
        <w:spacing w:after="50"/>
        <w:ind w:left="240"/>
      </w:pPr>
      <w:r>
        <w:rPr>
          <w:b/>
          <w:bCs/>
          <w:color w:val="8C2F26"/>
          <w:sz w:val="18"/>
          <w:szCs w:val="18"/>
        </w:rPr>
        <w:t xml:space="preserve">Caveat. </w:t>
      </w:r>
      <w:r>
        <w:rPr>
          <w:color w:val="15181F"/>
          <w:sz w:val="18"/>
          <w:szCs w:val="18"/>
        </w:rPr>
        <w:t xml:space="preserve">Evidence is mainly retrospective and there is no established tumour-specific curative benefit. An exceptional plan to treat all oligometastatic disease is labelled definitive local intent with uncertain cure, not proven curative treatment.</w:t>
      </w:r>
    </w:p>
    <w:p>
      <w:pPr>
        <w:spacing w:after="50" w:line="276"/>
        <w:ind w:left="240"/>
      </w:pPr>
      <w:r>
        <w:rPr>
          <w:i/>
          <w:iCs/>
          <w:color w:val="5A6069"/>
          <w:sz w:val="17"/>
          <w:szCs w:val="17"/>
        </w:rPr>
        <w:t xml:space="preserve">There is no NET-specific series; the matrix entry for this modality rests on mixed-histology data.</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Avoid drug-eluting embolics in NET.</w:t>
      </w:r>
    </w:p>
    <w:p>
      <w:pPr>
        <w:spacing w:after="50" w:line="276"/>
        <w:ind w:left="240"/>
      </w:pPr>
      <w:r>
        <w:rPr>
          <w:color w:val="15181F"/>
          <w:sz w:val="18"/>
          <w:szCs w:val="18"/>
        </w:rPr>
        <w:t xml:space="preserve">Bland embolisation or conventional TACE instead, chosen by burden, symptoms, reserve and biliary infection risk.</w:t>
      </w:r>
    </w:p>
    <w:p>
      <w:pPr>
        <w:spacing w:after="50"/>
        <w:ind w:left="240"/>
      </w:pPr>
      <w:r>
        <w:rPr>
          <w:b/>
          <w:bCs/>
          <w:color w:val="8C2F26"/>
          <w:sz w:val="18"/>
          <w:szCs w:val="18"/>
        </w:rPr>
        <w:t xml:space="preserve">Caveat. </w:t>
      </w:r>
      <w:r>
        <w:rPr>
          <w:color w:val="15181F"/>
          <w:sz w:val="18"/>
          <w:szCs w:val="18"/>
        </w:rPr>
        <w:t xml:space="preserve">NCCN says drug-eluting embolics are associated with increased hepatobiliary toxicity in the NET population and are not recommended. The phase 2 DEB-TACE study stopped on its safety endpoint: 7 of 13 patients (54%) developed a biloma, 6 of them after the first procedure, four needed percutaneous drainage, and two had a prolonged infected hospital course and subsequently died.</w:t>
      </w:r>
    </w:p>
    <w:p>
      <w:pPr>
        <w:spacing w:after="50" w:line="276"/>
        <w:ind w:left="240"/>
      </w:pPr>
      <w:r>
        <w:rPr>
          <w:i/>
          <w:iCs/>
          <w:color w:val="5A6069"/>
          <w:sz w:val="17"/>
          <w:szCs w:val="17"/>
        </w:rPr>
        <w:t xml:space="preserve">Downgraded to C because of what the ban is made of. The 13-patient trial is a single-centre interrupted interim analysis with no usable confidence interval around either the 54% biloma rate or the 78% per-lesion response rate; bilomas occurred in the patients with roughly one third the hepatic tumour burden of those without (mean 12% versus 44%, P=0.06), beads were mixed 1:1 with contrast and were invisible on injection with the endpoint judged by operator tactile feedback, and the authors concede this may have caused overembolisation and non-target deposition. The 54% figure is far out of line with the comparator literature the paper itself cites — about 30% biliary injury with none needing drainage in one drug-eluting series and 0% in another using 500 to 700 micrometre particles — so the signal may be technique and bead size rather than the device class. The position is kept because the harm is biliary and irreversible and two patients died; it is a precautionary institutional choice, not a demonstrated class effect. RETNET in the depot is the study protocol and reports no outcome data at all. Its drug-eluting-bead arm was later closed for increased severe complications — reported in the ENETS 2024 guidance, not in the protocol paper — so the trial's practice-changing message came from its 20% serious-adverse-event stopping rule rather than its efficacy question.</w:t>
      </w:r>
    </w:p>
    <w:p>
      <w:pPr>
        <w:spacing w:after="60" w:line="276"/>
        <w:ind w:left="240"/>
      </w:pPr>
      <w:r>
        <w:rPr>
          <w:color w:val="5A6069"/>
          <w:sz w:val="16"/>
          <w:szCs w:val="16"/>
        </w:rPr>
        <w:t xml:space="preserve">Sources: DEB-TACE phase 2; RETNET protocol; ENETS 2024 small intestine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Hepatic arterial infusion has no routine role in this indication.</w:t>
      </w:r>
    </w:p>
    <w:p>
      <w:pPr>
        <w:spacing w:after="50" w:line="276"/>
        <w:ind w:left="240"/>
      </w:pPr>
      <w:r>
        <w:rPr>
          <w:color w:val="15181F"/>
          <w:sz w:val="18"/>
          <w:szCs w:val="18"/>
        </w:rPr>
        <w:t xml:space="preserve">Consider only within a disease-specific study or as an exceptional expert indication.</w:t>
      </w:r>
    </w:p>
    <w:p>
      <w:pPr>
        <w:spacing w:after="50"/>
        <w:ind w:left="240"/>
      </w:pPr>
      <w:r>
        <w:rPr>
          <w:b/>
          <w:bCs/>
          <w:color w:val="8C2F26"/>
          <w:sz w:val="18"/>
          <w:szCs w:val="18"/>
        </w:rPr>
        <w:t xml:space="preserve">Caveat. </w:t>
      </w:r>
      <w:r>
        <w:rPr>
          <w:color w:val="15181F"/>
          <w:sz w:val="18"/>
          <w:szCs w:val="18"/>
        </w:rPr>
        <w:t xml:space="preserve">Do not transfer colorectal or intrahepatic cholangiocarcinoma pump evidence across histologies; there is no dedicated NELM data.</w:t>
      </w:r>
    </w:p>
    <w:p>
      <w:pPr>
        <w:spacing w:after="60" w:before="180"/>
      </w:pPr>
      <w:r>
        <w:rPr>
          <w:b/>
          <w:bCs/>
          <w:color w:val="8C2F26"/>
          <w:spacing w:val="16"/>
          <w:sz w:val="16"/>
          <w:szCs w:val="16"/>
        </w:rPr>
        <w:t xml:space="preserve">AVOID</w:t>
      </w:r>
      <w:r>
        <w:rPr>
          <w:color w:val="5A6069"/>
          <w:sz w:val="16"/>
          <w:szCs w:val="16"/>
        </w:rPr>
        <w:t xml:space="preserve">   grade D</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Histotripsy is investigational here: trial or institutional registry only.</w:t>
      </w:r>
    </w:p>
    <w:p>
      <w:pPr>
        <w:spacing w:after="50" w:line="276"/>
        <w:ind w:left="240"/>
      </w:pPr>
      <w:r>
        <w:rPr>
          <w:color w:val="15181F"/>
          <w:sz w:val="18"/>
          <w:szCs w:val="18"/>
        </w:rPr>
        <w:t xml:space="preserve">Only with explicit consent about oncologic uncertainty, suitable ultrasound visibility and acoustic access, device-compliant target size and depth, an independent standard-treatment review, and functional-syndrome precautions.</w:t>
      </w:r>
    </w:p>
    <w:p>
      <w:pPr>
        <w:spacing w:after="50"/>
        <w:ind w:left="240"/>
      </w:pPr>
      <w:r>
        <w:rPr>
          <w:b/>
          <w:bCs/>
          <w:color w:val="8C2F26"/>
          <w:sz w:val="18"/>
          <w:szCs w:val="18"/>
        </w:rPr>
        <w:t xml:space="preserve">Caveat. </w:t>
      </w:r>
      <w:r>
        <w:rPr>
          <w:color w:val="15181F"/>
          <w:sz w:val="18"/>
          <w:szCs w:val="18"/>
        </w:rPr>
        <w:t xml:space="preserve">FDA device clearance for tumour destruction does not establish survival benefit or equivalence to established ablation, and there is no tumour-specific curative evidence. A bridge-to-transplant use remains protocol-based: a technical response does not establish transplant eligibility.</w:t>
      </w:r>
    </w:p>
    <w:p>
      <w:pPr>
        <w:spacing w:after="50" w:line="276"/>
        <w:ind w:left="240"/>
      </w:pPr>
      <w:r>
        <w:rPr>
          <w:i/>
          <w:iCs/>
          <w:color w:val="5A6069"/>
          <w:sz w:val="17"/>
          <w:szCs w:val="17"/>
        </w:rPr>
        <w:t xml:space="preserve">The HOPE4LIVER one-year update reported local control of 63.4% on the primary assessment against 90% post hoc in 47 patients with 52 tumours of mixed histology.</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8 · Functional syndrome and crisis precautions</w:t>
      </w:r>
    </w:p>
    <w:p>
      <w:pPr>
        <w:spacing w:after="140"/>
      </w:pPr>
      <w:r>
        <w:rPr>
          <w:b/>
          <w:bCs/>
          <w:color w:val="176A87"/>
          <w:sz w:val="19"/>
          <w:szCs w:val="19"/>
        </w:rPr>
        <w:t xml:space="preserve">The question. </w:t>
      </w:r>
      <w:r>
        <w:rPr>
          <w:sz w:val="19"/>
          <w:szCs w:val="19"/>
        </w:rPr>
        <w:t xml:space="preserve">Who owns the crisis plan for this operation, and is the rescue drug actually in the room?</w:t>
      </w:r>
    </w:p>
    <w:p>
      <w:pPr>
        <w:spacing w:after="60" w:before="160"/>
      </w:pPr>
      <w:r>
        <w:rPr>
          <w:b/>
          <w:bCs/>
          <w:color w:val="176A87"/>
          <w:spacing w:val="24"/>
          <w:sz w:val="15"/>
          <w:szCs w:val="15"/>
        </w:rPr>
        <w:t xml:space="preserve">ANY ONE OF THE FOLLOWING HAS TO BE IN HAND</w:t>
      </w:r>
    </w:p>
    <w:p>
      <w:pPr>
        <w:pStyle w:val="ListParagraph"/>
        <w:numPr>
          <w:ilvl w:val="0"/>
          <w:numId w:val="2"/>
        </w:numPr>
        <w:spacing w:after="60" w:line="268"/>
      </w:pPr>
      <w:r>
        <w:rPr>
          <w:color w:val="15181F"/>
          <w:sz w:val="18"/>
          <w:szCs w:val="18"/>
        </w:rPr>
        <w:t xml:space="preserve">Carcinoid syndrome or any other documented functional syndrome</w:t>
      </w:r>
    </w:p>
    <w:p>
      <w:pPr>
        <w:pStyle w:val="ListParagraph"/>
        <w:numPr>
          <w:ilvl w:val="0"/>
          <w:numId w:val="2"/>
        </w:numPr>
        <w:spacing w:after="60" w:line="268"/>
      </w:pPr>
      <w:r>
        <w:rPr>
          <w:color w:val="15181F"/>
          <w:sz w:val="18"/>
          <w:szCs w:val="18"/>
        </w:rPr>
        <w:t xml:space="preserve">Markedly raised 5-HIAA or chromogranin A</w:t>
      </w:r>
    </w:p>
    <w:p>
      <w:pPr>
        <w:pStyle w:val="ListParagraph"/>
        <w:numPr>
          <w:ilvl w:val="0"/>
          <w:numId w:val="2"/>
        </w:numPr>
        <w:spacing w:after="60" w:line="268"/>
      </w:pPr>
      <w:r>
        <w:rPr>
          <w:color w:val="15181F"/>
          <w:sz w:val="18"/>
          <w:szCs w:val="18"/>
        </w:rPr>
        <w:t xml:space="preserve">Any planned hepatic procedure, ablation or PRRT course in functional disease</w:t>
      </w:r>
    </w:p>
    <w:p>
      <w:pPr>
        <w:pStyle w:val="ListParagraph"/>
        <w:numPr>
          <w:ilvl w:val="0"/>
          <w:numId w:val="2"/>
        </w:numPr>
        <w:spacing w:after="60" w:line="268"/>
      </w:pPr>
      <w:r>
        <w:rPr>
          <w:color w:val="15181F"/>
          <w:sz w:val="18"/>
          <w:szCs w:val="18"/>
        </w:rPr>
        <w:t xml:space="preserve">Signs or symptoms of carcinoid heart disease</w:t>
      </w:r>
    </w:p>
    <w:p>
      <w:pPr>
        <w:spacing w:after="80" w:line="276"/>
      </w:pPr>
      <w:r>
        <w:rPr>
          <w:color w:val="15181F"/>
          <w:sz w:val="20"/>
          <w:szCs w:val="20"/>
        </w:rPr>
        <w:t xml:space="preserve"/>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Write a procedure-specific crisis plan with a named owner, available rescue octreotide and immediate haemodynamic treatment, for every functional tumour.</w:t>
      </w:r>
    </w:p>
    <w:p>
      <w:pPr>
        <w:spacing w:after="50" w:line="276"/>
        <w:ind w:left="240"/>
      </w:pPr>
      <w:r>
        <w:rPr>
          <w:color w:val="15181F"/>
          <w:sz w:val="18"/>
          <w:szCs w:val="18"/>
        </w:rPr>
        <w:t xml:space="preserve">Every procedure in a functional patient — surgery, ablation, embolisation and PRRT, with anaesthesia and nuclear medicine determining the precautions for each. Treatment is intravenous octreotide 500 to 1000 micrograms at symptom onset, repeated every 5 minutes until control and escalated to a continuous infusion if refractory.</w:t>
      </w:r>
    </w:p>
    <w:p>
      <w:pPr>
        <w:spacing w:after="50"/>
        <w:ind w:left="240"/>
      </w:pPr>
      <w:r>
        <w:rPr>
          <w:b/>
          <w:bCs/>
          <w:color w:val="8C2F26"/>
          <w:sz w:val="18"/>
          <w:szCs w:val="18"/>
        </w:rPr>
        <w:t xml:space="preserve">Caveat. </w:t>
      </w:r>
      <w:r>
        <w:rPr>
          <w:color w:val="15181F"/>
          <w:sz w:val="18"/>
          <w:szCs w:val="18"/>
        </w:rPr>
        <w:t xml:space="preserve">Do not let a plan live in individual memory; this is a named safety process that fails exactly when it is informal. It is not an evidence question and carries no comparative outcome evidence — audit it for adherence.</w:t>
      </w:r>
    </w:p>
    <w:p>
      <w:pPr>
        <w:spacing w:after="50" w:line="276"/>
        <w:ind w:left="240"/>
      </w:pPr>
      <w:r>
        <w:rPr>
          <w:i/>
          <w:iCs/>
          <w:color w:val="5A6069"/>
          <w:sz w:val="17"/>
          <w:szCs w:val="17"/>
        </w:rPr>
        <w:t xml:space="preserve">Highest risk: midgut primary, high hepatic tumour burden, liver metastases, raised 5-HIAA or chromogranin A, prior carcinoid syndrome including carcinoid heart disease, advanced age, and concurrent histamine-releasing drugs. Crisis usually appears 12 to 48 hours after a first PRRT dose but has followed later doses. The source is a narrative review — no search dates, strings, study selection or quality appraisal are reported — whose management advice rests on case reports and small series, with no consensus recorded on how many boluses precede an infusion, on steroid prophylaxis, or on whether PRRT should be re-attempted after a crisis.</w:t>
      </w:r>
    </w:p>
    <w:p>
      <w:pPr>
        <w:spacing w:after="60" w:line="276"/>
        <w:ind w:left="240"/>
      </w:pPr>
      <w:r>
        <w:rPr>
          <w:color w:val="5A6069"/>
          <w:sz w:val="16"/>
          <w:szCs w:val="16"/>
        </w:rPr>
        <w:t xml:space="preserve">Sources: Carcinoid crisis in PRRT; NANETS 2017 surgical</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Give short-acting octreotide before embolisation in patients with hormonal syndromes.</w:t>
      </w:r>
    </w:p>
    <w:p>
      <w:pPr>
        <w:spacing w:after="50" w:line="276"/>
        <w:ind w:left="240"/>
      </w:pPr>
      <w:r>
        <w:rPr>
          <w:color w:val="15181F"/>
          <w:sz w:val="18"/>
          <w:szCs w:val="18"/>
        </w:rPr>
        <w:t xml:space="preserve">Functional disease going to bland embolisation, conventional TACE or radioembolisation: short-acting octreotide 250 to 500 micrograms subcutaneously, or 50 micrograms intravenously, 1 to 2 hours before the procedure.</w:t>
      </w:r>
    </w:p>
    <w:p>
      <w:pPr>
        <w:spacing w:after="50"/>
        <w:ind w:left="240"/>
      </w:pPr>
      <w:r>
        <w:rPr>
          <w:b/>
          <w:bCs/>
          <w:color w:val="8C2F26"/>
          <w:sz w:val="18"/>
          <w:szCs w:val="18"/>
        </w:rPr>
        <w:t xml:space="preserve">Caveat. </w:t>
      </w:r>
      <w:r>
        <w:rPr>
          <w:color w:val="15181F"/>
          <w:sz w:val="18"/>
          <w:szCs w:val="18"/>
        </w:rPr>
        <w:t xml:space="preserve">Octreotide within 48 hours, or octreotide LAR within 28 days, of 177Lu-dotatate can competitively block tumour uptake and reduce efficacy, and no rule defines when prophylaxis is worth that trade-off — decide it explicitly with nuclear medicine rather than by default.</w:t>
      </w:r>
    </w:p>
    <w:p>
      <w:pPr>
        <w:spacing w:after="50" w:line="276"/>
        <w:ind w:left="240"/>
      </w:pPr>
      <w:r>
        <w:rPr>
          <w:i/>
          <w:iCs/>
          <w:color w:val="5A6069"/>
          <w:sz w:val="17"/>
          <w:szCs w:val="17"/>
        </w:rPr>
        <w:t xml:space="preserve">NCCN preserves pre-embolisation octreotide for hormonal syndromes; the roadmap keeps it while refusing the wider claim that prophylaxis prevents crisis.</w:t>
      </w:r>
    </w:p>
    <w:p>
      <w:pPr>
        <w:spacing w:after="60" w:line="276"/>
        <w:ind w:left="240"/>
      </w:pPr>
      <w:r>
        <w:rPr>
          <w:color w:val="5A6069"/>
          <w:sz w:val="16"/>
          <w:szCs w:val="16"/>
        </w:rPr>
        <w:t xml:space="preserve">Sources: Carcinoid crisis in PRRT</w:t>
      </w:r>
    </w:p>
    <w:p>
      <w:pPr>
        <w:spacing w:after="60" w:before="180"/>
      </w:pPr>
      <w:r>
        <w:rPr>
          <w:b/>
          <w:bCs/>
          <w:color w:val="17365D"/>
          <w:spacing w:val="16"/>
          <w:sz w:val="16"/>
          <w:szCs w:val="16"/>
        </w:rPr>
        <w:t xml:space="preserve">STANDARD</w:t>
      </w:r>
      <w:r>
        <w:rPr>
          <w:color w:val="5A6069"/>
          <w:sz w:val="16"/>
          <w:szCs w:val="16"/>
        </w:rPr>
        <w:t xml:space="preserve">   grade C</w:t>
      </w:r>
    </w:p>
    <w:p>
      <w:pPr>
        <w:spacing w:after="60" w:line="276"/>
      </w:pPr>
      <w:r>
        <w:rPr>
          <w:color w:val="15181F"/>
          <w:sz w:val="19"/>
          <w:szCs w:val="19"/>
        </w:rPr>
        <w:t xml:space="preserve">Assess the syndrome and the heart before hepatic procedures, with joint cardiology and anaesthesia review where carcinoid heart disease is significant.</w:t>
      </w:r>
    </w:p>
    <w:p>
      <w:pPr>
        <w:spacing w:after="50" w:line="276"/>
        <w:ind w:left="240"/>
      </w:pPr>
      <w:r>
        <w:rPr>
          <w:color w:val="15181F"/>
          <w:sz w:val="18"/>
          <w:szCs w:val="18"/>
        </w:rPr>
        <w:t xml:space="preserve">Annual echocardiography once serotonin or 5-HIAA exceeds about five times the upper limit of normal, and a low threshold in anyone with signs or symptoms. NCCN: in significant carcinoid heart disease, valve replacement should be done before liver resection if at all possible.</w:t>
      </w:r>
    </w:p>
    <w:p>
      <w:pPr>
        <w:spacing w:after="50"/>
        <w:ind w:left="240"/>
      </w:pPr>
      <w:r>
        <w:rPr>
          <w:b/>
          <w:bCs/>
          <w:color w:val="8C2F26"/>
          <w:sz w:val="18"/>
          <w:szCs w:val="18"/>
        </w:rPr>
        <w:t xml:space="preserve">Caveat. </w:t>
      </w:r>
      <w:r>
        <w:rPr>
          <w:color w:val="15181F"/>
          <w:sz w:val="18"/>
          <w:szCs w:val="18"/>
        </w:rPr>
        <w:t xml:space="preserve">Do not take a functional patient to hepatic resection or transplant evaluation with right-heart disease unassessed — NANETS treats significant carcinoid heart disease as a contraindication to hepatic cytoreduction, because raised right-sided pressure increases the risk of liver surgery.</w:t>
      </w:r>
    </w:p>
    <w:p>
      <w:pPr>
        <w:spacing w:after="50" w:line="276"/>
        <w:ind w:left="240"/>
      </w:pPr>
      <w:r>
        <w:rPr>
          <w:i/>
          <w:iCs/>
          <w:color w:val="5A6069"/>
          <w:sz w:val="17"/>
          <w:szCs w:val="17"/>
        </w:rPr>
        <w:t xml:space="preserve">This closes a gap the earlier draft acknowledged. Whether an explicit echocardiography gate is adopted is alignment area 12 and remains a ratification item.</w:t>
      </w:r>
    </w:p>
    <w:p>
      <w:pPr>
        <w:spacing w:after="60" w:line="276"/>
        <w:ind w:left="240"/>
      </w:pPr>
      <w:r>
        <w:rPr>
          <w:color w:val="5A6069"/>
          <w:sz w:val="16"/>
          <w:szCs w:val="16"/>
        </w:rPr>
        <w:t xml:space="preserve">Sources: NANETS 2017 medical; NANETS 2017 surgical</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Debulking by surgery, interventional radiology or external-beam radiotherapy before a radioligand course is a recognised preventive measure, alongside correction of electrolyte, nutritional and protein deficits.</w:t>
      </w:r>
    </w:p>
    <w:p>
      <w:pPr>
        <w:spacing w:after="50" w:line="276"/>
        <w:ind w:left="240"/>
      </w:pPr>
      <w:r>
        <w:rPr>
          <w:color w:val="15181F"/>
          <w:sz w:val="18"/>
          <w:szCs w:val="18"/>
        </w:rPr>
        <w:t xml:space="preserve">High hepatic burden with a midgut primary and an active syndrome, where cytoreduction is justified on its own terms.</w:t>
      </w:r>
    </w:p>
    <w:p>
      <w:pPr>
        <w:spacing w:after="50"/>
        <w:ind w:left="240"/>
      </w:pPr>
      <w:r>
        <w:rPr>
          <w:b/>
          <w:bCs/>
          <w:color w:val="8C2F26"/>
          <w:sz w:val="18"/>
          <w:szCs w:val="18"/>
        </w:rPr>
        <w:t xml:space="preserve">Caveat. </w:t>
      </w:r>
      <w:r>
        <w:rPr>
          <w:color w:val="15181F"/>
          <w:sz w:val="18"/>
          <w:szCs w:val="18"/>
        </w:rPr>
        <w:t xml:space="preserve">Not as a reason to operate on a patient who would not otherwise be a cytoreduction candidate: the evidence is a narrative review and a single retrospective series.</w:t>
      </w:r>
    </w:p>
    <w:p>
      <w:pPr>
        <w:spacing w:after="60" w:line="276"/>
        <w:ind w:left="240"/>
      </w:pPr>
      <w:r>
        <w:rPr>
          <w:color w:val="5A6069"/>
          <w:sz w:val="16"/>
          <w:szCs w:val="16"/>
        </w:rPr>
        <w:t xml:space="preserve">Sources: Carcinoid crisis in PRRT; NANETS/SNMMI PRRT</w:t>
      </w:r>
    </w:p>
    <w:p>
      <w:pPr>
        <w:spacing w:after="60" w:before="180"/>
      </w:pPr>
      <w:r>
        <w:rPr>
          <w:b/>
          <w:bCs/>
          <w:color w:val="176A87"/>
          <w:spacing w:val="16"/>
          <w:sz w:val="16"/>
          <w:szCs w:val="16"/>
        </w:rPr>
        <w:t xml:space="preserve">REASONABLE</w:t>
      </w:r>
      <w:r>
        <w:rPr>
          <w:color w:val="5A6069"/>
          <w:sz w:val="16"/>
          <w:szCs w:val="16"/>
        </w:rPr>
        <w:t xml:space="preserve">   grade B</w:t>
      </w:r>
    </w:p>
    <w:p>
      <w:pPr>
        <w:spacing w:after="60" w:line="276"/>
      </w:pPr>
      <w:r>
        <w:rPr>
          <w:color w:val="15181F"/>
          <w:sz w:val="19"/>
          <w:szCs w:val="19"/>
        </w:rPr>
        <w:t xml:space="preserve">For refractory carcinoid diarrhoea with stable imaging, telotristat ethyl rather than raising the analogue dose.</w:t>
      </w:r>
    </w:p>
    <w:p>
      <w:pPr>
        <w:spacing w:after="50" w:line="276"/>
        <w:ind w:left="240"/>
      </w:pPr>
      <w:r>
        <w:rPr>
          <w:color w:val="15181F"/>
          <w:sz w:val="18"/>
          <w:szCs w:val="18"/>
        </w:rPr>
        <w:t xml:space="preserve">Diarrhoea that persists on a standard-dose analogue while imaging is stable — the hormone problem, not the tumour problem. NANETS reached consensus on this from TELESTAR, in which telotristat ethyl 500 mg three times daily reduced daily bowel movements by 35%.</w:t>
      </w:r>
    </w:p>
    <w:p>
      <w:pPr>
        <w:spacing w:after="50"/>
        <w:ind w:left="240"/>
      </w:pPr>
      <w:r>
        <w:rPr>
          <w:b/>
          <w:bCs/>
          <w:color w:val="8C2F26"/>
          <w:sz w:val="18"/>
          <w:szCs w:val="18"/>
        </w:rPr>
        <w:t xml:space="preserve">Caveat. </w:t>
      </w:r>
      <w:r>
        <w:rPr>
          <w:color w:val="15181F"/>
          <w:sz w:val="18"/>
          <w:szCs w:val="18"/>
        </w:rPr>
        <w:t xml:space="preserve">Escalating the analogue dose for diarrhoea and calling it tumour control; state which problem is being treated.</w:t>
      </w:r>
    </w:p>
    <w:p>
      <w:pPr>
        <w:spacing w:after="60" w:line="276"/>
        <w:ind w:left="240"/>
      </w:pPr>
      <w:r>
        <w:rPr>
          <w:color w:val="5A6069"/>
          <w:sz w:val="16"/>
          <w:szCs w:val="16"/>
        </w:rPr>
        <w:t xml:space="preserve">Sources: NANETS 2017 medical</w:t>
      </w:r>
    </w:p>
    <w:p>
      <w:pPr>
        <w:spacing w:after="60" w:before="180"/>
      </w:pPr>
      <w:r>
        <w:rPr>
          <w:b/>
          <w:bCs/>
          <w:color w:val="8C2F26"/>
          <w:spacing w:val="16"/>
          <w:sz w:val="16"/>
          <w:szCs w:val="16"/>
        </w:rPr>
        <w:t xml:space="preserve">AVOID</w:t>
      </w:r>
      <w:r>
        <w:rPr>
          <w:color w:val="5A6069"/>
          <w:sz w:val="16"/>
          <w:szCs w:val="16"/>
        </w:rPr>
        <w:t xml:space="preserve">   grade B</w:t>
      </w:r>
    </w:p>
    <w:p>
      <w:pPr>
        <w:spacing w:after="60" w:line="276"/>
      </w:pPr>
      <w:r>
        <w:rPr>
          <w:color w:val="15181F"/>
          <w:sz w:val="19"/>
          <w:szCs w:val="19"/>
        </w:rPr>
        <w:t xml:space="preserve">Do not rely on prophylactic octreotide to prevent intraoperative carcinoid crisis, and never let it delay fluids and vasopressors.</w:t>
      </w:r>
    </w:p>
    <w:p>
      <w:pPr>
        <w:spacing w:after="50" w:line="276"/>
        <w:ind w:left="240"/>
      </w:pPr>
      <w:r>
        <w:rPr>
          <w:color w:val="15181F"/>
          <w:sz w:val="18"/>
          <w:szCs w:val="18"/>
        </w:rPr>
        <w:t xml:space="preserve">Be ready to manage crisis with fluids and vasopressors — vasopressin, phenylephrine — as well as octreotide, and treat preparedness rather than prophylaxis as the safeguard.</w:t>
      </w:r>
    </w:p>
    <w:p>
      <w:pPr>
        <w:spacing w:after="50"/>
        <w:ind w:left="240"/>
      </w:pPr>
      <w:r>
        <w:rPr>
          <w:b/>
          <w:bCs/>
          <w:color w:val="8C2F26"/>
          <w:sz w:val="18"/>
          <w:szCs w:val="18"/>
        </w:rPr>
        <w:t xml:space="preserve">Caveat. </w:t>
      </w:r>
      <w:r>
        <w:rPr>
          <w:color w:val="15181F"/>
          <w:sz w:val="18"/>
          <w:szCs w:val="18"/>
        </w:rPr>
        <w:t xml:space="preserve">NCCN states prophylactic octreotide is likely ineffective in preventing intraoperative carcinoid crisis, NANETS 2017 says prevention has not been established, and NANETS 2020 calls the role of analogues in preventing crisis in pancreatic NET undefined.</w:t>
      </w:r>
    </w:p>
    <w:p>
      <w:pPr>
        <w:spacing w:after="50" w:line="276"/>
        <w:ind w:left="240"/>
      </w:pPr>
      <w:r>
        <w:rPr>
          <w:i/>
          <w:iCs/>
          <w:color w:val="5A6069"/>
          <w:sz w:val="17"/>
          <w:szCs w:val="17"/>
        </w:rPr>
        <w:t xml:space="preserve">The roadmap's quoted 1 to 2% incidence during 177Lu-dotatate comes from a narrative review whose authors state the diagnosis lacks agreed criteria and whose own 127 administrations over five years produced no crisis at all — its single adverse event was bronchospasm in a patient with endobronchial carcinoid, attributed to crisis or not on clinical reasoning alone. Surgical series cited by NANETS report intraoperative event rates of 24 to 30% despite octreotide, with liver metastases the strongest predictor in one of them. The NANETS 2017 octreotide recommendation is internally conflicted, stating that the literature does not support prophylaxis while sanctioning an intraoperative infusion of 100 to 500 micrograms per hour as harmless practice. Whether §7 is reframed as crisis preparedness for every patient with neuroendocrine liver metastases is alignment area 11.</w:t>
      </w:r>
    </w:p>
    <w:p>
      <w:pPr>
        <w:spacing w:after="60" w:line="276"/>
        <w:ind w:left="240"/>
      </w:pPr>
      <w:r>
        <w:rPr>
          <w:color w:val="5A6069"/>
          <w:sz w:val="16"/>
          <w:szCs w:val="16"/>
        </w:rPr>
        <w:t xml:space="preserve">Sources: Carcinoid crisis in PRRT; NANETS 2017 surgical; NANETS 2020 surgical</w:t>
      </w:r>
    </w:p>
    <w:p>
      <w:pPr>
        <w:pBdr>
          <w:bottom w:val="single" w:color="D3DCE4" w:sz="6" w:space="1"/>
        </w:pBdr>
        <w:spacing w:after="80"/>
      </w:pPr>
    </w:p>
    <w:p>
      <w:pPr>
        <w:pStyle w:val="Heading2"/>
        <w:keepNext/>
        <w:pageBreakBefore/>
        <w:spacing w:after="110" w:before="240"/>
      </w:pPr>
      <w:r>
        <w:rPr>
          <w:rFonts w:ascii="Cambria" w:cs="Cambria" w:eastAsia="Cambria" w:hAnsi="Cambria"/>
          <w:b/>
          <w:bCs/>
          <w:color w:val="17365D"/>
          <w:sz w:val="26"/>
          <w:szCs w:val="26"/>
        </w:rPr>
        <w:t xml:space="preserve">9 · Transplant candidate</w:t>
      </w:r>
    </w:p>
    <w:p>
      <w:pPr>
        <w:spacing w:after="140"/>
      </w:pPr>
      <w:r>
        <w:rPr>
          <w:b/>
          <w:bCs/>
          <w:color w:val="176A87"/>
          <w:sz w:val="19"/>
          <w:szCs w:val="19"/>
        </w:rPr>
        <w:t xml:space="preserve">The question. </w:t>
      </w:r>
      <w:r>
        <w:rPr>
          <w:sz w:val="19"/>
          <w:szCs w:val="19"/>
        </w:rPr>
        <w:t xml:space="preserve">Is this patient inside the transplant criteria, and is it our protocol or the allocation route that stops us?</w:t>
      </w:r>
    </w:p>
    <w:p>
      <w:pPr>
        <w:spacing w:after="60" w:before="160"/>
      </w:pPr>
      <w:r>
        <w:rPr>
          <w:b/>
          <w:bCs/>
          <w:color w:val="176A87"/>
          <w:spacing w:val="24"/>
          <w:sz w:val="15"/>
          <w:szCs w:val="15"/>
        </w:rPr>
        <w:t xml:space="preserve">ALL OF THE FOLLOWING HAVE TO BE IN HAND</w:t>
      </w:r>
    </w:p>
    <w:p>
      <w:pPr>
        <w:pStyle w:val="ListParagraph"/>
        <w:numPr>
          <w:ilvl w:val="0"/>
          <w:numId w:val="2"/>
        </w:numPr>
        <w:spacing w:after="60" w:line="268"/>
      </w:pPr>
      <w:r>
        <w:rPr>
          <w:color w:val="15181F"/>
          <w:sz w:val="18"/>
          <w:szCs w:val="18"/>
        </w:rPr>
        <w:t xml:space="preserve">Well or moderately differentiated G1/G2 NET, Ki-67 under 20% and mitotic rate under 20 per 10 high-power fields</w:t>
      </w:r>
    </w:p>
    <w:p>
      <w:pPr>
        <w:pStyle w:val="ListParagraph"/>
        <w:numPr>
          <w:ilvl w:val="0"/>
          <w:numId w:val="2"/>
        </w:numPr>
        <w:spacing w:after="60" w:line="268"/>
      </w:pPr>
      <w:r>
        <w:rPr>
          <w:color w:val="15181F"/>
          <w:sz w:val="18"/>
          <w:szCs w:val="18"/>
        </w:rPr>
        <w:t xml:space="preserve">Gastroenteropancreatic primary with portal venous drainage, resected together with all extrahepatic disease, no recurrence for at least six months</w:t>
      </w:r>
    </w:p>
    <w:p>
      <w:pPr>
        <w:pStyle w:val="ListParagraph"/>
        <w:numPr>
          <w:ilvl w:val="0"/>
          <w:numId w:val="2"/>
        </w:numPr>
        <w:spacing w:after="60" w:line="268"/>
      </w:pPr>
      <w:r>
        <w:rPr>
          <w:color w:val="15181F"/>
          <w:sz w:val="18"/>
          <w:szCs w:val="18"/>
        </w:rPr>
        <w:t xml:space="preserve">Unresectable disease limited to the liver, with no extrahepatic disease on functional imaging</w:t>
      </w:r>
    </w:p>
    <w:p>
      <w:pPr>
        <w:pStyle w:val="ListParagraph"/>
        <w:numPr>
          <w:ilvl w:val="0"/>
          <w:numId w:val="2"/>
        </w:numPr>
        <w:spacing w:after="60" w:line="268"/>
      </w:pPr>
      <w:r>
        <w:rPr>
          <w:color w:val="15181F"/>
          <w:sz w:val="18"/>
          <w:szCs w:val="18"/>
        </w:rPr>
        <w:t xml:space="preserve">Approved local protocol, registry entry and a nonstandard review-board submission</w:t>
      </w:r>
    </w:p>
    <w:p>
      <w:pPr>
        <w:pStyle w:val="ListParagraph"/>
        <w:numPr>
          <w:ilvl w:val="0"/>
          <w:numId w:val="2"/>
        </w:numPr>
        <w:spacing w:after="60" w:line="268"/>
      </w:pPr>
      <w:r>
        <w:rPr>
          <w:color w:val="15181F"/>
          <w:sz w:val="18"/>
          <w:szCs w:val="18"/>
        </w:rPr>
        <w:t xml:space="preserve">Significant carcinoid heart disease and functional syndrome assessed</w:t>
      </w:r>
    </w:p>
    <w:p>
      <w:pPr>
        <w:spacing w:after="80" w:line="276"/>
      </w:pPr>
      <w:r>
        <w:rPr>
          <w:color w:val="15181F"/>
          <w:sz w:val="20"/>
          <w:szCs w:val="20"/>
        </w:rPr>
        <w:t xml:space="preserve"/>
      </w:r>
    </w:p>
    <w:p>
      <w:pPr>
        <w:spacing w:after="60" w:before="180"/>
      </w:pPr>
      <w:r>
        <w:rPr>
          <w:b/>
          <w:bCs/>
          <w:color w:val="176A87"/>
          <w:spacing w:val="16"/>
          <w:sz w:val="16"/>
          <w:szCs w:val="16"/>
        </w:rPr>
        <w:t xml:space="preserve">REASONABLE</w:t>
      </w:r>
      <w:r>
        <w:rPr>
          <w:color w:val="5A6069"/>
          <w:sz w:val="16"/>
          <w:szCs w:val="16"/>
        </w:rPr>
        <w:t xml:space="preserve">   grade C</w:t>
      </w:r>
      <w:r>
        <w:rPr>
          <w:b/>
          <w:bCs/>
          <w:color w:val="8E5008"/>
          <w:spacing w:val="12"/>
          <w:sz w:val="14"/>
          <w:szCs w:val="14"/>
        </w:rPr>
        <w:t xml:space="preserve">   PROTOCOL</w:t>
      </w:r>
      <w:r>
        <w:rPr>
          <w:b/>
          <w:bCs/>
          <w:color w:val="8E5008"/>
          <w:spacing w:val="12"/>
          <w:sz w:val="14"/>
          <w:szCs w:val="14"/>
        </w:rPr>
        <w:t xml:space="preserve">   REGISTRY</w:t>
      </w:r>
    </w:p>
    <w:p>
      <w:pPr>
        <w:spacing w:after="60" w:line="276"/>
      </w:pPr>
      <w:r>
        <w:rPr>
          <w:color w:val="15181F"/>
          <w:sz w:val="19"/>
          <w:szCs w:val="19"/>
        </w:rPr>
        <w:t xml:space="preserve">Offer transplantation only within a trial or prospective registry, under restrictive criteria, through the nonstandard Adult Transplant Oncology Review Board route scored at MMaT-3.</w:t>
      </w:r>
    </w:p>
    <w:p>
      <w:pPr>
        <w:spacing w:after="50" w:line="276"/>
        <w:ind w:left="240"/>
      </w:pPr>
      <w:r>
        <w:rPr>
          <w:color w:val="15181F"/>
          <w:sz w:val="18"/>
          <w:szCs w:val="18"/>
        </w:rPr>
        <w:t xml:space="preserve">A young patient with liver-limited, unresectable, well-differentiated disease whose primary has been out for at least six months without recurrence, who has shown stability under observation, and who will be entered in the registry. In the Milan series 280 referrals produced 88 patients meeting Milan-NET criteria, of whom 42 were transplanted and 46 were not, the split driven by waiting-list capacity, age and patient refusal: 5- and 10-year overall survival were 97.2% and 88.8% with transplantation versus 50.9% and 22.4% without, median not reached versus 62 months. A later single-centre comparison from the same unit, 104 Milan-in patients of whom 48 were transplanted and 56 resected, found 10-year survival 93% versus 75% and disease-free survival 52% versus 18%.</w:t>
      </w:r>
    </w:p>
    <w:p>
      <w:pPr>
        <w:spacing w:after="50"/>
        <w:ind w:left="240"/>
      </w:pPr>
      <w:r>
        <w:rPr>
          <w:b/>
          <w:bCs/>
          <w:color w:val="8C2F26"/>
          <w:sz w:val="18"/>
          <w:szCs w:val="18"/>
        </w:rPr>
        <w:t xml:space="preserve">Caveat. </w:t>
      </w:r>
      <w:r>
        <w:rPr>
          <w:color w:val="15181F"/>
          <w:sz w:val="18"/>
          <w:szCs w:val="18"/>
        </w:rPr>
        <w:t xml:space="preserve">Allocation eligibility does not establish routine clinical benefit, and NCCN deems liver transplantation investigational, acknowledging the considerable associated risks. Neuroendocrine liver metastasis is not a standardised OPTN MELD exception: use the nonstandard 'other liver cancer or tumour, specify' pathway with a written narrative, and confirm the current OPTN policy text before any listing decision.</w:t>
      </w:r>
    </w:p>
    <w:p>
      <w:pPr>
        <w:spacing w:after="50" w:line="276"/>
        <w:ind w:left="240"/>
      </w:pPr>
      <w:r>
        <w:rPr>
          <w:i/>
          <w:iCs/>
          <w:color w:val="5A6069"/>
          <w:sz w:val="17"/>
          <w:szCs w:val="17"/>
        </w:rPr>
        <w:t xml:space="preserve">Read the evidence with its selection in view. Allocation in the Milan series was non-randomised, recipients were 15 years younger (median 40.5 versus 55.5 years) in a cohort where age was itself an independent predictor of death, and 18 of the 22 patients who declined transplant did so because they judged their own health normal, so the comparison arm is self-selected on wellbeing. Propensity score could not be matched on in 88 patients and entered only as a covariate; the adjusted transplant survival benefit was 6.82 months at 5 years (95% CI 1.10–12.54) rising to 38.43 months at 10 years (21.41–55.45), with an adjusted hazard ratio for death without transplant of 7.4 (2.4–23.0). The non-transplant arm predates current therapy — 8.7% had PRRT, 2.2% targeted agents, none had cytoreductive liver resection — and WHO 2010 review reclassified 8.7% of them as G3 against 0% of recipients. 37 of 42 grafts (88%) were marginal quality. The resection comparison reports univariate analysis only, with transplant recipients younger, more heavily involved (59% versus 21% above 25% liver involvement), higher Ki-67, node-positive primaries in 79% versus 18%, and selected by a test of time — median 38.5 months from primary resection to liver surgery versus 6.5 months — while the resection arm had no routine lymphadenectomy and 11% R1. Six of the nine deaths after transplantation were attributed to transplant sequelae rather than cancer. Sufficient to justify a protocol; not sufficient to make transplantation a routine option.</w:t>
      </w:r>
    </w:p>
    <w:p>
      <w:pPr>
        <w:spacing w:after="60" w:line="276"/>
        <w:ind w:left="240"/>
      </w:pPr>
      <w:r>
        <w:rPr>
          <w:color w:val="5A6069"/>
          <w:sz w:val="16"/>
          <w:szCs w:val="16"/>
        </w:rPr>
        <w:t xml:space="preserve">Sources: Milan-NET transplant; Resection vs transplant</w:t>
      </w:r>
    </w:p>
    <w:p>
      <w:pPr>
        <w:spacing w:after="60" w:before="180"/>
      </w:pPr>
      <w:r>
        <w:rPr>
          <w:b/>
          <w:bCs/>
          <w:color w:val="17365D"/>
          <w:spacing w:val="16"/>
          <w:sz w:val="16"/>
          <w:szCs w:val="16"/>
        </w:rPr>
        <w:t xml:space="preserve">STANDARD</w:t>
      </w:r>
      <w:r>
        <w:rPr>
          <w:color w:val="5A6069"/>
          <w:sz w:val="16"/>
          <w:szCs w:val="16"/>
        </w:rPr>
        <w:t xml:space="preserve">   grade D</w:t>
      </w:r>
    </w:p>
    <w:p>
      <w:pPr>
        <w:spacing w:after="60" w:line="276"/>
      </w:pPr>
      <w:r>
        <w:rPr>
          <w:color w:val="15181F"/>
          <w:sz w:val="19"/>
          <w:szCs w:val="19"/>
        </w:rPr>
        <w:t xml:space="preserve">Hold the allocation record and the renewal ownership from the start: diagnosis and histology, baseline burden, primary and last-treatment dates, serial response imaging, extrahepatic staging, request and extension dates, score route, and named coordinator and physician sign-off.</w:t>
      </w:r>
    </w:p>
    <w:p>
      <w:pPr>
        <w:spacing w:after="50" w:line="276"/>
        <w:ind w:left="240"/>
      </w:pPr>
      <w:r>
        <w:rPr>
          <w:color w:val="15181F"/>
          <w:sz w:val="18"/>
          <w:szCs w:val="18"/>
        </w:rPr>
        <w:t xml:space="preserve">Every candidate from first submission. MMaT means median MELD at transplant for the donor hospital used in the match run, not a fixed national score; an MMaT-relative exception below 15 is assigned 15 under Policy 9.4.E, and exceptions generally require 90-day extensions under 9.4.C.</w:t>
      </w:r>
    </w:p>
    <w:p>
      <w:pPr>
        <w:spacing w:after="50"/>
        <w:ind w:left="240"/>
      </w:pPr>
      <w:r>
        <w:rPr>
          <w:b/>
          <w:bCs/>
          <w:color w:val="8C2F26"/>
          <w:sz w:val="18"/>
          <w:szCs w:val="18"/>
        </w:rPr>
        <w:t xml:space="preserve">Caveat. </w:t>
      </w:r>
      <w:r>
        <w:rPr>
          <w:color w:val="15181F"/>
          <w:sz w:val="18"/>
          <w:szCs w:val="18"/>
        </w:rPr>
        <w:t xml:space="preserve">Do not let the imaging-timing wording drift. The guidance requires radiologic workup for extrahepatic disease 'at least 3 months prior to initial or extension MELD exception request (submit date)', including somatostatin-receptor scintigraphy or Ga-68 imaging or PET; that wording is reproduced rather than changed to 'within three months', and the intended timing is confirmed with the review process before filing while current clinical staging is kept.</w:t>
      </w:r>
    </w:p>
    <w:p>
      <w:pPr>
        <w:spacing w:after="50" w:line="276"/>
        <w:ind w:left="240"/>
      </w:pPr>
      <w:r>
        <w:rPr>
          <w:i/>
          <w:iCs/>
          <w:color w:val="5A6069"/>
          <w:sz w:val="17"/>
          <w:szCs w:val="17"/>
        </w:rPr>
        <w:t xml:space="preserve">Reassess eligibility at progression, recurrence, new extrahepatic findings and each extension. Exploratory laparoscopy or laparotomy is not required for the exception.</w:t>
      </w:r>
    </w:p>
    <w:p>
      <w:pPr>
        <w:spacing w:after="60" w:before="180"/>
      </w:pPr>
      <w:r>
        <w:rPr>
          <w:b/>
          <w:bCs/>
          <w:color w:val="176A87"/>
          <w:spacing w:val="16"/>
          <w:sz w:val="16"/>
          <w:szCs w:val="16"/>
        </w:rPr>
        <w:t xml:space="preserve">REASONABLE</w:t>
      </w:r>
      <w:r>
        <w:rPr>
          <w:color w:val="5A6069"/>
          <w:sz w:val="16"/>
          <w:szCs w:val="16"/>
        </w:rPr>
        <w:t xml:space="preserve">   grade C</w:t>
      </w:r>
    </w:p>
    <w:p>
      <w:pPr>
        <w:spacing w:after="60" w:line="276"/>
      </w:pPr>
      <w:r>
        <w:rPr>
          <w:color w:val="15181F"/>
          <w:sz w:val="19"/>
          <w:szCs w:val="19"/>
        </w:rPr>
        <w:t xml:space="preserve">Where disease is limited enough to clear, compare resection and cytoreduction against transplantation at the same board before listing.</w:t>
      </w:r>
    </w:p>
    <w:p>
      <w:pPr>
        <w:spacing w:after="50" w:line="276"/>
        <w:ind w:left="240"/>
      </w:pPr>
      <w:r>
        <w:rPr>
          <w:color w:val="15181F"/>
          <w:sz w:val="18"/>
          <w:szCs w:val="18"/>
        </w:rPr>
        <w:t xml:space="preserve">Favourable-biology patients are often cytoreduction candidates too, and organ scarcity limits transplantation; ENETS 2024 reduces transplantation to a rare consideration in selected individuals after resecting the primary to leave liver-only disease.</w:t>
      </w:r>
    </w:p>
    <w:p>
      <w:pPr>
        <w:spacing w:after="50"/>
        <w:ind w:left="240"/>
      </w:pPr>
      <w:r>
        <w:rPr>
          <w:b/>
          <w:bCs/>
          <w:color w:val="8C2F26"/>
          <w:sz w:val="18"/>
          <w:szCs w:val="18"/>
        </w:rPr>
        <w:t xml:space="preserve">Caveat. </w:t>
      </w:r>
      <w:r>
        <w:rPr>
          <w:color w:val="15181F"/>
          <w:sz w:val="18"/>
          <w:szCs w:val="18"/>
        </w:rPr>
        <w:t xml:space="preserve">Do not list a patient whose disease a hepatectomy would clear — limited disease amenable to curative liver resection excluded 75 of 280 referrals in the Milan series.</w:t>
      </w:r>
    </w:p>
    <w:p>
      <w:pPr>
        <w:spacing w:after="50" w:line="276"/>
        <w:ind w:left="240"/>
      </w:pPr>
      <w:r>
        <w:rPr>
          <w:i/>
          <w:iCs/>
          <w:color w:val="5A6069"/>
          <w:sz w:val="17"/>
          <w:szCs w:val="17"/>
        </w:rPr>
        <w:t xml:space="preserve">Recurrence after transplantation is predominantly extrahepatic and late (median disease-free interval 78 months, with the liver involved in 2 of 25 recurrences) while after resection it is intrahepatic and early (24 months, liver involved in 37 of 42); 17 of 19 resection deaths were cancer-related, almost all from intrahepatic progression to liver failure. That contrast is the strongest argument for transplantation on this page, and it comes from an unadjusted comparison of two cohorts accrued over 36 years.</w:t>
      </w:r>
    </w:p>
    <w:p>
      <w:pPr>
        <w:spacing w:after="60" w:line="276"/>
        <w:ind w:left="240"/>
      </w:pPr>
      <w:r>
        <w:rPr>
          <w:color w:val="5A6069"/>
          <w:sz w:val="16"/>
          <w:szCs w:val="16"/>
        </w:rPr>
        <w:t xml:space="preserve">Sources: NANETS 2017 surgical; ENETS 2024 small intestine</w:t>
      </w:r>
    </w:p>
    <w:p>
      <w:pPr>
        <w:spacing w:after="60" w:before="180"/>
      </w:pPr>
      <w:r>
        <w:rPr>
          <w:b/>
          <w:bCs/>
          <w:color w:val="8C2F26"/>
          <w:spacing w:val="16"/>
          <w:sz w:val="16"/>
          <w:szCs w:val="16"/>
        </w:rPr>
        <w:t xml:space="preserve">AVOID</w:t>
      </w:r>
      <w:r>
        <w:rPr>
          <w:color w:val="5A6069"/>
          <w:sz w:val="16"/>
          <w:szCs w:val="16"/>
        </w:rPr>
        <w:t xml:space="preserve">   grade D</w:t>
      </w:r>
    </w:p>
    <w:p>
      <w:pPr>
        <w:spacing w:after="60" w:line="276"/>
      </w:pPr>
      <w:r>
        <w:rPr>
          <w:color w:val="15181F"/>
          <w:sz w:val="19"/>
          <w:szCs w:val="19"/>
        </w:rPr>
        <w:t xml:space="preserve">Do not list G3 disease or neuroendocrine carcinoma, any extrahepatic disease, a patient whose primary is still in place, a patient with no documented observation period, or a patient not entered in the registry.</w:t>
      </w:r>
    </w:p>
    <w:p>
      <w:pPr>
        <w:spacing w:after="50" w:line="276"/>
        <w:ind w:left="240"/>
      </w:pPr>
      <w:r>
        <w:rPr>
          <w:color w:val="15181F"/>
          <w:sz w:val="18"/>
          <w:szCs w:val="18"/>
        </w:rPr>
        <w:t xml:space="preserve">Local policy, stated as policy rather than as evidence. Extrahepatic progression, including new Ga-68-positive lymph nodes, calls for delisting; reconsideration may be possible after all extrahepatic disease is resected and absent for at least six months, while extrahepatic solid-organ metastases such as lung or bone are described as permanent exclusion.</w:t>
      </w:r>
    </w:p>
    <w:p>
      <w:pPr>
        <w:spacing w:after="50"/>
        <w:ind w:left="240"/>
      </w:pPr>
      <w:r>
        <w:rPr>
          <w:b/>
          <w:bCs/>
          <w:color w:val="8C2F26"/>
          <w:sz w:val="18"/>
          <w:szCs w:val="18"/>
        </w:rPr>
        <w:t xml:space="preserve">Caveat. </w:t>
      </w:r>
      <w:r>
        <w:rPr>
          <w:color w:val="15181F"/>
          <w:sz w:val="18"/>
          <w:szCs w:val="18"/>
        </w:rPr>
        <w:t xml:space="preserve">Do not treat a local complete response after liver-directed therapy as an automatic transplant exception, and record bridge or downstaging separately from definitive local treatment.</w:t>
      </w:r>
    </w:p>
    <w:p>
      <w:pPr>
        <w:spacing w:after="50" w:line="276"/>
        <w:ind w:left="240"/>
      </w:pPr>
      <w:r>
        <w:rPr>
          <w:i/>
          <w:iCs/>
          <w:color w:val="5A6069"/>
          <w:sz w:val="17"/>
          <w:szCs w:val="17"/>
        </w:rPr>
        <w:t xml:space="preserve">Any centre age or hepatic tumour-burden cutoff must be labelled local or attributed to its selection framework — the supplied guidance specifies none, while the Milan criteria carry an age limit under 60 and under 50% liver involvement and ESMO quotes age under 60 and Ki-67 under 10%. Whether the programme opens a NELM transplant protocol at all is unresolved decision 5.</w:t>
      </w:r>
    </w:p>
    <w:p>
      <w:pPr>
        <w:spacing w:after="60" w:line="276"/>
        <w:ind w:left="240"/>
      </w:pPr>
      <w:r>
        <w:rPr>
          <w:color w:val="5A6069"/>
          <w:sz w:val="16"/>
          <w:szCs w:val="16"/>
        </w:rPr>
        <w:t xml:space="preserve">Sources: Milan-NET transplant</w:t>
      </w:r>
    </w:p>
    <w:p>
      <w:pPr>
        <w:spacing w:after="60" w:before="180"/>
      </w:pPr>
      <w:r>
        <w:rPr>
          <w:b/>
          <w:bCs/>
          <w:color w:val="8C2F26"/>
          <w:spacing w:val="16"/>
          <w:sz w:val="16"/>
          <w:szCs w:val="16"/>
        </w:rPr>
        <w:t xml:space="preserve">AVOID</w:t>
      </w:r>
      <w:r>
        <w:rPr>
          <w:color w:val="5A6069"/>
          <w:sz w:val="16"/>
          <w:szCs w:val="16"/>
        </w:rPr>
        <w:t xml:space="preserve">   grade C</w:t>
      </w:r>
    </w:p>
    <w:p>
      <w:pPr>
        <w:spacing w:after="60" w:line="276"/>
      </w:pPr>
      <w:r>
        <w:rPr>
          <w:color w:val="15181F"/>
          <w:sz w:val="19"/>
          <w:szCs w:val="19"/>
        </w:rPr>
        <w:t xml:space="preserve">Do not take the published series' criteria as evidence-derived thresholds.</w:t>
      </w:r>
    </w:p>
    <w:p>
      <w:pPr>
        <w:spacing w:after="50" w:line="276"/>
        <w:ind w:left="240"/>
      </w:pPr>
      <w:r>
        <w:rPr>
          <w:color w:val="15181F"/>
          <w:sz w:val="18"/>
          <w:szCs w:val="18"/>
        </w:rPr>
        <w:t xml:space="preserve">They are protocol conditions: well-differentiated G1–G2 disease, portal-drained primary already resected, liver-only disease, hepatic involvement below a defined threshold, an age limit, and a documented period of stability before listing.</w:t>
      </w:r>
    </w:p>
    <w:p>
      <w:pPr>
        <w:spacing w:after="50"/>
        <w:ind w:left="240"/>
      </w:pPr>
      <w:r>
        <w:rPr>
          <w:b/>
          <w:bCs/>
          <w:color w:val="8C2F26"/>
          <w:sz w:val="18"/>
          <w:szCs w:val="18"/>
        </w:rPr>
        <w:t xml:space="preserve">Caveat. </w:t>
      </w:r>
      <w:r>
        <w:rPr>
          <w:color w:val="15181F"/>
          <w:sz w:val="18"/>
          <w:szCs w:val="18"/>
        </w:rPr>
        <w:t xml:space="preserve">Reading them as a selection rule validated against outcome. The Milan-NET criteria were proposed in 2007, before the cohort they are now quoted from, so the 2016 analysis measures the outcome of patients chosen by the criteria rather than testing the criteria themselves. They do not include nodal status of the primary, yet nodal involvement was the only independent predictor of post-transplant survival in the resection comparison (hazard ratio 5.7, 1.3–24) while liver involvement above 50% and G3 tumour were not — the criteria may be selecting on the wrong variable. ESMO's version of the same thresholds carries level IV evidence and is tighter than several published series.</w:t>
      </w:r>
    </w:p>
    <w:p>
      <w:pPr>
        <w:spacing w:after="60" w:line="276"/>
        <w:ind w:left="240"/>
      </w:pPr>
      <w:r>
        <w:rPr>
          <w:color w:val="5A6069"/>
          <w:sz w:val="16"/>
          <w:szCs w:val="16"/>
        </w:rPr>
        <w:t xml:space="preserve">Sources: ESMO 2020 GEP-NEN; Resection vs transplant</w:t>
      </w:r>
    </w:p>
    <w:p>
      <w:pPr>
        <w:pBdr>
          <w:bottom w:val="single" w:color="D3DCE4" w:sz="6" w:space="1"/>
        </w:pBdr>
        <w:spacing w:after="80"/>
      </w:pPr>
    </w:p>
    <w:p>
      <w:pPr>
        <w:pStyle w:val="Heading1"/>
        <w:keepNext/>
        <w:pageBreakBefore/>
        <w:spacing w:after="110" w:before="320"/>
      </w:pPr>
      <w:r>
        <w:rPr>
          <w:rFonts w:ascii="Cambria" w:cs="Cambria" w:eastAsia="Cambria" w:hAnsi="Cambria"/>
          <w:b/>
          <w:bCs/>
          <w:color w:val="17365D"/>
          <w:sz w:val="32"/>
          <w:szCs w:val="32"/>
        </w:rPr>
        <w:t xml:space="preserve">Quick reference</w:t>
      </w:r>
    </w:p>
    <w:p>
      <w:pPr>
        <w:pStyle w:val="Heading3"/>
        <w:keepNext/>
        <w:spacing w:after="110" w:before="240"/>
      </w:pPr>
      <w:r>
        <w:rPr>
          <w:rFonts w:ascii="Cambria" w:cs="Cambria" w:eastAsia="Cambria" w:hAnsi="Cambria"/>
          <w:b/>
          <w:bCs/>
          <w:color w:val="17365D"/>
          <w:sz w:val="22"/>
          <w:szCs w:val="22"/>
        </w:rPr>
        <w:t xml:space="preserve">Ki-67 thresholds that change the pathway</w:t>
      </w:r>
    </w:p>
    <w:p>
      <w:pPr>
        <w:spacing w:after="120" w:line="276"/>
      </w:pPr>
      <w:r>
        <w:rPr>
          <w:i/>
          <w:iCs/>
          <w:color w:val="5A6069"/>
          <w:sz w:val="18"/>
          <w:szCs w:val="18"/>
        </w:rPr>
        <w:t xml:space="preserve">The numbers that fork this pathway, and what each one permits or bars.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under 10%</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CLARINET population, and where ASCO puts the analogue evidence at its strongest; ESMO caps first-line analogue growth control and debulking for syndrome at this level, and sets watch and wait at Ki-67 under 2%</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10–20%, grade 2</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First-line 177Lu-DOTATATE evidence covers this band — 147 of the 226 NETTER-2 patients were grade 2, and the trial's median Ki-67 was 16%</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under 20% with mitotic rate under 20 per 10 high-power fields</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OPTN review-board grade requirement for a nonstandard NET transplant exception; preserve the stated mitotic units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above 20%, grade 3</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High-grade disease: differentiation must be stated separately, since a well-differentiated G3 tumour and a carcinoma share this range. 79 of 226 NETTER-2 patients were grade 3</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Ki-67 10–55%</w:t>
            </w:r>
          </w:p>
        </w:tc>
        <w:tc>
          <w:tcPr>
            <w:tcW w:type="dxa" w:w="5260"/>
            <w:tcMar>
              <w:top w:type="dxa" w:w="70"/>
              <w:left w:type="dxa" w:w="110"/>
              <w:bottom w:type="dxa" w:w="70"/>
              <w:right w:type="dxa" w:w="110"/>
            </w:tcMar>
            <w:vAlign w:val="top"/>
          </w:tcPr>
          <w:p>
            <w:pPr>
              <w:spacing w:after="0" w:line="276"/>
            </w:pPr>
            <w:r>
              <w:rPr>
                <w:color w:val="15181F"/>
                <w:sz w:val="17"/>
                <w:szCs w:val="17"/>
              </w:rPr>
              <w:t xml:space="preserve">The tested first-line PRRT phenotype in receptor-positive GEP-NET; NCCN says first-line PRRT can be considered here. Above 55% was not studied, and NETTER-2 required uptake score 3 or 4 in every target lesion and excluded anyone with prior embolisation or ablation</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Ki-67 above 55%</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Best discriminator between carcinoma and well-differentiated G3 in ENETS 2023, though that cutoff comes from a single report and the same paper concedes morphology can be ambiguous; in the largest receptor-positive high-grade PRRT series, progression-free survival fell to 4 months and overall survival to 7</w:t>
            </w:r>
          </w:p>
        </w:tc>
      </w:tr>
    </w:tbl>
    <w:p>
      <w:pPr>
        <w:spacing w:after="200" w:line="276"/>
      </w:pPr>
      <w:r>
        <w:rPr>
          <w:i/>
          <w:iCs/>
          <w:color w:val="5A6069"/>
          <w:sz w:val="16"/>
          <w:szCs w:val="16"/>
        </w:rPr>
        <w:t xml:space="preserve">Differentiation is never read off Ki-67. Biopsy with Ki-67 and mitotic count is required before a pathway is assigned, with the index reported exactly and not as a range, and reassessed on every specimen sampled metachronously. A prior history of G1 or G2 disease strongly favours G3 NET over carcinoma if G3 is confirmed.</w:t>
      </w:r>
    </w:p>
    <w:p>
      <w:pPr>
        <w:pStyle w:val="Heading3"/>
        <w:keepNext/>
        <w:spacing w:after="110" w:before="240"/>
      </w:pPr>
      <w:r>
        <w:rPr>
          <w:rFonts w:ascii="Cambria" w:cs="Cambria" w:eastAsia="Cambria" w:hAnsi="Cambria"/>
          <w:b/>
          <w:bCs/>
          <w:color w:val="17365D"/>
          <w:sz w:val="22"/>
          <w:szCs w:val="22"/>
        </w:rPr>
        <w:t xml:space="preserve">Milan-NET transplant criteria</w:t>
      </w:r>
    </w:p>
    <w:p>
      <w:pPr>
        <w:spacing w:after="120" w:line="276"/>
      </w:pPr>
      <w:r>
        <w:rPr>
          <w:i/>
          <w:iCs/>
          <w:color w:val="5A6069"/>
          <w:sz w:val="18"/>
          <w:szCs w:val="18"/>
        </w:rPr>
        <w:t xml:space="preserve">The eligibility rule set from the series that quantified transplant benefit — and the OPTN criteria that any listing is actually judged against.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Confirmed low-grade G1–G2 histology</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required. OPTN: G1/G2, Ki-67 under 20%, mitoses under 20 per 10 HPF</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Primary drained by the portal system, resected with all extrahepatic deposits at a prior curative R0 operation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GEP primary with portal drainage; lower rectum, oesophagus, lung, adrenal and thyroid primaries excluded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Metastatic diffusion under 50% of total liver volume</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required. OPTN: no hepatic tumour-burden cutoff stated — any local limit must be labelled local</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Stable disease or response to therapy for at least six months</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no recurrence of primary or extrahepatic disease for at least six months before the request</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Age under 60 years</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relative criterion. OPTN: no age limit stated; ESMO quotes under 60 with Ki-67 under 10%</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extrahepatic spread at six-month restaging by total-body CT or MRI plus octreoscan or Ga-68 PET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Milan: required. OPTN: functional-imaging workup 'at least 3 months prior to initial or extension request (submit date)' — wording to be clarified before filing</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Carcinoid syndrome</w:t>
            </w:r>
          </w:p>
        </w:tc>
        <w:tc>
          <w:tcPr>
            <w:tcW w:type="dxa" w:w="5260"/>
            <w:tcMar>
              <w:top w:type="dxa" w:w="70"/>
              <w:left w:type="dxa" w:w="110"/>
              <w:bottom w:type="dxa" w:w="70"/>
              <w:right w:type="dxa" w:w="110"/>
            </w:tcMar>
            <w:vAlign w:val="top"/>
          </w:tcPr>
          <w:p>
            <w:pPr>
              <w:spacing w:after="0" w:line="276"/>
            </w:pPr>
            <w:r>
              <w:rPr>
                <w:color w:val="15181F"/>
                <w:sz w:val="17"/>
                <w:szCs w:val="17"/>
              </w:rPr>
              <w:t xml:space="preserve">Milan: explicitly not an exclusion</w:t>
            </w:r>
          </w:p>
        </w:tc>
      </w:tr>
    </w:tbl>
    <w:p>
      <w:pPr>
        <w:spacing w:after="200" w:line="276"/>
      </w:pPr>
      <w:r>
        <w:rPr>
          <w:i/>
          <w:iCs/>
          <w:color w:val="5A6069"/>
          <w:sz w:val="16"/>
          <w:szCs w:val="16"/>
        </w:rPr>
        <w:t xml:space="preserve">These are protocol conditions, not thresholds derived from outcome: the criteria were published in 2007, before the cohort now quoted from them. 88 of 280 referrals met them; 42 were transplanted and 46 were not, the split driven by waiting-list capacity, age and patient refusal, so every survival figure here rests on 42 transplanted patients at one centre over 15 years. Five- and 10-year overall survival were 97.2% and 88.8% with transplantation versus 50.9% and 22.4% without, but recipients were 15 years younger in a cohort where age independently predicted death, 18 of the 22 who declined did so because they judged themselves well, the comparison arm predates current therapy (8.7% PRRT, no cytoreductive resection), and propensity score could only enter as a covariate — giving an adjusted benefit of 6.82 months at 5 years (95% CI 1.10–12.54) and 38.43 months at 10 years (21.41–55.45). 88% of grafts were marginal quality, and 6 of the 9 deaths after transplantation were attributed to transplant sequelae rather than cancer. The criteria do not include nodal status, which was the only independent predictor of post-transplant survival in the resection comparison. NCCN still calls transplantation investigational, and NELM is a nonstandard MMaT-3 exception, not a standardised one.</w:t>
      </w:r>
    </w:p>
    <w:p>
      <w:pPr>
        <w:pStyle w:val="Heading3"/>
        <w:keepNext/>
        <w:spacing w:after="110" w:before="240"/>
      </w:pPr>
      <w:r>
        <w:rPr>
          <w:rFonts w:ascii="Cambria" w:cs="Cambria" w:eastAsia="Cambria" w:hAnsi="Cambria"/>
          <w:b/>
          <w:bCs/>
          <w:color w:val="17365D"/>
          <w:sz w:val="22"/>
          <w:szCs w:val="22"/>
        </w:rPr>
        <w:t xml:space="preserve">Cytoreduction thresholds, and what supports them</w:t>
      </w:r>
    </w:p>
    <w:p>
      <w:pPr>
        <w:spacing w:after="120" w:line="276"/>
      </w:pPr>
      <w:r>
        <w:rPr>
          <w:i/>
          <w:iCs/>
          <w:color w:val="5A6069"/>
          <w:sz w:val="18"/>
          <w:szCs w:val="18"/>
        </w:rPr>
        <w:t xml:space="preserve">Five different debulking targets are in circulation; this is where each comes from.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90% of metastatic disease — NCCN</w:t>
            </w:r>
          </w:p>
        </w:tc>
        <w:tc>
          <w:tcPr>
            <w:tcW w:type="dxa" w:w="5260"/>
            <w:tcMar>
              <w:top w:type="dxa" w:w="70"/>
              <w:left w:type="dxa" w:w="110"/>
              <w:bottom w:type="dxa" w:w="70"/>
              <w:right w:type="dxa" w:w="110"/>
            </w:tcMar>
            <w:vAlign w:val="top"/>
          </w:tcPr>
          <w:p>
            <w:pPr>
              <w:spacing w:after="0" w:line="276"/>
            </w:pPr>
            <w:r>
              <w:rPr>
                <w:color w:val="15181F"/>
                <w:sz w:val="17"/>
                <w:szCs w:val="17"/>
              </w:rPr>
              <w:t xml:space="preserve">May provide symptomatic relief, prevent future symptoms and improve progression-free survival. NANETS 2017 records that the historic 90% figure came from an observation on symptom relief and was never validated as an oncologic threshold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At least 70% of visible liver disease — NANETS 2017, small bowel</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Near consensus with one dissent: any number or size of metastases, intermediate grade and extrahepatic disease allowed if 70% is achievable. Over 70% versus under 70% gave median overall survival not reached versus 6.5 years (P=0.009) and progression-free survival 3.2 versus 1.3 years (P&lt;0.001) — in two retrospective single-institution series from the centres that championed the lower threshold</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More than 70%, individualised — NANETS 2020, pancreas</w:t>
            </w:r>
          </w:p>
        </w:tc>
        <w:tc>
          <w:tcPr>
            <w:tcW w:type="dxa" w:w="5260"/>
            <w:tcMar>
              <w:top w:type="dxa" w:w="70"/>
              <w:left w:type="dxa" w:w="110"/>
              <w:bottom w:type="dxa" w:w="70"/>
              <w:right w:type="dxa" w:w="110"/>
            </w:tcMar>
            <w:vAlign w:val="top"/>
          </w:tcPr>
          <w:p>
            <w:pPr>
              <w:spacing w:after="0" w:line="276"/>
            </w:pPr>
            <w:r>
              <w:rPr>
                <w:color w:val="15181F"/>
                <w:sz w:val="17"/>
                <w:szCs w:val="17"/>
              </w:rPr>
              <w:t xml:space="preserve">No consensus reached. Over half the panel favoured it over the traditional 90%; progression-free survival was 10.8, 20.6 and 56.1 months and median overall survival 37.6 months, 134.4 months and not reached for under 70%, 70–90% and over 90%, with the upper two not differing from each other. Some members held that only complete clearance helps and a minority doubted any benefit has been established</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70–90% or more — ENETS 2023, functioning pancreatic NET</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Level 2b, grade B, with adequate liver function; the paper gives no guidance on which end of the 20-point range applies to whom</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70–90% — ASCO 2023</w:t>
            </w:r>
          </w:p>
        </w:tc>
        <w:tc>
          <w:tcPr>
            <w:tcW w:type="dxa" w:w="5260"/>
            <w:tcMar>
              <w:top w:type="dxa" w:w="70"/>
              <w:left w:type="dxa" w:w="110"/>
              <w:bottom w:type="dxa" w:w="70"/>
              <w:right w:type="dxa" w:w="110"/>
            </w:tcMar>
            <w:vAlign w:val="top"/>
          </w:tcPr>
          <w:p>
            <w:pPr>
              <w:spacing w:after="0" w:line="276"/>
            </w:pPr>
            <w:r>
              <w:rPr>
                <w:color w:val="15181F"/>
                <w:sz w:val="17"/>
                <w:szCs w:val="17"/>
              </w:rPr>
              <w:t xml:space="preserve">An unreviewed note only: surgery and liver-directed therapy were excluded from the systematic review, so a surgical reader should not treat it as that guideline's evidence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No threshold at all — ENETS 2024 small intestine, ESMO 2020</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ENETS 2024 does not address the 70 versus 90 question and sets no Ki-67 cutoff for operating on resectable liver metastases; ESMO gives no cytoreduction target, endorses debulking for hormonal symptoms and calls its role in non-functioning disease unclear</w:t>
            </w:r>
          </w:p>
        </w:tc>
      </w:tr>
    </w:tbl>
    <w:p>
      <w:pPr>
        <w:spacing w:after="200" w:line="276"/>
      </w:pPr>
      <w:r>
        <w:rPr>
          <w:i/>
          <w:iCs/>
          <w:color w:val="5A6069"/>
          <w:sz w:val="16"/>
          <w:szCs w:val="16"/>
        </w:rPr>
        <w:t xml:space="preserve">No comparative study supports either number as a threshold. The series most often cited for 70% is one expanded-criteria cohort of 52 patients: retrospective, single-surgeon, single-institution, with the debulking percentage taken as the operating surgeon's own intraoperative visual and ultrasonographic estimate, and that same surgeon deciding who was operated on at all — patients in whom 70% was judged unachievable intraoperatively were not resected, so the cohort has no sub-70% arm and cannot test the threshold. Within it the extent of debulking did not correlate with liver progression-free survival (P=.74) or disease-specific survival (P=.37), progression rates were 27.3%, 27.3% and 31.6% across the three groups (P=.95), and complete resection of all gross disease in 12 of 52 (25%) conferred no advantage; the group sizes were 11 at 70–89%, 22 at 90–99% and 19 at 100%. No morbidity or mortality rate is reported anywhere in the paper — only a median length of stay of 6 days. 88% were kept on octreotide LAR, which the authors say may itself account for the long progression-free survival, and median follow-up was 37.4 months against a median liver progression-free survival of 71.6 months. The NANETS comparisons quoted above are within-cohort retrospective contrasts in which the panel itself notes that patients offered more complete cytoreduction had more favourable disease. The hepatic burden threshold above which cytoreduction is not attempted remains unresolved local decision 3.</w:t>
      </w:r>
    </w:p>
    <w:p>
      <w:pPr>
        <w:pStyle w:val="Heading3"/>
        <w:keepNext/>
        <w:spacing w:after="110" w:before="240"/>
      </w:pPr>
      <w:r>
        <w:rPr>
          <w:rFonts w:ascii="Cambria" w:cs="Cambria" w:eastAsia="Cambria" w:hAnsi="Cambria"/>
          <w:b/>
          <w:bCs/>
          <w:color w:val="17365D"/>
          <w:sz w:val="22"/>
          <w:szCs w:val="22"/>
        </w:rPr>
        <w:t xml:space="preserve">Carcinoid crisis precautions</w:t>
      </w:r>
    </w:p>
    <w:p>
      <w:pPr>
        <w:spacing w:after="120" w:line="276"/>
      </w:pPr>
      <w:r>
        <w:rPr>
          <w:i/>
          <w:iCs/>
          <w:color w:val="5A6069"/>
          <w:sz w:val="18"/>
          <w:szCs w:val="18"/>
        </w:rPr>
        <w:t xml:space="preserve">What has to be true before a functional patient goes to theatre, to the angiography suite or to a PRRT course.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100"/>
        <w:gridCol w:w="5260"/>
      </w:tblGrid>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A named owner for the crisis plan, procedure by procedure</w:t>
            </w:r>
          </w:p>
        </w:tc>
        <w:tc>
          <w:tcPr>
            <w:tcW w:type="dxa" w:w="5260"/>
            <w:tcMar>
              <w:top w:type="dxa" w:w="70"/>
              <w:left w:type="dxa" w:w="110"/>
              <w:bottom w:type="dxa" w:w="70"/>
              <w:right w:type="dxa" w:w="110"/>
            </w:tcMar>
            <w:vAlign w:val="top"/>
          </w:tcPr>
          <w:p>
            <w:pPr>
              <w:spacing w:after="0" w:line="276"/>
            </w:pPr>
            <w:r>
              <w:rPr>
                <w:color w:val="15181F"/>
                <w:sz w:val="17"/>
                <w:szCs w:val="17"/>
              </w:rPr>
              <w:t xml:space="preserve">Required in functional disease and audited: prophylaxis documented before every procedure</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Rescue octreotide in the room</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Intravenous octreotide 500–1000 micrograms at symptom onset, repeated every 5 minutes until control, escalated to continuous infusion if refractory; no consensus on how many boluses precede the infusion</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Fluids and vasopressors first</w:t>
            </w:r>
          </w:p>
        </w:tc>
        <w:tc>
          <w:tcPr>
            <w:tcW w:type="dxa" w:w="5260"/>
            <w:tcMar>
              <w:top w:type="dxa" w:w="70"/>
              <w:left w:type="dxa" w:w="110"/>
              <w:bottom w:type="dxa" w:w="70"/>
              <w:right w:type="dxa" w:w="110"/>
            </w:tcMar>
            <w:vAlign w:val="top"/>
          </w:tcPr>
          <w:p>
            <w:pPr>
              <w:spacing w:after="0" w:line="276"/>
            </w:pPr>
            <w:r>
              <w:rPr>
                <w:color w:val="15181F"/>
                <w:sz w:val="17"/>
                <w:szCs w:val="17"/>
              </w:rPr>
              <w:t xml:space="preserve">Octreotide administration must not delay them. Prophylactic octreotide is likely ineffective at preventing intraoperative crisis</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Short-acting octreotide before embolisation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250–500 micrograms subcutaneously or 50 micrograms intravenously 1–2 hours before, for hormonal syndromes</w:t>
            </w:r>
          </w:p>
        </w:tc>
      </w:tr>
      <w:tr>
        <w:trPr>
          <w:cantSplit/>
        </w:trPr>
        <w:tc>
          <w:tcPr>
            <w:tcW w:type="dxa" w:w="4100"/>
            <w:tcMar>
              <w:top w:type="dxa" w:w="70"/>
              <w:left w:type="dxa" w:w="110"/>
              <w:bottom w:type="dxa" w:w="70"/>
              <w:right w:type="dxa" w:w="110"/>
            </w:tcMar>
            <w:vAlign w:val="top"/>
          </w:tcPr>
          <w:p>
            <w:pPr>
              <w:spacing w:after="0" w:line="276"/>
            </w:pPr>
            <w:r>
              <w:rPr>
                <w:b/>
                <w:bCs/>
                <w:color w:val="15181F"/>
                <w:sz w:val="17"/>
                <w:szCs w:val="17"/>
              </w:rPr>
              <w:t xml:space="preserve">Echocardiography once 5-HIAA or serotonin exceeds about five times normal</w:t>
            </w:r>
          </w:p>
        </w:tc>
        <w:tc>
          <w:tcPr>
            <w:tcW w:type="dxa" w:w="5260"/>
            <w:tcMar>
              <w:top w:type="dxa" w:w="70"/>
              <w:left w:type="dxa" w:w="110"/>
              <w:bottom w:type="dxa" w:w="70"/>
              <w:right w:type="dxa" w:w="110"/>
            </w:tcMar>
            <w:vAlign w:val="top"/>
          </w:tcPr>
          <w:p>
            <w:pPr>
              <w:spacing w:after="0" w:line="276"/>
            </w:pPr>
            <w:r>
              <w:rPr>
                <w:color w:val="15181F"/>
                <w:sz w:val="17"/>
                <w:szCs w:val="17"/>
              </w:rPr>
              <w:t xml:space="preserve">Annually, and at a low threshold with any signs or symptoms; valve replacement before liver resection where carcinoid heart disease is significant</w:t>
            </w:r>
          </w:p>
        </w:tc>
      </w:tr>
      <w:tr>
        <w:trPr>
          <w:cantSplit/>
        </w:trPr>
        <w:tc>
          <w:tcPr>
            <w:tcW w:type="dxa" w:w="410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Highest-risk combination</w:t>
            </w:r>
          </w:p>
        </w:tc>
        <w:tc>
          <w:tcPr>
            <w:tcW w:type="dxa" w:w="5260"/>
            <w:shd w:fill="F1F4F8" w:color="auto" w:val="clear"/>
            <w:tcMar>
              <w:top w:type="dxa" w:w="70"/>
              <w:left w:type="dxa" w:w="110"/>
              <w:bottom w:type="dxa" w:w="70"/>
              <w:right w:type="dxa" w:w="110"/>
            </w:tcMar>
            <w:vAlign w:val="top"/>
          </w:tcPr>
          <w:p>
            <w:pPr>
              <w:spacing w:after="0" w:line="276"/>
            </w:pPr>
            <w:r>
              <w:rPr>
                <w:color w:val="15181F"/>
                <w:sz w:val="17"/>
                <w:szCs w:val="17"/>
              </w:rPr>
              <w:t xml:space="preserve">Midgut primary, high hepatic burden, liver metastases, raised 5-HIAA or chromogranin A, prior carcinoid syndrome or carcinoid heart disease, advanced age, histamine-releasing drugs</w:t>
            </w:r>
          </w:p>
        </w:tc>
      </w:tr>
    </w:tbl>
    <w:p>
      <w:pPr>
        <w:spacing w:after="200" w:line="276"/>
      </w:pPr>
      <w:r>
        <w:rPr>
          <w:i/>
          <w:iCs/>
          <w:color w:val="5A6069"/>
          <w:sz w:val="16"/>
          <w:szCs w:val="16"/>
        </w:rPr>
        <w:t xml:space="preserve">Crisis after 177Lu-dotatate is estimated at 1 to 2% of recipients, but that figure comes from a narrative review — no search dates, strings or quality appraisal — whose authors state the diagnosis lacks agreed criteria and whose own 127 administrations over five years produced none; surgical series cited by NANETS report intraoperative event rates of 24 to 30% despite octreotide, including in patients without the syndrome, with liver metastases the strongest predictor in one of them. So the number given to a PRRT patient and the number given to a surgical patient come from different literatures and disagree by an order of magnitude. Octreotide within 48 hours, or octreotide LAR within 28 days, of 177Lu-dotatate can competitively block tumour uptake and reduce efficacy, and no rule defines when prophylaxis is worth that trade-off.</w:t>
      </w:r>
    </w:p>
    <w:p>
      <w:pPr>
        <w:pStyle w:val="Heading1"/>
        <w:keepNext/>
        <w:pageBreakBefore/>
        <w:spacing w:after="110" w:before="320"/>
      </w:pPr>
      <w:r>
        <w:rPr>
          <w:rFonts w:ascii="Cambria" w:cs="Cambria" w:eastAsia="Cambria" w:hAnsi="Cambria"/>
          <w:b/>
          <w:bCs/>
          <w:color w:val="17365D"/>
          <w:sz w:val="32"/>
          <w:szCs w:val="32"/>
        </w:rPr>
        <w:t xml:space="preserve">What we are not sure about</w:t>
      </w:r>
    </w:p>
    <w:p>
      <w:pPr>
        <w:spacing w:after="200" w:line="276"/>
      </w:pPr>
      <w:r>
        <w:rPr>
          <w:i/>
          <w:iCs/>
          <w:color w:val="5A6069"/>
          <w:sz w:val="20"/>
          <w:szCs w:val="20"/>
        </w:rPr>
        <w:t xml:space="preserve">Every statement below is a limit on what this page can claim. They come from reading each cited paper in full, including the limitations the authors state themselves and the objections the text supports but the authors do not raise.</w:t>
      </w:r>
    </w:p>
    <w:p>
      <w:pPr>
        <w:spacing w:after="60" w:before="160"/>
      </w:pPr>
      <w:r>
        <w:rPr>
          <w:b/>
          <w:bCs/>
          <w:color w:val="8E5008"/>
          <w:sz w:val="19"/>
          <w:szCs w:val="19"/>
        </w:rPr>
        <w:t xml:space="preserve">1. </w:t>
      </w:r>
      <w:r>
        <w:rPr>
          <w:b/>
          <w:bCs/>
          <w:sz w:val="19"/>
          <w:szCs w:val="19"/>
        </w:rPr>
        <w:t xml:space="preserve">Hepatic cytoreduction should clear at least 70% of visible disease.</w:t>
      </w:r>
    </w:p>
    <w:p>
      <w:pPr>
        <w:spacing w:after="40" w:line="276"/>
        <w:ind w:left="260"/>
      </w:pPr>
      <w:r>
        <w:rPr>
          <w:color w:val="15181F"/>
          <w:sz w:val="18"/>
          <w:szCs w:val="18"/>
        </w:rPr>
        <w:t xml:space="preserve">No comparative study supports 70%, or 90%, as a threshold. The 90% figure NCCN still prints came from an observation about symptom relief and was never validated as an oncologic threshold. The 70% figure was set by the NANETS 2017 panel, with one dissenting vote, on two retrospective single-institution series from the centres that championed it. The series on which it chiefly rests enrolled 52 patients and excluded by design every patient in whom the operating surgeon judged intraoperatively that 70% was unachievable, so it contains no sub-70% group and cannot test the threshold at all; within it the extent of debulking did not correlate with liver progression-free survival (P=.74) or disease-specific survival (P=.37), the three debulking groups progressed at 27.3%, 27.3% and 31.6% (P=.95), and the lowest group holds 11 patients. NANETS 2020 reached no consensus on any threshold for pancreatic primaries, over half the panel favouring an individualised 70% and a minority questioning whether any benefit of cytoreduction has been established. What should drive the decision is whether a named target can be cleared in a patient fit for a long operation with enough functional parenchyma left, not a percentage. The programme tracks burden before and after, the residual left behind, and liver progression-free survival.</w:t>
      </w:r>
    </w:p>
    <w:p>
      <w:pPr>
        <w:spacing w:after="40" w:line="276"/>
        <w:ind w:left="260"/>
      </w:pPr>
      <w:r>
        <w:rPr>
          <w:color w:val="5A6069"/>
          <w:sz w:val="16"/>
          <w:szCs w:val="16"/>
        </w:rPr>
        <w:t xml:space="preserve">Sources: NANETS 2017 surgical; NANETS 2020 surgical; Graff-Baker debulking; ENETS 2023 functioning panNET; ASCO 2023 systemic</w:t>
      </w:r>
    </w:p>
    <w:p>
      <w:pPr>
        <w:spacing w:after="60" w:before="160"/>
      </w:pPr>
      <w:r>
        <w:rPr>
          <w:b/>
          <w:bCs/>
          <w:color w:val="8E5008"/>
          <w:sz w:val="19"/>
          <w:szCs w:val="19"/>
        </w:rPr>
        <w:t xml:space="preserve">2. </w:t>
      </w:r>
      <w:r>
        <w:rPr>
          <w:b/>
          <w:bCs/>
          <w:sz w:val="19"/>
          <w:szCs w:val="19"/>
        </w:rPr>
        <w:t xml:space="preserve">The debulking series show what an operation delivers.</w:t>
      </w:r>
    </w:p>
    <w:p>
      <w:pPr>
        <w:spacing w:after="40" w:line="276"/>
        <w:ind w:left="260"/>
      </w:pPr>
      <w:r>
        <w:rPr>
          <w:color w:val="15181F"/>
          <w:sz w:val="18"/>
          <w:szCs w:val="18"/>
        </w:rPr>
        <w:t xml:space="preserve">They show what selected patients did. Five-year disease-specific survival of 90% and a median liver progression-free survival of 71.6 months come from a retrospective, single-surgeon, single-institution cohort of 52 patients in which the debulking percentage was the operating surgeon's own visual and ultrasonographic estimate and the same surgeon chose who was operated on. The only variable that predicted outcome was age — 5-year liver progression-free survival 25.7% under 50 versus 85% at 50 or older. 88% of patients were maintained on octreotide LAR, which the authors themselves say may account for the unusually long progression-free survival rather than the debulking strategy, and median follow-up of 37.4 months falls short of the median it reports. No morbidity or mortality rate appears anywhere in the paper, only a median length of stay of 6 days, so a patient cannot be quoted a complication risk from it. Present these figures as the outcomes of selected patients and quote institutional morbidity from the programme's own registry instead.</w:t>
      </w:r>
    </w:p>
    <w:p>
      <w:pPr>
        <w:spacing w:after="40" w:line="276"/>
        <w:ind w:left="260"/>
      </w:pPr>
      <w:r>
        <w:rPr>
          <w:color w:val="5A6069"/>
          <w:sz w:val="16"/>
          <w:szCs w:val="16"/>
        </w:rPr>
        <w:t xml:space="preserve">Sources: Graff-Baker debulking; NANETS 2017 surgical</w:t>
      </w:r>
    </w:p>
    <w:p>
      <w:pPr>
        <w:spacing w:after="60" w:before="160"/>
      </w:pPr>
      <w:r>
        <w:rPr>
          <w:b/>
          <w:bCs/>
          <w:color w:val="8E5008"/>
          <w:sz w:val="19"/>
          <w:szCs w:val="19"/>
        </w:rPr>
        <w:t xml:space="preserve">3. </w:t>
      </w:r>
      <w:r>
        <w:rPr>
          <w:b/>
          <w:bCs/>
          <w:sz w:val="19"/>
          <w:szCs w:val="19"/>
        </w:rPr>
        <w:t xml:space="preserve">Operating on liver-only stage IV disease when R0 is achievable is a curative-intent option.</w:t>
      </w:r>
    </w:p>
    <w:p>
      <w:pPr>
        <w:spacing w:after="40" w:line="276"/>
        <w:ind w:left="260"/>
      </w:pPr>
      <w:r>
        <w:rPr>
          <w:color w:val="15181F"/>
          <w:sz w:val="18"/>
          <w:szCs w:val="18"/>
        </w:rPr>
        <w:t xml:space="preserve">ENETS 2024 does recommend it, at B-4 — among the weakest grades in that document — on 5-year overall survival of 71 to 74%, and 85% for R0 resections. The same paper records recurrence after R0 of about 80% at 5 years, and ESMO attributes the 85% partly to preselection bias and notes that liver metastases are often more extensive than appreciated even intraoperatively. So R0 here buys a long interval, not a cure, and the consent conversation should say so and commit to lifelong follow-up.</w:t>
      </w:r>
    </w:p>
    <w:p>
      <w:pPr>
        <w:spacing w:after="40" w:line="276"/>
        <w:ind w:left="260"/>
      </w:pPr>
      <w:r>
        <w:rPr>
          <w:color w:val="5A6069"/>
          <w:sz w:val="16"/>
          <w:szCs w:val="16"/>
        </w:rPr>
        <w:t xml:space="preserve">Sources: ENETS 2024 small intestine; ESMO 2020 GEP-NEN</w:t>
      </w:r>
    </w:p>
    <w:p>
      <w:pPr>
        <w:spacing w:after="60" w:before="160"/>
      </w:pPr>
      <w:r>
        <w:rPr>
          <w:b/>
          <w:bCs/>
          <w:color w:val="8E5008"/>
          <w:sz w:val="19"/>
          <w:szCs w:val="19"/>
        </w:rPr>
        <w:t xml:space="preserve">4. </w:t>
      </w:r>
      <w:r>
        <w:rPr>
          <w:b/>
          <w:bCs/>
          <w:sz w:val="19"/>
          <w:szCs w:val="19"/>
        </w:rPr>
        <w:t xml:space="preserve">A somatostatin analogue controls tumour growth in neuroendocrine liver metastases.</w:t>
      </w:r>
    </w:p>
    <w:p>
      <w:pPr>
        <w:spacing w:after="40" w:line="276"/>
        <w:ind w:left="260"/>
      </w:pPr>
      <w:r>
        <w:rPr>
          <w:color w:val="15181F"/>
          <w:sz w:val="18"/>
          <w:szCs w:val="18"/>
        </w:rPr>
        <w:t xml:space="preserve">Two double-blind placebo-controlled trials met their primary endpoints, which is why this remains grade A, but neither population resembles a high-burden liver patient. PROMID's effect was concentrated where there was least liver to treat — hazard ratio 0.17 (0.08–0.40) at 0 to 10% hepatic involvement, 0.40 (0.10–1.67) at 10 to 50% and 0.71 (0.11–4.45) above 50% — with 95% of patients at Ki-67 of 2% or less, and it is an interim analysis of a trial closed at 85 of a planned 162 patients whose confirmatory survival analysis was never done. CLARINET did hold above 25% hepatic volume, hazard ratio 0.45 (0.22–0.91), but that dichotomy is a post hoc simplification of a prespecified five-category variable and 96% of its patients were not progressing at entry. Neither showed an overall-survival or quality-of-life benefit, and the effect is stabilisation, not shrinkage: one partial remission per arm in PROMID. An analogue is not a substitute for a liver plan in a patient whose liver is the problem.</w:t>
      </w:r>
    </w:p>
    <w:p>
      <w:pPr>
        <w:spacing w:after="40" w:line="276"/>
        <w:ind w:left="260"/>
      </w:pPr>
      <w:r>
        <w:rPr>
          <w:color w:val="5A6069"/>
          <w:sz w:val="16"/>
          <w:szCs w:val="16"/>
        </w:rPr>
        <w:t xml:space="preserve">Sources: PROMID; CLARINET; ASCO 2023 systemic</w:t>
      </w:r>
    </w:p>
    <w:p>
      <w:pPr>
        <w:spacing w:after="60" w:before="160"/>
      </w:pPr>
      <w:r>
        <w:rPr>
          <w:b/>
          <w:bCs/>
          <w:color w:val="8E5008"/>
          <w:sz w:val="19"/>
          <w:szCs w:val="19"/>
        </w:rPr>
        <w:t xml:space="preserve">5. </w:t>
      </w:r>
      <w:r>
        <w:rPr>
          <w:b/>
          <w:bCs/>
          <w:sz w:val="19"/>
          <w:szCs w:val="19"/>
        </w:rPr>
        <w:t xml:space="preserve">Continuing an analogue after progression is wrong, or right.</w:t>
      </w:r>
    </w:p>
    <w:p>
      <w:pPr>
        <w:spacing w:after="40" w:line="276"/>
        <w:ind w:left="260"/>
      </w:pPr>
      <w:r>
        <w:rPr>
          <w:color w:val="15181F"/>
          <w:sz w:val="18"/>
          <w:szCs w:val="18"/>
        </w:rPr>
        <w:t xml:space="preserve">Neither has been shown. No trial tested continuation after documented progression in either direction: PROMID and CLARINET both enrolled patients who were not progressing, and the NANETS midgut panel reached no consensus on the question. The roadmap's position — that the indication after progression is hormonal rather than antiproliferative — is a defensible reading of what the trials enrolled, not a demonstrated equivalence, and the string is graded C for that reason. What should drive the decision is whether the analogue is doing hormonal work nothing else in the plan replaces.</w:t>
      </w:r>
    </w:p>
    <w:p>
      <w:pPr>
        <w:spacing w:after="40" w:line="276"/>
        <w:ind w:left="260"/>
      </w:pPr>
      <w:r>
        <w:rPr>
          <w:color w:val="5A6069"/>
          <w:sz w:val="16"/>
          <w:szCs w:val="16"/>
        </w:rPr>
        <w:t xml:space="preserve">Sources: PROMID; CLARINET; NANETS 2017 medical</w:t>
      </w:r>
    </w:p>
    <w:p>
      <w:pPr>
        <w:spacing w:after="60" w:before="160"/>
      </w:pPr>
      <w:r>
        <w:rPr>
          <w:b/>
          <w:bCs/>
          <w:color w:val="8E5008"/>
          <w:sz w:val="19"/>
          <w:szCs w:val="19"/>
        </w:rPr>
        <w:t xml:space="preserve">6. </w:t>
      </w:r>
      <w:r>
        <w:rPr>
          <w:b/>
          <w:bCs/>
          <w:sz w:val="19"/>
          <w:szCs w:val="19"/>
        </w:rPr>
        <w:t xml:space="preserve">PRRT prolongs survival in neuroendocrine tumours.</w:t>
      </w:r>
    </w:p>
    <w:p>
      <w:pPr>
        <w:spacing w:after="40" w:line="276"/>
        <w:ind w:left="260"/>
      </w:pPr>
      <w:r>
        <w:rPr>
          <w:color w:val="15181F"/>
          <w:sz w:val="18"/>
          <w:szCs w:val="18"/>
        </w:rPr>
        <w:t xml:space="preserve">It has never been shown to. NETTER-1's prespecified final overall-survival analysis did not meet its endpoint: 48.0 versus 36.3 months, hazard ratio 0.84 (95% CI 0.60–1.17), p=0.30. It was a secondary endpoint powered for 158 deaths and the 5-year calendar cutoff arrived first at 142; the proportional-hazards assumption failed, so the hazard ratio is not a valid single summary; 36% of controls crossed over, making the comparison closer to early versus delayed PRRT than to PRRT versus none; and the restricted-mean-survival analysis that carries the authors' positive message was added by protocol amendment and does not exclude zero at 5 years. NETTER-2's overall survival is immature with 48% crossover and showed no difference in time to deterioration of global health status, diarrhoea, fatigue or pain. What PRRT has shown is a large and reproducible progression-free survival and response effect. Say that, and nothing more, to a patient.</w:t>
      </w:r>
    </w:p>
    <w:p>
      <w:pPr>
        <w:spacing w:after="40" w:line="276"/>
        <w:ind w:left="260"/>
      </w:pPr>
      <w:r>
        <w:rPr>
          <w:color w:val="5A6069"/>
          <w:sz w:val="16"/>
          <w:szCs w:val="16"/>
        </w:rPr>
        <w:t xml:space="preserve">Sources: NETTER-1 final OS; NETTER-2; NETTER-1</w:t>
      </w:r>
    </w:p>
    <w:p>
      <w:pPr>
        <w:spacing w:after="60" w:before="160"/>
      </w:pPr>
      <w:r>
        <w:rPr>
          <w:b/>
          <w:bCs/>
          <w:color w:val="8E5008"/>
          <w:sz w:val="19"/>
          <w:szCs w:val="19"/>
        </w:rPr>
        <w:t xml:space="preserve">7. </w:t>
      </w:r>
      <w:r>
        <w:rPr>
          <w:b/>
          <w:bCs/>
          <w:sz w:val="19"/>
          <w:szCs w:val="19"/>
        </w:rPr>
        <w:t xml:space="preserve">The first-line PRRT evidence applies to the patients on this page.</w:t>
      </w:r>
    </w:p>
    <w:p>
      <w:pPr>
        <w:spacing w:after="40" w:line="276"/>
        <w:ind w:left="260"/>
      </w:pPr>
      <w:r>
        <w:rPr>
          <w:color w:val="15181F"/>
          <w:sz w:val="18"/>
          <w:szCs w:val="18"/>
        </w:rPr>
        <w:t xml:space="preserve">Only partly. NETTER-2 enrolled newly diagnosed disease within 6 months of diagnosis, with no patient having progressed on a prior analogue, uptake score 3 or 4 required in </w:t>
      </w:r>
      <w:r>
        <w:rPr>
          <w:i/>
          <w:iCs/>
          <w:color w:val="15181F"/>
          <w:sz w:val="18"/>
          <w:szCs w:val="18"/>
        </w:rPr>
        <w:t xml:space="preserve">every</w:t>
      </w:r>
      <w:r>
        <w:rPr>
          <w:color w:val="15181F"/>
          <w:sz w:val="18"/>
          <w:szCs w:val="18"/>
        </w:rPr>
        <w:t xml:space="preserve"> target lesion, and — decisively for a liver pathway — any previous hepatic artery embolisation or radiofrequency ablation as an exclusion. That removes heterogeneous-uptake disease and most of the population gate 7 of this page creates. 54% of its patients had pancreatic primaries, so it is not a midgut trial, and its comparator was high-dose octreotide 60 mg, which the authors themselves describe as giving 4 to 8 months of progression-free survival in grade 3 disease. There is no comparison with the alkylating chemotherapy a board would weigh first line in a high-grade pancreatic NET. EANM Focus 3 supported first-line PRRT only in a minority of highly selected patients (17 of 22, 77.3%). Whether the programme offers first-line PRRT, and to whom, stays an approval item.</w:t>
      </w:r>
    </w:p>
    <w:p>
      <w:pPr>
        <w:spacing w:after="40" w:line="276"/>
        <w:ind w:left="260"/>
      </w:pPr>
      <w:r>
        <w:rPr>
          <w:color w:val="5A6069"/>
          <w:sz w:val="16"/>
          <w:szCs w:val="16"/>
        </w:rPr>
        <w:t xml:space="preserve">Sources: NETTER-2; EANM Focus 3; Itanet 2024 RLT</w:t>
      </w:r>
    </w:p>
    <w:p>
      <w:pPr>
        <w:spacing w:after="60" w:before="160"/>
      </w:pPr>
      <w:r>
        <w:rPr>
          <w:b/>
          <w:bCs/>
          <w:color w:val="8E5008"/>
          <w:sz w:val="19"/>
          <w:szCs w:val="19"/>
        </w:rPr>
        <w:t xml:space="preserve">8. </w:t>
      </w:r>
      <w:r>
        <w:rPr>
          <w:b/>
          <w:bCs/>
          <w:sz w:val="19"/>
          <w:szCs w:val="19"/>
        </w:rPr>
        <w:t xml:space="preserve">The PRRT label describes the evidence.</w:t>
      </w:r>
    </w:p>
    <w:p>
      <w:pPr>
        <w:spacing w:after="40" w:line="276"/>
        <w:ind w:left="260"/>
      </w:pPr>
      <w:r>
        <w:rPr>
          <w:color w:val="15181F"/>
          <w:sz w:val="18"/>
          <w:szCs w:val="18"/>
        </w:rPr>
        <w:t xml:space="preserve">The approval covers SSTR-positive GEP-NET including foregut, midgut and hindgut tumours; NETTER-1 enrolled only jejunoileal and proximal colon primaries with Ki-67 of 20% or less and OctreoScan-defined uptake. Everything outside midgut rests on retrospective and registry series — which is why EANM declined to recommend PRRT second line for pancreatic NET at all, why ESMO places it in pancreatic NET only after failure of approved therapies [III, A], and why NANETS/SNMMI scores pancreatic use 8 rather than 9. Eligibility today is set by 68Ga- or 64Cu-DOTATATE PET, not by the scintigraphy the trial used, so even the midgut population is not quite the one being selected.</w:t>
      </w:r>
    </w:p>
    <w:p>
      <w:pPr>
        <w:spacing w:after="40" w:line="276"/>
        <w:ind w:left="260"/>
      </w:pPr>
      <w:r>
        <w:rPr>
          <w:color w:val="5A6069"/>
          <w:sz w:val="16"/>
          <w:szCs w:val="16"/>
        </w:rPr>
        <w:t xml:space="preserve">Sources: NETTER-1; EANM Focus 3; ESMO 2020 GEP-NEN; NANETS/SNMMI PRRT</w:t>
      </w:r>
    </w:p>
    <w:p>
      <w:pPr>
        <w:spacing w:after="60" w:before="160"/>
      </w:pPr>
      <w:r>
        <w:rPr>
          <w:b/>
          <w:bCs/>
          <w:color w:val="8E5008"/>
          <w:sz w:val="19"/>
          <w:szCs w:val="19"/>
        </w:rPr>
        <w:t xml:space="preserve">9. </w:t>
      </w:r>
      <w:r>
        <w:rPr>
          <w:b/>
          <w:bCs/>
          <w:sz w:val="19"/>
          <w:szCs w:val="19"/>
        </w:rPr>
        <w:t xml:space="preserve">There is a right sequence for systemic therapy after progression.</w:t>
      </w:r>
    </w:p>
    <w:p>
      <w:pPr>
        <w:spacing w:after="40" w:line="276"/>
        <w:ind w:left="260"/>
      </w:pPr>
      <w:r>
        <w:rPr>
          <w:color w:val="15181F"/>
          <w:sz w:val="18"/>
          <w:szCs w:val="18"/>
        </w:rPr>
        <w:t xml:space="preserve">ASCO states explicitly that there is insufficient evidence to recommend any particular sequence, because the trials used placebo controls with almost no head-to-head comparisons; its own recommendations in this space are graded weak on low to moderate evidence quality, and it rated overall-survival certainty very low for CLARINET, RADIANT-3, RADIANT-4 and the sunitinib trial and low for NETTER-1. Itanet's preferences for radioligand therapy over targeted agents (2b-B) and over chemotherapy (3b-A) are explicitly built on cross-trial comparison and retrospective series, and ESMO records that one of its own authors dissented on PRRT sequencing. The order chosen for a patient should be recorded at board with its reason — primary site, receptor status, growth rate, hepatic burden, need for rapid shrinkage, prior therapy, toxicity tolerance and access — and tracked in the registry, because the registry is the only place a local sequence will ever be evaluated.</w:t>
      </w:r>
    </w:p>
    <w:p>
      <w:pPr>
        <w:spacing w:after="40" w:line="276"/>
        <w:ind w:left="260"/>
      </w:pPr>
      <w:r>
        <w:rPr>
          <w:color w:val="5A6069"/>
          <w:sz w:val="16"/>
          <w:szCs w:val="16"/>
        </w:rPr>
        <w:t xml:space="preserve">Sources: ASCO 2023 systemic; Itanet 2024 RLT; ESMO 2020 GEP-NEN</w:t>
      </w:r>
    </w:p>
    <w:p>
      <w:pPr>
        <w:spacing w:after="60" w:before="160"/>
      </w:pPr>
      <w:r>
        <w:rPr>
          <w:b/>
          <w:bCs/>
          <w:color w:val="8E5008"/>
          <w:sz w:val="19"/>
          <w:szCs w:val="19"/>
        </w:rPr>
        <w:t xml:space="preserve">10. </w:t>
      </w:r>
      <w:r>
        <w:rPr>
          <w:b/>
          <w:bCs/>
          <w:sz w:val="19"/>
          <w:szCs w:val="19"/>
        </w:rPr>
        <w:t xml:space="preserve">Capecitabine–temozolomide is the agent to choose when shrinkage is wanted quickly.</w:t>
      </w:r>
    </w:p>
    <w:p>
      <w:pPr>
        <w:spacing w:after="40" w:line="276"/>
        <w:ind w:left="260"/>
      </w:pPr>
      <w:r>
        <w:rPr>
          <w:color w:val="15181F"/>
          <w:sz w:val="18"/>
          <w:szCs w:val="18"/>
        </w:rPr>
        <w:t xml:space="preserve">Its response rate did not differ from single-agent temozolomide — 39.7% versus 33.8%, P=0.59 — in a trial not powered for response, so the rationale for choosing it on shrinkage is weak. E2211 is a phase 2 trial declared positive at an interim analysis with an adjusted two-sided alpha of 0.119, designed at a two-sided significance level of 0.20; the effect weakened from hazard ratio 0.58 (0.36–0.93) at interim to 0.71 (0.46–1.07) at final analysis, overall survival was not significant (53.8 versus 58.7 months, hazard ratio 0.82, P=.42) after a significant interim difference failed to persist, grade 3–4 toxicity doubled to 45%, and the control arm was never a standard of care. It remains a reasonable choice for high-burden or rapidly progressing pancreatic disease, but on burden and tempo rather than on an expectation of response.</w:t>
      </w:r>
    </w:p>
    <w:p>
      <w:pPr>
        <w:spacing w:after="40" w:line="276"/>
        <w:ind w:left="260"/>
      </w:pPr>
      <w:r>
        <w:rPr>
          <w:color w:val="5A6069"/>
          <w:sz w:val="16"/>
          <w:szCs w:val="16"/>
        </w:rPr>
        <w:t xml:space="preserve">Sources: E2211 CAPTEM; ASCO 2023 systemic</w:t>
      </w:r>
    </w:p>
    <w:p>
      <w:pPr>
        <w:spacing w:after="60" w:before="160"/>
      </w:pPr>
      <w:r>
        <w:rPr>
          <w:b/>
          <w:bCs/>
          <w:color w:val="8E5008"/>
          <w:sz w:val="19"/>
          <w:szCs w:val="19"/>
        </w:rPr>
        <w:t xml:space="preserve">11. </w:t>
      </w:r>
      <w:r>
        <w:rPr>
          <w:b/>
          <w:bCs/>
          <w:sz w:val="19"/>
          <w:szCs w:val="19"/>
        </w:rPr>
        <w:t xml:space="preserve">The targeted agents delay progression, so they are doing something to the tumour.</w:t>
      </w:r>
    </w:p>
    <w:p>
      <w:pPr>
        <w:spacing w:after="40" w:line="276"/>
        <w:ind w:left="260"/>
      </w:pPr>
      <w:r>
        <w:rPr>
          <w:color w:val="15181F"/>
          <w:sz w:val="18"/>
          <w:szCs w:val="18"/>
        </w:rPr>
        <w:t xml:space="preserve">They stabilise it. Confirmed objective response was 5% in RADIANT-3, 2% in RADIANT-4, 9.3% with sunitinib and 5 to 19% with cabozantinib, so none of them will convert unresectable hepatic disease. None has an established survival benefit: RADIANT-3's overall survival is uninterpretable after 73% crossover, RADIANT-4's was a first interim look at 70 deaths of a planned 191 that missed its boundary by orders of magnitude, the sunitinib trial closed early at 171 of 340 patients without crossing its efficacy boundary (z 3.85 against 3.88) with censoring of 65% versus 40%, and CABINET showed no survival difference in either cohort and stopped early on local rather than central assessment. In RADIANT-4 the size of the effect depended on who read the scans — 11.0 versus 3.9 months centrally against 14.0 versus 5.5 locally.</w:t>
      </w:r>
    </w:p>
    <w:p>
      <w:pPr>
        <w:spacing w:after="40" w:line="276"/>
        <w:ind w:left="260"/>
      </w:pPr>
      <w:r>
        <w:rPr>
          <w:color w:val="5A6069"/>
          <w:sz w:val="16"/>
          <w:szCs w:val="16"/>
        </w:rPr>
        <w:t xml:space="preserve">Sources: RADIANT-3; RADIANT-4; Sunitinib A6181111; CABINET</w:t>
      </w:r>
    </w:p>
    <w:p>
      <w:pPr>
        <w:spacing w:after="60" w:before="160"/>
      </w:pPr>
      <w:r>
        <w:rPr>
          <w:b/>
          <w:bCs/>
          <w:color w:val="8E5008"/>
          <w:sz w:val="19"/>
          <w:szCs w:val="19"/>
        </w:rPr>
        <w:t xml:space="preserve">12. </w:t>
      </w:r>
      <w:r>
        <w:rPr>
          <w:b/>
          <w:bCs/>
          <w:sz w:val="19"/>
          <w:szCs w:val="19"/>
        </w:rPr>
        <w:t xml:space="preserve">The systemic trials tell us how to combine drugs with liver-directed therapy.</w:t>
      </w:r>
    </w:p>
    <w:p>
      <w:pPr>
        <w:spacing w:after="40" w:line="276"/>
        <w:ind w:left="260"/>
      </w:pPr>
      <w:r>
        <w:rPr>
          <w:color w:val="15181F"/>
          <w:sz w:val="18"/>
          <w:szCs w:val="18"/>
        </w:rPr>
        <w:t xml:space="preserve">None of them can. RADIANT-3 and RADIANT-4 excluded patients embolised within 6 months or ablated within 2 months; NETTER-2 excluded any prior hepatic artery embolisation or ablation outright; RETNET excluded prior hepatic arterial or hepatic radiation therapy and allowed no concomitant therapy beyond octreotide or bisphosphonates. The trial populations were built by removing exactly the patients this page's liver-directed gates produce. NANETS states plainly that cumulative hepatic radiation from radioembolisation followed by PRRT is unstudied, and NANETS/SNMMI that prior liver-directed therapy raises concern for PRRT hepatotoxicity. Cumulative hepatic-directed exposure per patient is therefore a registry field, not a calculation anyone can do from the literature.</w:t>
      </w:r>
    </w:p>
    <w:p>
      <w:pPr>
        <w:spacing w:after="40" w:line="276"/>
        <w:ind w:left="260"/>
      </w:pPr>
      <w:r>
        <w:rPr>
          <w:color w:val="5A6069"/>
          <w:sz w:val="16"/>
          <w:szCs w:val="16"/>
        </w:rPr>
        <w:t xml:space="preserve">Sources: RADIANT-3; RADIANT-4; NETTER-2; RETNET protocol; NANETS 2017 medical; NANETS/SNMMI PRRT</w:t>
      </w:r>
    </w:p>
    <w:p>
      <w:pPr>
        <w:spacing w:after="60" w:before="160"/>
      </w:pPr>
      <w:r>
        <w:rPr>
          <w:b/>
          <w:bCs/>
          <w:color w:val="8E5008"/>
          <w:sz w:val="19"/>
          <w:szCs w:val="19"/>
        </w:rPr>
        <w:t xml:space="preserve">13. </w:t>
      </w:r>
      <w:r>
        <w:rPr>
          <w:b/>
          <w:bCs/>
          <w:sz w:val="19"/>
          <w:szCs w:val="19"/>
        </w:rPr>
        <w:t xml:space="preserve">Debulking before PRRT improves the response.</w:t>
      </w:r>
    </w:p>
    <w:p>
      <w:pPr>
        <w:spacing w:after="40" w:line="276"/>
        <w:ind w:left="260"/>
      </w:pPr>
      <w:r>
        <w:rPr>
          <w:color w:val="15181F"/>
          <w:sz w:val="18"/>
          <w:szCs w:val="18"/>
        </w:rPr>
        <w:t xml:space="preserve">NANETS/SNMMI says it may, and attributes that to limited retrospective data — a single series. The parallel argument, that debulking before a radioligand course reduces the mass of amine-producing cells and so the crisis risk, comes from a narrative review. Both are reasons to proceed when cytoreduction is independently justified in a fit patient with high hepatic burden; neither is a reason to operate on someone who would not otherwise be a cytoreduction candidate. It is the one place where the surgeon sits inside the PRRT safety pathway rather than beside it, which is also why the indication is easy to inflate.</w:t>
      </w:r>
    </w:p>
    <w:p>
      <w:pPr>
        <w:spacing w:after="40" w:line="276"/>
        <w:ind w:left="260"/>
      </w:pPr>
      <w:r>
        <w:rPr>
          <w:color w:val="5A6069"/>
          <w:sz w:val="16"/>
          <w:szCs w:val="16"/>
        </w:rPr>
        <w:t xml:space="preserve">Sources: NANETS/SNMMI PRRT; Carcinoid crisis in PRRT</w:t>
      </w:r>
    </w:p>
    <w:p>
      <w:pPr>
        <w:spacing w:after="60" w:before="160"/>
      </w:pPr>
      <w:r>
        <w:rPr>
          <w:b/>
          <w:bCs/>
          <w:color w:val="8E5008"/>
          <w:sz w:val="19"/>
          <w:szCs w:val="19"/>
        </w:rPr>
        <w:t xml:space="preserve">14. </w:t>
      </w:r>
      <w:r>
        <w:rPr>
          <w:b/>
          <w:bCs/>
          <w:sz w:val="19"/>
          <w:szCs w:val="19"/>
        </w:rPr>
        <w:t xml:space="preserve">Bland embolisation and conventional chemoembolisation are interchangeable.</w:t>
      </w:r>
    </w:p>
    <w:p>
      <w:pPr>
        <w:spacing w:after="40" w:line="276"/>
        <w:ind w:left="260"/>
      </w:pPr>
      <w:r>
        <w:rPr>
          <w:color w:val="15181F"/>
          <w:sz w:val="18"/>
          <w:szCs w:val="18"/>
        </w:rPr>
        <w:t xml:space="preserve">They may not be, and the guidelines disagree. The largest technique comparison is a retrospective, non-randomised MD Anderson cohort in which treatment was chosen by the referring physician: in 69 carcinoid patients bland embolisation gave a response of 81.0% against 44.4% for chemoembolisation (odds ratio 6.41, 1.97–20.84, P=0.002) with no difference in progression-free or overall survival, while in 54 islet-cell patients chemoembolisation trended better but those patients had more resected primaries and less liver involvement. ENETS 2024 generally prefers bland embolisation in small-intestine NET; ENETS 2023 calls chemoembolisation possibly more effective in functioning pancreatic NET. The only randomised comparison in the literature is 26 patients and underpowered, and the three-way prospective trial that would answer it is still running. The default is an expertise and availability decision, and it belongs to the programme, with technique, stated goal, hepatic progression-free survival and toxicity recorded for every procedure.</w:t>
      </w:r>
    </w:p>
    <w:p>
      <w:pPr>
        <w:spacing w:after="40" w:line="276"/>
        <w:ind w:left="260"/>
      </w:pPr>
      <w:r>
        <w:rPr>
          <w:color w:val="5A6069"/>
          <w:sz w:val="16"/>
          <w:szCs w:val="16"/>
        </w:rPr>
        <w:t xml:space="preserve">Sources: Gupta embolisation; ENETS 2024 small intestine; ENETS 2023 functioning panNET; RETNET protocol</w:t>
      </w:r>
    </w:p>
    <w:p>
      <w:pPr>
        <w:spacing w:after="60" w:before="160"/>
      </w:pPr>
      <w:r>
        <w:rPr>
          <w:b/>
          <w:bCs/>
          <w:color w:val="8E5008"/>
          <w:sz w:val="19"/>
          <w:szCs w:val="19"/>
        </w:rPr>
        <w:t xml:space="preserve">15. </w:t>
      </w:r>
      <w:r>
        <w:rPr>
          <w:b/>
          <w:bCs/>
          <w:sz w:val="19"/>
          <w:szCs w:val="19"/>
        </w:rPr>
        <w:t xml:space="preserve">RETNET established something about embolisation technique.</w:t>
      </w:r>
    </w:p>
    <w:p>
      <w:pPr>
        <w:spacing w:after="40" w:line="276"/>
        <w:ind w:left="260"/>
      </w:pPr>
      <w:r>
        <w:rPr>
          <w:color w:val="15181F"/>
          <w:sz w:val="18"/>
          <w:szCs w:val="18"/>
        </w:rPr>
        <w:t xml:space="preserve">The RETNET paper in this depot is the published study protocol and reports no outcome data of any kind — no response, no progression-free survival, no survival. Its quantitative content is a power calculation resting on retrospective single-centre estimates of 11 months of hepatic progression-free survival for bland embolisation against 20 for lipiodol chemoembolisation, with the assumption that lipiodol and drug-eluting chemoembolisation are equivalent on safety, which the trial itself then disproved. Its practice-changing message came from the 20% serious-adverse-event stopping rule that closed the drug-eluting-bead arm, a closure reported in the ENETS 2024 guidance rather than in the protocol paper. Any outcome figure attributed to RETNET anywhere in the programme's material — including the shared liver-directed-therapy matrix, which carries such figures for this disease — is unsourced and should be removed at source.</w:t>
      </w:r>
    </w:p>
    <w:p>
      <w:pPr>
        <w:spacing w:after="40" w:line="276"/>
        <w:ind w:left="260"/>
      </w:pPr>
      <w:r>
        <w:rPr>
          <w:color w:val="5A6069"/>
          <w:sz w:val="16"/>
          <w:szCs w:val="16"/>
        </w:rPr>
        <w:t xml:space="preserve">Sources: RETNET protocol; ENETS 2024 small intestine</w:t>
      </w:r>
    </w:p>
    <w:p>
      <w:pPr>
        <w:spacing w:after="60" w:before="160"/>
      </w:pPr>
      <w:r>
        <w:rPr>
          <w:b/>
          <w:bCs/>
          <w:color w:val="8E5008"/>
          <w:sz w:val="19"/>
          <w:szCs w:val="19"/>
        </w:rPr>
        <w:t xml:space="preserve">16. </w:t>
      </w:r>
      <w:r>
        <w:rPr>
          <w:b/>
          <w:bCs/>
          <w:sz w:val="19"/>
          <w:szCs w:val="19"/>
        </w:rPr>
        <w:t xml:space="preserve">Drug-eluting embolics are unsafe in neuroendocrine tumours.</w:t>
      </w:r>
    </w:p>
    <w:p>
      <w:pPr>
        <w:spacing w:after="40" w:line="276"/>
        <w:ind w:left="260"/>
      </w:pPr>
      <w:r>
        <w:rPr>
          <w:color w:val="15181F"/>
          <w:sz w:val="18"/>
          <w:szCs w:val="18"/>
        </w:rPr>
        <w:t xml:space="preserve">The position is kept, and the string is downgraded to C to say what it rests on. The phase 2 trial is a single-centre interrupted interim analysis of 13 patients, so neither the 54% biloma rate nor the response rate has a usable confidence interval. The injury fell on patients with roughly one third the hepatic tumour burden of those spared (mean 12% versus 44%, P=0.06), the beads were mixed 1:1 with contrast and invisible on injection with the endpoint judged by operator tactile feedback, and the authors concede this may have caused overembolisation and non-target deposition. The 54% figure is far out of line with the comparator series the paper itself cites — about 30% biliary injury needing no drainage in one, 0% in another using 500 to 700 micrometre particles. The confirmatory signal is an arm closure in an ongoing trial, reported in a guideline. Two patients died and the injury is biliary and irreversible, which is reason enough for a precautionary institutional ban; it is not a demonstrated class effect.</w:t>
      </w:r>
    </w:p>
    <w:p>
      <w:pPr>
        <w:spacing w:after="40" w:line="276"/>
        <w:ind w:left="260"/>
      </w:pPr>
      <w:r>
        <w:rPr>
          <w:color w:val="5A6069"/>
          <w:sz w:val="16"/>
          <w:szCs w:val="16"/>
        </w:rPr>
        <w:t xml:space="preserve">Sources: DEB-TACE phase 2; RETNET protocol; ENETS 2024 small intestine</w:t>
      </w:r>
    </w:p>
    <w:p>
      <w:pPr>
        <w:spacing w:after="60" w:before="160"/>
      </w:pPr>
      <w:r>
        <w:rPr>
          <w:b/>
          <w:bCs/>
          <w:color w:val="8E5008"/>
          <w:sz w:val="19"/>
          <w:szCs w:val="19"/>
        </w:rPr>
        <w:t xml:space="preserve">17. </w:t>
      </w:r>
      <w:r>
        <w:rPr>
          <w:b/>
          <w:bCs/>
          <w:sz w:val="19"/>
          <w:szCs w:val="19"/>
        </w:rPr>
        <w:t xml:space="preserve">Radioembolisation gives a 70-month median survival in this disease.</w:t>
      </w:r>
    </w:p>
    <w:p>
      <w:pPr>
        <w:spacing w:after="40" w:line="276"/>
        <w:ind w:left="260"/>
      </w:pPr>
      <w:r>
        <w:rPr>
          <w:color w:val="15181F"/>
          <w:sz w:val="18"/>
          <w:szCs w:val="18"/>
        </w:rPr>
        <w:t xml:space="preserve">That number comes from a voluntary 10-centre retrospective series of 148 patients in which 78% were still alive at a median follow-up of 42 months, so the estimate is immature and heavily censored; response assessment was not standardised, using CT, MRI or scintigraphy with each investigator giving a best estimate where WHO or RECIST could not be applied; half the patients came from self-described centres of excellence; and neither grade nor Ki-67 is reported. The single-centre series that followed the same technique for long-term toxicity reported a median survival of 28.0 months in 93 patients, and showed that two baseline findings dominate the conversation — 7.3 months with ascites against 53.8 without, 21.1 months with extrahepatic disease against 58.0 without. Quote those, and the patient's own baseline, rather than the 70-month figure.</w:t>
      </w:r>
    </w:p>
    <w:p>
      <w:pPr>
        <w:spacing w:after="40" w:line="276"/>
        <w:ind w:left="260"/>
      </w:pPr>
      <w:r>
        <w:rPr>
          <w:color w:val="5A6069"/>
          <w:sz w:val="16"/>
          <w:szCs w:val="16"/>
        </w:rPr>
        <w:t xml:space="preserve">Sources: Kennedy Y-90; Y-90 late toxicity</w:t>
      </w:r>
    </w:p>
    <w:p>
      <w:pPr>
        <w:spacing w:after="60" w:before="160"/>
      </w:pPr>
      <w:r>
        <w:rPr>
          <w:b/>
          <w:bCs/>
          <w:color w:val="8E5008"/>
          <w:sz w:val="19"/>
          <w:szCs w:val="19"/>
        </w:rPr>
        <w:t xml:space="preserve">18. </w:t>
      </w:r>
      <w:r>
        <w:rPr>
          <w:b/>
          <w:bCs/>
          <w:sz w:val="19"/>
          <w:szCs w:val="19"/>
        </w:rPr>
        <w:t xml:space="preserve">Late hepatic injury after radioembolisation is quantified.</w:t>
      </w:r>
    </w:p>
    <w:p>
      <w:pPr>
        <w:spacing w:after="40" w:line="276"/>
        <w:ind w:left="260"/>
      </w:pPr>
      <w:r>
        <w:rPr>
          <w:color w:val="15181F"/>
          <w:sz w:val="18"/>
          <w:szCs w:val="18"/>
        </w:rPr>
        <w:t xml:space="preserve">It is signalled, not quantified. Cirrhosis-like morphology or portal-hypertension signs appeared in 15 of 52 patients (29%) followed beyond a year, more often after bilobar treatment, but no single imaging finding reached significance and the series was not powered for it; the sustained ALP and AST elevation beyond four years is a finding in 11 people. The denominator shrinks as it goes: of 93 patients treated, 41 had under a year of follow-up, 23 were lost and 18 died. Nine of the 52 had systemic therapy in the first year, 24 had prior chemoembolisation or bland embolisation and 21 prior resection, and the authors state these and tumour progression could not be separated from the radiation. No radioembolisation-induced liver failure occurred in that series or in the 148-patient series. The honest position is that the risk is real, undefined in size, and concentrated in bilobar treatment — which is why a long expected survival raises the threshold rather than lowering it, and why long-term hepatic follow-up for every treated patient is a dashboard item.</w:t>
      </w:r>
    </w:p>
    <w:p>
      <w:pPr>
        <w:spacing w:after="40" w:line="276"/>
        <w:ind w:left="260"/>
      </w:pPr>
      <w:r>
        <w:rPr>
          <w:color w:val="5A6069"/>
          <w:sz w:val="16"/>
          <w:szCs w:val="16"/>
        </w:rPr>
        <w:t xml:space="preserve">Sources: Y-90 late toxicity; Kennedy Y-90</w:t>
      </w:r>
    </w:p>
    <w:p>
      <w:pPr>
        <w:spacing w:after="60" w:before="160"/>
      </w:pPr>
      <w:r>
        <w:rPr>
          <w:b/>
          <w:bCs/>
          <w:color w:val="8E5008"/>
          <w:sz w:val="19"/>
          <w:szCs w:val="19"/>
        </w:rPr>
        <w:t xml:space="preserve">19. </w:t>
      </w:r>
      <w:r>
        <w:rPr>
          <w:b/>
          <w:bCs/>
          <w:sz w:val="19"/>
          <w:szCs w:val="19"/>
        </w:rPr>
        <w:t xml:space="preserve">Adding radioembolisation to PRRT improves hepatic control.</w:t>
      </w:r>
    </w:p>
    <w:p>
      <w:pPr>
        <w:spacing w:after="40" w:line="276"/>
        <w:ind w:left="260"/>
      </w:pPr>
      <w:r>
        <w:rPr>
          <w:color w:val="15181F"/>
          <w:sz w:val="18"/>
          <w:szCs w:val="18"/>
        </w:rPr>
        <w:t xml:space="preserve">On one comparison of a prospective single-arm cohort against a retrospective historical control, with 24 of a planned 120 pairs matched. Two-year hepatic progression-free survival was 82% versus 50% and best objective response 71% versus 25%, but median progression-free and overall survival were unseparated, there was no survival benefit, the proportion of deaths was higher in the combination arm, and the toxicity and hormonal-symptom analyses were abandoned because the retrospective arm's reporting was unreliable. Median liver tumour burden in the matched set was 8% versus 20%, so this is not a bulky-disease population; ECOG could not be balanced and every combination patient dropped at least one point after PRRT before the SIRT; and the study was funded by the microsphere manufacturer with two of its employees as co-authors. There is still no evidence either way on the safety of sequencing radioembolisation and PRRT.</w:t>
      </w:r>
    </w:p>
    <w:p>
      <w:pPr>
        <w:spacing w:after="40" w:line="276"/>
        <w:ind w:left="260"/>
      </w:pPr>
      <w:r>
        <w:rPr>
          <w:color w:val="5A6069"/>
          <w:sz w:val="16"/>
          <w:szCs w:val="16"/>
        </w:rPr>
        <w:t xml:space="preserve">Sources: HEPAR PLuS; NANETS/SNMMI PRRT</w:t>
      </w:r>
    </w:p>
    <w:p>
      <w:pPr>
        <w:spacing w:after="60" w:before="160"/>
      </w:pPr>
      <w:r>
        <w:rPr>
          <w:b/>
          <w:bCs/>
          <w:color w:val="8E5008"/>
          <w:sz w:val="19"/>
          <w:szCs w:val="19"/>
        </w:rPr>
        <w:t xml:space="preserve">20. </w:t>
      </w:r>
      <w:r>
        <w:rPr>
          <w:b/>
          <w:bCs/>
          <w:sz w:val="19"/>
          <w:szCs w:val="19"/>
        </w:rPr>
        <w:t xml:space="preserve">Thermal ablation can be complete local treatment for four lesions or fewer each under 3 cm.</w:t>
      </w:r>
    </w:p>
    <w:p>
      <w:pPr>
        <w:spacing w:after="40" w:line="276"/>
        <w:ind w:left="260"/>
      </w:pPr>
      <w:r>
        <w:rPr>
          <w:color w:val="15181F"/>
          <w:sz w:val="18"/>
          <w:szCs w:val="18"/>
        </w:rPr>
        <w:t xml:space="preserve">That limit is not where the evidence comes from. NCCN states it and ENETS 2024 puts percutaneous ablation at three to five metastases each under 3 cm at B-3, but the two series behind ablation in this disease enrolled up to 15 tumours, up to 10 cm, with under 20% liver volume involved, a mean largest tumour of 3.6 cm and a mean of six lesions treated. Quote local control per patient as well as per lesion — recurrence at an ablated site in 11% and 22% of patients against 6.3% and 7.9% of lesions — and note that 80% of one series developed new or progressive liver disease and 63% and 59% of the larger series developed new liver and new extrahepatic disease. Neither series reports grade or Ki-67; at the published discussion the authors confirmed the analysis was never done. Both pool medullary thyroid carcinoma and bronchial carcinoids with gastroenteropancreatic disease, and outcomes are confounded by salvage in 30% on an analogue, 27% re-ablated, 18% on chemotherapy and 10% embolised. There is no established cured fraction; record residual disease and grade instead.</w:t>
      </w:r>
    </w:p>
    <w:p>
      <w:pPr>
        <w:spacing w:after="40" w:line="276"/>
        <w:ind w:left="260"/>
      </w:pPr>
      <w:r>
        <w:rPr>
          <w:color w:val="5A6069"/>
          <w:sz w:val="16"/>
          <w:szCs w:val="16"/>
        </w:rPr>
        <w:t xml:space="preserve">Sources: Mazzaglia RFA; Akyildiz RFA; ENETS 2024 small intestine</w:t>
      </w:r>
    </w:p>
    <w:p>
      <w:pPr>
        <w:spacing w:after="60" w:before="160"/>
      </w:pPr>
      <w:r>
        <w:rPr>
          <w:b/>
          <w:bCs/>
          <w:color w:val="8E5008"/>
          <w:sz w:val="19"/>
          <w:szCs w:val="19"/>
        </w:rPr>
        <w:t xml:space="preserve">21. </w:t>
      </w:r>
      <w:r>
        <w:rPr>
          <w:b/>
          <w:bCs/>
          <w:sz w:val="19"/>
          <w:szCs w:val="19"/>
        </w:rPr>
        <w:t xml:space="preserve">Resecting the primary in the presence of unresectable liver metastases prolongs survival.</w:t>
      </w:r>
    </w:p>
    <w:p>
      <w:pPr>
        <w:spacing w:after="40" w:line="276"/>
        <w:ind w:left="260"/>
      </w:pPr>
      <w:r>
        <w:rPr>
          <w:color w:val="15181F"/>
          <w:sz w:val="18"/>
          <w:szCs w:val="18"/>
        </w:rPr>
        <w:t xml:space="preserve">NANETS reached full consensus that it should be considered in small-bowel primaries, on retrospective medians of 7.4 versus 4.0 years, 9.9 versus 4.7 years and 159 versus 47 months — all from cohorts in which the unresected patients were older, more comorbid or more heavily liver-replaced, which NANETS states cannot be separated from the effect. ENETS adds that at least three propensity-matched studies show no survival benefit in asymptomatic stage IV disease, and that only 22% of a watch-and-wait cohort ever needed surgery. NANETS 2020 reached no consensus for pancreatic primaries, the majority holding that resection may help only in selected circumstances. The defensible reasons to operate are the complications for which no effective therapy exists — obstruction, mesenteric ischaemia, bleeding, perforation — and transplant candidacy; survival is not one of them.</w:t>
      </w:r>
    </w:p>
    <w:p>
      <w:pPr>
        <w:spacing w:after="40" w:line="276"/>
        <w:ind w:left="260"/>
      </w:pPr>
      <w:r>
        <w:rPr>
          <w:color w:val="5A6069"/>
          <w:sz w:val="16"/>
          <w:szCs w:val="16"/>
        </w:rPr>
        <w:t xml:space="preserve">Sources: NANETS 2017 surgical; NANETS 2020 surgical; ENETS 2024 small intestine</w:t>
      </w:r>
    </w:p>
    <w:p>
      <w:pPr>
        <w:spacing w:after="60" w:before="160"/>
      </w:pPr>
      <w:r>
        <w:rPr>
          <w:b/>
          <w:bCs/>
          <w:color w:val="8E5008"/>
          <w:sz w:val="19"/>
          <w:szCs w:val="19"/>
        </w:rPr>
        <w:t xml:space="preserve">22. </w:t>
      </w:r>
      <w:r>
        <w:rPr>
          <w:b/>
          <w:bCs/>
          <w:sz w:val="19"/>
          <w:szCs w:val="19"/>
        </w:rPr>
        <w:t xml:space="preserve">Transplantation for neuroendocrine liver metastases gives 10-year survival near 90%.</w:t>
      </w:r>
    </w:p>
    <w:p>
      <w:pPr>
        <w:spacing w:after="40" w:line="276"/>
        <w:ind w:left="260"/>
      </w:pPr>
      <w:r>
        <w:rPr>
          <w:color w:val="15181F"/>
          <w:sz w:val="18"/>
          <w:szCs w:val="18"/>
        </w:rPr>
        <w:t xml:space="preserve">That figure rests on 42 transplanted patients at one centre over 15 years. 280 referrals produced 88 patients meeting Milan-NET criteria, 42 of whom were transplanted and 46 not, the split driven by waiting-list capacity, age and patient refusal. Recipients were 15 years younger in a cohort where age independently predicted death; 18 of the 22 who declined did so because they judged their own health normal, so the comparison arm is self-selected on wellbeing; the non-transplant arm predates current therapy, with 8.7% having PRRT and none a cytoreductive liver resection; and WHO 2010 review reclassified 8.7% of them as G3 against none of the recipients. The cohort was too small to match on, so propensity score entered only as a covariate, giving an adjusted benefit of 6.82 months at 5 years (95% CI 1.10–12.54) rising to 38.43 months at 10 years. 88% of grafts were marginal quality, and 6 of the 9 deaths after transplantation were from transplant sequelae rather than cancer. The companion resection comparison is univariate only, over 36 years, with transplant recipients selected by a test of time — median 38.5 months from primary resection to liver surgery against 6.5 — and a resection arm that had no routine lymphadenectomy and 11% R1 margins. Enough to justify a protocol and a registry; not enough to make transplantation a routine option.</w:t>
      </w:r>
    </w:p>
    <w:p>
      <w:pPr>
        <w:spacing w:after="40" w:line="276"/>
        <w:ind w:left="260"/>
      </w:pPr>
      <w:r>
        <w:rPr>
          <w:color w:val="5A6069"/>
          <w:sz w:val="16"/>
          <w:szCs w:val="16"/>
        </w:rPr>
        <w:t xml:space="preserve">Sources: Milan-NET transplant; Resection vs transplant</w:t>
      </w:r>
    </w:p>
    <w:p>
      <w:pPr>
        <w:spacing w:after="60" w:before="160"/>
      </w:pPr>
      <w:r>
        <w:rPr>
          <w:b/>
          <w:bCs/>
          <w:color w:val="8E5008"/>
          <w:sz w:val="19"/>
          <w:szCs w:val="19"/>
        </w:rPr>
        <w:t xml:space="preserve">23. </w:t>
      </w:r>
      <w:r>
        <w:rPr>
          <w:b/>
          <w:bCs/>
          <w:sz w:val="19"/>
          <w:szCs w:val="19"/>
        </w:rPr>
        <w:t xml:space="preserve">The Milan-NET criteria are validated selection thresholds.</w:t>
      </w:r>
    </w:p>
    <w:p>
      <w:pPr>
        <w:spacing w:after="40" w:line="276"/>
        <w:ind w:left="260"/>
      </w:pPr>
      <w:r>
        <w:rPr>
          <w:color w:val="15181F"/>
          <w:sz w:val="18"/>
          <w:szCs w:val="18"/>
        </w:rPr>
        <w:t xml:space="preserve">They are protocol conditions published in 2007, before the cohort now quoted from them, so the 2016 analysis measures the outcome of patients chosen by the criteria rather than testing the criteria. They omit nodal status of the primary, yet nodal involvement was the only independent predictor of post-transplant survival in the resection comparison (hazard ratio 5.7, 1.3–24) while liver involvement above 50% and G3 histology were not — the criteria may be selecting on the wrong variable. The thresholds also disagree across sources: Milan sets age under 60 as a relative criterion and under 50% liver volume, ESMO quotes age under 60 with Ki-67 under 10% at level IV, and the OPTN review-board guidance states no age limit and no hepatic burden cutoff at all. Any local age or burden limit must therefore be labelled local or attributed to its selection framework.</w:t>
      </w:r>
    </w:p>
    <w:p>
      <w:pPr>
        <w:spacing w:after="40" w:line="276"/>
        <w:ind w:left="260"/>
      </w:pPr>
      <w:r>
        <w:rPr>
          <w:color w:val="5A6069"/>
          <w:sz w:val="16"/>
          <w:szCs w:val="16"/>
        </w:rPr>
        <w:t xml:space="preserve">Sources: Milan-NET transplant; Resection vs transplant; ESMO 2020 GEP-NEN</w:t>
      </w:r>
    </w:p>
    <w:p>
      <w:pPr>
        <w:spacing w:after="60" w:before="160"/>
      </w:pPr>
      <w:r>
        <w:rPr>
          <w:b/>
          <w:bCs/>
          <w:color w:val="8E5008"/>
          <w:sz w:val="19"/>
          <w:szCs w:val="19"/>
        </w:rPr>
        <w:t xml:space="preserve">24. </w:t>
      </w:r>
      <w:r>
        <w:rPr>
          <w:b/>
          <w:bCs/>
          <w:sz w:val="19"/>
          <w:szCs w:val="19"/>
        </w:rPr>
        <w:t xml:space="preserve">The transplant decision is settled by the transplant criteria.</w:t>
      </w:r>
    </w:p>
    <w:p>
      <w:pPr>
        <w:spacing w:after="40" w:line="276"/>
        <w:ind w:left="260"/>
      </w:pPr>
      <w:r>
        <w:rPr>
          <w:color w:val="15181F"/>
          <w:sz w:val="18"/>
          <w:szCs w:val="18"/>
        </w:rPr>
        <w:t xml:space="preserve">Two other things settle it first. Limited disease amenable to curative liver resection excluded 75 of 280 referrals in the Milan series, so the commonest reason not to transplant a Milan-in patient is that an operation would clear the liver; favourable-biology patients are usually cytoreduction candidates too, and resection and cytoreduction must be compared against transplantation at the same board before listing. And allocation is separate from benefit: neuroendocrine liver metastasis is not a standardised OPTN MELD exception, so listing goes by the nonstandard 'other liver cancer or tumour, specify' route with a written narrative at MMaT-3, with 90-day extensions, and NCCN still deems transplantation investigational. ENETS 2024 reduces transplantation to a rare consideration in selected individuals. Whether the programme opens a NELM transplant protocol at all remains an approval item.</w:t>
      </w:r>
    </w:p>
    <w:p>
      <w:pPr>
        <w:spacing w:after="40" w:line="276"/>
        <w:ind w:left="260"/>
      </w:pPr>
      <w:r>
        <w:rPr>
          <w:color w:val="5A6069"/>
          <w:sz w:val="16"/>
          <w:szCs w:val="16"/>
        </w:rPr>
        <w:t xml:space="preserve">Sources: Milan-NET transplant; ENETS 2024 small intestine; NANETS 2017 surgical</w:t>
      </w:r>
    </w:p>
    <w:p>
      <w:pPr>
        <w:spacing w:after="60" w:before="160"/>
      </w:pPr>
      <w:r>
        <w:rPr>
          <w:b/>
          <w:bCs/>
          <w:color w:val="8E5008"/>
          <w:sz w:val="19"/>
          <w:szCs w:val="19"/>
        </w:rPr>
        <w:t xml:space="preserve">25. </w:t>
      </w:r>
      <w:r>
        <w:rPr>
          <w:b/>
          <w:bCs/>
          <w:sz w:val="19"/>
          <w:szCs w:val="19"/>
        </w:rPr>
        <w:t xml:space="preserve">Imaging-timing wording for the transplant exception means what it sounds like.</w:t>
      </w:r>
    </w:p>
    <w:p>
      <w:pPr>
        <w:spacing w:after="40" w:line="276"/>
        <w:ind w:left="260"/>
      </w:pPr>
      <w:r>
        <w:rPr>
          <w:color w:val="15181F"/>
          <w:sz w:val="18"/>
          <w:szCs w:val="18"/>
        </w:rPr>
        <w:t xml:space="preserve">It does not, and the page deliberately reproduces it unchanged. The review-board guidance requires radiologic workup for extrahepatic disease 'at least 3 months prior to initial or extension MELD exception request (submit date)', including somatostatin-receptor scintigraphy or Ga-68 imaging or PET. Read literally that is a floor on how old the imaging must be, which is the opposite of what a clinician assumes; the intended timing is confirmed with the review process before filing while current clinical staging is kept. MMaT also means the median MELD at transplant for the donor hospital used in the match run, not a fixed national score, and an MMaT-relative exception below 15 is assigned 15 under Policy 9.4.E. These are policy mechanics, not evidence, and they are the commonest source of a failed listing.</w:t>
      </w:r>
    </w:p>
    <w:p>
      <w:pPr>
        <w:spacing w:after="40" w:line="276"/>
        <w:ind w:left="260"/>
      </w:pPr>
      <w:r>
        <w:rPr>
          <w:color w:val="5A6069"/>
          <w:sz w:val="16"/>
          <w:szCs w:val="16"/>
        </w:rPr>
        <w:t xml:space="preserve">Sources: Milan-NET transplant</w:t>
      </w:r>
    </w:p>
    <w:p>
      <w:pPr>
        <w:spacing w:after="60" w:before="160"/>
      </w:pPr>
      <w:r>
        <w:rPr>
          <w:b/>
          <w:bCs/>
          <w:color w:val="8E5008"/>
          <w:sz w:val="19"/>
          <w:szCs w:val="19"/>
        </w:rPr>
        <w:t xml:space="preserve">26. </w:t>
      </w:r>
      <w:r>
        <w:rPr>
          <w:b/>
          <w:bCs/>
          <w:sz w:val="19"/>
          <w:szCs w:val="19"/>
        </w:rPr>
        <w:t xml:space="preserve">Prophylactic octreotide prevents intraoperative carcinoid crisis.</w:t>
      </w:r>
    </w:p>
    <w:p>
      <w:pPr>
        <w:spacing w:after="40" w:line="276"/>
        <w:ind w:left="260"/>
      </w:pPr>
      <w:r>
        <w:rPr>
          <w:color w:val="15181F"/>
          <w:sz w:val="18"/>
          <w:szCs w:val="18"/>
        </w:rPr>
        <w:t xml:space="preserve">NCCN states it is likely ineffective, NANETS 2017 says prevention has not been established, and NANETS 2020 calls the role of analogues in preventing crisis in pancreatic NET undefined. The NANETS 2017 recommendation is internally conflicted, stating that the literature does not support prophylaxis while sanctioning an intraoperative infusion of 100 to 500 micrograms per hour as harmless practice. The incidence figures themselves disagree by an order of magnitude depending on which literature is read: 1 to 2% during 177Lu-dotatate from a narrative review whose authors say the diagnosis lacks agreed criteria and whose own 127 administrations produced no crisis, against intraoperative event rates of 24 to 30% despite octreotide in surgical series, with liver metastases the strongest predictor in one. What should drive practice is preparedness — a named owner per procedure, rescue octreotide in the room, and fluids and vasopressors that octreotide must never delay — audited for adherence rather than for effectiveness.</w:t>
      </w:r>
    </w:p>
    <w:p>
      <w:pPr>
        <w:spacing w:after="40" w:line="276"/>
        <w:ind w:left="260"/>
      </w:pPr>
      <w:r>
        <w:rPr>
          <w:color w:val="5A6069"/>
          <w:sz w:val="16"/>
          <w:szCs w:val="16"/>
        </w:rPr>
        <w:t xml:space="preserve">Sources: Carcinoid crisis in PRRT; NANETS 2017 surgical; NANETS 2020 surgical</w:t>
      </w:r>
    </w:p>
    <w:p>
      <w:pPr>
        <w:spacing w:after="60" w:before="160"/>
      </w:pPr>
      <w:r>
        <w:rPr>
          <w:b/>
          <w:bCs/>
          <w:color w:val="8E5008"/>
          <w:sz w:val="19"/>
          <w:szCs w:val="19"/>
        </w:rPr>
        <w:t xml:space="preserve">27. </w:t>
      </w:r>
      <w:r>
        <w:rPr>
          <w:b/>
          <w:bCs/>
          <w:sz w:val="19"/>
          <w:szCs w:val="19"/>
        </w:rPr>
        <w:t xml:space="preserve">Pre-procedure octreotide is simply good practice before a hepatic procedure.</w:t>
      </w:r>
    </w:p>
    <w:p>
      <w:pPr>
        <w:spacing w:after="40" w:line="276"/>
        <w:ind w:left="260"/>
      </w:pPr>
      <w:r>
        <w:rPr>
          <w:color w:val="15181F"/>
          <w:sz w:val="18"/>
          <w:szCs w:val="18"/>
        </w:rPr>
        <w:t xml:space="preserve">It carries a cost that no rule prices. Octreotide within 48 hours, or octreotide LAR within 28 days, of 177Lu-dotatate can competitively block tumour uptake and reduce efficacy, and the review that records this offers no rule for when prophylaxis is worth the trade-off beyond individual judgement. So in a functional patient heading for a radioligand course the prophylaxis decision has to be made explicitly with nuclear medicine rather than by default, and documented either way.</w:t>
      </w:r>
    </w:p>
    <w:p>
      <w:pPr>
        <w:spacing w:after="40" w:line="276"/>
        <w:ind w:left="260"/>
      </w:pPr>
      <w:r>
        <w:rPr>
          <w:color w:val="5A6069"/>
          <w:sz w:val="16"/>
          <w:szCs w:val="16"/>
        </w:rPr>
        <w:t xml:space="preserve">Sources: Carcinoid crisis in PRRT; NANETS/SNMMI PRRT</w:t>
      </w:r>
    </w:p>
    <w:p>
      <w:pPr>
        <w:spacing w:after="60" w:before="160"/>
      </w:pPr>
      <w:r>
        <w:rPr>
          <w:b/>
          <w:bCs/>
          <w:color w:val="8E5008"/>
          <w:sz w:val="19"/>
          <w:szCs w:val="19"/>
        </w:rPr>
        <w:t xml:space="preserve">28. </w:t>
      </w:r>
      <w:r>
        <w:rPr>
          <w:b/>
          <w:bCs/>
          <w:sz w:val="19"/>
          <w:szCs w:val="19"/>
        </w:rPr>
        <w:t xml:space="preserve">Functional status and hepatic burden and distribution are named requirements at grade D.</w:t>
      </w:r>
    </w:p>
    <w:p>
      <w:pPr>
        <w:spacing w:after="40" w:line="276"/>
        <w:ind w:left="260"/>
      </w:pPr>
      <w:r>
        <w:rPr>
          <w:color w:val="15181F"/>
          <w:sz w:val="18"/>
          <w:szCs w:val="18"/>
        </w:rPr>
        <w:t xml:space="preserve">The roadmap grades them D because no comparative study tests the thresholds themselves. They are kept because functional status changes procedural safety planning and not only symptom management, and because a pathway cannot be assigned without knowing which problem is driving the clinical picture. Audit them for completeness at submission, not for effect.</w:t>
      </w:r>
    </w:p>
    <w:p>
      <w:pPr>
        <w:spacing w:after="40" w:line="276"/>
        <w:ind w:left="260"/>
      </w:pPr>
      <w:r>
        <w:rPr>
          <w:color w:val="5A6069"/>
          <w:sz w:val="16"/>
          <w:szCs w:val="16"/>
        </w:rPr>
        <w:t xml:space="preserve">Sources: Carcinoid crisis in PRRT</w:t>
      </w:r>
    </w:p>
    <w:p>
      <w:pPr>
        <w:spacing w:after="60" w:before="160"/>
      </w:pPr>
      <w:r>
        <w:rPr>
          <w:b/>
          <w:bCs/>
          <w:color w:val="8E5008"/>
          <w:sz w:val="19"/>
          <w:szCs w:val="19"/>
        </w:rPr>
        <w:t xml:space="preserve">29. </w:t>
      </w:r>
      <w:r>
        <w:rPr>
          <w:b/>
          <w:bCs/>
          <w:sz w:val="19"/>
          <w:szCs w:val="19"/>
        </w:rPr>
        <w:t xml:space="preserve">Differentiation and grade reporting is a grade B requirement.</w:t>
      </w:r>
    </w:p>
    <w:p>
      <w:pPr>
        <w:spacing w:after="40" w:line="276"/>
        <w:ind w:left="260"/>
      </w:pPr>
      <w:r>
        <w:rPr>
          <w:color w:val="15181F"/>
          <w:sz w:val="18"/>
          <w:szCs w:val="18"/>
        </w:rPr>
        <w:t xml:space="preserve">It is now graded C. The requirement is right and the pathway cannot run without it, but its evidence is consensus, not comparison: NANETS 2017 means a show of hands from a 15-member panel with no evidence grading and no systematic search, which recorded consensus that both differentiation and grade be reported and a significant majority that both mitotic rate and Ki-67 be measured. The Ki-67 55% discriminator between carcinoma and well-differentiated G3 comes from a single report, and the same ENETS paper concedes morphology can be ambiguous, particularly for large-cell carcinoma. ENETS 2023 also excludes well-differentiated G3 from its scope by design, so the guidance is strongest exactly where the diagnosis is already unambiguous and silent where the fork actually bites.</w:t>
      </w:r>
    </w:p>
    <w:p>
      <w:pPr>
        <w:spacing w:after="40" w:line="276"/>
        <w:ind w:left="260"/>
      </w:pPr>
      <w:r>
        <w:rPr>
          <w:color w:val="5A6069"/>
          <w:sz w:val="16"/>
          <w:szCs w:val="16"/>
        </w:rPr>
        <w:t xml:space="preserve">Sources: NANETS 2017 medical; ENETS 2023 NEC</w:t>
      </w:r>
    </w:p>
    <w:p>
      <w:pPr>
        <w:spacing w:after="60" w:before="160"/>
      </w:pPr>
      <w:r>
        <w:rPr>
          <w:b/>
          <w:bCs/>
          <w:color w:val="8E5008"/>
          <w:sz w:val="19"/>
          <w:szCs w:val="19"/>
        </w:rPr>
        <w:t xml:space="preserve">30. </w:t>
      </w:r>
      <w:r>
        <w:rPr>
          <w:b/>
          <w:bCs/>
          <w:sz w:val="19"/>
          <w:szCs w:val="19"/>
        </w:rPr>
        <w:t xml:space="preserve">Imaging every 3 to 4 months at first, then about every 6 months once stable.</w:t>
      </w:r>
    </w:p>
    <w:p>
      <w:pPr>
        <w:spacing w:after="40" w:line="276"/>
        <w:ind w:left="260"/>
      </w:pPr>
      <w:r>
        <w:rPr>
          <w:color w:val="15181F"/>
          <w:sz w:val="18"/>
          <w:szCs w:val="18"/>
        </w:rPr>
        <w:t xml:space="preserve">A local interval chosen within the NCCN range of every 12 weeks to 12 months, retained where risk warrants it rather than claiming one NCCN interval for every patient. ASCO suggests every 3 to 6 months in low-volume asymptomatic disease and NANETS suggests 3 to 4 months if observing; no trial compares surveillance intervals, and the three published ranges are not the same. Observation itself is an equally acceptable course in this phenotype rather than an inferior one: the NANETS panel split roughly evenly, and the CLARINET placebo arm ran a median 18.0 months without progression.</w:t>
      </w:r>
    </w:p>
    <w:p>
      <w:pPr>
        <w:spacing w:after="40" w:line="276"/>
        <w:ind w:left="260"/>
      </w:pPr>
      <w:r>
        <w:rPr>
          <w:color w:val="5A6069"/>
          <w:sz w:val="16"/>
          <w:szCs w:val="16"/>
        </w:rPr>
        <w:t xml:space="preserve">Sources: ASCO 2023 systemic; NANETS 2017 medical; CLARINET</w:t>
      </w:r>
    </w:p>
    <w:p>
      <w:pPr>
        <w:spacing w:after="60" w:before="160"/>
      </w:pPr>
      <w:r>
        <w:rPr>
          <w:b/>
          <w:bCs/>
          <w:color w:val="8E5008"/>
          <w:sz w:val="19"/>
          <w:szCs w:val="19"/>
        </w:rPr>
        <w:t xml:space="preserve">31. </w:t>
      </w:r>
      <w:r>
        <w:rPr>
          <w:b/>
          <w:bCs/>
          <w:sz w:val="19"/>
          <w:szCs w:val="19"/>
        </w:rPr>
        <w:t xml:space="preserve">A mandatory exhaustion-of-all-options rule before radioembolisation is a local restriction, not NCCN.</w:t>
      </w:r>
    </w:p>
    <w:p>
      <w:pPr>
        <w:spacing w:after="40" w:line="276"/>
        <w:ind w:left="260"/>
      </w:pPr>
      <w:r>
        <w:rPr>
          <w:color w:val="15181F"/>
          <w:sz w:val="18"/>
          <w:szCs w:val="18"/>
        </w:rPr>
        <w:t xml:space="preserve">The roadmap says so explicitly and now permits phenotype-selected Y90 as a reasonable consideration. The counterweight is not evidence of harm from early use but the treatment-horizon principle: a long expected survival raises the threshold for hepatic radioembolisation rather than lowering it, because radiation-induced liver injury accrues over exactly the time the patient has, and the size of that risk is undefined. NANETS itself reached no consensus on a preferred embolisation modality and judged the evidence insufficient for second-line use while supporting it later for liver-dominant disease.</w:t>
      </w:r>
    </w:p>
    <w:p>
      <w:pPr>
        <w:spacing w:after="40" w:line="276"/>
        <w:ind w:left="260"/>
      </w:pPr>
      <w:r>
        <w:rPr>
          <w:color w:val="5A6069"/>
          <w:sz w:val="16"/>
          <w:szCs w:val="16"/>
        </w:rPr>
        <w:t xml:space="preserve">Sources: Y-90 late toxicity; NANETS 2017 medical</w:t>
      </w:r>
    </w:p>
    <w:p>
      <w:pPr>
        <w:spacing w:after="60" w:before="160"/>
      </w:pPr>
      <w:r>
        <w:rPr>
          <w:b/>
          <w:bCs/>
          <w:color w:val="8E5008"/>
          <w:sz w:val="19"/>
          <w:szCs w:val="19"/>
        </w:rPr>
        <w:t xml:space="preserve">32. </w:t>
      </w:r>
      <w:r>
        <w:rPr>
          <w:b/>
          <w:bCs/>
          <w:sz w:val="19"/>
          <w:szCs w:val="19"/>
        </w:rPr>
        <w:t xml:space="preserve">The tumour board operating model is labelled Standard because the programme has chosen it, not because trials support it.</w:t>
      </w:r>
    </w:p>
    <w:p>
      <w:pPr>
        <w:spacing w:after="40" w:line="276"/>
        <w:ind w:left="260"/>
      </w:pPr>
      <w:r>
        <w:rPr>
          <w:color w:val="15181F"/>
          <w:sz w:val="18"/>
          <w:szCs w:val="18"/>
        </w:rPr>
        <w:t xml:space="preserve">The roadmap says these are stakeholder-derived operating requirements, reproduced unchanged across every disease roadmap so the programme has one operating standard rather than five, evidence grade D by construction. Audit them for adherence, not for effectiveness.</w:t>
      </w:r>
    </w:p>
    <w:p>
      <w:pPr>
        <w:spacing w:after="60" w:before="160"/>
      </w:pPr>
      <w:r>
        <w:rPr>
          <w:b/>
          <w:bCs/>
          <w:color w:val="8E5008"/>
          <w:sz w:val="19"/>
          <w:szCs w:val="19"/>
        </w:rPr>
        <w:t xml:space="preserve">33. </w:t>
      </w:r>
      <w:r>
        <w:rPr>
          <w:b/>
          <w:bCs/>
          <w:sz w:val="19"/>
          <w:szCs w:val="19"/>
        </w:rPr>
        <w:t xml:space="preserve">Poorly differentiated carcinoma is excluded from liver-directed and transplant pathways on strong evidence.</w:t>
      </w:r>
    </w:p>
    <w:p>
      <w:pPr>
        <w:spacing w:after="40" w:line="276"/>
        <w:ind w:left="260"/>
      </w:pPr>
      <w:r>
        <w:rPr>
          <w:color w:val="15181F"/>
          <w:sz w:val="18"/>
          <w:szCs w:val="18"/>
        </w:rPr>
        <w:t xml:space="preserve">The exclusion is right and the grading is honest about why it is not strong. ENETS grades both the advice against metastasectomy and the advice against PRRT in metastatic digestive neuroendocrine carcinoma 5D, its weakest grade, resting on no comparative data; almost every therapeutic recommendation in that paper is 4B or weaker and no randomised trial underpins either first- or second-line therapy. What carries the decision is the natural history rather than a trial: SEER median survival of 5.2 months for distant disease with 4.7% alive at 5 years, 11 to 12 months on palliative platinum–etoposide against about 1 month without it, and performance status dominating everything (18, 12 and 5 months at PS 0, 1 and 2). In a disease measured in months, a liver-directed plan without an end date is the harm.</w:t>
      </w:r>
    </w:p>
    <w:p>
      <w:pPr>
        <w:spacing w:after="40" w:line="276"/>
        <w:ind w:left="260"/>
      </w:pPr>
      <w:r>
        <w:rPr>
          <w:color w:val="5A6069"/>
          <w:sz w:val="16"/>
          <w:szCs w:val="16"/>
        </w:rPr>
        <w:t xml:space="preserve">Sources: ENETS 2023 NEC</w:t>
      </w:r>
    </w:p>
    <w:p>
      <w:pPr>
        <w:spacing w:after="60" w:before="160"/>
      </w:pPr>
      <w:r>
        <w:rPr>
          <w:b/>
          <w:bCs/>
          <w:color w:val="8E5008"/>
          <w:sz w:val="19"/>
          <w:szCs w:val="19"/>
        </w:rPr>
        <w:t xml:space="preserve">34. </w:t>
      </w:r>
      <w:r>
        <w:rPr>
          <w:b/>
          <w:bCs/>
          <w:sz w:val="19"/>
          <w:szCs w:val="19"/>
        </w:rPr>
        <w:t xml:space="preserve">Well-differentiated G3 disease has a defined surgical position.</w:t>
      </w:r>
    </w:p>
    <w:p>
      <w:pPr>
        <w:spacing w:after="40" w:line="276"/>
        <w:ind w:left="260"/>
      </w:pPr>
      <w:r>
        <w:rPr>
          <w:color w:val="15181F"/>
          <w:sz w:val="18"/>
          <w:szCs w:val="18"/>
        </w:rPr>
        <w:t xml:space="preserve">It does not, and this is the gap a liver surgeon will meet first. The roadmap does not say whether hepatic debulking is appropriate in well-differentiated G3 disease. NANETS 2017 refers grade 3 liver metastases for systemic therapy; NANETS 2020 says poorly differentiated carcinoma should not be resected while localised well-differentiated G3 tumours may be resected within multimodal therapy with liver cytoreduction often not indicated — and states in the same paper that its well-differentiated G3 recommendations are unsupported, pending studies using the 2017 WHO classification. ENETS 2023 excludes well-differentiated G3 from its scope; ASCO allows the whole G1–G2 menu on informal consensus rated very low quality and supports no Ki-67 cutoff. Meanwhile NETTER-2 gives this phenotype the strongest randomised systemic evidence on the page. Eligibility for a G3 systemic option is not eligibility for cytoreduction or transplantation, and alignment area 15 asks for the G3 debulking position to be settled explicitly.</w:t>
      </w:r>
    </w:p>
    <w:p>
      <w:pPr>
        <w:spacing w:after="40" w:line="276"/>
        <w:ind w:left="260"/>
      </w:pPr>
      <w:r>
        <w:rPr>
          <w:color w:val="5A6069"/>
          <w:sz w:val="16"/>
          <w:szCs w:val="16"/>
        </w:rPr>
        <w:t xml:space="preserve">Sources: NANETS 2017 surgical; NANETS 2020 surgical; ENETS 2023 NEC; ASCO 2023 systemic; NETTER-2</w:t>
      </w:r>
    </w:p>
    <w:p>
      <w:pPr>
        <w:pStyle w:val="Heading1"/>
        <w:keepNext/>
        <w:pageBreakBefore/>
        <w:spacing w:after="110" w:before="320"/>
      </w:pPr>
      <w:r>
        <w:rPr>
          <w:rFonts w:ascii="Cambria" w:cs="Cambria" w:eastAsia="Cambria" w:hAnsi="Cambria"/>
          <w:b/>
          <w:bCs/>
          <w:color w:val="17365D"/>
          <w:sz w:val="32"/>
          <w:szCs w:val="32"/>
        </w:rPr>
        <w:t xml:space="preserve">Operations</w:t>
      </w:r>
    </w:p>
    <w:p>
      <w:pPr>
        <w:pStyle w:val="Heading2"/>
        <w:keepNext/>
        <w:spacing w:after="110" w:before="240"/>
      </w:pPr>
      <w:r>
        <w:rPr>
          <w:rFonts w:ascii="Cambria" w:cs="Cambria" w:eastAsia="Cambria" w:hAnsi="Cambria"/>
          <w:b/>
          <w:bCs/>
          <w:color w:val="17365D"/>
          <w:sz w:val="26"/>
          <w:szCs w:val="26"/>
        </w:rPr>
        <w:t xml:space="preserve">The board meeting</w:t>
      </w:r>
    </w:p>
    <w:p>
      <w:pPr>
        <w:pStyle w:val="Heading2"/>
        <w:keepNext/>
        <w:spacing w:after="110" w:before="240"/>
      </w:pPr>
      <w:r>
        <w:rPr>
          <w:rFonts w:ascii="Cambria" w:cs="Cambria" w:eastAsia="Cambria" w:hAnsi="Cambria"/>
          <w:b/>
          <w:bCs/>
          <w:color w:val="17365D"/>
          <w:sz w:val="26"/>
          <w:szCs w:val="26"/>
        </w:rPr>
        <w:t xml:space="preserve">The dashboard</w:t>
      </w:r>
    </w:p>
    <w:p>
      <w:pPr>
        <w:pStyle w:val="Heading2"/>
        <w:keepNext/>
        <w:spacing w:after="110" w:before="240"/>
      </w:pPr>
      <w:r>
        <w:rPr>
          <w:rFonts w:ascii="Cambria" w:cs="Cambria" w:eastAsia="Cambria" w:hAnsi="Cambria"/>
          <w:b/>
          <w:bCs/>
          <w:color w:val="17365D"/>
          <w:sz w:val="26"/>
          <w:szCs w:val="26"/>
        </w:rPr>
        <w:t xml:space="preserve">Decisions this programme still has to make</w:t>
      </w:r>
    </w:p>
    <w:p>
      <w:pPr>
        <w:spacing w:after="160" w:line="276"/>
      </w:pPr>
      <w:r>
        <w:rPr>
          <w:i/>
          <w:iCs/>
          <w:color w:val="5A6069"/>
          <w:sz w:val="20"/>
          <w:szCs w:val="20"/>
        </w:rPr>
        <w:t xml:space="preserve">These are not evidence gaps. They are choices the roadmap cannot make on the programme's behalf, and until each is settled the same patient can be managed differently depending on who is in the room.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520"/>
        <w:gridCol w:w="4100"/>
        <w:gridCol w:w="4740"/>
      </w:tblGrid>
      <w:tr>
        <w:trPr>
          <w:cantSplit/>
          <w:tblHeader/>
        </w:trPr>
        <w:tc>
          <w:tcPr>
            <w:tcW w:type="dxa" w:w="520"/>
            <w:shd w:fill="17365D" w:color="auto" w:val="clear"/>
            <w:tcMar>
              <w:top w:type="dxa" w:w="70"/>
              <w:left w:type="dxa" w:w="110"/>
              <w:bottom w:type="dxa" w:w="70"/>
              <w:right w:type="dxa" w:w="110"/>
            </w:tcMar>
            <w:vAlign w:val="top"/>
          </w:tcPr>
          <w:p>
            <w:r>
              <w:rPr>
                <w:b/>
                <w:bCs/>
                <w:color w:val="FFFFFF"/>
                <w:spacing w:val="18"/>
                <w:sz w:val="15"/>
                <w:szCs w:val="15"/>
              </w:rPr>
              <w:t xml:space="preserve">#</w:t>
            </w:r>
          </w:p>
        </w:tc>
        <w:tc>
          <w:tcPr>
            <w:tcW w:type="dxa" w:w="4100"/>
            <w:shd w:fill="17365D" w:color="auto" w:val="clear"/>
            <w:tcMar>
              <w:top w:type="dxa" w:w="70"/>
              <w:left w:type="dxa" w:w="110"/>
              <w:bottom w:type="dxa" w:w="70"/>
              <w:right w:type="dxa" w:w="110"/>
            </w:tcMar>
            <w:vAlign w:val="top"/>
          </w:tcPr>
          <w:p>
            <w:r>
              <w:rPr>
                <w:b/>
                <w:bCs/>
                <w:color w:val="FFFFFF"/>
                <w:spacing w:val="18"/>
                <w:sz w:val="15"/>
                <w:szCs w:val="15"/>
              </w:rPr>
              <w:t xml:space="preserve">THE DECISION</w:t>
            </w:r>
          </w:p>
        </w:tc>
        <w:tc>
          <w:tcPr>
            <w:tcW w:type="dxa" w:w="4740"/>
            <w:shd w:fill="17365D" w:color="auto" w:val="clear"/>
            <w:tcMar>
              <w:top w:type="dxa" w:w="70"/>
              <w:left w:type="dxa" w:w="110"/>
              <w:bottom w:type="dxa" w:w="70"/>
              <w:right w:type="dxa" w:w="110"/>
            </w:tcMar>
            <w:vAlign w:val="top"/>
          </w:tcPr>
          <w:p>
            <w:r>
              <w:rPr>
                <w:b/>
                <w:bCs/>
                <w:color w:val="FFFFFF"/>
                <w:spacing w:val="18"/>
                <w:sz w:val="15"/>
                <w:szCs w:val="15"/>
              </w:rPr>
              <w:t xml:space="preserve">WHY IT HAS TO BE MADE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embolisation technique is the programme's default?</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only prospective three-way comparison is still enrolling and its drug-eluting-bead arm closed for severe complications. One small randomised TAE versus TACE trial (Maire 2012, 26 patients, cited from ENETS rather than read in full) found no significant 2-year progression-free survival difference but was underpowered. The best non-randomised comparison favours bland embolisation on response in carcinoid disease (81.0% versus 44.4%, odds ratio 6.41) with no survival difference, but treatment was chosen by the referring physician; ENETS 2024 prefers bland in small-intestine NET while ENETS 2023 calls chemoembolisation possibly more effective in functioning pancreatic NET. Any choice is expertise and availability.</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PRRT offered for receptor-positive grade 2–3 disease, and to whom?</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One open-label randomised trial with a progression-free survival endpoint; overall survival immature. Depends on radiopharmaceutical availability and payer authorisation.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3</w:t>
            </w:r>
          </w:p>
        </w:tc>
        <w:tc>
          <w:tcPr>
            <w:tcW w:type="dxa" w:w="4100"/>
            <w:tcMar>
              <w:top w:type="dxa" w:w="70"/>
              <w:left w:type="dxa" w:w="110"/>
              <w:bottom w:type="dxa" w:w="70"/>
              <w:right w:type="dxa" w:w="110"/>
            </w:tcMar>
            <w:vAlign w:val="top"/>
          </w:tcPr>
          <w:p>
            <w:pPr>
              <w:spacing w:after="0" w:line="276"/>
            </w:pPr>
            <w:r>
              <w:rPr>
                <w:color w:val="15181F"/>
                <w:sz w:val="17"/>
                <w:szCs w:val="17"/>
              </w:rPr>
              <w:t xml:space="preserve">Hepatic burden threshold above which cytoreduction is not attempted.</w:t>
            </w:r>
          </w:p>
        </w:tc>
        <w:tc>
          <w:tcPr>
            <w:tcW w:type="dxa" w:w="4740"/>
            <w:tcMar>
              <w:top w:type="dxa" w:w="70"/>
              <w:left w:type="dxa" w:w="110"/>
              <w:bottom w:type="dxa" w:w="70"/>
              <w:right w:type="dxa" w:w="110"/>
            </w:tcMar>
            <w:vAlign w:val="top"/>
          </w:tcPr>
          <w:p>
            <w:pPr>
              <w:spacing w:after="0" w:line="276"/>
            </w:pPr>
            <w:r>
              <w:rPr>
                <w:color w:val="15181F"/>
                <w:sz w:val="17"/>
                <w:szCs w:val="17"/>
              </w:rPr>
              <w:t xml:space="preserve">Debulking series are single-arm and selection-driven and no threshold is evidence-derived. The 90% figure was an observation about symptom relief, never validated oncologically; the 70% figure was set by consensus on two retrospective series from the championing centres, and the cohort most cited for it excluded by design every patient in whom 70% was unachievable, so it has no sub-70% arm. NANETS 2020 reached no consensus for pancreatic primaries.</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Does the programme offer radioembolisation in this disease at all, and at what point?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Evidence is minimal and the long treatment horizon makes cumulative hepatic radiation injury the dominant consideration.</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5</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open a NELM transplant protocol?</w:t>
            </w:r>
          </w:p>
        </w:tc>
        <w:tc>
          <w:tcPr>
            <w:tcW w:type="dxa" w:w="4740"/>
            <w:tcMar>
              <w:top w:type="dxa" w:w="70"/>
              <w:left w:type="dxa" w:w="110"/>
              <w:bottom w:type="dxa" w:w="70"/>
              <w:right w:type="dxa" w:w="110"/>
            </w:tcMar>
            <w:vAlign w:val="top"/>
          </w:tcPr>
          <w:p>
            <w:pPr>
              <w:spacing w:after="0" w:line="276"/>
            </w:pPr>
            <w:r>
              <w:rPr>
                <w:color w:val="15181F"/>
                <w:sz w:val="17"/>
                <w:szCs w:val="17"/>
              </w:rPr>
              <w:t xml:space="preserve">Non-randomised series: 42 transplanted patients at one centre over 15 years, with recipients 15 years younger, a self-selected comparison arm, a pre-targeted-therapy comparator and 88% marginal grafts; adjustment for measured factors narrowed the benefit to 6.82 months at 5 years and unmeasured selection remains, and 6 of the 9 deaths after transplantation were from transplant sequelae. NCCN still calls transplantation investigational and NELM is a nonstandard exception, not a standardised one. Graft stewardship is an institutional judgement.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6</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carcinoid-crisis prophylaxis, and how is it verified before each procedure?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Not an evidence question. It is a named safety process that fails when it lives in individual memory.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7</w:t>
            </w:r>
          </w:p>
        </w:tc>
        <w:tc>
          <w:tcPr>
            <w:tcW w:type="dxa" w:w="4100"/>
            <w:tcMar>
              <w:top w:type="dxa" w:w="70"/>
              <w:left w:type="dxa" w:w="110"/>
              <w:bottom w:type="dxa" w:w="70"/>
              <w:right w:type="dxa" w:w="110"/>
            </w:tcMar>
            <w:vAlign w:val="top"/>
          </w:tcPr>
          <w:p>
            <w:pPr>
              <w:spacing w:after="0" w:line="276"/>
            </w:pPr>
            <w:r>
              <w:rPr>
                <w:color w:val="15181F"/>
                <w:sz w:val="17"/>
                <w:szCs w:val="17"/>
              </w:rPr>
              <w:t xml:space="preserve">Re-biopsy policy for suspected grade progression or transformation.</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evidence defines the trigger or interval; behaviour-driven in practice.</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8</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owns subsequent NCCN and OPTN update checks, and on what cycle?</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Source reconciliation is complete in this version. An owner is assigned to verify subsequent editions and current allocation requirements, ratify the documented institutional positions, and maintain the update cycle.</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9</w:t>
            </w:r>
          </w:p>
        </w:tc>
        <w:tc>
          <w:tcPr>
            <w:tcW w:type="dxa" w:w="4100"/>
            <w:tcMar>
              <w:top w:type="dxa" w:w="70"/>
              <w:left w:type="dxa" w:w="110"/>
              <w:bottom w:type="dxa" w:w="70"/>
              <w:right w:type="dxa" w:w="110"/>
            </w:tcMar>
            <w:vAlign w:val="top"/>
          </w:tcPr>
          <w:p>
            <w:pPr>
              <w:spacing w:after="0" w:line="276"/>
            </w:pPr>
            <w:r>
              <w:rPr>
                <w:color w:val="15181F"/>
                <w:sz w:val="17"/>
                <w:szCs w:val="17"/>
              </w:rPr>
              <w:t xml:space="preserve">Is hepatic debulking offered in well-differentiated G3 disease, and under what conditions?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roadmap is silent and the guidelines conflict. Both NANETS surgical papers advise against cytoreducing G3 liver metastases, NANETS 2020 conceding that its well-differentiated G3 recommendations are unsupported; ENETS 2023 excludes well-differentiated G3 by scope; ASCO permits the G1–G2 menu on very low quality informal consensus. NETTER-2 meanwhile gives this phenotype the strongest randomised systemic evidence on the page, so the surgical question will be asked at board. Alignment area 15.</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10</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Is first-line PRRT offered to a patient who has already had liver-directed therapy?</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NETTER-2 excluded any previous hepatic artery embolisation or radiofrequency ablation, and required uptake score 3 or 4 in every target lesion, so the first-line evidence does not describe this patient at all. NANETS states cumulative hepatic radiation from radioembolisation followed by PRRT is unstudied, and NANETS/SNMMI that prior liver-directed therapy raises concern for PRRT hepatotoxicity.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11</w:t>
            </w:r>
          </w:p>
        </w:tc>
        <w:tc>
          <w:tcPr>
            <w:tcW w:type="dxa" w:w="4100"/>
            <w:tcMar>
              <w:top w:type="dxa" w:w="70"/>
              <w:left w:type="dxa" w:w="110"/>
              <w:bottom w:type="dxa" w:w="70"/>
              <w:right w:type="dxa" w:w="110"/>
            </w:tcMar>
            <w:vAlign w:val="top"/>
          </w:tcPr>
          <w:p>
            <w:pPr>
              <w:spacing w:after="0" w:line="276"/>
            </w:pPr>
            <w:r>
              <w:rPr>
                <w:color w:val="15181F"/>
                <w:sz w:val="17"/>
                <w:szCs w:val="17"/>
              </w:rPr>
              <w:t xml:space="preserve">Does the programme reproduce or restate the NCCN position against drug-eluting embolics, and on what basis?</w:t>
            </w:r>
          </w:p>
        </w:tc>
        <w:tc>
          <w:tcPr>
            <w:tcW w:type="dxa" w:w="4740"/>
            <w:tcMar>
              <w:top w:type="dxa" w:w="70"/>
              <w:left w:type="dxa" w:w="110"/>
              <w:bottom w:type="dxa" w:w="70"/>
              <w:right w:type="dxa" w:w="110"/>
            </w:tcMar>
            <w:vAlign w:val="top"/>
          </w:tcPr>
          <w:p>
            <w:pPr>
              <w:spacing w:after="0" w:line="276"/>
            </w:pPr>
            <w:r>
              <w:rPr>
                <w:color w:val="15181F"/>
                <w:sz w:val="17"/>
                <w:szCs w:val="17"/>
              </w:rPr>
              <w:t xml:space="preserve">The position is kept but it is a precautionary institutional choice, not a demonstrated class effect: a 13-patient interrupted interim analysis in which bilomas fell on the lowest-burden patients, with invisible beads and a tactile endpoint, and a biliary injury rate far out of line with other drug-eluting series. The confirmatory signal is an arm closure in an ongoing trial reported in a guideline. Stating the basis matters because the harm is irreversible and two patients died.</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12</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corrects the shared liver-directed-therapy matrix entry that attributes outcome figures to RETNET?</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RETNET paper is a published protocol with no outcome data of any kind, so any response, progression-free survival or survival figure attributed to it is unsourced. The matrix is shared across pathways, so the correction has to be made at its source and the other pathways checked for the same entry.</w:t>
            </w:r>
          </w:p>
        </w:tc>
      </w:tr>
      <w:tr>
        <w:trPr>
          <w:cantSplit/>
        </w:trPr>
        <w:tc>
          <w:tcPr>
            <w:tcW w:type="dxa" w:w="520"/>
            <w:tcMar>
              <w:top w:type="dxa" w:w="70"/>
              <w:left w:type="dxa" w:w="110"/>
              <w:bottom w:type="dxa" w:w="70"/>
              <w:right w:type="dxa" w:w="110"/>
            </w:tcMar>
            <w:vAlign w:val="top"/>
          </w:tcPr>
          <w:p>
            <w:pPr>
              <w:spacing w:after="0" w:line="276"/>
            </w:pPr>
            <w:r>
              <w:rPr>
                <w:b/>
                <w:bCs/>
                <w:color w:val="15181F"/>
                <w:sz w:val="17"/>
                <w:szCs w:val="17"/>
              </w:rPr>
              <w:t xml:space="preserve">13</w:t>
            </w:r>
          </w:p>
        </w:tc>
        <w:tc>
          <w:tcPr>
            <w:tcW w:type="dxa" w:w="4100"/>
            <w:tcMar>
              <w:top w:type="dxa" w:w="70"/>
              <w:left w:type="dxa" w:w="110"/>
              <w:bottom w:type="dxa" w:w="70"/>
              <w:right w:type="dxa" w:w="110"/>
            </w:tcMar>
            <w:vAlign w:val="top"/>
          </w:tcPr>
          <w:p>
            <w:pPr>
              <w:spacing w:after="0" w:line="276"/>
            </w:pPr>
            <w:r>
              <w:rPr>
                <w:color w:val="15181F"/>
                <w:sz w:val="17"/>
                <w:szCs w:val="17"/>
              </w:rPr>
              <w:t xml:space="preserve">Which surveillance interval does the programme adopt for observed low-burden disease, and is observation documented as an equal alternative to an immediate analogue?</w:t>
            </w:r>
          </w:p>
        </w:tc>
        <w:tc>
          <w:tcPr>
            <w:tcW w:type="dxa" w:w="4740"/>
            <w:tcMar>
              <w:top w:type="dxa" w:w="70"/>
              <w:left w:type="dxa" w:w="110"/>
              <w:bottom w:type="dxa" w:w="70"/>
              <w:right w:type="dxa" w:w="110"/>
            </w:tcMar>
            <w:vAlign w:val="top"/>
          </w:tcPr>
          <w:p>
            <w:pPr>
              <w:spacing w:after="0" w:line="276"/>
            </w:pPr>
            <w:r>
              <w:rPr>
                <w:color w:val="15181F"/>
                <w:sz w:val="17"/>
                <w:szCs w:val="17"/>
              </w:rPr>
              <w:t xml:space="preserve">No trial compares intervals. NCCN allows every 12 weeks to 12 months, ASCO suggests 3 to 6 months, NANETS suggests 3 to 4 months while splitting evenly on whether to observe at all, ENETS restricts watch and wait to selected G1 and ESMO to Ki-67 under 2%. The roadmap's 3-to-4-month choice is local, and alignment area 3 asks whether observation is a documented alternative and whether grade B fits it.</w:t>
            </w:r>
          </w:p>
        </w:tc>
      </w:tr>
      <w:tr>
        <w:trPr>
          <w:cantSplit/>
        </w:trPr>
        <w:tc>
          <w:tcPr>
            <w:tcW w:type="dxa" w:w="520"/>
            <w:shd w:fill="F1F4F8" w:color="auto" w:val="clear"/>
            <w:tcMar>
              <w:top w:type="dxa" w:w="70"/>
              <w:left w:type="dxa" w:w="110"/>
              <w:bottom w:type="dxa" w:w="70"/>
              <w:right w:type="dxa" w:w="110"/>
            </w:tcMar>
            <w:vAlign w:val="top"/>
          </w:tcPr>
          <w:p>
            <w:pPr>
              <w:spacing w:after="0" w:line="276"/>
            </w:pPr>
            <w:r>
              <w:rPr>
                <w:b/>
                <w:bCs/>
                <w:color w:val="15181F"/>
                <w:sz w:val="17"/>
                <w:szCs w:val="17"/>
              </w:rPr>
              <w:t xml:space="preserve">14</w:t>
            </w:r>
          </w:p>
        </w:tc>
        <w:tc>
          <w:tcPr>
            <w:tcW w:type="dxa" w:w="4100"/>
            <w:shd w:fill="F1F4F8" w:color="auto" w:val="clear"/>
            <w:tcMar>
              <w:top w:type="dxa" w:w="70"/>
              <w:left w:type="dxa" w:w="110"/>
              <w:bottom w:type="dxa" w:w="70"/>
              <w:right w:type="dxa" w:w="110"/>
            </w:tcMar>
            <w:vAlign w:val="top"/>
          </w:tcPr>
          <w:p>
            <w:pPr>
              <w:spacing w:after="0" w:line="276"/>
            </w:pPr>
            <w:r>
              <w:rPr>
                <w:color w:val="15181F"/>
                <w:sz w:val="17"/>
                <w:szCs w:val="17"/>
              </w:rPr>
              <w:t xml:space="preserve">Who confirms the OPTN imaging-timing wording with the review board before the first NELM filing?</w:t>
            </w:r>
          </w:p>
        </w:tc>
        <w:tc>
          <w:tcPr>
            <w:tcW w:type="dxa" w:w="4740"/>
            <w:shd w:fill="F1F4F8" w:color="auto" w:val="clear"/>
            <w:tcMar>
              <w:top w:type="dxa" w:w="70"/>
              <w:left w:type="dxa" w:w="110"/>
              <w:bottom w:type="dxa" w:w="70"/>
              <w:right w:type="dxa" w:w="110"/>
            </w:tcMar>
            <w:vAlign w:val="top"/>
          </w:tcPr>
          <w:p>
            <w:pPr>
              <w:spacing w:after="0" w:line="276"/>
            </w:pPr>
            <w:r>
              <w:rPr>
                <w:color w:val="15181F"/>
                <w:sz w:val="17"/>
                <w:szCs w:val="17"/>
              </w:rPr>
              <w:t xml:space="preserve">The guidance requires extrahepatic workup 'at least 3 months prior to initial or extension request (submit date)', which read literally is a floor on the age of the imaging rather than the currency requirement a clinician assumes. The page reproduces the wording unchanged rather than correcting it; somebody has to resolve the intent before a listing depends on it.</w:t>
            </w:r>
          </w:p>
        </w:tc>
      </w:tr>
    </w:tbl>
    <w:p>
      <w:pPr>
        <w:pStyle w:val="Heading1"/>
        <w:keepNext/>
        <w:pageBreakBefore/>
        <w:spacing w:after="110" w:before="320"/>
      </w:pPr>
      <w:r>
        <w:rPr>
          <w:rFonts w:ascii="Cambria" w:cs="Cambria" w:eastAsia="Cambria" w:hAnsi="Cambria"/>
          <w:b/>
          <w:bCs/>
          <w:color w:val="17365D"/>
          <w:sz w:val="32"/>
          <w:szCs w:val="32"/>
        </w:rPr>
        <w:t xml:space="preserve">Provenance</w:t>
      </w:r>
    </w:p>
    <w:p>
      <w:pPr>
        <w:spacing w:after="120" w:line="276"/>
      </w:pPr>
      <w:r>
        <w:rPr>
          <w:color w:val="15181F"/>
          <w:sz w:val="20"/>
          <w:szCs w:val="20"/>
        </w:rPr>
        <w:t xml:space="preserve">Built from the Memorial Hermann Neuroendocrine Liver Metastasis System Roadmap, Draft v0.6 dated 4 October 2026 with its liver-directed therapy section revised 3 October 2026, and from the companion guideline alignment worksheet of the same date, which compares the roadmap against NCCN Neuroendocrine and Adrenal Tumors v1.2026 (21 April 2026), NANETS 2017 medical and surgical consensus statements, NANETS 2020 surgical consensus, EANM Focus 3 (2021), Itanet 2024, ENETS 2023–2024 guidance and the OPTN National Liver Review Board transplant-oncology guidance of December 2025 against OPTN Policy 9 as checked on 1 October 2026. Revised on 7 October 2026 (Batch 08) after a full-text read of the whole NELM reference depot: 33 papers, each carrying an independently recorded critique, covering all 33 PubMed-indexed references cited on this page. Every evidence string was re-checked against each paper's own reported results rather than against a guideline quoting it, and grades were re-set where the full text showed a recommendation resting on a surrogate endpoint, a cohort with no comparator arm, an unvalidated threshold or a consensus vote; 40 evidence strings changed and 4 grades were lowered in that pass, and the honest section was rewritten and expanded from 9 entries to 34 with six further ratification items added. Four references are cited partly or wholly for what they do not show: RETNET (PMID 30016989) is a published protocol with no outcome data, so no efficacy figure on this page rests on it and the drug-eluting-bead arm closure is attributed to the ENETS 2024 guidance that reports it; the ENETS 2023 digestive neuroendocrine carcinoma paper is cited for a recommendation it grades 5D; NANETS 2017 medical and NANETS 2020 surgical are cited in several places for recorded absences of consensus. One figure on the page is cited from a guideline rather than from the paper itself and was not read in full: the Maire 2012 randomised TAE versus TACE trial of 26 patients, quoted from ENETS. The NCCN guideline, the OPTN policy and review-board guidance, the HOPE4LIVER update, the Memorial Hermann roadmap and its alignment worksheet are not PubMed-indexed depot papers and were read as documents; the ASCO 2025 symptom-management guideline is PubMed-indexed (PMID 40344544) but was outside the depot and was read as a document. The liver-directed therapy matrix is rendered from the shared modality matrix, which is outside this page's scope and which carries RETNET outcome figures the protocol paper does not report; approval item 12 assigns its correction. Both source documents are drafts pending multidisciplinary and institutional governance review: they are not active clinical policy, do not replace clinician judgement, current drug labelling, OPTN policy or patient-specific informed consent, and every numeric criterion must be verified against its current source before use.</w:t>
      </w:r>
    </w:p>
    <w:p>
      <w:pPr>
        <w:pStyle w:val="Heading1"/>
        <w:widowControl/>
        <w:keepNext/>
      </w:pPr>
      <w:bookmarkStart w:id="16000" w:name="previously_treated_EHD"/>
      <w:r>
        <w:t xml:space="preserve">Previously treated extrahepatic disease</w:t>
      </w:r>
      <w:bookmarkEnd w:id="16000"/>
    </w:p>
    <w:p>
      <w:pPr>
        <w:pStyle w:val="Normal"/>
        <w:widowControl/>
        <w:spacing w:after="120"/>
      </w:pPr>
      <w:r>
        <w:t xml:space="preserve">How this roadmap handles extrahepatic disease that has been treated or has responded. Transplant questions are answered in the transplant pathway, not here.</w:t>
      </w:r>
    </w:p>
    <w:p>
      <w:pPr>
        <w:pStyle w:val="Heading2"/>
        <w:widowControl/>
        <w:keepNext/>
      </w:pPr>
      <w:bookmarkStart w:id="16010" w:name="NELM_R1"/>
      <w:r>
        <w:t xml:space="preserve">NELM-R1 — Liver surgery when extrahepatic disease is present or treated</w:t>
      </w:r>
      <w:bookmarkEnd w:id="16010"/>
    </w:p>
    <w:p>
      <w:pPr>
        <w:pStyle w:val="Normal"/>
        <w:widowControl/>
        <w:spacing w:after="120"/>
      </w:pPr>
      <w:r>
        <w:t xml:space="preserve">Status: Proposed. OPEN proposal for multidisciplinary review; not activated.</w:t>
      </w:r>
    </w:p>
    <w:p>
      <w:pPr>
        <w:pStyle w:val="Normal"/>
        <w:widowControl/>
        <w:spacing w:after="120"/>
      </w:pPr>
      <w:r>
        <w:t xml:space="preserve">Question: Does present or previously treated extrahepatic disease preclude liver cytoreduction or resection for well-differentiated NET liver metastases?</w:t>
      </w:r>
    </w:p>
    <w:p>
      <w:pPr>
        <w:pStyle w:val="Normal"/>
        <w:widowControl/>
        <w:spacing w:after="120"/>
      </w:pPr>
      <w:r>
        <w:t xml:space="preserve">Proposed position (OPEN): Extrahepatic disease does not by itself preclude hepatic cytoreduction or resection of the primary for well-differentiated G1–G2 disease when at least 70% of liver disease can be removed or treated and accessible extrahepatic disease can be resected at the same time. Frame it as life-prolonging debulking; extrahepatic disease is associated with shorter survival in most, but not all, series (NANETS describes the data as conflicting).</w:t>
      </w:r>
    </w:p>
    <w:p>
      <w:pPr>
        <w:pStyle w:val="Heading3"/>
        <w:widowControl/>
        <w:keepNext/>
      </w:pPr>
      <w:r>
        <w:t xml:space="preserve">Proposed rules</w:t>
      </w:r>
    </w:p>
    <w:p>
      <w:pPr>
        <w:pStyle w:val="Normal"/>
        <w:widowControl/>
        <w:spacing w:after="120"/>
        <w:numPr>
          <w:ilvl w:val="0"/>
          <w:numId w:val="3"/>
        </w:numPr>
      </w:pPr>
      <w:r>
        <w:t xml:space="preserve">Proceed when ≥70% debulking is achievable and accessible extrahepatic disease (mesenteric nodes, limited peritoneal deposits) can be removed; resect distant nodes only when this renders the patient free of visible disease.</w:t>
      </w:r>
    </w:p>
    <w:p>
      <w:pPr>
        <w:pStyle w:val="Normal"/>
        <w:widowControl/>
        <w:spacing w:after="120"/>
        <w:numPr>
          <w:ilvl w:val="0"/>
          <w:numId w:val="3"/>
        </w:numPr>
      </w:pPr>
      <w:r>
        <w:t xml:space="preserve">Bone metastases are an adverse modifier, not an automatic exclusion; diffuse skeletal, brain or unresectable mesenteric-root disease argue against surgery.</w:t>
      </w:r>
    </w:p>
    <w:p>
      <w:pPr>
        <w:pStyle w:val="Normal"/>
        <w:widowControl/>
        <w:spacing w:after="120"/>
        <w:numPr>
          <w:ilvl w:val="0"/>
          <w:numId w:val="3"/>
        </w:numPr>
      </w:pPr>
      <w:r>
        <w:t xml:space="preserve">No observation period is required before cytoreduction.</w:t>
      </w:r>
    </w:p>
    <w:p>
      <w:pPr>
        <w:pStyle w:val="Normal"/>
        <w:widowControl/>
        <w:spacing w:after="120"/>
        <w:numPr>
          <w:ilvl w:val="0"/>
          <w:numId w:val="3"/>
        </w:numPr>
      </w:pPr>
      <w:r>
        <w:t xml:space="preserve">Transplant questions go to NET-B4.</w:t>
      </w:r>
    </w:p>
    <w:p>
      <w:pPr>
        <w:pStyle w:val="Normal"/>
        <w:widowControl/>
        <w:spacing w:after="120"/>
      </w:pPr>
      <w:r>
        <w:t xml:space="preserve">Why: NANETS consensus accepts extrahepatic disease for cytoreduction; cohorts show it shortens survival.</w:t>
      </w:r>
    </w:p>
    <w:p>
      <w:pPr>
        <w:pStyle w:val="Heading3"/>
        <w:widowControl/>
        <w:keepNext/>
      </w:pPr>
      <w:r>
        <w:t xml:space="preserve">Evidence</w:t>
      </w:r>
    </w:p>
    <w:tbl>
      <w:tblPr>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110" w:type="dxa"/>
          <w:left w:w="110" w:type="dxa"/>
          <w:bottom w:w="110" w:type="dxa"/>
          <w:right w:w="110" w:type="dxa"/>
        </w:tblCellMar>
      </w:tblPr>
      <w:tblGrid>
        <w:gridCol w:w="1900"/>
        <w:gridCol w:w="4000"/>
        <w:gridCol w:w="4180"/>
      </w:tblGrid>
      <w:tr>
        <w:trPr>
          <w:cantSplit/>
          <w:tblHeader/>
        </w:trPr>
        <w:tc>
          <w:tcPr>
            <w:tcW w:w="1900" w:type="dxa"/>
            <w:vAlign w:val="top"/>
            <w:shd w:fill="17365D"/>
          </w:tcPr>
          <w:p>
            <w:pPr>
              <w:pStyle w:val="Normal"/>
              <w:widowControl/>
              <w:spacing w:after="55" w:line="240" w:lineRule="auto"/>
              <w:keepNext w:val="0"/>
              <w:keepLines/>
            </w:pPr>
            <w:r>
              <w:rPr>
                <w:sz w:val="21"/>
                <w:szCs w:val="21"/>
                <w:b/>
                <w:color w:val="FFFFFF"/>
              </w:rPr>
              <w:t xml:space="preserve">Source</w:t>
            </w:r>
          </w:p>
        </w:tc>
        <w:tc>
          <w:tcPr>
            <w:tcW w:w="4000" w:type="dxa"/>
            <w:vAlign w:val="top"/>
            <w:shd w:fill="17365D"/>
          </w:tcPr>
          <w:p>
            <w:pPr>
              <w:pStyle w:val="Normal"/>
              <w:widowControl/>
              <w:spacing w:after="55" w:line="240" w:lineRule="auto"/>
              <w:keepNext w:val="0"/>
              <w:keepLines/>
            </w:pPr>
            <w:r>
              <w:rPr>
                <w:sz w:val="21"/>
                <w:szCs w:val="21"/>
                <w:b/>
                <w:color w:val="FFFFFF"/>
              </w:rPr>
              <w:t xml:space="preserve">Population and selection</w:t>
            </w:r>
          </w:p>
        </w:tc>
        <w:tc>
          <w:tcPr>
            <w:tcW w:w="4180" w:type="dxa"/>
            <w:vAlign w:val="top"/>
            <w:shd w:fill="17365D"/>
          </w:tcPr>
          <w:p>
            <w:pPr>
              <w:pStyle w:val="Normal"/>
              <w:widowControl/>
              <w:spacing w:after="55" w:line="240" w:lineRule="auto"/>
              <w:keepNext w:val="0"/>
              <w:keepLines/>
            </w:pPr>
            <w:r>
              <w:rPr>
                <w:sz w:val="21"/>
                <w:szCs w:val="21"/>
                <w:b/>
                <w:color w:val="FFFFFF"/>
              </w:rPr>
              <w:t xml:space="preserve">Results, limits and location</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NANETS 2017 · small-bowel NET surgery</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NANETS small-bowel NET consensus. Recommendation 5d: extrahepatic disease is not an absolute contraindication to cytoreduction; 5c: patients with extrahepatic disease may be eligible for liver debulking when ≥70% debulking is achievable.</w:t>
            </w:r>
          </w:p>
        </w:tc>
        <w:tc>
          <w:tcPr>
            <w:tcW w:w="4180" w:type="dxa"/>
            <w:vAlign w:val="top"/>
            <w:shd w:fill="F1F5F8"/>
          </w:tcPr>
          <w:p>
            <w:pPr>
              <w:pStyle w:val="Normal"/>
              <w:widowControl/>
              <w:spacing w:after="55" w:line="240" w:lineRule="auto"/>
              <w:keepNext w:val="0"/>
              <w:keepLines/>
            </w:pPr>
            <w:r>
              <w:rPr>
                <w:sz w:val="21"/>
                <w:szCs w:val="21"/>
              </w:rPr>
              <w:t xml:space="preserve">Results: Distant nodes resected only in select cases (threatening vital structures, or to achieve no evidence of disease).</w:t>
            </w:r>
          </w:p>
          <w:p>
            <w:pPr>
              <w:pStyle w:val="Normal"/>
              <w:widowControl/>
              <w:spacing w:after="55" w:line="240" w:lineRule="auto"/>
              <w:keepNext w:val="0"/>
              <w:keepLines/>
            </w:pPr>
            <w:r>
              <w:rPr>
                <w:sz w:val="21"/>
                <w:szCs w:val="21"/>
              </w:rPr>
              <w:t xml:space="preserve">Limits: Expert consensus.</w:t>
            </w:r>
          </w:p>
          <w:p>
            <w:pPr>
              <w:pStyle w:val="Normal"/>
              <w:widowControl/>
              <w:spacing w:after="55" w:line="240" w:lineRule="auto"/>
              <w:keepNext w:val="0"/>
              <w:keepLines/>
            </w:pPr>
            <w:r>
              <w:rPr>
                <w:sz w:val="21"/>
                <w:szCs w:val="21"/>
              </w:rPr>
              <w:t xml:space="preserve">Pancreas 2017; Recommendations 3c, 5c, 5d.</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wOTcvTVBBLjAwMDAwMDAwMDAwMDA4NDY8L3VybD48L3JlbGF0ZWQtdXJscz48cGRmLXVybHMvPjwvdXJscz48L3JlY29yZD48L0NpdGU+PC9FbmROb3RlPg==</w:fldData>
              </w:fldChar>
            </w:r>
            <w:r>
              <w:instrText xml:space="preserve"> ADDIN EN.CITE.DATA </w:instrText>
            </w:r>
            <w:r>
              <w:fldChar w:fldCharType="end"/>
            </w:r>
            <w:r>
              <w:fldChar w:fldCharType="separate"/>
            </w:r>
            <w:r>
              <w:t xml:space="preserve">[V16-1]</w:t>
            </w:r>
            <w:r>
              <w:fldChar w:fldCharType="end"/>
            </w:r>
            <w:r>
              <w:br/>
            </w:r>
            <w:hyperlink r:id="rId9">
              <w:r>
                <w:rPr>
                  <w:color w:val="0563C1"/>
                  <w:u w:val="single"/>
                </w:rPr>
                <w:t>Source</w:t>
              </w:r>
            </w:hyperlink>
            <w:r>
              <w:t xml:space="preserve"> · </w:t>
            </w:r>
            <w:hyperlink r:id="rId10">
              <w:r>
                <w:rPr>
                  <w:color w:val="0563C1"/>
                  <w:u w:val="single"/>
                </w:rPr>
                <w:t>PDF</w:t>
              </w:r>
            </w:hyperlink>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Gudmundsdottir 2023 · cytoreductive hepatectomy</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Mayo, 546 cytoreductive hepatectomies. Extrahepatic distant metastases in 16% (peritoneum, bone).</w:t>
            </w:r>
          </w:p>
        </w:tc>
        <w:tc>
          <w:tcPr>
            <w:tcW w:w="4180" w:type="dxa"/>
            <w:vAlign w:val="top"/>
            <w:shd w:fill="FFFFFF"/>
          </w:tcPr>
          <w:p>
            <w:pPr>
              <w:pStyle w:val="Normal"/>
              <w:widowControl/>
              <w:spacing w:after="55" w:line="240" w:lineRule="auto"/>
              <w:keepNext w:val="0"/>
              <w:keepLines/>
            </w:pPr>
            <w:r>
              <w:rPr>
                <w:sz w:val="21"/>
                <w:szCs w:val="21"/>
              </w:rPr>
              <w:t xml:space="preserve">Results: Associated with worse overall survival, not progression-free survival; median survival 122 months overall.</w:t>
            </w:r>
          </w:p>
          <w:p>
            <w:pPr>
              <w:pStyle w:val="Normal"/>
              <w:widowControl/>
              <w:spacing w:after="55" w:line="240" w:lineRule="auto"/>
              <w:keepNext w:val="0"/>
              <w:keepLines/>
            </w:pPr>
            <w:r>
              <w:rPr>
                <w:sz w:val="21"/>
                <w:szCs w:val="21"/>
              </w:rPr>
              <w:t xml:space="preserve">Limits: Tables unavailable.</w:t>
            </w:r>
          </w:p>
          <w:p>
            <w:pPr>
              <w:pStyle w:val="Normal"/>
              <w:widowControl/>
              <w:spacing w:after="55" w:line="240" w:lineRule="auto"/>
              <w:keepNext w:val="0"/>
              <w:keepLines/>
            </w:pPr>
            <w:r>
              <w:rPr>
                <w:sz w:val="21"/>
                <w:szCs w:val="21"/>
              </w:rPr>
              <w:t xml:space="preserve">Ann Surg Oncol 2023;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</w:fldData>
              </w:fldChar>
            </w:r>
            <w:r>
              <w:instrText xml:space="preserve"> ADDIN EN.CITE.DATA </w:instrText>
            </w:r>
            <w:r>
              <w:fldChar w:fldCharType="end"/>
            </w:r>
            <w:r>
              <w:fldChar w:fldCharType="separate"/>
            </w:r>
            <w:r>
              <w:t xml:space="preserve">[V16-2]</w:t>
            </w:r>
            <w:r>
              <w:fldChar w:fldCharType="end"/>
            </w:r>
            <w:r>
              <w:br/>
            </w:r>
            <w:hyperlink r:id="rId11">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Mahuron 2024 · NET liver metastases with EHD</w:t>
            </w:r>
          </w:p>
          <w:p>
            <w:pPr>
              <w:pStyle w:val="Normal"/>
              <w:widowControl/>
              <w:spacing w:after="55" w:line="240" w:lineRule="auto"/>
              <w:keepNext w:val="0"/>
              <w:keepLines/>
            </w:pPr>
            <w:r>
              <w:rPr>
                <w:sz w:val="21"/>
                <w:szCs w:val="21"/>
              </w:rPr>
              <w:t xml:space="preserve">Full text read.</w:t>
            </w:r>
          </w:p>
        </w:tc>
        <w:tc>
          <w:tcPr>
            <w:tcW w:w="4000" w:type="dxa"/>
            <w:vAlign w:val="top"/>
            <w:shd w:fill="F1F5F8"/>
          </w:tcPr>
          <w:p>
            <w:pPr>
              <w:pStyle w:val="Normal"/>
              <w:widowControl/>
              <w:spacing w:after="55" w:line="240" w:lineRule="auto"/>
              <w:keepNext w:val="0"/>
              <w:keepLines/>
            </w:pPr>
            <w:r>
              <w:rPr>
                <w:sz w:val="21"/>
                <w:szCs w:val="21"/>
              </w:rPr>
              <w:t xml:space="preserve">California registry, 327 with extrahepatic disease. Nodes not counted as extrahepatic.</w:t>
            </w:r>
          </w:p>
        </w:tc>
        <w:tc>
          <w:tcPr>
            <w:tcW w:w="4180" w:type="dxa"/>
            <w:vAlign w:val="top"/>
            <w:shd w:fill="F1F5F8"/>
          </w:tcPr>
          <w:p>
            <w:pPr>
              <w:pStyle w:val="Normal"/>
              <w:widowControl/>
              <w:spacing w:after="55" w:line="240" w:lineRule="auto"/>
              <w:keepNext w:val="0"/>
              <w:keepLines/>
            </w:pPr>
            <w:r>
              <w:rPr>
                <w:sz w:val="21"/>
                <w:szCs w:val="21"/>
              </w:rPr>
              <w:t xml:space="preserve">Results: Liver resection (n=23): 5-year survival 78%; non-surgical liver-directed therapy median survival 13 vs 16 months with none (not formally compared; the authors read liver-directed therapy favourably).</w:t>
            </w:r>
          </w:p>
          <w:p>
            <w:pPr>
              <w:pStyle w:val="Normal"/>
              <w:widowControl/>
              <w:spacing w:after="55" w:line="240" w:lineRule="auto"/>
              <w:keepNext w:val="0"/>
              <w:keepLines/>
            </w:pPr>
            <w:r>
              <w:rPr>
                <w:sz w:val="21"/>
                <w:szCs w:val="21"/>
              </w:rPr>
              <w:t xml:space="preserve">Limits: Univariate; billing codes.</w:t>
            </w:r>
          </w:p>
          <w:p>
            <w:pPr>
              <w:pStyle w:val="Normal"/>
              <w:widowControl/>
              <w:spacing w:after="55" w:line="240" w:lineRule="auto"/>
              <w:keepNext w:val="0"/>
              <w:keepLines/>
            </w:pPr>
            <w:r>
              <w:rPr>
                <w:sz w:val="21"/>
                <w:szCs w:val="21"/>
              </w:rPr>
              <w:t xml:space="preserve">J Clin Med 2024; Results.</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zM5MC9qY20xMzE3NDk4MzwvdXJsPjwvcmVsYXRlZC11cmxzPjwvdXJscz48L3JlY29yZD48L0NpdGU+PC9FbmROb3RlPg==</w:fldData>
              </w:fldChar>
            </w:r>
            <w:r>
              <w:instrText xml:space="preserve"> ADDIN EN.CITE.DATA </w:instrText>
            </w:r>
            <w:r>
              <w:fldChar w:fldCharType="end"/>
            </w:r>
            <w:r>
              <w:fldChar w:fldCharType="separate"/>
            </w:r>
            <w:r>
              <w:t xml:space="preserve">[V16-3]</w:t>
            </w:r>
            <w:r>
              <w:fldChar w:fldCharType="end"/>
            </w:r>
            <w:r>
              <w:br/>
            </w:r>
            <w:hyperlink r:id="rId12">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Wedin 2025 · bone metastases in SI-NET</w:t>
            </w:r>
          </w:p>
          <w:p>
            <w:pPr>
              <w:pStyle w:val="Normal"/>
              <w:widowControl/>
              <w:spacing w:after="55" w:line="240" w:lineRule="auto"/>
              <w:keepNext w:val="0"/>
              <w:keepLines/>
            </w:pPr>
            <w:r>
              <w:rPr>
                <w:sz w:val="21"/>
                <w:szCs w:val="21"/>
              </w:rPr>
              <w:t xml:space="preserve">Full text read.</w:t>
            </w:r>
          </w:p>
        </w:tc>
        <w:tc>
          <w:tcPr>
            <w:tcW w:w="4000" w:type="dxa"/>
            <w:vAlign w:val="top"/>
            <w:shd w:fill="FFFFFF"/>
          </w:tcPr>
          <w:p>
            <w:pPr>
              <w:pStyle w:val="Normal"/>
              <w:widowControl/>
              <w:spacing w:after="55" w:line="240" w:lineRule="auto"/>
              <w:keepNext w:val="0"/>
              <w:keepLines/>
            </w:pPr>
            <w:r>
              <w:rPr>
                <w:sz w:val="21"/>
                <w:szCs w:val="21"/>
              </w:rPr>
              <w:t xml:space="preserve">Bone metastases in SI-NET. On SSTR-PET.</w:t>
            </w:r>
          </w:p>
        </w:tc>
        <w:tc>
          <w:tcPr>
            <w:tcW w:w="4180" w:type="dxa"/>
            <w:vAlign w:val="top"/>
            <w:shd w:fill="FFFFFF"/>
          </w:tcPr>
          <w:p>
            <w:pPr>
              <w:pStyle w:val="Normal"/>
              <w:widowControl/>
              <w:spacing w:after="55" w:line="240" w:lineRule="auto"/>
              <w:keepNext w:val="0"/>
              <w:keepLines/>
            </w:pPr>
            <w:r>
              <w:rPr>
                <w:sz w:val="21"/>
                <w:szCs w:val="21"/>
              </w:rPr>
              <w:t xml:space="preserve">Results: Any bone metastasis HR 1.94; &gt;5 lesions median survival 18 vs 75 months.</w:t>
            </w:r>
          </w:p>
          <w:p>
            <w:pPr>
              <w:pStyle w:val="Normal"/>
              <w:widowControl/>
              <w:spacing w:after="55" w:line="240" w:lineRule="auto"/>
              <w:keepNext w:val="0"/>
              <w:keepLines/>
            </w:pPr>
            <w:r>
              <w:rPr>
                <w:sz w:val="21"/>
                <w:szCs w:val="21"/>
              </w:rPr>
              <w:t xml:space="preserve">Limits: No curative bone treatment.</w:t>
            </w:r>
          </w:p>
          <w:p>
            <w:pPr>
              <w:pStyle w:val="Normal"/>
              <w:widowControl/>
              <w:spacing w:after="55" w:line="240" w:lineRule="auto"/>
              <w:keepNext w:val="0"/>
              <w:keepLines/>
            </w:pPr>
            <w:r>
              <w:rPr>
                <w:sz w:val="21"/>
                <w:szCs w:val="21"/>
              </w:rPr>
              <w:t xml:space="preserve">J Neuroendocrinol 2025.</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</w:fldData>
              </w:fldChar>
            </w:r>
            <w:r>
              <w:instrText xml:space="preserve"> ADDIN EN.CITE.DATA </w:instrText>
            </w:r>
            <w:r>
              <w:fldChar w:fldCharType="end"/>
            </w:r>
            <w:r>
              <w:fldChar w:fldCharType="separate"/>
            </w:r>
            <w:r>
              <w:t xml:space="preserve">[V16-4]</w:t>
            </w:r>
            <w:r>
              <w:fldChar w:fldCharType="end"/>
            </w:r>
            <w:r>
              <w:br/>
            </w:r>
            <w:hyperlink r:id="rId13">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Xiang 2018 · NF-NELM resection</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Multi-institutional, 332 NF-NELM. Resection.</w:t>
            </w:r>
          </w:p>
        </w:tc>
        <w:tc>
          <w:tcPr>
            <w:tcW w:w="4180" w:type="dxa"/>
            <w:vAlign w:val="top"/>
            <w:shd w:fill="F1F5F8"/>
          </w:tcPr>
          <w:p>
            <w:pPr>
              <w:pStyle w:val="Normal"/>
              <w:widowControl/>
              <w:spacing w:after="55" w:line="240" w:lineRule="auto"/>
              <w:keepNext w:val="0"/>
              <w:keepLines/>
            </w:pPr>
            <w:r>
              <w:rPr>
                <w:sz w:val="21"/>
                <w:szCs w:val="21"/>
              </w:rPr>
              <w:t xml:space="preserve">Results: Extrahepatic metastasis HR 3.9 for death.</w:t>
            </w:r>
          </w:p>
          <w:p>
            <w:pPr>
              <w:pStyle w:val="Normal"/>
              <w:widowControl/>
              <w:spacing w:after="55" w:line="240" w:lineRule="auto"/>
              <w:keepNext w:val="0"/>
              <w:keepLines/>
            </w:pPr>
            <w:r>
              <w:rPr>
                <w:sz w:val="21"/>
                <w:szCs w:val="21"/>
              </w:rPr>
              <w:t xml:space="preserve">Limits: Not split by treated vs untreated.</w:t>
            </w:r>
          </w:p>
          <w:p>
            <w:pPr>
              <w:pStyle w:val="Normal"/>
              <w:widowControl/>
              <w:spacing w:after="55" w:line="240" w:lineRule="auto"/>
              <w:keepNext w:val="0"/>
              <w:keepLines/>
            </w:pPr>
            <w:r>
              <w:rPr>
                <w:sz w:val="21"/>
                <w:szCs w:val="21"/>
              </w:rPr>
              <w:t xml:space="preserve">Ann Surg Oncol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</w:fldData>
              </w:fldChar>
            </w:r>
            <w:r>
              <w:instrText xml:space="preserve"> ADDIN EN.CITE.DATA </w:instrText>
            </w:r>
            <w:r>
              <w:fldChar w:fldCharType="end"/>
            </w:r>
            <w:r>
              <w:fldChar w:fldCharType="separate"/>
            </w:r>
            <w:r>
              <w:t xml:space="preserve">[V16-5]</w:t>
            </w:r>
            <w:r>
              <w:fldChar w:fldCharType="end"/>
            </w:r>
            <w:r>
              <w:br/>
            </w:r>
            <w:hyperlink r:id="rId14">
              <w:r>
                <w:rPr>
                  <w:color w:val="0563C1"/>
                  <w:u w:val="single"/>
                </w:rPr>
                <w:t>Source</w:t>
              </w:r>
            </w:hyperlink>
            <w:r>
              <w:t xml:space="preserve"> · </w:t>
            </w:r>
            <w:r>
              <w:t xml:space="preserve">full PDF pending</w:t>
            </w:r>
          </w:p>
        </w:tc>
      </w:tr>
      <w:tr>
        <w:trPr>
          <w:cantSplit/>
        </w:trPr>
        <w:tc>
          <w:tcPr>
            <w:tcW w:w="1900" w:type="dxa"/>
            <w:vAlign w:val="top"/>
            <w:shd w:fill="FFFFFF"/>
          </w:tcPr>
          <w:p>
            <w:pPr>
              <w:pStyle w:val="Normal"/>
              <w:widowControl/>
              <w:spacing w:after="55" w:line="240" w:lineRule="auto"/>
              <w:keepNext w:val="0"/>
              <w:keepLines/>
            </w:pPr>
            <w:r>
              <w:rPr>
                <w:sz w:val="21"/>
                <w:szCs w:val="21"/>
                <w:b/>
              </w:rPr>
              <w:t xml:space="preserve">Spolverato 2017 · recurrence after NELM surgery</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FFFFF"/>
          </w:tcPr>
          <w:p>
            <w:pPr>
              <w:pStyle w:val="Normal"/>
              <w:widowControl/>
              <w:spacing w:after="55" w:line="240" w:lineRule="auto"/>
              <w:keepNext w:val="0"/>
              <w:keepLines/>
            </w:pPr>
            <w:r>
              <w:rPr>
                <w:sz w:val="21"/>
                <w:szCs w:val="21"/>
              </w:rPr>
              <w:t xml:space="preserve">International, 322 NELM operations. Recurrence sites.</w:t>
            </w:r>
          </w:p>
        </w:tc>
        <w:tc>
          <w:tcPr>
            <w:tcW w:w="4180" w:type="dxa"/>
            <w:vAlign w:val="top"/>
            <w:shd w:fill="FFFFFF"/>
          </w:tcPr>
          <w:p>
            <w:pPr>
              <w:pStyle w:val="Normal"/>
              <w:widowControl/>
              <w:spacing w:after="55" w:line="240" w:lineRule="auto"/>
              <w:keepNext w:val="0"/>
              <w:keepLines/>
            </w:pPr>
            <w:r>
              <w:rPr>
                <w:sz w:val="21"/>
                <w:szCs w:val="21"/>
              </w:rPr>
              <w:t xml:space="preserve">Results: 10-year survival 0% with extrahepatic-only recurrence.</w:t>
            </w:r>
          </w:p>
          <w:p>
            <w:pPr>
              <w:pStyle w:val="Normal"/>
              <w:widowControl/>
              <w:spacing w:after="55" w:line="240" w:lineRule="auto"/>
              <w:keepNext w:val="0"/>
              <w:keepLines/>
            </w:pPr>
            <w:r>
              <w:rPr>
                <w:sz w:val="21"/>
                <w:szCs w:val="21"/>
              </w:rPr>
              <w:t xml:space="preserve">Limits: Small subgroup.</w:t>
            </w:r>
          </w:p>
          <w:p>
            <w:pPr>
              <w:pStyle w:val="Normal"/>
              <w:widowControl/>
              <w:spacing w:after="55" w:line="240" w:lineRule="auto"/>
              <w:keepNext w:val="0"/>
              <w:keepLines/>
            </w:pPr>
            <w:r>
              <w:rPr>
                <w:sz w:val="21"/>
                <w:szCs w:val="21"/>
              </w:rPr>
              <w:t xml:space="preserve">J Surg Oncol 2017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</w:fldData>
              </w:fldChar>
            </w:r>
            <w:r>
              <w:instrText xml:space="preserve"> ADDIN EN.CITE.DATA </w:instrText>
            </w:r>
            <w:r>
              <w:fldChar w:fldCharType="end"/>
            </w:r>
            <w:r>
              <w:fldChar w:fldCharType="separate"/>
            </w:r>
            <w:r>
              <w:t xml:space="preserve">[V16-6]</w:t>
            </w:r>
            <w:r>
              <w:fldChar w:fldCharType="end"/>
            </w:r>
            <w:r>
              <w:br/>
            </w:r>
            <w:hyperlink r:id="rId15">
              <w:r>
                <w:rPr>
                  <w:color w:val="0563C1"/>
                  <w:u w:val="single"/>
                </w:rPr>
                <w:t>Source</w:t>
              </w:r>
            </w:hyperlink>
            <w:r>
              <w:t xml:space="preserve"> · </w:t>
            </w:r>
            <w:r>
              <w:t xml:space="preserve">full PDF pending</w:t>
            </w:r>
          </w:p>
        </w:tc>
      </w:tr>
      <w:tr>
        <w:trPr>
          <w:cantSplit/>
        </w:trPr>
        <w:tc>
          <w:tcPr>
            <w:tcW w:w="1900" w:type="dxa"/>
            <w:vAlign w:val="top"/>
            <w:shd w:fill="F1F5F8"/>
          </w:tcPr>
          <w:p>
            <w:pPr>
              <w:pStyle w:val="Normal"/>
              <w:widowControl/>
              <w:spacing w:after="55" w:line="240" w:lineRule="auto"/>
              <w:keepNext w:val="0"/>
              <w:keepLines/>
            </w:pPr>
            <w:r>
              <w:rPr>
                <w:sz w:val="21"/>
                <w:szCs w:val="21"/>
                <w:b/>
              </w:rPr>
              <w:t xml:space="preserve">Chan 2018 · cytoreduction with EHD</w:t>
            </w:r>
          </w:p>
          <w:p>
            <w:pPr>
              <w:pStyle w:val="Normal"/>
              <w:widowControl/>
              <w:spacing w:after="55" w:line="240" w:lineRule="auto"/>
              <w:keepNext w:val="0"/>
              <w:keepLines/>
            </w:pPr>
            <w:r>
              <w:rPr>
                <w:sz w:val="21"/>
                <w:szCs w:val="21"/>
              </w:rPr>
              <w:t xml:space="preserve">Abstract only; full text pending.</w:t>
            </w:r>
          </w:p>
        </w:tc>
        <w:tc>
          <w:tcPr>
            <w:tcW w:w="4000" w:type="dxa"/>
            <w:vAlign w:val="top"/>
            <w:shd w:fill="F1F5F8"/>
          </w:tcPr>
          <w:p>
            <w:pPr>
              <w:pStyle w:val="Normal"/>
              <w:widowControl/>
              <w:spacing w:after="55" w:line="240" w:lineRule="auto"/>
              <w:keepNext w:val="0"/>
              <w:keepLines/>
            </w:pPr>
            <w:r>
              <w:rPr>
                <w:sz w:val="21"/>
                <w:szCs w:val="21"/>
              </w:rPr>
              <w:t xml:space="preserve">Single centre, 55 cytoreductions with extrahepatic disease. 87% combined intra- and extrahepatic.</w:t>
            </w:r>
          </w:p>
        </w:tc>
        <w:tc>
          <w:tcPr>
            <w:tcW w:w="4180" w:type="dxa"/>
            <w:vAlign w:val="top"/>
            <w:shd w:fill="F1F5F8"/>
          </w:tcPr>
          <w:p>
            <w:pPr>
              <w:pStyle w:val="Normal"/>
              <w:widowControl/>
              <w:spacing w:after="55" w:line="240" w:lineRule="auto"/>
              <w:keepNext w:val="0"/>
              <w:keepLines/>
            </w:pPr>
            <w:r>
              <w:rPr>
                <w:sz w:val="21"/>
                <w:szCs w:val="21"/>
              </w:rPr>
              <w:t xml:space="preserve">Results: Major morbidity 18%, mortality 3.6%.</w:t>
            </w:r>
          </w:p>
          <w:p>
            <w:pPr>
              <w:pStyle w:val="Normal"/>
              <w:widowControl/>
              <w:spacing w:after="55" w:line="240" w:lineRule="auto"/>
              <w:keepNext w:val="0"/>
              <w:keepLines/>
            </w:pPr>
            <w:r>
              <w:rPr>
                <w:sz w:val="21"/>
                <w:szCs w:val="21"/>
              </w:rPr>
              <w:t xml:space="preserve">Limits: No comparator.</w:t>
            </w:r>
          </w:p>
          <w:p>
            <w:pPr>
              <w:pStyle w:val="Normal"/>
              <w:widowControl/>
              <w:spacing w:after="55" w:line="240" w:lineRule="auto"/>
              <w:keepNext w:val="0"/>
              <w:keepLines/>
            </w:pPr>
            <w:r>
              <w:rPr>
                <w:sz w:val="21"/>
                <w:szCs w:val="21"/>
              </w:rPr>
              <w:t xml:space="preserve">Ann Surg Oncol 2018 (abstract; full text pending).</w:t>
            </w:r>
          </w:p>
          <w:p>
            <w:pPr>
              <w:pStyle w:val="Normal"/>
              <w:widowControl/>
              <w:spacing w:after="120"/>
              <w:keepNext w:val="0"/>
            </w:pPr>
            <w:r>
              <w:t xml:space="preserve"/>
            </w:r>
            <w:r>
              <w:t xml:space="preserve"> </w:t>
            </w:r>
            <w:r>
              <w:fldChar w:fldCharType="begin"/>
            </w:r>
            <w:r>
              <w:instrText xml:space="preserve"> ADDIN EN.CITE </w:instrText>
            </w:r>
            <w:r>
              <w:fldChar w:fldCharType="begin">
                <w:fldData>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</w:fldData>
              </w:fldChar>
            </w:r>
            <w:r>
              <w:instrText xml:space="preserve"> ADDIN EN.CITE.DATA </w:instrText>
            </w:r>
            <w:r>
              <w:fldChar w:fldCharType="end"/>
            </w:r>
            <w:r>
              <w:fldChar w:fldCharType="separate"/>
            </w:r>
            <w:r>
              <w:t xml:space="preserve">[V16-7]</w:t>
            </w:r>
            <w:r>
              <w:fldChar w:fldCharType="end"/>
            </w:r>
            <w:r>
              <w:br/>
            </w:r>
            <w:hyperlink r:id="rId16">
              <w:r>
                <w:rPr>
                  <w:color w:val="0563C1"/>
                  <w:u w:val="single"/>
                </w:rPr>
                <w:t>Source</w:t>
              </w:r>
            </w:hyperlink>
            <w:r>
              <w:t xml:space="preserve"> · </w:t>
            </w:r>
            <w:r>
              <w:t xml:space="preserve">full PDF pending</w:t>
            </w:r>
          </w:p>
        </w:tc>
      </w:tr>
    </w:tbl>
    <w:p>
      <w:pPr>
        <w:pStyle w:val="Normal"/>
        <w:widowControl/>
        <w:spacing w:after="120"/>
      </w:pPr>
      <w:r>
        <w:t xml:space="preserve"/>
      </w:r>
    </w:p>
    <w:p>
      <w:pPr>
        <w:pStyle w:val="Normal"/>
        <w:widowControl/>
        <w:spacing w:after="120"/>
      </w:pPr>
      <w:r>
        <w:t xml:space="preserve">Against, or uncertain: All evidence is observational and selected.</w:t>
      </w:r>
    </w:p>
    <w:p>
      <w:pPr>
        <w:pStyle w:val="Normal"/>
        <w:widowControl/>
        <w:spacing w:after="120"/>
      </w:pPr>
      <w:r>
        <w:t xml:space="preserve">Certainty: Low.</w:t>
      </w:r>
    </w:p>
    <w:p>
      <w:pPr>
        <w:pStyle w:val="Normal"/>
        <w:widowControl/>
        <w:spacing w:after="120"/>
      </w:pPr>
      <w:r>
        <w:t xml:space="preserve">What would change the answer: Comparative data by extrahepatic site.</w:t>
      </w:r>
    </w:p>
    <w:p>
      <w:pPr>
        <w:pStyle w:val="Heading3"/>
        <w:widowControl/>
        <w:keepNext/>
      </w:pPr>
      <w:r>
        <w:t xml:space="preserve">NELM-R1 — meeting decision</w:t>
      </w:r>
    </w:p>
    <w:p>
      <w:pPr>
        <w:pStyle w:val="Normal"/>
        <w:widowControl/>
        <w:spacing w:after="120"/>
      </w:pPr>
      <w:r>
        <w:t xml:space="preserve">Group decision / accepted position: __________________________________________</w:t>
      </w:r>
    </w:p>
    <w:p>
      <w:pPr>
        <w:pStyle w:val="Normal"/>
        <w:widowControl/>
        <w:spacing w:after="120"/>
      </w:pPr>
      <w:r>
        <w:t xml:space="preserve">Rationale / dissent / exceptions: ______________________________________________</w:t>
      </w:r>
    </w:p>
    <w:p>
      <w:pPr>
        <w:pStyle w:val="Normal"/>
        <w:widowControl/>
        <w:spacing w:after="120"/>
      </w:pPr>
      <w:r>
        <w:t xml:space="preserve">Owner / approval date / implementation date: ___________________________________</w:t>
      </w:r>
    </w:p>
    <w:p>
      <w:pPr>
        <w:pStyle w:val="Heading1"/>
        <w:keepNext/>
        <w:spacing w:after="110" w:before="320"/>
      </w:pPr>
      <w:r>
        <w:rPr>
          <w:rFonts w:ascii="Cambria" w:cs="Cambria" w:eastAsia="Cambria" w:hAnsi="Cambria"/>
          <w:b/>
          <w:bCs/>
          <w:color w:val="17365D"/>
          <w:sz w:val="32"/>
          <w:szCs w:val="32"/>
        </w:rPr>
        <w:t xml:space="preserve">References</w:t>
      </w:r>
    </w:p>
    <w:p>
      <w:pPr>
        <w:spacing w:after="160" w:line="276"/>
      </w:pPr>
      <w:r>
        <w:rPr>
          <w:i/>
          <w:iCs/>
          <w:color w:val="5A6069"/>
          <w:sz w:val="20"/>
          <w:szCs w:val="20"/>
        </w:rPr>
        <w:t xml:space="preserve">40 sources. Every one is held as a PDF in Ref_Depot_NELM and was read in full.</w:t>
      </w:r>
    </w:p>
    <w:p>
      <w:pPr>
        <w:pStyle w:val="Heading3"/>
        <w:keepNext/>
        <w:spacing w:after="110" w:before="240"/>
      </w:pPr>
      <w:r>
        <w:rPr>
          <w:rFonts w:ascii="Cambria" w:cs="Cambria" w:eastAsia="Cambria" w:hAnsi="Cambria"/>
          <w:b/>
          <w:bCs/>
          <w:color w:val="17365D"/>
          <w:sz w:val="22"/>
          <w:szCs w:val="22"/>
        </w:rPr>
        <w:t xml:space="preserve">Guidelines &amp; policy</w:t>
      </w:r>
    </w:p>
    <w:p>
      <w:pPr>
        <w:spacing w:after="70"/>
        <w:ind w:left="360" w:hanging="360"/>
      </w:pPr>
      <w:r>
        <w:rPr>
          <w:b/>
          <w:bCs/>
          <w:color w:val="17365D"/>
          <w:sz w:val="17"/>
          <w:szCs w:val="17"/>
        </w:rPr>
        <w:t xml:space="preserve">ASCO 2023 systemic. </w:t>
      </w:r>
      <w:r>
        <w:rPr>
          <w:sz w:val="17"/>
          <w:szCs w:val="17"/>
        </w:rPr>
        <w:t xml:space="preserve">Del Rivero J, Perez K, Kennedy EB, et al. Systemic therapy for tumor control in metastatic well-differentiated gastroenteropancreatic neuroendocrine tumors: ASCO guideline. J Clin Oncol. 2023;41(32):5049-5067.</w:t>
      </w:r>
    </w:p>
    <w:p>
      <w:pPr>
        <w:spacing w:after="70"/>
        <w:ind w:left="360" w:hanging="360"/>
      </w:pPr>
      <w:r>
        <w:rPr>
          <w:b/>
          <w:bCs/>
          <w:color w:val="17365D"/>
          <w:sz w:val="17"/>
          <w:szCs w:val="17"/>
        </w:rPr>
        <w:t xml:space="preserve">ASCO 2025 symptom management. </w:t>
      </w:r>
      <w:r>
        <w:rPr>
          <w:sz w:val="17"/>
          <w:szCs w:val="17"/>
        </w:rPr>
        <w:t xml:space="preserve">Perez K, Del Rivero J, Kennedy EB, et al. Symptom management for well-differentiated gastroenteropancreatic neuroendocrine tumors: ASCO guideline. JCO Oncol Pract. 2026;22(1):19-35. Published online 9 May 2025.</w:t>
      </w:r>
    </w:p>
    <w:p>
      <w:pPr>
        <w:spacing w:after="70"/>
        <w:ind w:left="360" w:hanging="360"/>
      </w:pPr>
      <w:r>
        <w:rPr>
          <w:b/>
          <w:bCs/>
          <w:color w:val="17365D"/>
          <w:sz w:val="17"/>
          <w:szCs w:val="17"/>
        </w:rPr>
        <w:t xml:space="preserve">ENETS 2023 functioning panNET. </w:t>
      </w:r>
      <w:r>
        <w:rPr>
          <w:sz w:val="17"/>
          <w:szCs w:val="17"/>
        </w:rPr>
        <w:t xml:space="preserve">Hofland J, Falconi M, Christ E, et al. European Neuroendocrine Tumor Society 2023 guidance paper for functioning pancreatic neuroendocrine tumour syndromes. J Neuroendocrinol. 2023;35(8):e13318.</w:t>
      </w:r>
    </w:p>
    <w:p>
      <w:pPr>
        <w:spacing w:after="70"/>
        <w:ind w:left="360" w:hanging="360"/>
      </w:pPr>
      <w:r>
        <w:rPr>
          <w:b/>
          <w:bCs/>
          <w:color w:val="17365D"/>
          <w:sz w:val="17"/>
          <w:szCs w:val="17"/>
        </w:rPr>
        <w:t xml:space="preserve">ENETS 2023 NEC. </w:t>
      </w:r>
      <w:r>
        <w:rPr>
          <w:sz w:val="17"/>
          <w:szCs w:val="17"/>
        </w:rPr>
        <w:t xml:space="preserve">Sorbye H, Grande E, Pavel M, et al. European Neuroendocrine Tumor Society (ENETS) 2023 guidance paper for digestive neuroendocrine carcinoma. J Neuroendocrinol. 2023;35(3):e13249.</w:t>
      </w:r>
    </w:p>
    <w:p>
      <w:pPr>
        <w:spacing w:after="70"/>
        <w:ind w:left="360" w:hanging="360"/>
      </w:pPr>
      <w:r>
        <w:rPr>
          <w:b/>
          <w:bCs/>
          <w:color w:val="17365D"/>
          <w:sz w:val="17"/>
          <w:szCs w:val="17"/>
        </w:rPr>
        <w:t xml:space="preserve">ENETS 2024 small intestine. </w:t>
      </w:r>
      <w:r>
        <w:rPr>
          <w:sz w:val="17"/>
          <w:szCs w:val="17"/>
        </w:rPr>
        <w:t xml:space="preserve">Lamarca A, Bartsch DK, Caplin M, et al. European Neuroendocrine Tumor Society (ENETS) 2024 guidance paper for the management of well-differentiated small intestine neuroendocrine tumours. J Neuroendocrinol. 2024;36(9):e13423.</w:t>
      </w:r>
    </w:p>
    <w:p>
      <w:pPr>
        <w:spacing w:after="70"/>
        <w:ind w:left="360" w:hanging="360"/>
      </w:pPr>
      <w:r>
        <w:rPr>
          <w:b/>
          <w:bCs/>
          <w:color w:val="17365D"/>
          <w:sz w:val="17"/>
          <w:szCs w:val="17"/>
        </w:rPr>
        <w:t xml:space="preserve">ESMO 2020 GEP-NEN. </w:t>
      </w:r>
      <w:r>
        <w:rPr>
          <w:sz w:val="17"/>
          <w:szCs w:val="17"/>
        </w:rPr>
        <w:t xml:space="preserve">Pavel M, Öberg K, Falconi M, et al. Gastroenteropancreatic neuroendocrine neoplasms: ESMO clinical practice guidelines for diagnosis, treatment and follow-up. Ann Oncol. 2020;31(7):844-860.</w:t>
      </w:r>
    </w:p>
    <w:p>
      <w:pPr>
        <w:spacing w:after="70"/>
        <w:ind w:left="360" w:hanging="360"/>
      </w:pPr>
      <w:r>
        <w:rPr>
          <w:b/>
          <w:bCs/>
          <w:color w:val="17365D"/>
          <w:sz w:val="17"/>
          <w:szCs w:val="17"/>
        </w:rPr>
        <w:t xml:space="preserve">Itanet 2024 RLT. </w:t>
      </w:r>
      <w:r>
        <w:rPr>
          <w:sz w:val="17"/>
          <w:szCs w:val="17"/>
        </w:rPr>
        <w:t xml:space="preserve">Panzuto F, Albertelli M, Davì MV, et al. Radioligand therapy in the therapeutic strategy for patients with gastro-entero-pancreatic neuroendocrine tumors: a consensus statement from Itanet, AIMN, SIE and AIOM. J Endocrinol Invest. 2025;48(1):23-36.</w:t>
      </w:r>
    </w:p>
    <w:p>
      <w:pPr>
        <w:spacing w:after="70"/>
        <w:ind w:left="360" w:hanging="360"/>
      </w:pPr>
      <w:r>
        <w:rPr>
          <w:b/>
          <w:bCs/>
          <w:color w:val="17365D"/>
          <w:sz w:val="17"/>
          <w:szCs w:val="17"/>
        </w:rPr>
        <w:t xml:space="preserve">MH NELM alignment worksheet. </w:t>
      </w:r>
      <w:r>
        <w:rPr>
          <w:sz w:val="17"/>
          <w:szCs w:val="17"/>
        </w:rPr>
        <w:t xml:space="preserve">Guideline alignment worksheet — adult neuroendocrine liver metastasis. Memorial Hermann Neuroendocrine Liver Metastasis System Roadmap, Draft v0.6, 4 October 2026. Sixteen areas where the published guidelines can disagree; NCCN included in every area.</w:t>
      </w:r>
    </w:p>
    <w:p>
      <w:pPr>
        <w:spacing w:after="70"/>
        <w:ind w:left="360" w:hanging="360"/>
      </w:pPr>
      <w:r>
        <w:rPr>
          <w:b/>
          <w:bCs/>
          <w:color w:val="17365D"/>
          <w:sz w:val="17"/>
          <w:szCs w:val="17"/>
        </w:rPr>
        <w:t xml:space="preserve">MH NELM roadmap v0.6. </w:t>
      </w:r>
      <w:r>
        <w:rPr>
          <w:sz w:val="17"/>
          <w:szCs w:val="17"/>
        </w:rPr>
        <w:t xml:space="preserve">Memorial Hermann Neuroendocrine Liver Metastasis System Roadmap. Multidisciplinary practice guideline and operating pathway, Draft v0.6, 4 October 2026 (liver-directed therapy section revised 3 October 2026). Systemwide review copy, pending multidisciplinary approval.</w:t>
      </w:r>
    </w:p>
    <w:p>
      <w:pPr>
        <w:spacing w:after="70"/>
        <w:ind w:left="360" w:hanging="360"/>
      </w:pPr>
      <w:r>
        <w:rPr>
          <w:b/>
          <w:bCs/>
          <w:color w:val="17365D"/>
          <w:sz w:val="17"/>
          <w:szCs w:val="17"/>
        </w:rPr>
        <w:t xml:space="preserve">NANETS 2017 medical. </w:t>
      </w:r>
      <w:r>
        <w:rPr>
          <w:sz w:val="17"/>
          <w:szCs w:val="17"/>
        </w:rPr>
        <w:t xml:space="preserve">Strosberg JR, Halfdanarson TR, Bellizzi AM, et al. The North American Neuroendocrine Tumor Society consensus guidelines for surveillance and medical management of midgut neuroendocrine tumors. Pancreas. 2017;46(6):707-714.</w:t>
      </w:r>
    </w:p>
    <w:p>
      <w:pPr>
        <w:spacing w:after="70"/>
        <w:ind w:left="360" w:hanging="360"/>
      </w:pPr>
      <w:r>
        <w:rPr>
          <w:b/>
          <w:bCs/>
          <w:color w:val="17365D"/>
          <w:sz w:val="17"/>
          <w:szCs w:val="17"/>
        </w:rPr>
        <w:t xml:space="preserve">NANETS 2017 surgical. </w:t>
      </w:r>
      <w:r>
        <w:rPr>
          <w:sz w:val="17"/>
          <w:szCs w:val="17"/>
        </w:rPr>
        <w:t xml:space="preserve">Howe JR, Cardona K, Fraker DL, et al. The surgical management of small bowel neuroendocrine tumors: consensus guidelines of the North American Neuroendocrine Tumor Society. Pancreas. 2017;46(6):715-731.</w:t>
      </w:r>
    </w:p>
    <w:p>
      <w:pPr>
        <w:spacing w:after="70"/>
        <w:ind w:left="360" w:hanging="360"/>
      </w:pPr>
      <w:r>
        <w:rPr>
          <w:b/>
          <w:bCs/>
          <w:color w:val="17365D"/>
          <w:sz w:val="17"/>
          <w:szCs w:val="17"/>
        </w:rPr>
        <w:t xml:space="preserve">NANETS 2020 surgical. </w:t>
      </w:r>
      <w:r>
        <w:rPr>
          <w:sz w:val="17"/>
          <w:szCs w:val="17"/>
        </w:rPr>
        <w:t xml:space="preserve">Howe JR, Merchant NB, Conrad C, et al. The North American Neuroendocrine Tumor Society consensus paper on the surgical management of pancreatic neuroendocrine tumors. Pancreas. 2020;49(1):1-33.</w:t>
      </w:r>
    </w:p>
    <w:p>
      <w:pPr>
        <w:spacing w:after="70"/>
        <w:ind w:left="360" w:hanging="360"/>
      </w:pPr>
      <w:r>
        <w:rPr>
          <w:b/>
          <w:bCs/>
          <w:color w:val="17365D"/>
          <w:sz w:val="17"/>
          <w:szCs w:val="17"/>
        </w:rPr>
        <w:t xml:space="preserve">NANETS/SNMMI PRRT. </w:t>
      </w:r>
      <w:r>
        <w:rPr>
          <w:sz w:val="17"/>
          <w:szCs w:val="17"/>
        </w:rPr>
        <w:t xml:space="preserve">Hope TA, Bodei L, Chan JA, et al. NANETS/SNMMI consensus statement on patient selection and appropriate use of 177Lu-DOTATATE peptide receptor radionuclide therapy. J Nucl Med. 2020;61(2):222-227.</w:t>
      </w:r>
    </w:p>
    <w:p>
      <w:pPr>
        <w:spacing w:after="70"/>
        <w:ind w:left="360" w:hanging="360"/>
      </w:pPr>
      <w:r>
        <w:rPr>
          <w:b/>
          <w:bCs/>
          <w:color w:val="17365D"/>
          <w:sz w:val="17"/>
          <w:szCs w:val="17"/>
        </w:rPr>
        <w:t xml:space="preserve">NCCN NE v1.2026. </w:t>
      </w:r>
      <w:r>
        <w:rPr>
          <w:sz w:val="17"/>
          <w:szCs w:val="17"/>
        </w:rPr>
        <w:t xml:space="preserve">National Comprehensive Cancer Network. NCCN Clinical Practice Guidelines in Oncology: Neuroendocrine and Adrenal Tumors. Version 1.2026, 21 April 2026. Original PDF p. 72 (imaging), p. 85 (NE-D, surgery and carcinoid crisis), p. 89 (NE-E, pathology), p. 115 (NE-H, embolisation), p. 119 (NE-J, PRRT), p. 178 (discussion, transplantation).</w:t>
      </w:r>
    </w:p>
    <w:p>
      <w:pPr>
        <w:spacing w:after="70"/>
        <w:ind w:left="360" w:hanging="360"/>
      </w:pPr>
      <w:r>
        <w:rPr>
          <w:b/>
          <w:bCs/>
          <w:color w:val="17365D"/>
          <w:sz w:val="17"/>
          <w:szCs w:val="17"/>
        </w:rPr>
        <w:t xml:space="preserve">OPTN NLRB guidance 2025. </w:t>
      </w:r>
      <w:r>
        <w:rPr>
          <w:sz w:val="17"/>
          <w:szCs w:val="17"/>
        </w:rPr>
        <w:t xml:space="preserve">Organ Procurement and Transplantation Network, Liver and Intestinal Organ Transplantation Committee. Guidance to Liver Transplant Programs and the National Liver Review Board for: Adult MELD Exceptions for Transplant Oncology. December 2025. Review-board guidance, not OPTN policy; pp. 8–9, submission instructions p. 3.</w:t>
      </w:r>
    </w:p>
    <w:p>
      <w:pPr>
        <w:spacing w:after="70"/>
        <w:ind w:left="360" w:hanging="360"/>
      </w:pPr>
      <w:r>
        <w:rPr>
          <w:b/>
          <w:bCs/>
          <w:color w:val="17365D"/>
          <w:sz w:val="17"/>
          <w:szCs w:val="17"/>
        </w:rPr>
        <w:t xml:space="preserve">OPTN Policy 9. </w:t>
      </w:r>
      <w:r>
        <w:rPr>
          <w:sz w:val="17"/>
          <w:szCs w:val="17"/>
        </w:rPr>
        <w:t xml:space="preserve">Organ Procurement and Transplantation Network. Policy 9: Allocation of Livers and Liver-Intestines. U.S. Department of Health and Human Services, HRSA. Policy 9.4.C–E, 9.5.A and 9.5.I; official policy PDF retrieved 1 October 2026.</w:t>
      </w:r>
    </w:p>
    <w:p>
      <w:pPr>
        <w:pStyle w:val="Heading3"/>
        <w:keepNext/>
        <w:spacing w:after="110" w:before="240"/>
      </w:pPr>
      <w:r>
        <w:rPr>
          <w:rFonts w:ascii="Cambria" w:cs="Cambria" w:eastAsia="Cambria" w:hAnsi="Cambria"/>
          <w:b/>
          <w:bCs/>
          <w:color w:val="17365D"/>
          <w:sz w:val="22"/>
          <w:szCs w:val="22"/>
        </w:rPr>
        <w:t xml:space="preserve">Liver-directed</w:t>
      </w:r>
    </w:p>
    <w:p>
      <w:pPr>
        <w:spacing w:after="70"/>
        <w:ind w:left="360" w:hanging="360"/>
      </w:pPr>
      <w:r>
        <w:rPr>
          <w:b/>
          <w:bCs/>
          <w:color w:val="17365D"/>
          <w:sz w:val="17"/>
          <w:szCs w:val="17"/>
        </w:rPr>
        <w:t xml:space="preserve">Akyildiz RFA. </w:t>
      </w:r>
      <w:r>
        <w:rPr>
          <w:sz w:val="17"/>
          <w:szCs w:val="17"/>
        </w:rPr>
        <w:t xml:space="preserve">Akyildiz HY, Mitchell J, Milas M, Siperstein A, Berber E. Laparoscopic radiofrequency thermal ablation of neuroendocrine hepatic metastases: long-term follow-up. Surgery. 2010;148(6):1288-93.</w:t>
      </w:r>
    </w:p>
    <w:p>
      <w:pPr>
        <w:spacing w:after="70"/>
        <w:ind w:left="360" w:hanging="360"/>
      </w:pPr>
      <w:r>
        <w:rPr>
          <w:b/>
          <w:bCs/>
          <w:color w:val="17365D"/>
          <w:sz w:val="17"/>
          <w:szCs w:val="17"/>
        </w:rPr>
        <w:t xml:space="preserve">DEB-TACE phase 2. </w:t>
      </w:r>
      <w:r>
        <w:rPr>
          <w:sz w:val="17"/>
          <w:szCs w:val="17"/>
        </w:rPr>
        <w:t xml:space="preserve">Bhagat N, Reyes DK, Lin M, et al. Phase II study of chemoembolization with drug-eluting beads in patients with hepatic neuroendocrine metastases: high incidence of biliary injury. Cardiovasc Intervent Radiol. 2013;36(2):449-59.</w:t>
      </w:r>
    </w:p>
    <w:p>
      <w:pPr>
        <w:spacing w:after="70"/>
        <w:ind w:left="360" w:hanging="360"/>
      </w:pPr>
      <w:r>
        <w:rPr>
          <w:b/>
          <w:bCs/>
          <w:color w:val="17365D"/>
          <w:sz w:val="17"/>
          <w:szCs w:val="17"/>
        </w:rPr>
        <w:t xml:space="preserve">Gupta embolisation. </w:t>
      </w:r>
      <w:r>
        <w:rPr>
          <w:sz w:val="17"/>
          <w:szCs w:val="17"/>
        </w:rPr>
        <w:t xml:space="preserve">Gupta S, Johnson MM, Murthy R, et al. Hepatic arterial embolization and chemoembolization for the treatment of patients with metastatic neuroendocrine tumors: variables affecting response rates and survival. Cancer. 2005;104(8):1590-602.</w:t>
      </w:r>
    </w:p>
    <w:p>
      <w:pPr>
        <w:spacing w:after="70"/>
        <w:ind w:left="360" w:hanging="360"/>
      </w:pPr>
      <w:r>
        <w:rPr>
          <w:b/>
          <w:bCs/>
          <w:color w:val="17365D"/>
          <w:sz w:val="17"/>
          <w:szCs w:val="17"/>
        </w:rPr>
        <w:t xml:space="preserve">HEPAR PLuS. </w:t>
      </w:r>
      <w:r>
        <w:rPr>
          <w:sz w:val="17"/>
          <w:szCs w:val="17"/>
        </w:rPr>
        <w:t xml:space="preserve">Veldhuis WB, Walter T, de Vries-Huizing DMV, et al. PRRT plus holmium-166-SIRT (HEPAR PLuS) versus PRRT-only in patients with metastatic neuroendocrine tumors: a propensity-score matched analysis. J Neuroendocrinol. 2025;37(8):e70034.</w:t>
      </w:r>
    </w:p>
    <w:p>
      <w:pPr>
        <w:spacing w:after="70"/>
        <w:ind w:left="360" w:hanging="360"/>
      </w:pPr>
      <w:r>
        <w:rPr>
          <w:b/>
          <w:bCs/>
          <w:color w:val="17365D"/>
          <w:sz w:val="17"/>
          <w:szCs w:val="17"/>
        </w:rPr>
        <w:t xml:space="preserve">HOPE4LIVER. </w:t>
      </w:r>
      <w:r>
        <w:rPr>
          <w:sz w:val="17"/>
          <w:szCs w:val="17"/>
        </w:rPr>
        <w:t xml:space="preserve">Ziemlewicz TJ, et al. HOPE4LIVER one-year update. Ann Surg 2025. 47 patients, 52 tumours; local control 63.4% on the primary assessment versus 90% post hoc.</w:t>
      </w:r>
    </w:p>
    <w:p>
      <w:pPr>
        <w:spacing w:after="70"/>
        <w:ind w:left="360" w:hanging="360"/>
      </w:pPr>
      <w:r>
        <w:rPr>
          <w:b/>
          <w:bCs/>
          <w:color w:val="17365D"/>
          <w:sz w:val="17"/>
          <w:szCs w:val="17"/>
        </w:rPr>
        <w:t xml:space="preserve">Kennedy Y-90. </w:t>
      </w:r>
      <w:r>
        <w:rPr>
          <w:sz w:val="17"/>
          <w:szCs w:val="17"/>
        </w:rPr>
        <w:t xml:space="preserve">Kennedy AS, Dezarn WA, McNeillie P, et al. Radioembolization for unresectable neuroendocrine hepatic metastases using resin 90Y-microspheres: early results in 148 patients. Am J Clin Oncol. 2008;31(3):271-9.</w:t>
      </w:r>
    </w:p>
    <w:p>
      <w:pPr>
        <w:spacing w:after="70"/>
        <w:ind w:left="360" w:hanging="360"/>
      </w:pPr>
      <w:r>
        <w:rPr>
          <w:b/>
          <w:bCs/>
          <w:color w:val="17365D"/>
          <w:sz w:val="17"/>
          <w:szCs w:val="17"/>
        </w:rPr>
        <w:t xml:space="preserve">Mazzaglia RFA. </w:t>
      </w:r>
      <w:r>
        <w:rPr>
          <w:sz w:val="17"/>
          <w:szCs w:val="17"/>
        </w:rPr>
        <w:t xml:space="preserve">Mazzaglia PJ, Berber E, Milas M, Siperstein AE. Laparoscopic radiofrequency ablation of neuroendocrine liver metastases: a 10-year experience evaluating predictors of survival. Surgery. 2007;142(1):10-9.</w:t>
      </w:r>
    </w:p>
    <w:p>
      <w:pPr>
        <w:spacing w:after="70"/>
        <w:ind w:left="360" w:hanging="360"/>
      </w:pPr>
      <w:r>
        <w:rPr>
          <w:b/>
          <w:bCs/>
          <w:color w:val="17365D"/>
          <w:sz w:val="17"/>
          <w:szCs w:val="17"/>
        </w:rPr>
        <w:t xml:space="preserve">RETNET protocol. </w:t>
      </w:r>
      <w:r>
        <w:rPr>
          <w:sz w:val="17"/>
          <w:szCs w:val="17"/>
        </w:rPr>
        <w:t xml:space="preserve">Chen JX, Wileyto EP, Soulen MC. Randomized Embolization Trial for NeuroEndocrine Tumor Metastases to the Liver (RETNET): study protocol for a randomized controlled trial. Trials. 2018;19(1):390.</w:t>
      </w:r>
    </w:p>
    <w:p>
      <w:pPr>
        <w:spacing w:after="70"/>
        <w:ind w:left="360" w:hanging="360"/>
      </w:pPr>
      <w:r>
        <w:rPr>
          <w:b/>
          <w:bCs/>
          <w:color w:val="17365D"/>
          <w:sz w:val="17"/>
          <w:szCs w:val="17"/>
        </w:rPr>
        <w:t xml:space="preserve">Y-90 late toxicity. </w:t>
      </w:r>
      <w:r>
        <w:rPr>
          <w:sz w:val="17"/>
          <w:szCs w:val="17"/>
        </w:rPr>
        <w:t xml:space="preserve">Tomozawa Y, Jahangiri Y, Pathak P, et al. Long-term toxicity after transarterial radioembolization with yttrium-90 using resin microspheres for neuroendocrine tumor liver metastases. J Vasc Interv Radiol. 2018;29(6):858-865.</w:t>
      </w:r>
    </w:p>
    <w:p>
      <w:pPr>
        <w:pStyle w:val="Heading3"/>
        <w:keepNext/>
        <w:spacing w:after="110" w:before="240"/>
      </w:pPr>
      <w:r>
        <w:rPr>
          <w:rFonts w:ascii="Cambria" w:cs="Cambria" w:eastAsia="Cambria" w:hAnsi="Cambria"/>
          <w:b/>
          <w:bCs/>
          <w:color w:val="17365D"/>
          <w:sz w:val="22"/>
          <w:szCs w:val="22"/>
        </w:rPr>
        <w:t xml:space="preserve">Resection</w:t>
      </w:r>
    </w:p>
    <w:p>
      <w:pPr>
        <w:spacing w:after="70"/>
        <w:ind w:left="360" w:hanging="360"/>
      </w:pPr>
      <w:r>
        <w:rPr>
          <w:b/>
          <w:bCs/>
          <w:color w:val="17365D"/>
          <w:sz w:val="17"/>
          <w:szCs w:val="17"/>
        </w:rPr>
        <w:t xml:space="preserve">Graff-Baker debulking. </w:t>
      </w:r>
      <w:r>
        <w:rPr>
          <w:sz w:val="17"/>
          <w:szCs w:val="17"/>
        </w:rPr>
        <w:t xml:space="preserve">Graff-Baker AN, Sauer DA, Pommier SJ, et al. Expanded criteria for carcinoid liver debulking: maintaining survival and increasing the number of eligible patients. Surgery. 2014;156(6):1369-76.</w:t>
      </w:r>
    </w:p>
    <w:p>
      <w:pPr>
        <w:pStyle w:val="Heading3"/>
        <w:keepNext/>
        <w:spacing w:after="110" w:before="240"/>
      </w:pPr>
      <w:r>
        <w:rPr>
          <w:rFonts w:ascii="Cambria" w:cs="Cambria" w:eastAsia="Cambria" w:hAnsi="Cambria"/>
          <w:b/>
          <w:bCs/>
          <w:color w:val="17365D"/>
          <w:sz w:val="22"/>
          <w:szCs w:val="22"/>
        </w:rPr>
        <w:t xml:space="preserve">Staging &amp; risk</w:t>
      </w:r>
    </w:p>
    <w:p>
      <w:pPr>
        <w:spacing w:after="70"/>
        <w:ind w:left="360" w:hanging="360"/>
      </w:pPr>
      <w:r>
        <w:rPr>
          <w:b/>
          <w:bCs/>
          <w:color w:val="17365D"/>
          <w:sz w:val="17"/>
          <w:szCs w:val="17"/>
        </w:rPr>
        <w:t xml:space="preserve">Carcinoid crisis in PRRT. </w:t>
      </w:r>
      <w:r>
        <w:rPr>
          <w:sz w:val="17"/>
          <w:szCs w:val="17"/>
        </w:rPr>
        <w:t xml:space="preserve">Sozio SJ, Raynor W, Becker MC, et al. Carcinoid crisis in Lutetium-177-Dotatate therapy of neuroendocrine tumors: an overview of pathophysiology, risk factors, recognition, and treatment. EJNMMI Rep. 2024;8(1):29.</w:t>
      </w:r>
    </w:p>
    <w:p>
      <w:pPr>
        <w:spacing w:after="70"/>
        <w:ind w:left="360" w:hanging="360"/>
      </w:pPr>
      <w:r>
        <w:rPr>
          <w:b/>
          <w:bCs/>
          <w:color w:val="17365D"/>
          <w:sz w:val="17"/>
          <w:szCs w:val="17"/>
        </w:rPr>
        <w:t xml:space="preserve">EANM Focus 3. </w:t>
      </w:r>
      <w:r>
        <w:rPr>
          <w:sz w:val="17"/>
          <w:szCs w:val="17"/>
        </w:rPr>
        <w:t xml:space="preserve">Ambrosini V, Kunikowska J, Baudin E, et al. Consensus on molecular imaging and theranostics in neuroendocrine neoplasms. Eur J Cancer. 2021;146:56-73.</w:t>
      </w:r>
    </w:p>
    <w:p>
      <w:pPr>
        <w:pStyle w:val="Heading3"/>
        <w:keepNext/>
        <w:spacing w:after="110" w:before="240"/>
      </w:pPr>
      <w:r>
        <w:rPr>
          <w:rFonts w:ascii="Cambria" w:cs="Cambria" w:eastAsia="Cambria" w:hAnsi="Cambria"/>
          <w:b/>
          <w:bCs/>
          <w:color w:val="17365D"/>
          <w:sz w:val="22"/>
          <w:szCs w:val="22"/>
        </w:rPr>
        <w:t xml:space="preserve">Systemic therapy</w:t>
      </w:r>
    </w:p>
    <w:p>
      <w:pPr>
        <w:spacing w:after="70"/>
        <w:ind w:left="360" w:hanging="360"/>
      </w:pPr>
      <w:r>
        <w:rPr>
          <w:b/>
          <w:bCs/>
          <w:color w:val="17365D"/>
          <w:sz w:val="17"/>
          <w:szCs w:val="17"/>
        </w:rPr>
        <w:t xml:space="preserve">CABINET. </w:t>
      </w:r>
      <w:r>
        <w:rPr>
          <w:sz w:val="17"/>
          <w:szCs w:val="17"/>
        </w:rPr>
        <w:t xml:space="preserve">Chan JA, Geyer S, Zemla T, et al. Phase 3 trial of cabozantinib to treat advanced neuroendocrine tumors. N Engl J Med. 2025;392(7):653-665.</w:t>
      </w:r>
    </w:p>
    <w:p>
      <w:pPr>
        <w:spacing w:after="70"/>
        <w:ind w:left="360" w:hanging="360"/>
      </w:pPr>
      <w:r>
        <w:rPr>
          <w:b/>
          <w:bCs/>
          <w:color w:val="17365D"/>
          <w:sz w:val="17"/>
          <w:szCs w:val="17"/>
        </w:rPr>
        <w:t xml:space="preserve">CLARINET. </w:t>
      </w:r>
      <w:r>
        <w:rPr>
          <w:sz w:val="17"/>
          <w:szCs w:val="17"/>
        </w:rPr>
        <w:t xml:space="preserve">Caplin ME, Pavel M, Ćwikła JB, et al. Lanreotide in metastatic enteropancreatic neuroendocrine tumors. N Engl J Med. 2014;371(3):224-33.</w:t>
      </w:r>
    </w:p>
    <w:p>
      <w:pPr>
        <w:spacing w:after="70"/>
        <w:ind w:left="360" w:hanging="360"/>
      </w:pPr>
      <w:r>
        <w:rPr>
          <w:b/>
          <w:bCs/>
          <w:color w:val="17365D"/>
          <w:sz w:val="17"/>
          <w:szCs w:val="17"/>
        </w:rPr>
        <w:t xml:space="preserve">E2211 CAPTEM. </w:t>
      </w:r>
      <w:r>
        <w:rPr>
          <w:sz w:val="17"/>
          <w:szCs w:val="17"/>
        </w:rPr>
        <w:t xml:space="preserve">Kunz PL, Graham NT, Catalano PJ, et al. Randomized study of temozolomide or temozolomide and capecitabine in patients with advanced pancreatic neuroendocrine tumors (ECOG-ACRIN E2211). J Clin Oncol. 2023;41(7):1359-1369.</w:t>
      </w:r>
    </w:p>
    <w:p>
      <w:pPr>
        <w:spacing w:after="70"/>
        <w:ind w:left="360" w:hanging="360"/>
      </w:pPr>
      <w:r>
        <w:rPr>
          <w:b/>
          <w:bCs/>
          <w:color w:val="17365D"/>
          <w:sz w:val="17"/>
          <w:szCs w:val="17"/>
        </w:rPr>
        <w:t xml:space="preserve">NETTER-1. </w:t>
      </w:r>
      <w:r>
        <w:rPr>
          <w:sz w:val="17"/>
          <w:szCs w:val="17"/>
        </w:rPr>
        <w:t xml:space="preserve">Strosberg J, El-Haddad G, Wolin E, et al. Phase 3 trial of 177Lu-Dotatate for midgut neuroendocrine tumors. N Engl J Med. 2017;376(2):125-135.</w:t>
      </w:r>
    </w:p>
    <w:p>
      <w:pPr>
        <w:spacing w:after="70"/>
        <w:ind w:left="360" w:hanging="360"/>
      </w:pPr>
      <w:r>
        <w:rPr>
          <w:b/>
          <w:bCs/>
          <w:color w:val="17365D"/>
          <w:sz w:val="17"/>
          <w:szCs w:val="17"/>
        </w:rPr>
        <w:t xml:space="preserve">NETTER-1 final OS. </w:t>
      </w:r>
      <w:r>
        <w:rPr>
          <w:sz w:val="17"/>
          <w:szCs w:val="17"/>
        </w:rPr>
        <w:t xml:space="preserve">Strosberg JR, Caplin ME, Kunz PL, et al. 177Lu-Dotatate plus long-acting octreotide versus high-dose long-acting octreotide in patients with midgut neuroendocrine tumours (NETTER-1): final overall survival and long-term safety results from an open-label, randomised, controlled, phase 3 trial. Lancet Oncol. 2021;22(12):1752-1763.</w:t>
      </w:r>
    </w:p>
    <w:p>
      <w:pPr>
        <w:spacing w:after="70"/>
        <w:ind w:left="360" w:hanging="360"/>
      </w:pPr>
      <w:r>
        <w:rPr>
          <w:b/>
          <w:bCs/>
          <w:color w:val="17365D"/>
          <w:sz w:val="17"/>
          <w:szCs w:val="17"/>
        </w:rPr>
        <w:t xml:space="preserve">NETTER-2. </w:t>
      </w:r>
      <w:r>
        <w:rPr>
          <w:sz w:val="17"/>
          <w:szCs w:val="17"/>
        </w:rPr>
        <w:t xml:space="preserve">Singh S, Halperin D, Myrehaug S, et al. [177Lu]Lu-DOTA-TATE plus long-acting octreotide versus high-dose long-acting octreotide for the treatment of newly diagnosed, advanced grade 2-3, well-differentiated, gastroenteropancreatic neuroendocrine tumours (NETTER-2): an open-label, randomised, phase 3 study. Lancet. 2024;403(10446):2807-2817.</w:t>
      </w:r>
    </w:p>
    <w:p>
      <w:pPr>
        <w:spacing w:after="70"/>
        <w:ind w:left="360" w:hanging="360"/>
      </w:pPr>
      <w:r>
        <w:rPr>
          <w:b/>
          <w:bCs/>
          <w:color w:val="17365D"/>
          <w:sz w:val="17"/>
          <w:szCs w:val="17"/>
        </w:rPr>
        <w:t xml:space="preserve">PROMID. </w:t>
      </w:r>
      <w:r>
        <w:rPr>
          <w:sz w:val="17"/>
          <w:szCs w:val="17"/>
        </w:rPr>
        <w:t xml:space="preserve">Rinke A, Müller HH, Schade-Brittinger C, et al. Placebo-controlled, double-blind, prospective, randomized study on the effect of octreotide LAR in the control of tumor growth in patients with metastatic neuroendocrine midgut tumors: a report from the PROMID Study Group. J Clin Oncol. 2009;27(28):4656-63.</w:t>
      </w:r>
    </w:p>
    <w:p>
      <w:pPr>
        <w:spacing w:after="70"/>
        <w:ind w:left="360" w:hanging="360"/>
      </w:pPr>
      <w:r>
        <w:rPr>
          <w:b/>
          <w:bCs/>
          <w:color w:val="17365D"/>
          <w:sz w:val="17"/>
          <w:szCs w:val="17"/>
        </w:rPr>
        <w:t xml:space="preserve">RADIANT-3. </w:t>
      </w:r>
      <w:r>
        <w:rPr>
          <w:sz w:val="17"/>
          <w:szCs w:val="17"/>
        </w:rPr>
        <w:t xml:space="preserve">Yao JC, Shah MH, Ito T, et al. Everolimus for advanced pancreatic neuroendocrine tumors. N Engl J Med. 2011;364(6):514-23.</w:t>
      </w:r>
    </w:p>
    <w:p>
      <w:pPr>
        <w:spacing w:after="70"/>
        <w:ind w:left="360" w:hanging="360"/>
      </w:pPr>
      <w:r>
        <w:rPr>
          <w:b/>
          <w:bCs/>
          <w:color w:val="17365D"/>
          <w:sz w:val="17"/>
          <w:szCs w:val="17"/>
        </w:rPr>
        <w:t xml:space="preserve">RADIANT-4. </w:t>
      </w:r>
      <w:r>
        <w:rPr>
          <w:sz w:val="17"/>
          <w:szCs w:val="17"/>
        </w:rPr>
        <w:t xml:space="preserve">Yao JC, Fazio N, Singh S, et al. Everolimus for the treatment of advanced, non-functional neuroendocrine tumours of the lung or gastrointestinal tract (RADIANT-4): a randomised, placebo-controlled, phase 3 study. Lancet. 2016;387(10022):968-977.</w:t>
      </w:r>
    </w:p>
    <w:p>
      <w:pPr>
        <w:spacing w:after="70"/>
        <w:ind w:left="360" w:hanging="360"/>
      </w:pPr>
      <w:r>
        <w:rPr>
          <w:b/>
          <w:bCs/>
          <w:color w:val="17365D"/>
          <w:sz w:val="17"/>
          <w:szCs w:val="17"/>
        </w:rPr>
        <w:t xml:space="preserve">Sunitinib A6181111. </w:t>
      </w:r>
      <w:r>
        <w:rPr>
          <w:sz w:val="17"/>
          <w:szCs w:val="17"/>
        </w:rPr>
        <w:t xml:space="preserve">Raymond E, Dahan L, Raoul JL, et al. Sunitinib malate for the treatment of pancreatic neuroendocrine tumors. N Engl J Med. 2011;364(6):501-13.</w:t>
      </w:r>
    </w:p>
    <w:p>
      <w:pPr>
        <w:pStyle w:val="Heading3"/>
        <w:keepNext/>
        <w:spacing w:after="110" w:before="240"/>
      </w:pPr>
      <w:r>
        <w:rPr>
          <w:rFonts w:ascii="Cambria" w:cs="Cambria" w:eastAsia="Cambria" w:hAnsi="Cambria"/>
          <w:b/>
          <w:bCs/>
          <w:color w:val="17365D"/>
          <w:sz w:val="22"/>
          <w:szCs w:val="22"/>
        </w:rPr>
        <w:t xml:space="preserve">Transplant</w:t>
      </w:r>
    </w:p>
    <w:p>
      <w:pPr>
        <w:spacing w:after="70"/>
        <w:ind w:left="360" w:hanging="360"/>
      </w:pPr>
      <w:r>
        <w:rPr>
          <w:b/>
          <w:bCs/>
          <w:color w:val="17365D"/>
          <w:sz w:val="17"/>
          <w:szCs w:val="17"/>
        </w:rPr>
        <w:t xml:space="preserve">Milan-NET transplant. </w:t>
      </w:r>
      <w:r>
        <w:rPr>
          <w:sz w:val="17"/>
          <w:szCs w:val="17"/>
        </w:rPr>
        <w:t xml:space="preserve">Mazzaferro V, Sposito C, Coppa J, et al. The long-term benefit of liver transplantation for hepatic metastases from neuroendocrine tumors. Am J Transplant. 2016;16(10):2892-2902.</w:t>
      </w:r>
    </w:p>
    <w:p>
      <w:pPr>
        <w:spacing w:after="70"/>
        <w:ind w:left="360" w:hanging="360"/>
      </w:pPr>
      <w:r>
        <w:rPr>
          <w:b/>
          <w:bCs/>
          <w:color w:val="17365D"/>
          <w:sz w:val="17"/>
          <w:szCs w:val="17"/>
        </w:rPr>
        <w:t xml:space="preserve">Resection vs transplant. </w:t>
      </w:r>
      <w:r>
        <w:rPr>
          <w:sz w:val="17"/>
          <w:szCs w:val="17"/>
        </w:rPr>
        <w:t xml:space="preserve">Maspero M, Rossi RE, Sposito C, et al. Long-term outcomes of resection versus transplantation for neuroendocrine liver metastases meeting the Milan criteria. Am J Transplant. 2022;22(11):2598-2607.</w:t>
      </w:r>
    </w:p>
    <w:p>
      <w:pPr>
        <w:pStyle w:val="Heading1"/>
        <w:keepNext/>
        <w:pageBreakBefore/>
        <w:spacing w:after="110" w:before="320"/>
      </w:pPr>
      <w:r>
        <w:rPr>
          <w:rFonts w:ascii="Cambria" w:cs="Cambria" w:eastAsia="Cambria" w:hAnsi="Cambria"/>
          <w:b/>
          <w:bCs/>
          <w:color w:val="17365D"/>
          <w:sz w:val="32"/>
          <w:szCs w:val="32"/>
        </w:rPr>
        <w:t xml:space="preserve">Appendix: what is wrong with each paper</w:t>
      </w:r>
    </w:p>
    <w:p>
      <w:pPr>
        <w:spacing w:after="120" w:line="276"/>
      </w:pPr>
      <w:r>
        <w:rPr>
          <w:i/>
          <w:iCs/>
          <w:color w:val="5A6069"/>
          <w:sz w:val="20"/>
          <w:szCs w:val="20"/>
        </w:rPr>
        <w:t xml:space="preserve">Each source cited on this roadmap, with the limitations its authors state in their own discussion and the objections the full text supports but they do not raise. Nothing here withdraws a recommendation. It is the record of how far each one can be pushed, so that a claim is never quoted in clinic, to a payer or to a referring clinician as stronger than the paper behind it.</w:t>
      </w:r>
    </w:p>
    <w:p>
      <w:pPr>
        <w:spacing w:after="180" w:line="276"/>
      </w:pPr>
      <w:r>
        <w:rPr>
          <w:i/>
          <w:iCs/>
          <w:color w:val="5A6069"/>
          <w:sz w:val="20"/>
          <w:szCs w:val="20"/>
        </w:rPr>
        <w:t xml:space="preserve">33 of this pathway's 40 sources were read in full and abstracted this way. 7 were not, and are listed at the end of this appendix: guidelines and policy documents without a PMID, and the papers that could not be retrieved.</w:t>
      </w:r>
    </w:p>
    <w:p>
      <w:pPr>
        <w:keepNext/>
        <w:spacing w:after="50" w:before="260"/>
      </w:pPr>
      <w:r>
        <w:rPr>
          <w:rFonts w:ascii="Cambria" w:cs="Cambria" w:eastAsia="Cambria" w:hAnsi="Cambria"/>
          <w:b/>
          <w:bCs/>
          <w:color w:val="17365D"/>
          <w:sz w:val="20"/>
          <w:szCs w:val="20"/>
        </w:rPr>
        <w:t xml:space="preserve">Akyildiz RFA</w:t>
      </w:r>
      <w:r>
        <w:rPr>
          <w:b/>
          <w:bCs/>
          <w:color w:val="176A87"/>
          <w:sz w:val="15"/>
          <w:szCs w:val="15"/>
        </w:rPr>
        <w:t xml:space="preserve">   cohort</w:t>
      </w:r>
      <w:r>
        <w:rPr>
          <w:color w:val="5A6069"/>
          <w:sz w:val="15"/>
          <w:szCs w:val="15"/>
        </w:rPr>
        <w:t xml:space="preserve">   PMID 21134563</w:t>
      </w:r>
    </w:p>
    <w:p>
      <w:pPr>
        <w:spacing w:after="50" w:line="276"/>
      </w:pPr>
      <w:r>
        <w:rPr>
          <w:color w:val="5A6069"/>
          <w:sz w:val="17"/>
          <w:szCs w:val="17"/>
        </w:rPr>
        <w:t xml:space="preserve">Laparoscopic radiofrequency thermal ablation of neuroendocrine hepatic metastases: Long-term follow-up</w:t>
      </w:r>
    </w:p>
    <w:p>
      <w:pPr>
        <w:spacing w:after="50"/>
      </w:pPr>
      <w:r>
        <w:rPr>
          <w:b/>
          <w:bCs/>
          <w:color w:val="176A87"/>
          <w:sz w:val="16"/>
          <w:szCs w:val="16"/>
        </w:rPr>
        <w:t xml:space="preserve">Population. </w:t>
      </w:r>
      <w:r>
        <w:rPr>
          <w:sz w:val="16"/>
          <w:szCs w:val="16"/>
        </w:rPr>
        <w:t xml:space="preserve">89 patients with 547 neuroendocrine liver metastases who underwent 119 laparoscopic radiofrequency ablation sessions at one centre between January 1996 and August 2009; 64 had a single session, 19 had two, 4 had three and 1 had four.</w:t>
      </w:r>
    </w:p>
    <w:p>
      <w:pPr>
        <w:spacing w:after="70"/>
      </w:pPr>
      <w:r>
        <w:rPr>
          <w:b/>
          <w:bCs/>
          <w:color w:val="17365D"/>
          <w:sz w:val="16"/>
          <w:szCs w:val="16"/>
        </w:rPr>
        <w:t xml:space="preserve">Bottom line. </w:t>
      </w:r>
      <w:r>
        <w:rPr>
          <w:sz w:val="16"/>
          <w:szCs w:val="16"/>
        </w:rPr>
        <w:t xml:space="preserve">This establishes that laparoscopic radiofrequency ablation of neuroendocrine liver metastases is safe and durably palliative in experienced hands, with 5.6% morbidity, a 1.1-day stay, 97% at least partial symptom relief and 92% per-lesion local control in the largest series assembled. It establishes nothing about survival benefit: the 6-year median and 57% five-year figures come from a single arm selected for under 20% liver volume, at most 15 lesions and liver-dominant disease, timed from the ablation rather than from diagnosis, with octreotide, repeat ablation, chemotherapy and embolisation layered on afterwards. Because differentiation and Ki-67 were never examined, the cohort cannot be mapped onto the grade distinctions that now determine which of these patients should be ablated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concessions below are scattered through the introduction, discussion and the printed podium discussion.</w:t>
            </w:r>
          </w:p>
          <w:p>
            <w:pPr>
              <w:pStyle w:val="ListParagraph"/>
              <w:numPr>
                <w:ilvl w:val="0"/>
                <w:numId w:val="2"/>
              </w:numPr>
              <w:spacing w:after="45"/>
            </w:pPr>
            <w:r>
              <w:rPr>
                <w:sz w:val="15"/>
                <w:szCs w:val="15"/>
              </w:rPr>
              <w:t xml:space="preserve">Given the complex and select group of patients in this series, the authors state it is not possible to compare RFA directly with other treatment modalities.</w:t>
            </w:r>
          </w:p>
          <w:p>
            <w:pPr>
              <w:pStyle w:val="ListParagraph"/>
              <w:numPr>
                <w:ilvl w:val="0"/>
                <w:numId w:val="2"/>
              </w:numPr>
              <w:spacing w:after="45"/>
            </w:pPr>
            <w:r>
              <w:rPr>
                <w:sz w:val="15"/>
                <w:szCs w:val="15"/>
              </w:rPr>
              <w:t xml:space="preserve">Despite 92% local tumour control, new liver and extrahepatic recurrence occurred in about 60% of patients, which the authors read as showing that systemic control of the disease is necessary for overall prognosis.</w:t>
            </w:r>
          </w:p>
          <w:p>
            <w:pPr>
              <w:pStyle w:val="ListParagraph"/>
              <w:numPr>
                <w:ilvl w:val="0"/>
                <w:numId w:val="2"/>
              </w:numPr>
              <w:spacing w:after="45"/>
            </w:pPr>
            <w:r>
              <w:rPr>
                <w:sz w:val="15"/>
                <w:szCs w:val="15"/>
              </w:rPr>
              <w:t xml:space="preserve">Liver-directed surgery should be regarded as a debulking operation, as many of these patients have a high rate of recurrence.</w:t>
            </w:r>
          </w:p>
          <w:p>
            <w:pPr>
              <w:pStyle w:val="ListParagraph"/>
              <w:numPr>
                <w:ilvl w:val="0"/>
                <w:numId w:val="2"/>
              </w:numPr>
              <w:spacing w:after="45"/>
            </w:pPr>
            <w:r>
              <w:rPr>
                <w:sz w:val="15"/>
                <w:szCs w:val="15"/>
              </w:rPr>
              <w:t xml:space="preserve">The female survival advantage the same group had previously reported held on univariate analysis but disappeared on multivariate analysis.</w:t>
            </w:r>
          </w:p>
          <w:p>
            <w:pPr>
              <w:pStyle w:val="ListParagraph"/>
              <w:numPr>
                <w:ilvl w:val="0"/>
                <w:numId w:val="2"/>
              </w:numPr>
              <w:spacing w:after="45"/>
            </w:pPr>
            <w:r>
              <w:rPr>
                <w:sz w:val="15"/>
                <w:szCs w:val="15"/>
              </w:rPr>
              <w:t xml:space="preserve">Asked from the floor whether pathological differentiation, Ki-67 and mitotic rate had been examined, the senior author answered that this analysis was not done.</w:t>
            </w:r>
          </w:p>
          <w:p>
            <w:pPr>
              <w:pStyle w:val="ListParagraph"/>
              <w:numPr>
                <w:ilvl w:val="0"/>
                <w:numId w:val="2"/>
              </w:numPr>
              <w:spacing w:after="45"/>
            </w:pPr>
            <w:r>
              <w:rPr>
                <w:sz w:val="15"/>
                <w:szCs w:val="15"/>
              </w:rPr>
              <w:t xml:space="preserve">The authors concede that hepatectomy still has a role in patients with bulky resectable disease too large for ablation.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survival analysis loses ten patients without explanation. The results text reports 54 men and 35 women, but Table I's gender rows list 54 male and 25 female, which sums to 79 rather than 89; the other Table I strata (tumour type, number of metastases, liver tumour volume, extrahepatic disease) each sum to 89.</w:t>
            </w:r>
          </w:p>
          <w:p>
            <w:pPr>
              <w:pStyle w:val="ListParagraph"/>
              <w:numPr>
                <w:ilvl w:val="0"/>
                <w:numId w:val="2"/>
              </w:numPr>
              <w:spacing w:after="45"/>
            </w:pPr>
            <w:r>
              <w:rPr>
                <w:sz w:val="15"/>
                <w:szCs w:val="15"/>
              </w:rPr>
              <w:t xml:space="preserve">Table II gives hazard ratios with no confidence intervals at all, so the precision of the three independent predictors cannot be judged; liver tumour volume is entered as a single variable with one P value (.047 in the text, .04 in the table) covering two hazard ratios of 1.2 and 3.5.</w:t>
            </w:r>
          </w:p>
          <w:p>
            <w:pPr>
              <w:pStyle w:val="ListParagraph"/>
              <w:numPr>
                <w:ilvl w:val="0"/>
                <w:numId w:val="2"/>
              </w:numPr>
              <w:spacing w:after="45"/>
            </w:pPr>
            <w:r>
              <w:rPr>
                <w:sz w:val="15"/>
                <w:szCs w:val="15"/>
              </w:rPr>
              <w:t xml:space="preserve">The methods state that objective tumour response was assessed on triphasic CT one week before and one week after ablation, and no response rate of any kind appears in the results. The only efficacy numbers reported are survival, symptoms and recurrence.</w:t>
            </w:r>
          </w:p>
          <w:p>
            <w:pPr>
              <w:pStyle w:val="ListParagraph"/>
              <w:numPr>
                <w:ilvl w:val="0"/>
                <w:numId w:val="2"/>
              </w:numPr>
              <w:spacing w:after="45"/>
            </w:pPr>
            <w:r>
              <w:rPr>
                <w:sz w:val="15"/>
                <w:szCs w:val="15"/>
              </w:rPr>
              <w:t xml:space="preserve">Local control is quoted two ways and the conclusion uses the flattering one. Local recurrence was 22% per patient but 7.9% per lesion, and the discussion converts the per-lesion figure into '92% local tumor control' against a denominator of 547 lesions.</w:t>
            </w:r>
          </w:p>
          <w:p>
            <w:pPr>
              <w:pStyle w:val="ListParagraph"/>
              <w:numPr>
                <w:ilvl w:val="0"/>
                <w:numId w:val="2"/>
              </w:numPr>
              <w:spacing w:after="45"/>
            </w:pPr>
            <w:r>
              <w:rPr>
                <w:sz w:val="15"/>
                <w:szCs w:val="15"/>
              </w:rPr>
              <w:t xml:space="preserve">The 57% five-year survival is set beside historical figures of 61% after resection, 36% after transplantation and 42% after chemotherapy (references 21 to 23) and described as comparing favourably, when it is in fact lower than the resection figure and the series entered patients at a different point in their disease.</w:t>
            </w:r>
          </w:p>
          <w:p>
            <w:pPr>
              <w:pStyle w:val="ListParagraph"/>
              <w:numPr>
                <w:ilvl w:val="0"/>
                <w:numId w:val="2"/>
              </w:numPr>
              <w:spacing w:after="45"/>
            </w:pPr>
            <w:r>
              <w:rPr>
                <w:sz w:val="15"/>
                <w:szCs w:val="15"/>
              </w:rPr>
              <w:t xml:space="preserve">Median follow-up was 30 plus or minus 3 months against a median survival of 6 years, so the whole tail of the Kaplan-Meier curve rests on few patients; no figure in the paper reports numbers at risk.</w:t>
            </w:r>
          </w:p>
          <w:p>
            <w:pPr>
              <w:pStyle w:val="ListParagraph"/>
              <w:numPr>
                <w:ilvl w:val="0"/>
                <w:numId w:val="2"/>
              </w:numPr>
              <w:spacing w:after="45"/>
            </w:pPr>
            <w:r>
              <w:rPr>
                <w:sz w:val="15"/>
                <w:szCs w:val="15"/>
              </w:rPr>
              <w:t xml:space="preserve">The survival clock starts at the first ablation, and the median interval from diagnosis of liver metastases to RFA was 10 months (range 1 to 108). Patients had to survive to referral to enter the cohort, which inflates survival measured from that point.</w:t>
            </w:r>
          </w:p>
          <w:p>
            <w:pPr>
              <w:pStyle w:val="ListParagraph"/>
              <w:numPr>
                <w:ilvl w:val="0"/>
                <w:numId w:val="2"/>
              </w:numPr>
              <w:spacing w:after="45"/>
            </w:pPr>
            <w:r>
              <w:rPr>
                <w:sz w:val="15"/>
                <w:szCs w:val="15"/>
              </w:rPr>
              <w:t xml:space="preserve">Patients with synchronous metastases had a median survival of 133 months versus 33 months for metachronous (P=.08), the opposite of the expected direction. The paper reports the figure and offers no explanation, which is the signal one would expect if the metachronous group was referred later in its disease course.</w:t>
            </w:r>
          </w:p>
          <w:p>
            <w:pPr>
              <w:pStyle w:val="ListParagraph"/>
              <w:numPr>
                <w:ilvl w:val="0"/>
                <w:numId w:val="2"/>
              </w:numPr>
              <w:spacing w:after="45"/>
            </w:pPr>
            <w:r>
              <w:rPr>
                <w:sz w:val="15"/>
                <w:szCs w:val="15"/>
              </w:rPr>
              <w:t xml:space="preserve">Outcomes cannot be attributed to the index ablation. During follow-up octreotide was given in 30%, repeat RFA in 27%, chemotherapy in 18% and chemoembolisation in 10%, and patients with multifocal recurrence were deliberately moved to chemoembolisation.</w:t>
            </w:r>
          </w:p>
          <w:p>
            <w:pPr>
              <w:pStyle w:val="ListParagraph"/>
              <w:numPr>
                <w:ilvl w:val="0"/>
                <w:numId w:val="2"/>
              </w:numPr>
              <w:spacing w:after="45"/>
            </w:pPr>
            <w:r>
              <w:rPr>
                <w:sz w:val="15"/>
                <w:szCs w:val="15"/>
              </w:rPr>
              <w:t xml:space="preserve">The recommendation that patients 'might need to be referred earlier to improve their survival' rests only on liver tumour volume being prognostic in a cross-sectional cohort. No comparison of earlier versus later ablation was performed, so prognostic value is being read as benefit from earlier intervention.</w:t>
            </w:r>
          </w:p>
          <w:p>
            <w:pPr>
              <w:pStyle w:val="ListParagraph"/>
              <w:numPr>
                <w:ilvl w:val="0"/>
                <w:numId w:val="2"/>
              </w:numPr>
              <w:spacing w:after="45"/>
            </w:pPr>
            <w:r>
              <w:rPr>
                <w:sz w:val="15"/>
                <w:szCs w:val="15"/>
              </w:rPr>
              <w:t xml:space="preserve">The cohort is not the gastroenteropancreatic G1/G2 population of current pathways: 11 of 89 primaries were medullary thyroid cancer and 6 were bronchial carcinoid, and tumour type was declared non-significant (P=.2) on 11 medullary and 23 islet-cell patients with the medullary median not reached.</w:t>
            </w:r>
          </w:p>
          <w:p>
            <w:pPr>
              <w:pStyle w:val="ListParagraph"/>
              <w:numPr>
                <w:ilvl w:val="0"/>
                <w:numId w:val="2"/>
              </w:numPr>
              <w:spacing w:after="45"/>
            </w:pPr>
            <w:r>
              <w:rPr>
                <w:sz w:val="15"/>
                <w:szCs w:val="15"/>
              </w:rPr>
              <w:t xml:space="preserve">Chromogranin A was analysed in only 61 of 89 patients (41 at 39 to 150 U/L and 20 above 150 in Table I), so the marker with the clearest link to hormonal symptoms is missing for a third of the cohort.</w:t>
            </w:r>
          </w:p>
          <w:p>
            <w:pPr>
              <w:pStyle w:val="ListParagraph"/>
              <w:numPr>
                <w:ilvl w:val="0"/>
                <w:numId w:val="2"/>
              </w:numPr>
              <w:spacing w:after="45"/>
            </w:pPr>
            <w:r>
              <w:rPr>
                <w:sz w:val="15"/>
                <w:szCs w:val="15"/>
              </w:rPr>
              <w:t xml:space="preserve">Everything continuous is reported as mean plus or minus standard error of the mean rather than standard deviation, which makes the spread look far tighter than it is (tumour size 3.6 plus or minus 0.2 cm for a range of 1 to 10 cm), and the median symptom duration is given as 14 plus or minus 5 months, mixing a median with a standard error.</w:t>
            </w:r>
          </w:p>
          <w:p>
            <w:pPr>
              <w:pStyle w:val="ListParagraph"/>
              <w:numPr>
                <w:ilvl w:val="0"/>
                <w:numId w:val="2"/>
              </w:numPr>
              <w:spacing w:after="45"/>
            </w:pPr>
            <w:r>
              <w:rPr>
                <w:sz w:val="15"/>
                <w:szCs w:val="15"/>
              </w:rPr>
              <w:t xml:space="preserve">Internal figures disagree between the abstract and the results: morbidity 6% versus 5.6%, and median disease-free survival 1.3 years versus 15 months.</w:t>
            </w:r>
          </w:p>
          <w:p>
            <w:pPr>
              <w:pStyle w:val="ListParagraph"/>
              <w:numPr>
                <w:ilvl w:val="0"/>
                <w:numId w:val="2"/>
              </w:numPr>
              <w:spacing w:after="45"/>
            </w:pPr>
            <w:r>
              <w:rPr>
                <w:sz w:val="15"/>
                <w:szCs w:val="15"/>
              </w:rPr>
              <w:t xml:space="preserve">A named radiofrequency catheter and generator setting are discussed in detail at the podium, and the paper contains no funding statement and no conflict-of-interest declaration of any kind.</w:t>
            </w:r>
          </w:p>
          <w:p>
            <w:pPr>
              <w:pStyle w:val="ListParagraph"/>
              <w:numPr>
                <w:ilvl w:val="0"/>
                <w:numId w:val="2"/>
              </w:numPr>
              <w:spacing w:after="45"/>
            </w:pPr>
            <w:r>
              <w:rPr>
                <w:sz w:val="15"/>
                <w:szCs w:val="15"/>
              </w:rPr>
              <w:t xml:space="preserve">A search of PubMed found no linked editorial or comment for this paper; the only external commentary available is the discussion printed with the article itself.</w:t>
            </w:r>
          </w:p>
        </w:tc>
      </w:tr>
    </w:tbl>
    <w:p>
      <w:pPr>
        <w:keepNext/>
        <w:spacing w:after="50" w:before="260"/>
      </w:pPr>
      <w:r>
        <w:rPr>
          <w:rFonts w:ascii="Cambria" w:cs="Cambria" w:eastAsia="Cambria" w:hAnsi="Cambria"/>
          <w:b/>
          <w:bCs/>
          <w:color w:val="17365D"/>
          <w:sz w:val="20"/>
          <w:szCs w:val="20"/>
        </w:rPr>
        <w:t xml:space="preserve">ASCO 2023 systemic</w:t>
      </w:r>
      <w:r>
        <w:rPr>
          <w:b/>
          <w:bCs/>
          <w:color w:val="176A87"/>
          <w:sz w:val="15"/>
          <w:szCs w:val="15"/>
        </w:rPr>
        <w:t xml:space="preserve">   Guideline</w:t>
      </w:r>
      <w:r>
        <w:rPr>
          <w:color w:val="5A6069"/>
          <w:sz w:val="15"/>
          <w:szCs w:val="15"/>
        </w:rPr>
        <w:t xml:space="preserve">   PMID 37774329</w:t>
      </w:r>
    </w:p>
    <w:p>
      <w:pPr>
        <w:spacing w:after="50" w:line="276"/>
      </w:pPr>
      <w:r>
        <w:rPr>
          <w:color w:val="5A6069"/>
          <w:sz w:val="17"/>
          <w:szCs w:val="17"/>
        </w:rPr>
        <w:t xml:space="preserve">Systemic Therapy for Tumor Control in Metastatic Well-Differentiated Gastroenteropancreatic Neuroendocrine Tumors: ASCO Guideline</w:t>
      </w:r>
    </w:p>
    <w:p>
      <w:pPr>
        <w:spacing w:after="50"/>
      </w:pPr>
      <w:r>
        <w:rPr>
          <w:b/>
          <w:bCs/>
          <w:color w:val="176A87"/>
          <w:sz w:val="16"/>
          <w:szCs w:val="16"/>
        </w:rPr>
        <w:t xml:space="preserve">Population. </w:t>
      </w:r>
      <w:r>
        <w:rPr>
          <w:sz w:val="16"/>
          <w:szCs w:val="16"/>
        </w:rPr>
        <w:t xml:space="preserve">No patient cohort. An ASCO Expert Panel including patient representatives worked from a PubMed search covering January 2005 to November 2022 and restricted to phase III randomised trials (phase II permitted for chemotherapy); 2,272 records were reduced to 11 publications from seven phase III and one phase II trial.</w:t>
      </w:r>
    </w:p>
    <w:p>
      <w:pPr>
        <w:spacing w:after="70"/>
      </w:pPr>
      <w:r>
        <w:rPr>
          <w:b/>
          <w:bCs/>
          <w:color w:val="17365D"/>
          <w:sz w:val="16"/>
          <w:szCs w:val="16"/>
        </w:rPr>
        <w:t xml:space="preserve">Bottom line. </w:t>
      </w:r>
      <w:r>
        <w:rPr>
          <w:sz w:val="16"/>
          <w:szCs w:val="16"/>
        </w:rPr>
        <w:t xml:space="preserve">This is the systemic-therapy backbone for metastatic well-differentiated gastroenteropancreatic NET: somatostatin analogue first, PRRT after progression in receptor-positive gastrointestinal primaries, and an unordered menu of PRRT, capecitabine-temozolomide, everolimus and sunitinib for pancreatic primaries, with capecitabine-temozolomide favoured when the burden is high. It cannot answer the question it exists for, because the panel states plainly that no sequence can be recommended after progression and that overall survival certainty is very low for every agent except PRRT, where it is low, chiefly because of crossover. Almost every recommendation is graded weak, the grade 3 advice is informal consensus on very low quality evidence, and the 70% to 90% cytoreduction threshold a surgeon would take from it sits outside the systematic review altogether and should not be cited as this guideline's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Almost every treatment recommendation is graded weak, which the panel defines as meaning that most informed people would choose the recommended course but a substantial number would not, and that appreciable uncertainty remains.</w:t>
            </w:r>
          </w:p>
          <w:p>
            <w:pPr>
              <w:pStyle w:val="ListParagraph"/>
              <w:numPr>
                <w:ilvl w:val="0"/>
                <w:numId w:val="2"/>
              </w:numPr>
              <w:spacing w:after="45"/>
            </w:pPr>
            <w:r>
              <w:rPr>
                <w:sz w:val="15"/>
                <w:szCs w:val="15"/>
              </w:rPr>
              <w:t xml:space="preserve">The panel states explicitly that there is insufficient evidence to recommend any particular sequence of therapies after progression, because the underlying trials used placebo controls with almost no head-to-head comparison.</w:t>
            </w:r>
          </w:p>
          <w:p>
            <w:pPr>
              <w:pStyle w:val="ListParagraph"/>
              <w:numPr>
                <w:ilvl w:val="0"/>
                <w:numId w:val="2"/>
              </w:numPr>
              <w:spacing w:after="45"/>
            </w:pPr>
            <w:r>
              <w:rPr>
                <w:sz w:val="15"/>
                <w:szCs w:val="15"/>
              </w:rPr>
              <w:t xml:space="preserve">Overall survival certainty was rated very low for CLARINET, RADIANT-3, RADIANT-4 and the sunitinib trial and low for NETTER-1, chiefly because of high crossover (85% in RADIANT-3, 69% in the sunitinib trial), so none of these agents has a demonstrated survival benefit.</w:t>
            </w:r>
          </w:p>
          <w:p>
            <w:pPr>
              <w:pStyle w:val="ListParagraph"/>
              <w:numPr>
                <w:ilvl w:val="0"/>
                <w:numId w:val="2"/>
              </w:numPr>
              <w:spacing w:after="45"/>
            </w:pPr>
            <w:r>
              <w:rPr>
                <w:sz w:val="15"/>
                <w:szCs w:val="15"/>
              </w:rPr>
              <w:t xml:space="preserve">The grade 3 recommendations rest on informal consensus and indirect evidence from grade 1 to 2 trials, rated very low quality, with five randomised trials (COMPETE, OCLURANDOM, NETTER-2, A022001 and COMPOSE) still pending at the time of writing.</w:t>
            </w:r>
          </w:p>
          <w:p>
            <w:pPr>
              <w:pStyle w:val="ListParagraph"/>
              <w:numPr>
                <w:ilvl w:val="0"/>
                <w:numId w:val="2"/>
              </w:numPr>
              <w:spacing w:after="45"/>
            </w:pPr>
            <w:r>
              <w:rPr>
                <w:sz w:val="15"/>
                <w:szCs w:val="15"/>
              </w:rPr>
              <w:t xml:space="preserve">No Ki-67 cut-off is supported within well-differentiated grade 3 disease.</w:t>
            </w:r>
          </w:p>
          <w:p>
            <w:pPr>
              <w:pStyle w:val="ListParagraph"/>
              <w:numPr>
                <w:ilvl w:val="0"/>
                <w:numId w:val="2"/>
              </w:numPr>
              <w:spacing w:after="45"/>
            </w:pPr>
            <w:r>
              <w:rPr>
                <w:sz w:val="15"/>
                <w:szCs w:val="15"/>
              </w:rPr>
              <w:t xml:space="preserve">There are no validated biomarkers; MGMT deficiency predicted response in E2211 but the panel judged it not ready for routine use.</w:t>
            </w:r>
          </w:p>
          <w:p>
            <w:pPr>
              <w:pStyle w:val="ListParagraph"/>
              <w:numPr>
                <w:ilvl w:val="0"/>
                <w:numId w:val="2"/>
              </w:numPr>
              <w:spacing w:after="45"/>
            </w:pPr>
            <w:r>
              <w:rPr>
                <w:sz w:val="15"/>
                <w:szCs w:val="15"/>
              </w:rPr>
              <w:t xml:space="preserve">Evidence supporting somatostatin analogues for tumour control is strongest at Ki-67 under 10%.</w:t>
            </w:r>
          </w:p>
          <w:p>
            <w:pPr>
              <w:pStyle w:val="ListParagraph"/>
              <w:numPr>
                <w:ilvl w:val="0"/>
                <w:numId w:val="2"/>
              </w:numPr>
              <w:spacing w:after="45"/>
            </w:pPr>
            <w:r>
              <w:rPr>
                <w:sz w:val="15"/>
                <w:szCs w:val="15"/>
              </w:rPr>
              <w:t xml:space="preserve">Surgery, liver-directed therapy and the control of hormonal syndromes were all placed outside the guideline's scope.</w:t>
            </w:r>
          </w:p>
          <w:p>
            <w:pPr>
              <w:pStyle w:val="ListParagraph"/>
              <w:numPr>
                <w:ilvl w:val="0"/>
                <w:numId w:val="2"/>
              </w:numPr>
              <w:spacing w:after="45"/>
            </w:pPr>
            <w:r>
              <w:rPr>
                <w:sz w:val="15"/>
                <w:szCs w:val="15"/>
              </w:rPr>
              <w:t xml:space="preserve">The systematic review excluded meeting abstracts not subsequently published, editorials, commentaries, letters, case reports, narrative reviews and all non-English publications.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review was restricted to phase III randomised trials, with phase II admitted only for chemotherapy, so 2,272 records collapsed to 11 publications from eight trials. Any question those eight trials did not address can only be answered by informal consensus, and the two recommendations a clinician meets first, multidisciplinary sequencing and baseline SSTR-PET in every patient, are informal consensus on low-quality evidence yet carry the guideline's strong recommendation grade.</w:t>
            </w:r>
          </w:p>
          <w:p>
            <w:pPr>
              <w:pStyle w:val="ListParagraph"/>
              <w:numPr>
                <w:ilvl w:val="0"/>
                <w:numId w:val="2"/>
              </w:numPr>
              <w:spacing w:after="45"/>
            </w:pPr>
            <w:r>
              <w:rPr>
                <w:sz w:val="15"/>
                <w:szCs w:val="15"/>
              </w:rPr>
              <w:t xml:space="preserve">The 70% to 90% cytoreduction threshold, the one number a liver surgeon would take away from an ASCO guideline, lies outside the guideline's own evidence process. Surgery and liver-directed therapy were excluded from the systematic review, so that figure and the mention of embolisation appear as ungraded narrative rather than as reviewed recommendations.</w:t>
            </w:r>
          </w:p>
          <w:p>
            <w:pPr>
              <w:pStyle w:val="ListParagraph"/>
              <w:numPr>
                <w:ilvl w:val="0"/>
                <w:numId w:val="2"/>
              </w:numPr>
              <w:spacing w:after="45"/>
            </w:pPr>
            <w:r>
              <w:rPr>
                <w:sz w:val="15"/>
                <w:szCs w:val="15"/>
              </w:rPr>
              <w:t xml:space="preserve">Recommending SSTR-PET with Ga-68-DOTA-peptides or Cu-64-DOTATATE in all patients has substantial cost and access consequences in exactly the community setting the guideline targets, and no resource or capacity consideration accompanies it. The advice against indium-111 pentetreotide comes from imaging commentary adapted from a staging manual rather than from the systematic review.</w:t>
            </w:r>
          </w:p>
          <w:p>
            <w:pPr>
              <w:pStyle w:val="ListParagraph"/>
              <w:numPr>
                <w:ilvl w:val="0"/>
                <w:numId w:val="2"/>
              </w:numPr>
              <w:spacing w:after="45"/>
            </w:pPr>
            <w:r>
              <w:rPr>
                <w:sz w:val="15"/>
                <w:szCs w:val="15"/>
              </w:rPr>
              <w:t xml:space="preserve">The evidence base is placebo-controlled throughout, which makes the question clinicians actually ask structurally unanswerable, and the guideline nonetheless prints a sequencing algorithm whose footnotes qualify nearly every arrow with 'uncertain', 'less common circumstance' or 'rare circumstance'.</w:t>
            </w:r>
          </w:p>
          <w:p>
            <w:pPr>
              <w:pStyle w:val="ListParagraph"/>
              <w:numPr>
                <w:ilvl w:val="0"/>
                <w:numId w:val="2"/>
              </w:numPr>
              <w:spacing w:after="45"/>
            </w:pPr>
            <w:r>
              <w:rPr>
                <w:sz w:val="15"/>
                <w:szCs w:val="15"/>
              </w:rPr>
              <w:t xml:space="preserve">Observation with imaging every 3 to 6 months is offered as an option in low-volume asymptomatic disease, which amounts to adopting CLARINET's placebo arm as a strategy. The guideline's own evidence tables print placebo time to progression as 6 months in PROMID and 18 months in CLARINET, a threefold discrepancy that is never reconciled even though it determines how safe watching actually is.</w:t>
            </w:r>
          </w:p>
          <w:p>
            <w:pPr>
              <w:pStyle w:val="ListParagraph"/>
              <w:numPr>
                <w:ilvl w:val="0"/>
                <w:numId w:val="2"/>
              </w:numPr>
              <w:spacing w:after="45"/>
            </w:pPr>
            <w:r>
              <w:rPr>
                <w:sz w:val="15"/>
                <w:szCs w:val="15"/>
              </w:rPr>
              <w:t xml:space="preserve">Harm is tabulated and then dropped. The evidence tables carry a relative risk of 9.91 for serious treatment-related adverse events in NETTER-1 and treatment-related myeloid neoplasia after PRRT of about 2.6%, and the PRRT recommendation itself contains no numerical statement of harm for a patient to weigh.</w:t>
            </w:r>
          </w:p>
          <w:p>
            <w:pPr>
              <w:pStyle w:val="ListParagraph"/>
              <w:numPr>
                <w:ilvl w:val="0"/>
                <w:numId w:val="2"/>
              </w:numPr>
              <w:spacing w:after="45"/>
            </w:pPr>
            <w:r>
              <w:rPr>
                <w:sz w:val="15"/>
                <w:szCs w:val="15"/>
              </w:rPr>
              <w:t xml:space="preserve">The quality and strength labels do not survive transmission. PRRT after somatostatin analogue failure is moderate quality with a weak recommendation, the whole grade 3 menu is very low quality with a weak recommendation, and both read in practice as endorsements of the listed drugs.</w:t>
            </w:r>
          </w:p>
          <w:p>
            <w:pPr>
              <w:pStyle w:val="ListParagraph"/>
              <w:numPr>
                <w:ilvl w:val="0"/>
                <w:numId w:val="2"/>
              </w:numPr>
              <w:spacing w:after="45"/>
            </w:pPr>
            <w:r>
              <w:rPr>
                <w:sz w:val="15"/>
                <w:szCs w:val="15"/>
              </w:rPr>
              <w:t xml:space="preserve">The conflict-of-interest paragraph states only that the majority of panel members disclosed no relationship constituting a conflict under ASCO policy, which concedes that a minority did. Individual disclosures are not printed in the article text, and no funding statement appears at all.</w:t>
            </w:r>
          </w:p>
          <w:p>
            <w:pPr>
              <w:pStyle w:val="ListParagraph"/>
              <w:numPr>
                <w:ilvl w:val="0"/>
                <w:numId w:val="2"/>
              </w:numPr>
              <w:spacing w:after="45"/>
            </w:pPr>
            <w:r>
              <w:rPr>
                <w:sz w:val="15"/>
                <w:szCs w:val="15"/>
              </w:rPr>
              <w:t xml:space="preserve">Excluding non-English publications and unpublished abstracts means trials reported only in abstract when the search closed, including NETTER-2 and OCLURANDOM, are absent from a guideline whose own limitations section identifies them as the trials that will change its conclusions.</w:t>
            </w:r>
          </w:p>
          <w:p>
            <w:pPr>
              <w:pStyle w:val="ListParagraph"/>
              <w:numPr>
                <w:ilvl w:val="0"/>
                <w:numId w:val="2"/>
              </w:numPr>
              <w:spacing w:after="45"/>
            </w:pPr>
            <w:r>
              <w:rPr>
                <w:sz w:val="15"/>
                <w:szCs w:val="15"/>
              </w:rPr>
              <w:t xml:space="preserve">A PubMed search found no linked editorial or comment, so a guideline aimed explicitly at community oncologists entered the literature without published external appraisal.</w:t>
            </w:r>
          </w:p>
        </w:tc>
      </w:tr>
    </w:tbl>
    <w:p>
      <w:pPr>
        <w:spacing w:after="0" w:line="276"/>
      </w:pPr>
      <w:r>
        <w:rPr>
          <w:color w:val="5A6069"/>
          <w:sz w:val="14"/>
          <w:szCs w:val="14"/>
        </w:rPr>
        <w:t xml:space="preserve">Funding: No funding statement appears in the article text. The Expert Panel was assembled under ASCO's Conflict of Interest Policy and all members completed ASCO's disclosure form; the paper states that, in accordance with that policy, the majority of panel members did not disclose any relationship constituting a conflict, with individual disclosures filed separately rather than printed.</w:t>
      </w:r>
    </w:p>
    <w:p>
      <w:pPr>
        <w:keepNext/>
        <w:spacing w:after="50" w:before="260"/>
      </w:pPr>
      <w:r>
        <w:rPr>
          <w:rFonts w:ascii="Cambria" w:cs="Cambria" w:eastAsia="Cambria" w:hAnsi="Cambria"/>
          <w:b/>
          <w:bCs/>
          <w:color w:val="17365D"/>
          <w:sz w:val="20"/>
          <w:szCs w:val="20"/>
        </w:rPr>
        <w:t xml:space="preserve">CABINET</w:t>
      </w:r>
      <w:r>
        <w:rPr>
          <w:b/>
          <w:bCs/>
          <w:color w:val="176A87"/>
          <w:sz w:val="15"/>
          <w:szCs w:val="15"/>
        </w:rPr>
        <w:t xml:space="preserve">   Randomised trial</w:t>
      </w:r>
      <w:r>
        <w:rPr>
          <w:color w:val="5A6069"/>
          <w:sz w:val="15"/>
          <w:szCs w:val="15"/>
        </w:rPr>
        <w:t xml:space="preserve">   PMID 39282913</w:t>
      </w:r>
    </w:p>
    <w:p>
      <w:pPr>
        <w:spacing w:after="50" w:line="276"/>
      </w:pPr>
      <w:r>
        <w:rPr>
          <w:color w:val="5A6069"/>
          <w:sz w:val="17"/>
          <w:szCs w:val="17"/>
        </w:rPr>
        <w:t xml:space="preserve">Phase 3 Trial of Cabozantinib to Treat Advanced Neuroendocrine Tumors</w:t>
      </w:r>
    </w:p>
    <w:p>
      <w:pPr>
        <w:spacing w:after="50"/>
      </w:pPr>
      <w:r>
        <w:rPr>
          <w:b/>
          <w:bCs/>
          <w:color w:val="176A87"/>
          <w:sz w:val="16"/>
          <w:szCs w:val="16"/>
        </w:rPr>
        <w:t xml:space="preserve">Population. </w:t>
      </w:r>
      <w:r>
        <w:rPr>
          <w:sz w:val="16"/>
          <w:szCs w:val="16"/>
        </w:rPr>
        <w:t xml:space="preserve">298 patients in two independent cohorts at 62 US sites, enrolled October 2018 to August 2023: 203 with extrapancreatic and 95 with pancreatic well or moderately differentiated neuroendocrine tumours, randomised 2:1 to cabozantinib or placebo within each cohort, all with progression in the previous 12 months after at least one approved line; 59% had already had Lu-177 dotatate.</w:t>
      </w:r>
    </w:p>
    <w:p>
      <w:pPr>
        <w:spacing w:after="70"/>
      </w:pPr>
      <w:r>
        <w:rPr>
          <w:b/>
          <w:bCs/>
          <w:color w:val="17365D"/>
          <w:sz w:val="16"/>
          <w:szCs w:val="16"/>
        </w:rPr>
        <w:t xml:space="preserve">Bottom line. </w:t>
      </w:r>
      <w:r>
        <w:rPr>
          <w:sz w:val="16"/>
          <w:szCs w:val="16"/>
        </w:rPr>
        <w:t xml:space="preserve">CABINET establishes that cabozantinib has real activity after Lu-177 dotatate and targeted therapy, where nothing was previously established, more than doubling progression-free survival in both cohorts (8.4 against 3.9 months extrapancreatic, 13.8 against 4.4 months pancreatic) by blinded central review. It establishes nothing about survival, with hazard ratios of 0.86 and 0.95 and crossover in a third to a half of the placebo arms, and nothing about how patients feel, since quality of life was unchanged while two thirds needed dose reduction to a median of about 38 mg and a third of the extrapancreatic arm stopped for toxicity. The trial was also stopped early on local rather than central assessments, so the decision to terminate was taken on a different endpoint from the one reported, and the comparator was placebo, leaving cabozantinib untested against chemotherapy or any other tyrosine kinase inhibitor.</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trial was terminated early on the basis of interim analysis results, which the authors acknowledge could lead to overestimation of the treatment effect; they argue the progression-free survival analyses are relatively mature, with 111 of the planned 164 events in the extrapancreatic cohort and progression events in 57 of 95 pancreatic patients.</w:t>
            </w:r>
          </w:p>
          <w:p>
            <w:pPr>
              <w:pStyle w:val="ListParagraph"/>
              <w:numPr>
                <w:ilvl w:val="0"/>
                <w:numId w:val="2"/>
              </w:numPr>
              <w:spacing w:after="45"/>
            </w:pPr>
            <w:r>
              <w:rPr>
                <w:sz w:val="15"/>
                <w:szCs w:val="15"/>
              </w:rPr>
              <w:t xml:space="preserve">Placebo rather than an active comparator was used, which the authors justify on the grounds that no therapy has established efficacy after Lu-177 dotatate or targeted agents and that patients could have exhausted all available options before enrolment.</w:t>
            </w:r>
          </w:p>
          <w:p>
            <w:pPr>
              <w:pStyle w:val="ListParagraph"/>
              <w:numPr>
                <w:ilvl w:val="0"/>
                <w:numId w:val="2"/>
              </w:numPr>
              <w:spacing w:after="45"/>
            </w:pPr>
            <w:r>
              <w:rPr>
                <w:sz w:val="15"/>
                <w:szCs w:val="15"/>
              </w:rPr>
              <w:t xml:space="preserve">No overall survival difference has been observed, and the authors state the survival data were not mature and may have been affected by crossover and by the high rate of subsequent anticancer therapy.</w:t>
            </w:r>
          </w:p>
          <w:p>
            <w:pPr>
              <w:pStyle w:val="ListParagraph"/>
              <w:numPr>
                <w:ilvl w:val="0"/>
                <w:numId w:val="2"/>
              </w:numPr>
              <w:spacing w:after="45"/>
            </w:pPr>
            <w:r>
              <w:rPr>
                <w:sz w:val="15"/>
                <w:szCs w:val="15"/>
              </w:rPr>
              <w:t xml:space="preserve">A majority of patients treated with cabozantinib required dose modification or reduction to manage adverse events.</w:t>
            </w:r>
          </w:p>
          <w:p>
            <w:pPr>
              <w:pStyle w:val="ListParagraph"/>
              <w:numPr>
                <w:ilvl w:val="0"/>
                <w:numId w:val="2"/>
              </w:numPr>
              <w:spacing w:after="45"/>
            </w:pPr>
            <w:r>
              <w:rPr>
                <w:sz w:val="15"/>
                <w:szCs w:val="15"/>
              </w:rPr>
              <w:t xml:space="preserve">The authors state that the choice of therapy should be individualised and that future trials on the appropriate sequencing of therapy are needed.</w:t>
            </w:r>
          </w:p>
          <w:p>
            <w:pPr>
              <w:pStyle w:val="ListParagraph"/>
              <w:numPr>
                <w:ilvl w:val="0"/>
                <w:numId w:val="2"/>
              </w:numPr>
              <w:spacing w:after="45"/>
            </w:pPr>
            <w:r>
              <w:rPr>
                <w:sz w:val="15"/>
                <w:szCs w:val="15"/>
              </w:rPr>
              <w:t xml:space="preserve">They note that the phase 3 trials supporting everolimus, sunitinib and Lu-177 dotatate largely enrolled patients who had not yet received targeted therapy or radionuclide therapy, so those agents' results do not transfer to this later-line setting.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stopped on a different endpoint from the one it reports. In May 2023 the data and safety monitoring board recommended that the protocol-specified interim progression-free survival analyses be performed on local assessments because the batched blinded central reads had fallen behind, and the recommendation to terminate followed from those local analyses. The primary endpoint presented is central review.</w:t>
            </w:r>
          </w:p>
          <w:p>
            <w:pPr>
              <w:pStyle w:val="ListParagraph"/>
              <w:numPr>
                <w:ilvl w:val="0"/>
                <w:numId w:val="2"/>
              </w:numPr>
              <w:spacing w:after="45"/>
            </w:pPr>
            <w:r>
              <w:rPr>
                <w:sz w:val="15"/>
                <w:szCs w:val="15"/>
              </w:rPr>
              <w:t xml:space="preserve">The alpha spent for efficacy at each interim was 0.001 one-sided, and the published analysis is the post-termination dataset with a data cutoff set to the date of unblinding and crossover. The reported hazard ratios are therefore the effect estimated at the moment the trial was judged positive, with 111 of 164 planned events in the larger cohort.</w:t>
            </w:r>
          </w:p>
          <w:p>
            <w:pPr>
              <w:pStyle w:val="ListParagraph"/>
              <w:numPr>
                <w:ilvl w:val="0"/>
                <w:numId w:val="2"/>
              </w:numPr>
              <w:spacing w:after="45"/>
            </w:pPr>
            <w:r>
              <w:rPr>
                <w:sz w:val="15"/>
                <w:szCs w:val="15"/>
              </w:rPr>
              <w:t xml:space="preserve">Follow-up is short relative to what is claimed. Median follow-up was 10.2 months in the extrapancreatic cohort against a cabozantinib median progression-free survival of 8.4 months, and 13.8 months in the pancreatic cohort against a median of 13.8 months. Both primary estimates sit at the edge of the observation window.</w:t>
            </w:r>
          </w:p>
          <w:p>
            <w:pPr>
              <w:pStyle w:val="ListParagraph"/>
              <w:numPr>
                <w:ilvl w:val="0"/>
                <w:numId w:val="2"/>
              </w:numPr>
              <w:spacing w:after="45"/>
            </w:pPr>
            <w:r>
              <w:rPr>
                <w:sz w:val="15"/>
                <w:szCs w:val="15"/>
              </w:rPr>
              <w:t xml:space="preserve">The comparator is placebo in a population with a median of two to three prior lines, so the trial establishes activity rather than comparative value. Cabozantinib has never been compared with capecitabine-temozolomide, with another VEGF-receptor tyrosine kinase inhibitor, or with PRRT rechallenge, and the paper lists sequencing as an open question while presenting the drug as a new option.</w:t>
            </w:r>
          </w:p>
          <w:p>
            <w:pPr>
              <w:pStyle w:val="ListParagraph"/>
              <w:numPr>
                <w:ilvl w:val="0"/>
                <w:numId w:val="2"/>
              </w:numPr>
              <w:spacing w:after="45"/>
            </w:pPr>
            <w:r>
              <w:rPr>
                <w:sz w:val="15"/>
                <w:szCs w:val="15"/>
              </w:rPr>
              <w:t xml:space="preserve">In the extrapancreatic cohort the benefit is almost entirely the absence of progression rather than tumour shrinkage: a 5% confirmed response rate, all partial, against a placebo median progression-free survival of 3.9 months. What the trial mainly shows there is how fast untreated late-line extrapancreatic disease progresses.</w:t>
            </w:r>
          </w:p>
          <w:p>
            <w:pPr>
              <w:pStyle w:val="ListParagraph"/>
              <w:numPr>
                <w:ilvl w:val="0"/>
                <w:numId w:val="2"/>
              </w:numPr>
              <w:spacing w:after="45"/>
            </w:pPr>
            <w:r>
              <w:rPr>
                <w:sz w:val="15"/>
                <w:szCs w:val="15"/>
              </w:rPr>
              <w:t xml:space="preserve">Overall survival shows nothing in either cohort (hazard ratios 0.86 and 0.95), and the explanation offered, crossover in 33% and 41% plus subsequent therapy in 45% to 67%, is itself the reason no survival analysis of this trial will ever be interpretable.</w:t>
            </w:r>
          </w:p>
          <w:p>
            <w:pPr>
              <w:pStyle w:val="ListParagraph"/>
              <w:numPr>
                <w:ilvl w:val="0"/>
                <w:numId w:val="2"/>
              </w:numPr>
              <w:spacing w:after="45"/>
            </w:pPr>
            <w:r>
              <w:rPr>
                <w:sz w:val="15"/>
                <w:szCs w:val="15"/>
              </w:rPr>
              <w:t xml:space="preserve">Two thirds of patients could not take the assigned dose. Dose reduction was needed in 66% and 68%, bringing the median average daily dose to about 38 mg against the assigned 60 mg, so the regimen that produced these results is not the regimen that was randomised, and no dose-response or dose-intensity analysis is presented.</w:t>
            </w:r>
          </w:p>
          <w:p>
            <w:pPr>
              <w:pStyle w:val="ListParagraph"/>
              <w:numPr>
                <w:ilvl w:val="0"/>
                <w:numId w:val="2"/>
              </w:numPr>
              <w:spacing w:after="45"/>
            </w:pPr>
            <w:r>
              <w:rPr>
                <w:sz w:val="15"/>
                <w:szCs w:val="15"/>
              </w:rPr>
              <w:t xml:space="preserve">Discontinuation for adverse events reached 31% against 15% in the extrapancreatic cohort, and four patients in that arm had a grade 5 event judged at least possibly treatment-related, including two deaths of unspecified cause. For a drug whose benefit is measured in months of radiographic stability, those are the numbers that decide whether it is worth giving.</w:t>
            </w:r>
          </w:p>
          <w:p>
            <w:pPr>
              <w:pStyle w:val="ListParagraph"/>
              <w:numPr>
                <w:ilvl w:val="0"/>
                <w:numId w:val="2"/>
              </w:numPr>
              <w:spacing w:after="45"/>
            </w:pPr>
            <w:r>
              <w:rPr>
                <w:sz w:val="15"/>
                <w:szCs w:val="15"/>
              </w:rPr>
              <w:t xml:space="preserve">Quality of life stayed stable and similar between the groups, so a treatment that more than doubles progression-free survival produced no detectable difference in how patients felt, in a trial where two thirds needed dose reduction for toxicity.</w:t>
            </w:r>
          </w:p>
          <w:p>
            <w:pPr>
              <w:pStyle w:val="ListParagraph"/>
              <w:numPr>
                <w:ilvl w:val="0"/>
                <w:numId w:val="2"/>
              </w:numPr>
              <w:spacing w:after="45"/>
            </w:pPr>
            <w:r>
              <w:rPr>
                <w:sz w:val="15"/>
                <w:szCs w:val="15"/>
              </w:rPr>
              <w:t xml:space="preserve">Cohort allocation was imperfect in a trial whose two cohorts are analysed independently: 7 pancreatic patients were registered into the extrapancreatic cohort and 3 extrapancreatic patients into the pancreatic cohort, and the extrapancreatic cabozantinib arm had more unknown-primary tumours than placebo.</w:t>
            </w:r>
          </w:p>
          <w:p>
            <w:pPr>
              <w:pStyle w:val="ListParagraph"/>
              <w:numPr>
                <w:ilvl w:val="0"/>
                <w:numId w:val="2"/>
              </w:numPr>
              <w:spacing w:after="45"/>
            </w:pPr>
            <w:r>
              <w:rPr>
                <w:sz w:val="15"/>
                <w:szCs w:val="15"/>
              </w:rPr>
              <w:t xml:space="preserve">Grade 3 tumours were eligible and no result is broken down by grade, while poorly differentiated carcinoma was excluded, so the span from grade 1 to well-differentiated grade 3 is treated as one population in cohorts of 95 and 203.</w:t>
            </w:r>
          </w:p>
          <w:p>
            <w:pPr>
              <w:pStyle w:val="ListParagraph"/>
              <w:numPr>
                <w:ilvl w:val="0"/>
                <w:numId w:val="2"/>
              </w:numPr>
              <w:spacing w:after="45"/>
            </w:pPr>
            <w:r>
              <w:rPr>
                <w:sz w:val="15"/>
                <w:szCs w:val="15"/>
              </w:rPr>
              <w:t xml:space="preserve">The paper reports no hepatic tumour burden, no site-of-progression data and no liver-specific endpoint, so a trial in a population that is overwhelmingly liver-metastatic gives no information about how cabozantinib sits beside a liver-directed option.</w:t>
            </w:r>
          </w:p>
          <w:p>
            <w:pPr>
              <w:pStyle w:val="ListParagraph"/>
              <w:numPr>
                <w:ilvl w:val="0"/>
                <w:numId w:val="2"/>
              </w:numPr>
              <w:spacing w:after="45"/>
            </w:pPr>
            <w:r>
              <w:rPr>
                <w:sz w:val="15"/>
                <w:szCs w:val="15"/>
              </w:rPr>
              <w:t xml:space="preserve">Support came from the National Cancer Institute through Alliance and cooperative group awards and from Exelixis, which manufactures cabozantinib; individual disclosure forms were filed separately rather than printed.</w:t>
            </w:r>
          </w:p>
          <w:p>
            <w:pPr>
              <w:pStyle w:val="ListParagraph"/>
              <w:numPr>
                <w:ilvl w:val="0"/>
                <w:numId w:val="2"/>
              </w:numPr>
              <w:spacing w:after="45"/>
            </w:pPr>
            <w:r>
              <w:rPr>
                <w:sz w:val="15"/>
                <w:szCs w:val="15"/>
              </w:rPr>
              <w:t xml:space="preserve">An accompanying editorial was published with the paper (Rubin, Yeku and Morrissey, N Engl J Med 2024, PMID 39282952). Its text was not obtained, so no point above draws on it.</w:t>
            </w:r>
          </w:p>
        </w:tc>
      </w:tr>
    </w:tbl>
    <w:p>
      <w:pPr>
        <w:spacing w:after="0" w:line="276"/>
      </w:pPr>
      <w:r>
        <w:rPr>
          <w:color w:val="5A6069"/>
          <w:sz w:val="14"/>
          <w:szCs w:val="14"/>
        </w:rPr>
        <w:t xml:space="preserve">Funding: Supported by grants from the National Cancer Institute of the National Institutes of Health (U10CA180821 and U10CA180882 to the Alliance for Clinical Trials in Oncology, U10CA180820 to ECOG-ACRIN, U10CA180868 to NRG Oncology, U10CA180888 to SWOG, and UG1CA189856, UG1CA232760, UG1CA233180, UG1CA233290, UG1CA233329 and UG1CA233331) and by Exelixis, the manufacturer of cabozantinib. Individual disclosure forms were filed with the journal rather than printed in the article.</w:t>
      </w:r>
    </w:p>
    <w:p>
      <w:pPr>
        <w:keepNext/>
        <w:spacing w:after="50" w:before="260"/>
      </w:pPr>
      <w:r>
        <w:rPr>
          <w:rFonts w:ascii="Cambria" w:cs="Cambria" w:eastAsia="Cambria" w:hAnsi="Cambria"/>
          <w:b/>
          <w:bCs/>
          <w:color w:val="17365D"/>
          <w:sz w:val="20"/>
          <w:szCs w:val="20"/>
        </w:rPr>
        <w:t xml:space="preserve">Carcinoid crisis in PRRT</w:t>
      </w:r>
      <w:r>
        <w:rPr>
          <w:b/>
          <w:bCs/>
          <w:color w:val="176A87"/>
          <w:sz w:val="15"/>
          <w:szCs w:val="15"/>
        </w:rPr>
        <w:t xml:space="preserve">   Review</w:t>
      </w:r>
      <w:r>
        <w:rPr>
          <w:color w:val="5A6069"/>
          <w:sz w:val="15"/>
          <w:szCs w:val="15"/>
        </w:rPr>
        <w:t xml:space="preserve">   PMID 39266864</w:t>
      </w:r>
    </w:p>
    <w:p>
      <w:pPr>
        <w:spacing w:after="50" w:line="276"/>
      </w:pPr>
      <w:r>
        <w:rPr>
          <w:color w:val="5A6069"/>
          <w:sz w:val="17"/>
          <w:szCs w:val="17"/>
        </w:rPr>
        <w:t xml:space="preserve">Carcinoid crisis in Lutetium-177-Dotatate therapy of neuroendocrine tumors: an overview of pathophysiology, risk factors, recognition, and treatment</w:t>
      </w:r>
    </w:p>
    <w:p>
      <w:pPr>
        <w:spacing w:after="50"/>
      </w:pPr>
      <w:r>
        <w:rPr>
          <w:b/>
          <w:bCs/>
          <w:color w:val="176A87"/>
          <w:sz w:val="16"/>
          <w:szCs w:val="16"/>
        </w:rPr>
        <w:t xml:space="preserve">Population. </w:t>
      </w:r>
      <w:r>
        <w:rPr>
          <w:sz w:val="16"/>
          <w:szCs w:val="16"/>
        </w:rPr>
        <w:t xml:space="preserve">No defined review cohort. The institutional component is an audit of 127 177Lu-Dotatate administrations at a single centre between October 2018 and February 2024, in which no carcinoid crisis occurred.</w:t>
      </w:r>
    </w:p>
    <w:p>
      <w:pPr>
        <w:spacing w:after="70"/>
      </w:pPr>
      <w:r>
        <w:rPr>
          <w:b/>
          <w:bCs/>
          <w:color w:val="17365D"/>
          <w:sz w:val="16"/>
          <w:szCs w:val="16"/>
        </w:rPr>
        <w:t xml:space="preserve">Bottom line. </w:t>
      </w:r>
      <w:r>
        <w:rPr>
          <w:sz w:val="16"/>
          <w:szCs w:val="16"/>
        </w:rPr>
        <w:t xml:space="preserve">This is the only dedicated account of carcinoid crisis during 177Lu-Dotatate therapy and it is useful for exactly two things: the risk profile, in which midgut primary and high hepatic tumour burden dominate, and the recognition window, 12 to 48 hours after a dose, usually the first. Everything quantitative in it is weak: the 1 to 2% incidence has no pooled denominator in a condition the authors say has no diagnostic criteria, the paper is narrative despite describing itself as systematic, and the risk factors come from case reports with no multivariable analysis. For a surgeon the load-bearing claim is that pre-treatment debulking is a recognised preventive measure, and no series cited here shows that debulking reduces crisis incidence or that its operative risk is smaller than the event it prevents.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true incidence is unknown, partly because the criteria defining the diagnosis of carcinoid crisis are poor.</w:t>
            </w:r>
          </w:p>
          <w:p>
            <w:pPr>
              <w:pStyle w:val="ListParagraph"/>
              <w:numPr>
                <w:ilvl w:val="0"/>
                <w:numId w:val="2"/>
              </w:numPr>
              <w:spacing w:after="45"/>
            </w:pPr>
            <w:r>
              <w:rPr>
                <w:sz w:val="15"/>
                <w:szCs w:val="15"/>
              </w:rPr>
              <w:t xml:space="preserve">Octreotide prophylaxis is double-edged: octreotide within 48 hours, or octreotide LAR within 28 days, of 177Lu-Dotatate can competitively block tumour uptake and reduce the efficacy of the therapy, so the authors leave the trade-off to individual risk-benefit judgement.</w:t>
            </w:r>
          </w:p>
          <w:p>
            <w:pPr>
              <w:pStyle w:val="ListParagraph"/>
              <w:numPr>
                <w:ilvl w:val="0"/>
                <w:numId w:val="2"/>
              </w:numPr>
              <w:spacing w:after="45"/>
            </w:pPr>
            <w:r>
              <w:rPr>
                <w:sz w:val="15"/>
                <w:szCs w:val="15"/>
              </w:rPr>
              <w:t xml:space="preserve">There is no consensus on how many intravenous octreotide boluses should precede escalation to a continuous infusion.</w:t>
            </w:r>
          </w:p>
          <w:p>
            <w:pPr>
              <w:pStyle w:val="ListParagraph"/>
              <w:numPr>
                <w:ilvl w:val="0"/>
                <w:numId w:val="2"/>
              </w:numPr>
              <w:spacing w:after="45"/>
            </w:pPr>
            <w:r>
              <w:rPr>
                <w:sz w:val="15"/>
                <w:szCs w:val="15"/>
              </w:rPr>
              <w:t xml:space="preserve">Steroid prophylaxis is proposed but is not standard of care.</w:t>
            </w:r>
          </w:p>
          <w:p>
            <w:pPr>
              <w:pStyle w:val="ListParagraph"/>
              <w:numPr>
                <w:ilvl w:val="0"/>
                <w:numId w:val="2"/>
              </w:numPr>
              <w:spacing w:after="45"/>
            </w:pPr>
            <w:r>
              <w:rPr>
                <w:sz w:val="15"/>
                <w:szCs w:val="15"/>
              </w:rPr>
              <w:t xml:space="preserve">There is no consensus on whether PRRT should be re-attempted after a crisis, or on whether such patients are at higher risk of a further crisis.</w:t>
            </w:r>
          </w:p>
          <w:p>
            <w:pPr>
              <w:pStyle w:val="ListParagraph"/>
              <w:numPr>
                <w:ilvl w:val="0"/>
                <w:numId w:val="2"/>
              </w:numPr>
              <w:spacing w:after="45"/>
            </w:pPr>
            <w:r>
              <w:rPr>
                <w:sz w:val="15"/>
                <w:szCs w:val="15"/>
              </w:rPr>
              <w:t xml:space="preserve">The authors' own institution recorded no carcinoid crisis across 127 administrations in five years, so their experience does not corroborate the quoted incidence.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paper is a narrative review that calls itself a systematic one. No search dates, search strings, inclusion criteria, selection flow diagram, quality appraisal or PROSPERO registration appears anywhere, while the ethics statement describes the article as a systematic review.</w:t>
            </w:r>
          </w:p>
          <w:p>
            <w:pPr>
              <w:pStyle w:val="ListParagraph"/>
              <w:numPr>
                <w:ilvl w:val="0"/>
                <w:numId w:val="2"/>
              </w:numPr>
              <w:spacing w:after="45"/>
            </w:pPr>
            <w:r>
              <w:rPr>
                <w:sz w:val="15"/>
                <w:szCs w:val="15"/>
              </w:rPr>
              <w:t xml:space="preserve">The 1-2% incidence has no traceable denominator. It is quoted without a pooled count of events over treatments, in a condition the authors say lacks agreed diagnostic criteria, and the only cohort the paper contributes has zero events in 127 administrations, which is consistent with any true rate below roughly 2 to 3%.</w:t>
            </w:r>
          </w:p>
          <w:p>
            <w:pPr>
              <w:pStyle w:val="ListParagraph"/>
              <w:numPr>
                <w:ilvl w:val="0"/>
                <w:numId w:val="2"/>
              </w:numPr>
              <w:spacing w:after="45"/>
            </w:pPr>
            <w:r>
              <w:rPr>
                <w:sz w:val="15"/>
                <w:szCs w:val="15"/>
              </w:rPr>
              <w:t xml:space="preserve">The institutional audit cannot validate the review's own recognition framework. Ascertainment was retrospective, no definition was applied prospectively, and the single adverse event was attributed to bronchospasm rather than crisis by clinical reasoning alone, in a patient whose endobronchial carcinoid makes both explanations plausible.</w:t>
            </w:r>
          </w:p>
          <w:p>
            <w:pPr>
              <w:pStyle w:val="ListParagraph"/>
              <w:numPr>
                <w:ilvl w:val="0"/>
                <w:numId w:val="2"/>
              </w:numPr>
              <w:spacing w:after="45"/>
            </w:pPr>
            <w:r>
              <w:rPr>
                <w:sz w:val="15"/>
                <w:szCs w:val="15"/>
              </w:rPr>
              <w:t xml:space="preserve">The risk-factor list is assembled from case reports and small series with no multivariable analysis anywhere. Midgut primary, high tumour burden, liver metastases, raised 5-HIAA and chromogranin A, prior carcinoid syndrome, advanced age and concurrent beta-2 agonists are presented side by side as though each had been shown to act independently.</w:t>
            </w:r>
          </w:p>
          <w:p>
            <w:pPr>
              <w:pStyle w:val="ListParagraph"/>
              <w:numPr>
                <w:ilvl w:val="0"/>
                <w:numId w:val="2"/>
              </w:numPr>
              <w:spacing w:after="45"/>
            </w:pPr>
            <w:r>
              <w:rPr>
                <w:sz w:val="15"/>
                <w:szCs w:val="15"/>
              </w:rPr>
              <w:t xml:space="preserve">Debulking before PRRT is offered as a recognised preventive measure, which puts a surgeon in the prevention pathway, and no cited series shows that debulking reduces the incidence of crisis. The operative risk of debulking is nowhere weighed against an event rate of 1 to 2%.</w:t>
            </w:r>
          </w:p>
          <w:p>
            <w:pPr>
              <w:pStyle w:val="ListParagraph"/>
              <w:numPr>
                <w:ilvl w:val="0"/>
                <w:numId w:val="2"/>
              </w:numPr>
              <w:spacing w:after="45"/>
            </w:pPr>
            <w:r>
              <w:rPr>
                <w:sz w:val="15"/>
                <w:szCs w:val="15"/>
              </w:rPr>
              <w:t xml:space="preserve">The treatment regimen, 500 to 1000 micrograms of intravenous octreotide repeated every 5 minutes until control, carries no dose-finding evidence, no stated ceiling and no defined endpoint of control, for a condition the paper says has no agreed definition.</w:t>
            </w:r>
          </w:p>
          <w:p>
            <w:pPr>
              <w:pStyle w:val="ListParagraph"/>
              <w:numPr>
                <w:ilvl w:val="0"/>
                <w:numId w:val="2"/>
              </w:numPr>
              <w:spacing w:after="45"/>
            </w:pPr>
            <w:r>
              <w:rPr>
                <w:sz w:val="15"/>
                <w:szCs w:val="15"/>
              </w:rPr>
              <w:t xml:space="preserve">The two prophylaxis routes recommended are the same manoeuvres the review identifies as capable of blocking tumour uptake, and no threshold of risk is specified at which prophylaxis becomes worth the possible loss of therapeutic efficacy. The reader is told both that prophylaxis is advisable in patients with multiple risk factors and that it may undermine the treatment.</w:t>
            </w:r>
          </w:p>
          <w:p>
            <w:pPr>
              <w:pStyle w:val="ListParagraph"/>
              <w:numPr>
                <w:ilvl w:val="0"/>
                <w:numId w:val="2"/>
              </w:numPr>
              <w:spacing w:after="45"/>
            </w:pPr>
            <w:r>
              <w:rPr>
                <w:sz w:val="15"/>
                <w:szCs w:val="15"/>
              </w:rPr>
              <w:t xml:space="preserve">The reassurance that no deaths from this crisis had been reported as of May 2024 is a statement about the published case-report literature in a complication the paper itself describes as under-recognised and undefined.</w:t>
            </w:r>
          </w:p>
          <w:p>
            <w:pPr>
              <w:pStyle w:val="ListParagraph"/>
              <w:numPr>
                <w:ilvl w:val="0"/>
                <w:numId w:val="2"/>
              </w:numPr>
              <w:spacing w:after="45"/>
            </w:pPr>
            <w:r>
              <w:rPr>
                <w:sz w:val="15"/>
                <w:szCs w:val="15"/>
              </w:rPr>
              <w:t xml:space="preserve">Guidance elsewhere advises periprocedural intravenous somatostatin analogue for all patients with carcinoid syndrome regardless of long-acting analogue cover, which is more cautious than this review's risk-stratified approach, and the discrepancy is not reconciled.</w:t>
            </w:r>
          </w:p>
          <w:p>
            <w:pPr>
              <w:pStyle w:val="ListParagraph"/>
              <w:numPr>
                <w:ilvl w:val="0"/>
                <w:numId w:val="2"/>
              </w:numPr>
              <w:spacing w:after="45"/>
            </w:pPr>
            <w:r>
              <w:rPr>
                <w:sz w:val="15"/>
                <w:szCs w:val="15"/>
              </w:rPr>
              <w:t xml:space="preserve">A PubMed search found no linked editorial or comment, so these recommendations stand unappraised.</w:t>
            </w:r>
          </w:p>
        </w:tc>
      </w:tr>
    </w:tbl>
    <w:p>
      <w:pPr>
        <w:spacing w:after="0" w:line="276"/>
      </w:pPr>
      <w:r>
        <w:rPr>
          <w:color w:val="5A6069"/>
          <w:sz w:val="14"/>
          <w:szCs w:val="14"/>
        </w:rPr>
        <w:t xml:space="preserve">Funding: None declared: the authors state that no funds, grants or other support were received during preparation of the manuscript, and that they have no relevant financial or non-financial interests to disclose.</w:t>
      </w:r>
    </w:p>
    <w:p>
      <w:pPr>
        <w:keepNext/>
        <w:spacing w:after="50" w:before="260"/>
      </w:pPr>
      <w:r>
        <w:rPr>
          <w:rFonts w:ascii="Cambria" w:cs="Cambria" w:eastAsia="Cambria" w:hAnsi="Cambria"/>
          <w:b/>
          <w:bCs/>
          <w:color w:val="17365D"/>
          <w:sz w:val="20"/>
          <w:szCs w:val="20"/>
        </w:rPr>
        <w:t xml:space="preserve">CLARINET</w:t>
      </w:r>
      <w:r>
        <w:rPr>
          <w:b/>
          <w:bCs/>
          <w:color w:val="176A87"/>
          <w:sz w:val="15"/>
          <w:szCs w:val="15"/>
        </w:rPr>
        <w:t xml:space="preserve">   Randomised trial</w:t>
      </w:r>
      <w:r>
        <w:rPr>
          <w:color w:val="5A6069"/>
          <w:sz w:val="15"/>
          <w:szCs w:val="15"/>
        </w:rPr>
        <w:t xml:space="preserve">   PMID 25014687</w:t>
      </w:r>
    </w:p>
    <w:p>
      <w:pPr>
        <w:spacing w:after="50" w:line="276"/>
      </w:pPr>
      <w:r>
        <w:rPr>
          <w:color w:val="5A6069"/>
          <w:sz w:val="17"/>
          <w:szCs w:val="17"/>
        </w:rPr>
        <w:t xml:space="preserve">Lanreotide in Metastatic Enteropancreatic Neuroendocrine Tumors</w:t>
      </w:r>
    </w:p>
    <w:p>
      <w:pPr>
        <w:spacing w:after="50"/>
      </w:pPr>
      <w:r>
        <w:rPr>
          <w:b/>
          <w:bCs/>
          <w:color w:val="176A87"/>
          <w:sz w:val="16"/>
          <w:szCs w:val="16"/>
        </w:rPr>
        <w:t xml:space="preserve">Population. </w:t>
      </w:r>
      <w:r>
        <w:rPr>
          <w:sz w:val="16"/>
          <w:szCs w:val="16"/>
        </w:rPr>
        <w:t xml:space="preserve">204 patients with unresectable or metastatic, somatostatin-receptor-positive, grade 1 or 2 (Ki-67 under 10%) non-functioning enteropancreatic neuroendocrine tumours randomised at 48 centres in 14 countries between June 2006 and April 2013: 101 to lanreotide Autogel 120 mg and 103 to placebo, with 96% having had no documented progression in the preceding 3 to 6 months.</w:t>
      </w:r>
    </w:p>
    <w:p>
      <w:pPr>
        <w:spacing w:after="70"/>
      </w:pPr>
      <w:r>
        <w:rPr>
          <w:b/>
          <w:bCs/>
          <w:color w:val="17365D"/>
          <w:sz w:val="16"/>
          <w:szCs w:val="16"/>
        </w:rPr>
        <w:t xml:space="preserve">Bottom line. </w:t>
      </w:r>
      <w:r>
        <w:rPr>
          <w:sz w:val="16"/>
          <w:szCs w:val="16"/>
        </w:rPr>
        <w:t xml:space="preserve">CLARINET establishes that lanreotide 120 mg delays radiographic progression in somatostatin-receptor-positive, grade 1 or 2 enteropancreatic neuroendocrine tumours, with a hazard ratio of 0.47 and 65% versus 33% progression-free at 24 months, and it does so across hepatic tumour volumes above and below 25%. What it does not establish is that this changes anything a patient feels or how long they live: overall survival and quality of life were identical, the population was non-functioning and 96% radiographically stable at entry, and the grade 2 subgroup confidence interval crosses 1. The placebo arm ran a median 18.0 months without progression, which is the figure to carry into any discussion of whether to start treatment now or watch, and the hepatic-volume subgroup everyone quotes was collapsed from five prespecified categories to two after the data were in.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96% of patients had stable disease at baseline, and such patients are likely to have fewer tumour-related events than patients with progressive disease.</w:t>
            </w:r>
          </w:p>
          <w:p>
            <w:pPr>
              <w:pStyle w:val="ListParagraph"/>
              <w:numPr>
                <w:ilvl w:val="0"/>
                <w:numId w:val="2"/>
              </w:numPr>
              <w:spacing w:after="45"/>
            </w:pPr>
            <w:r>
              <w:rPr>
                <w:sz w:val="15"/>
                <w:szCs w:val="15"/>
              </w:rPr>
              <w:t xml:space="preserve">Data are lacking from controlled trials in patients with documented progressive disease.</w:t>
            </w:r>
          </w:p>
          <w:p>
            <w:pPr>
              <w:pStyle w:val="ListParagraph"/>
              <w:numPr>
                <w:ilvl w:val="0"/>
                <w:numId w:val="2"/>
              </w:numPr>
              <w:spacing w:after="45"/>
            </w:pPr>
            <w:r>
              <w:rPr>
                <w:sz w:val="15"/>
                <w:szCs w:val="15"/>
              </w:rPr>
              <w:t xml:space="preserve">No significant between-group difference in overall survival was apparent at 2 years, which the authors attribute to the long life expectancy of slow-growing tumours and to crossover from placebo to active treatment at progression.</w:t>
            </w:r>
          </w:p>
          <w:p>
            <w:pPr>
              <w:pStyle w:val="ListParagraph"/>
              <w:numPr>
                <w:ilvl w:val="0"/>
                <w:numId w:val="2"/>
              </w:numPr>
              <w:spacing w:after="45"/>
            </w:pPr>
            <w:r>
              <w:rPr>
                <w:sz w:val="15"/>
                <w:szCs w:val="15"/>
              </w:rPr>
              <w:t xml:space="preserve">Only patients with non-functioning tumours were enrolled, whereas PROMID included some mildly functioning tumours.</w:t>
            </w:r>
          </w:p>
          <w:p>
            <w:pPr>
              <w:pStyle w:val="ListParagraph"/>
              <w:numPr>
                <w:ilvl w:val="0"/>
                <w:numId w:val="2"/>
              </w:numPr>
              <w:spacing w:after="45"/>
            </w:pPr>
            <w:r>
              <w:rPr>
                <w:sz w:val="15"/>
                <w:szCs w:val="15"/>
              </w:rPr>
              <w:t xml:space="preserve">The durability of the antiproliferative effect remains to be determined and is being examined in the CLARINET extension study.</w:t>
            </w:r>
          </w:p>
          <w:p>
            <w:pPr>
              <w:pStyle w:val="ListParagraph"/>
              <w:numPr>
                <w:ilvl w:val="0"/>
                <w:numId w:val="2"/>
              </w:numPr>
              <w:spacing w:after="45"/>
            </w:pPr>
            <w:r>
              <w:rPr>
                <w:sz w:val="15"/>
                <w:szCs w:val="15"/>
              </w:rPr>
              <w:t xml:space="preserve">The comparison with PROMID's shorter placebo-arm time to progression cannot be resolved, because progression status was not documented in PROMID and the two trials used different criteria, bidimensional WHO against unidimensional RECIST 1.0, which alone could shorten apparent progression-free survival.</w:t>
            </w:r>
          </w:p>
          <w:p>
            <w:pPr>
              <w:pStyle w:val="ListParagraph"/>
              <w:numPr>
                <w:ilvl w:val="0"/>
                <w:numId w:val="2"/>
              </w:numPr>
              <w:spacing w:after="45"/>
            </w:pPr>
            <w:r>
              <w:rPr>
                <w:sz w:val="15"/>
                <w:szCs w:val="15"/>
              </w:rPr>
              <w:t xml:space="preserve">The authors accept that individualised treatment remains the cornerstone of management and that deferred treatment will continue to be appropriate for some patients.</w:t>
            </w:r>
          </w:p>
          <w:p>
            <w:pPr>
              <w:pStyle w:val="ListParagraph"/>
              <w:numPr>
                <w:ilvl w:val="0"/>
                <w:numId w:val="2"/>
              </w:numPr>
              <w:spacing w:after="45"/>
            </w:pPr>
            <w:r>
              <w:rPr>
                <w:sz w:val="15"/>
                <w:szCs w:val="15"/>
              </w:rPr>
              <w:t xml:space="preserve">They acknowledge that their placebo group can be read as a surrogate for deferred treatment and that its long progression-free survival may appear to support a wait-and-see policy.</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subgroup that matters most for liver-directed decisions is a post hoc construction. Hepatic tumour volume was prespecified in five categories whose estimated hazard ratios ranged from 0.24 to 0.54, and was collapsed after the fact into a dichotomy at 25%. The conclusion that the effect holds irrespective of hepatic tumour volume rests on that simplification, as the paper's own table footnote states.</w:t>
            </w:r>
          </w:p>
          <w:p>
            <w:pPr>
              <w:pStyle w:val="ListParagraph"/>
              <w:numPr>
                <w:ilvl w:val="0"/>
                <w:numId w:val="2"/>
              </w:numPr>
              <w:spacing w:after="45"/>
            </w:pPr>
            <w:r>
              <w:rPr>
                <w:sz w:val="15"/>
                <w:szCs w:val="15"/>
              </w:rPr>
              <w:t xml:space="preserve">Benefit in grade 2 disease is not demonstrated. The grade 2 hazard ratio is 0.58 with a 95% confidence interval of 0.32 to 1.04, which includes 1, while the trial's headline and its licensed indication cover grade 1 and grade 2 together.</w:t>
            </w:r>
          </w:p>
          <w:p>
            <w:pPr>
              <w:pStyle w:val="ListParagraph"/>
              <w:numPr>
                <w:ilvl w:val="0"/>
                <w:numId w:val="2"/>
              </w:numPr>
              <w:spacing w:after="45"/>
            </w:pPr>
            <w:r>
              <w:rPr>
                <w:sz w:val="15"/>
                <w:szCs w:val="15"/>
              </w:rPr>
              <w:t xml:space="preserve">Every subgroup estimate rests on a handful of events. The trial recorded 92 progression events in all, so the midgut (0.35), pancreas (0.45) and high-hepatic-volume (0.45, CI 0.22 to 0.91) hazard ratios each come from fewer than 30 events, and no interaction test is reported for any of them.</w:t>
            </w:r>
          </w:p>
          <w:p>
            <w:pPr>
              <w:pStyle w:val="ListParagraph"/>
              <w:numPr>
                <w:ilvl w:val="0"/>
                <w:numId w:val="2"/>
              </w:numPr>
              <w:spacing w:after="45"/>
            </w:pPr>
            <w:r>
              <w:rPr>
                <w:sz w:val="15"/>
                <w:szCs w:val="15"/>
              </w:rPr>
              <w:t xml:space="preserve">The whole benefit is radiographic. Overall survival did not differ, EORTC QLQ-C30 global health status did not differ, and the population was non-functioning by design so there were no hormonal symptoms to improve. Crossover is invoked to explain the survival null without any crossover numbers or a sensitivity analysis being presented.</w:t>
            </w:r>
          </w:p>
          <w:p>
            <w:pPr>
              <w:pStyle w:val="ListParagraph"/>
              <w:numPr>
                <w:ilvl w:val="0"/>
                <w:numId w:val="2"/>
              </w:numPr>
              <w:spacing w:after="45"/>
            </w:pPr>
            <w:r>
              <w:rPr>
                <w:sz w:val="15"/>
                <w:szCs w:val="15"/>
              </w:rPr>
              <w:t xml:space="preserve">The size of the effect is unknown because the trial ended before it could be measured. Median progression-free survival was not reached with lanreotide within the 96-week fixed study duration, so the delay is known only to exceed the observation window, and the 96-week design cannot address how long treatment should continue.</w:t>
            </w:r>
          </w:p>
          <w:p>
            <w:pPr>
              <w:pStyle w:val="ListParagraph"/>
              <w:numPr>
                <w:ilvl w:val="0"/>
                <w:numId w:val="2"/>
              </w:numPr>
              <w:spacing w:after="45"/>
            </w:pPr>
            <w:r>
              <w:rPr>
                <w:sz w:val="15"/>
                <w:szCs w:val="15"/>
              </w:rPr>
              <w:t xml:space="preserve">Progression-free survival and time to tumour progression return the identical 18.0-month placebo median from different event counts (60 against 58), which shows the median sits in a sparse region of the curve where two events make no difference to the estimate.</w:t>
            </w:r>
          </w:p>
          <w:p>
            <w:pPr>
              <w:pStyle w:val="ListParagraph"/>
              <w:numPr>
                <w:ilvl w:val="0"/>
                <w:numId w:val="2"/>
              </w:numPr>
              <w:spacing w:after="45"/>
            </w:pPr>
            <w:r>
              <w:rPr>
                <w:sz w:val="15"/>
                <w:szCs w:val="15"/>
              </w:rPr>
              <w:t xml:space="preserve">The chromogranin A result is reported on 64 of 101 and 64 of 103 patients, roughly two-thirds of each arm, with no account of the missing third, and it is a biochemical change in a non-functioning tumour population where it carries no symptomatic meaning.</w:t>
            </w:r>
          </w:p>
          <w:p>
            <w:pPr>
              <w:pStyle w:val="ListParagraph"/>
              <w:numPr>
                <w:ilvl w:val="0"/>
                <w:numId w:val="2"/>
              </w:numPr>
              <w:spacing w:after="45"/>
            </w:pPr>
            <w:r>
              <w:rPr>
                <w:sz w:val="15"/>
                <w:szCs w:val="15"/>
              </w:rPr>
              <w:t xml:space="preserve">Enrolment required somatostatin-receptor scintigraphy uptake of grade 2 or higher within the previous 6 months, so the trial selected the patients most likely to respond and says nothing about receptor-poor disease, which is precisely the group in whom embolisation, chemotherapy or resection is being weighed.</w:t>
            </w:r>
          </w:p>
          <w:p>
            <w:pPr>
              <w:pStyle w:val="ListParagraph"/>
              <w:numPr>
                <w:ilvl w:val="0"/>
                <w:numId w:val="2"/>
              </w:numPr>
              <w:spacing w:after="45"/>
            </w:pPr>
            <w:r>
              <w:rPr>
                <w:sz w:val="15"/>
                <w:szCs w:val="15"/>
              </w:rPr>
              <w:t xml:space="preserve">The trial excluded any prior radionuclide therapy at any time, chemoembolisation or chemotherapy within 6 months, and more than 15 days of previous somatostatin analogue. The cohort is therefore essentially naive to liver-directed treatment, and nothing in the result informs sequencing with embolisation, radioembolisation or PRRT.</w:t>
            </w:r>
          </w:p>
          <w:p>
            <w:pPr>
              <w:pStyle w:val="ListParagraph"/>
              <w:numPr>
                <w:ilvl w:val="0"/>
                <w:numId w:val="2"/>
              </w:numPr>
              <w:spacing w:after="45"/>
            </w:pPr>
            <w:r>
              <w:rPr>
                <w:sz w:val="15"/>
                <w:szCs w:val="15"/>
              </w:rPr>
              <w:t xml:space="preserve">The discussion raises the obvious reading of its own data, that an 18-month placebo median supports watchful waiting, and sets it aside on the ground that the study examined prevention of progression. That is a restatement of the trial's design, not an answer to the question of whether delaying treatment costs the patient anything.</w:t>
            </w:r>
          </w:p>
          <w:p>
            <w:pPr>
              <w:pStyle w:val="ListParagraph"/>
              <w:numPr>
                <w:ilvl w:val="0"/>
                <w:numId w:val="2"/>
              </w:numPr>
              <w:spacing w:after="45"/>
            </w:pPr>
            <w:r>
              <w:rPr>
                <w:sz w:val="15"/>
                <w:szCs w:val="15"/>
              </w:rPr>
              <w:t xml:space="preserve">The adverse events that matter for a surgical population are presented as reassurance. Cholelithiasis occurred in 10% against 3% and hyperglycaemia in 5% against 0%, and the serious treatment-related events in the lanreotide arm include biliary fistula and cholelithiasis, in patients who may later need hepatectomy or arterial therapy; the discussion calls the safety profile favourable by comparison with targeted agents and chemotherapy.</w:t>
            </w:r>
          </w:p>
          <w:p>
            <w:pPr>
              <w:pStyle w:val="ListParagraph"/>
              <w:numPr>
                <w:ilvl w:val="0"/>
                <w:numId w:val="2"/>
              </w:numPr>
              <w:spacing w:after="45"/>
            </w:pPr>
            <w:r>
              <w:rPr>
                <w:sz w:val="15"/>
                <w:szCs w:val="15"/>
              </w:rPr>
              <w:t xml:space="preserve">The sponsor controlled the trial end to end. Ipsen, which markets lanreotide, designed, funded and conducted the study; the contract research organisation's statisticians worked under the oversight of the sponsor's own biostatistics department; a medical writer paid by the sponsor drafted the manuscript; and one co-author is affiliated to Ipsen.</w:t>
            </w:r>
          </w:p>
          <w:p>
            <w:pPr>
              <w:pStyle w:val="ListParagraph"/>
              <w:numPr>
                <w:ilvl w:val="0"/>
                <w:numId w:val="2"/>
              </w:numPr>
              <w:spacing w:after="45"/>
            </w:pPr>
            <w:r>
              <w:rPr>
                <w:sz w:val="15"/>
                <w:szCs w:val="15"/>
              </w:rPr>
              <w:t xml:space="preserve">Two letters in the New England Journal of Medicine with an author reply are linked to this paper in PubMed (PMIDs 25317882, 25317883 and 25317881). The full texts could not be obtained, so no point above draws on them and whatever objections they raise are not represented here.</w:t>
            </w:r>
          </w:p>
        </w:tc>
      </w:tr>
    </w:tbl>
    <w:p>
      <w:pPr>
        <w:spacing w:after="0" w:line="276"/>
      </w:pPr>
      <w:r>
        <w:rPr>
          <w:color w:val="5A6069"/>
          <w:sz w:val="14"/>
          <w:szCs w:val="14"/>
        </w:rPr>
        <w:t xml:space="preserve">Funding: Supported by Ipsen, which designed, funded and conducted the study in collaboration with the European Neuroendocrine Tumor Society and the UK and Ireland Neuroendocrine Tumour Society. The blinded database was held by a third-party contract research organisation whose statisticians performed the analyses under the oversight of the sponsor's biostatistics department; a professional medical writer paid by the sponsor, with Watermeadow Medical, assisted in drafting the manuscript, and one co-author is affiliated to Ipsen. Individual disclosure forms were filed separately and do not appear in the article text.</w:t>
      </w:r>
    </w:p>
    <w:p>
      <w:pPr>
        <w:keepNext/>
        <w:spacing w:after="50" w:before="260"/>
      </w:pPr>
      <w:r>
        <w:rPr>
          <w:rFonts w:ascii="Cambria" w:cs="Cambria" w:eastAsia="Cambria" w:hAnsi="Cambria"/>
          <w:b/>
          <w:bCs/>
          <w:color w:val="17365D"/>
          <w:sz w:val="20"/>
          <w:szCs w:val="20"/>
        </w:rPr>
        <w:t xml:space="preserve">DEB-TACE phase 2</w:t>
      </w:r>
      <w:r>
        <w:rPr>
          <w:b/>
          <w:bCs/>
          <w:color w:val="176A87"/>
          <w:sz w:val="15"/>
          <w:szCs w:val="15"/>
        </w:rPr>
        <w:t xml:space="preserve">   Prospective trial</w:t>
      </w:r>
      <w:r>
        <w:rPr>
          <w:color w:val="5A6069"/>
          <w:sz w:val="15"/>
          <w:szCs w:val="15"/>
        </w:rPr>
        <w:t xml:space="preserve">   PMID 22722717</w:t>
      </w:r>
    </w:p>
    <w:p>
      <w:pPr>
        <w:spacing w:after="50" w:line="276"/>
      </w:pPr>
      <w:r>
        <w:rPr>
          <w:color w:val="5A6069"/>
          <w:sz w:val="17"/>
          <w:szCs w:val="17"/>
        </w:rPr>
        <w:t xml:space="preserve">Phase II Study of Chemoembolization With Drug-Eluting Beads in Patients With Hepatic Neuroendocrine Metastases: High Incidence of Biliary Injury</w:t>
      </w:r>
    </w:p>
    <w:p>
      <w:pPr>
        <w:spacing w:after="50"/>
      </w:pPr>
      <w:r>
        <w:rPr>
          <w:b/>
          <w:bCs/>
          <w:color w:val="176A87"/>
          <w:sz w:val="16"/>
          <w:szCs w:val="16"/>
        </w:rPr>
        <w:t xml:space="preserve">Population. </w:t>
      </w:r>
      <w:r>
        <w:rPr>
          <w:sz w:val="16"/>
          <w:szCs w:val="16"/>
        </w:rPr>
        <w:t xml:space="preserve">13 patients with histologically confirmed unresectable neuroendocrine liver metastases enrolled from May 2009 through August 2010, treated in 27 DEB-TACE procedures (median 2 per patient, range 1 to 4), reported as the interim safety analysis that forced interruption of the trial.</w:t>
      </w:r>
    </w:p>
    <w:p>
      <w:pPr>
        <w:spacing w:after="70"/>
      </w:pPr>
      <w:r>
        <w:rPr>
          <w:b/>
          <w:bCs/>
          <w:color w:val="17365D"/>
          <w:sz w:val="16"/>
          <w:szCs w:val="16"/>
        </w:rPr>
        <w:t xml:space="preserve">Bottom line. </w:t>
      </w:r>
      <w:r>
        <w:rPr>
          <w:sz w:val="16"/>
          <w:szCs w:val="16"/>
        </w:rPr>
        <w:t xml:space="preserve">This is the paper that put a number on biliary injury after drug-eluting bead chemoembolisation of neuroendocrine liver metastases: 7 bilomas in 13 patients (54%), four drained, two deaths after prolonged infection, enough to halt a phase II trial and to change the centre's technique and selection criteria. It establishes almost nothing about efficacy, because the 78% figure is EASL enhancement response counted per targeted lesion at one month, RECIST per-patient objective response was zero, and no survival or progression endpoint is reported at all. The mechanism it proposes, that small-volume multifocal disease predisposes to injury, rests on a non-significant comparison (12% versus 44% burden, P=0.06) and on an abstract claim about lesion size that the paper's own table contradicts.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high incidence of bilomas was unexpected and forced interruption of the trial.</w:t>
            </w:r>
          </w:p>
          <w:p>
            <w:pPr>
              <w:pStyle w:val="ListParagraph"/>
              <w:numPr>
                <w:ilvl w:val="0"/>
                <w:numId w:val="2"/>
              </w:numPr>
              <w:spacing w:after="45"/>
            </w:pPr>
            <w:r>
              <w:rPr>
                <w:sz w:val="15"/>
                <w:szCs w:val="15"/>
              </w:rPr>
              <w:t xml:space="preserve">The resulting changes in technique and patient selection are based on a small number of patients and the authors call them speculative.</w:t>
            </w:r>
          </w:p>
          <w:p>
            <w:pPr>
              <w:pStyle w:val="ListParagraph"/>
              <w:numPr>
                <w:ilvl w:val="0"/>
                <w:numId w:val="2"/>
              </w:numPr>
              <w:spacing w:after="45"/>
            </w:pPr>
            <w:r>
              <w:rPr>
                <w:sz w:val="15"/>
                <w:szCs w:val="15"/>
              </w:rPr>
              <w:t xml:space="preserve">The cause of biloma formation was likely multifactorial, with patient factors (number and size of tumours) and procedural factors (drug delivery technique) both implicated.</w:t>
            </w:r>
          </w:p>
          <w:p>
            <w:pPr>
              <w:pStyle w:val="ListParagraph"/>
              <w:numPr>
                <w:ilvl w:val="0"/>
                <w:numId w:val="2"/>
              </w:numPr>
              <w:spacing w:after="45"/>
            </w:pPr>
            <w:r>
              <w:rPr>
                <w:sz w:val="15"/>
                <w:szCs w:val="15"/>
              </w:rPr>
              <w:t xml:space="preserve">The beads were mixed with contrast 1:1 and could not be seen when injected into the hepatic artery; the embolisation endpoint was judged from the operator's tactile response, which the authors say may have led to overembolisation and bead deposition outside the tumour.</w:t>
            </w:r>
          </w:p>
          <w:p>
            <w:pPr>
              <w:pStyle w:val="ListParagraph"/>
              <w:numPr>
                <w:ilvl w:val="0"/>
                <w:numId w:val="2"/>
              </w:numPr>
              <w:spacing w:after="45"/>
            </w:pPr>
            <w:r>
              <w:rPr>
                <w:sz w:val="15"/>
                <w:szCs w:val="15"/>
              </w:rPr>
              <w:t xml:space="preserve">Because these patients had more widespread disease and liver involvement, selective placement of the microcatheter was often not feasible.</w:t>
            </w:r>
          </w:p>
          <w:p>
            <w:pPr>
              <w:pStyle w:val="ListParagraph"/>
              <w:numPr>
                <w:ilvl w:val="0"/>
                <w:numId w:val="2"/>
              </w:numPr>
              <w:spacing w:after="45"/>
            </w:pPr>
            <w:r>
              <w:rPr>
                <w:sz w:val="15"/>
                <w:szCs w:val="15"/>
              </w:rPr>
              <w:t xml:space="preserve">The authors concede their 54% biloma rate is much greater than the 9.6% reported after conventional TACE for metastatic liver tumours, although in a population of only 13.</w:t>
            </w:r>
          </w:p>
          <w:p>
            <w:pPr>
              <w:pStyle w:val="ListParagraph"/>
              <w:numPr>
                <w:ilvl w:val="0"/>
                <w:numId w:val="2"/>
              </w:numPr>
              <w:spacing w:after="45"/>
            </w:pPr>
            <w:r>
              <w:rPr>
                <w:sz w:val="15"/>
                <w:szCs w:val="15"/>
              </w:rPr>
              <w:t xml:space="preserve">They accept that the smaller bead size used here (100 to 300 micron) against the 500 to 700 micron particles of the de Baere series could itself be a predisposing factor by causing more profound ischaemic change in the peribiliary plexus.</w:t>
            </w:r>
          </w:p>
          <w:p>
            <w:pPr>
              <w:pStyle w:val="ListParagraph"/>
              <w:numPr>
                <w:ilvl w:val="0"/>
                <w:numId w:val="2"/>
              </w:numPr>
              <w:spacing w:after="45"/>
            </w:pPr>
            <w:r>
              <w:rPr>
                <w:sz w:val="15"/>
                <w:szCs w:val="15"/>
              </w:rPr>
              <w:t xml:space="preserve">One patient with a pre-existing biliary-enteric anastomosis was treated despite the known increase in abscess risk, on the authors' judgement that benefit would outweigh risk; that patient developed a biloma and died.</w:t>
            </w:r>
          </w:p>
          <w:p>
            <w:pPr>
              <w:pStyle w:val="ListParagraph"/>
              <w:numPr>
                <w:ilvl w:val="0"/>
                <w:numId w:val="2"/>
              </w:numPr>
              <w:spacing w:after="45"/>
            </w:pPr>
            <w:r>
              <w:rPr>
                <w:sz w:val="15"/>
                <w:szCs w:val="15"/>
              </w:rPr>
              <w:t xml:space="preserve">Chemoembolisation has not shown a survival benefit in randomised controlled trials, a point the authors make in the introduction.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abstract's account of who was harmed contradicts the paper's own table. The abstract states that all seven patients who developed bilomas had multiple small lesions under 4 cm, while Table 3 classes two of the seven as single lesions with or without satellites and two as multiple lesions whose smallest was 3.5 cm, and the discussion says only two of the seven had multiple lesions. The recommendation that follows, to treat only patients whose smallest lesion exceeds 4 cm, is built on the abstract's version.</w:t>
            </w:r>
          </w:p>
          <w:p>
            <w:pPr>
              <w:pStyle w:val="ListParagraph"/>
              <w:numPr>
                <w:ilvl w:val="0"/>
                <w:numId w:val="2"/>
              </w:numPr>
              <w:spacing w:after="45"/>
            </w:pPr>
            <w:r>
              <w:rPr>
                <w:sz w:val="15"/>
                <w:szCs w:val="15"/>
              </w:rPr>
              <w:t xml:space="preserve">The reported biloma volume silently excludes the largest biloma. The text gives 32.4 plus or minus 35.3 cm3 with a range of 1.7 to 83.2 cm3 and refers the reader to Table 3, which lists a volume of 394.42 cm3 in patient 3, the patient drained for mass effect. The 7.3 cm3 drainage threshold is then derived from the same seven observations.</w:t>
            </w:r>
          </w:p>
          <w:p>
            <w:pPr>
              <w:pStyle w:val="ListParagraph"/>
              <w:numPr>
                <w:ilvl w:val="0"/>
                <w:numId w:val="2"/>
              </w:numPr>
              <w:spacing w:after="45"/>
            </w:pPr>
            <w:r>
              <w:rPr>
                <w:sz w:val="15"/>
                <w:szCs w:val="15"/>
              </w:rPr>
              <w:t xml:space="preserve">Two patients died of treatment-related sepsis after biloma and abscess, and the results section states there were no deaths within 30 days of treatment and that, aside from the bilomas, the toxicity profile was limited and predominantly lower grade. The paper never reports when those two deaths occurred or gives a 90-day mortality.</w:t>
            </w:r>
          </w:p>
          <w:p>
            <w:pPr>
              <w:pStyle w:val="ListParagraph"/>
              <w:numPr>
                <w:ilvl w:val="0"/>
                <w:numId w:val="2"/>
              </w:numPr>
              <w:spacing w:after="45"/>
            </w:pPr>
            <w:r>
              <w:rPr>
                <w:sz w:val="15"/>
                <w:szCs w:val="15"/>
              </w:rPr>
              <w:t xml:space="preserve">The CTCAE table understates the event that stopped the trial. Biloma appears as a grade 3 to 4 toxicity in 8% (1 patient) and liver abscess in 15% (1 patient, labelled as 15% for a single patient of 13), while the narrative reports bilomas in 54% and drainage in 31%.</w:t>
            </w:r>
          </w:p>
          <w:p>
            <w:pPr>
              <w:pStyle w:val="ListParagraph"/>
              <w:numPr>
                <w:ilvl w:val="0"/>
                <w:numId w:val="2"/>
              </w:numPr>
              <w:spacing w:after="45"/>
            </w:pPr>
            <w:r>
              <w:rPr>
                <w:sz w:val="15"/>
                <w:szCs w:val="15"/>
              </w:rPr>
              <w:t xml:space="preserve">The protocol change rests on a non-significant difference. Biloma patients had a mean hepatic tumour burden of 12% against 44% in those without, at P=0.06, and the subgroup text gives those same figures as 14% versus 45% with the p value printed as 'n = 0.06'. On that basis small multifocal disease was removed from eligibility.</w:t>
            </w:r>
          </w:p>
          <w:p>
            <w:pPr>
              <w:pStyle w:val="ListParagraph"/>
              <w:numPr>
                <w:ilvl w:val="0"/>
                <w:numId w:val="2"/>
              </w:numPr>
              <w:spacing w:after="45"/>
            </w:pPr>
            <w:r>
              <w:rPr>
                <w:sz w:val="15"/>
                <w:szCs w:val="15"/>
              </w:rPr>
              <w:t xml:space="preserve">The headline 78% response is the most favourable of four figures the paper could have quoted. By RECIST there were no complete and only 16% partial responses per lesion at 1 month, and 0% objective response per patient (all 13 stable); EASL per patient gives 62%. The abstract reports the per-lesion EASL figure.</w:t>
            </w:r>
          </w:p>
          <w:p>
            <w:pPr>
              <w:pStyle w:val="ListParagraph"/>
              <w:numPr>
                <w:ilvl w:val="0"/>
                <w:numId w:val="2"/>
              </w:numPr>
              <w:spacing w:after="45"/>
            </w:pPr>
            <w:r>
              <w:rPr>
                <w:sz w:val="15"/>
                <w:szCs w:val="15"/>
              </w:rPr>
              <w:t xml:space="preserve">Per-lesion statistics treat 32 lesions in 13 patients as independent observations, with paired tests and p values down to P&lt;0.0001, and no adjustment for clustering within patients.</w:t>
            </w:r>
          </w:p>
          <w:p>
            <w:pPr>
              <w:pStyle w:val="ListParagraph"/>
              <w:numPr>
                <w:ilvl w:val="0"/>
                <w:numId w:val="2"/>
              </w:numPr>
              <w:spacing w:after="45"/>
            </w:pPr>
            <w:r>
              <w:rPr>
                <w:sz w:val="15"/>
                <w:szCs w:val="15"/>
              </w:rPr>
              <w:t xml:space="preserve">The efficacy denominators collapse with time and the paper does not say why. Thirty-two lesions in 13 patients at 1 month become 26 lesions in 10 patients at 6 months and 19 lesions in 6 patients at 12 months, so the 53% twelve-month response rate describes fewer than half the enrolled patients, in a trial where two died of complications and enrolment was halted.</w:t>
            </w:r>
          </w:p>
          <w:p>
            <w:pPr>
              <w:pStyle w:val="ListParagraph"/>
              <w:numPr>
                <w:ilvl w:val="0"/>
                <w:numId w:val="2"/>
              </w:numPr>
              <w:spacing w:after="45"/>
            </w:pPr>
            <w:r>
              <w:rPr>
                <w:sz w:val="15"/>
                <w:szCs w:val="15"/>
              </w:rPr>
              <w:t xml:space="preserve">Mean tumour size is larger at 12 months (3.4 cm) than at 6 months (3.1 cm) while the reported change from baseline grows from minus 30% to minus 40%, because each time point is a different subset of lesions. The table presents the series as a single declining trajectory.</w:t>
            </w:r>
          </w:p>
          <w:p>
            <w:pPr>
              <w:pStyle w:val="ListParagraph"/>
              <w:numPr>
                <w:ilvl w:val="0"/>
                <w:numId w:val="2"/>
              </w:numPr>
              <w:spacing w:after="45"/>
            </w:pPr>
            <w:r>
              <w:rPr>
                <w:sz w:val="15"/>
                <w:szCs w:val="15"/>
              </w:rPr>
              <w:t xml:space="preserve">Tables 6 and 7 carry the identical caption 'Efficacy: response by RECIST/EASL criteria per lesion' although Table 7 is a per-patient analysis, so the two response denominators that matter most are labelled the same way.</w:t>
            </w:r>
          </w:p>
          <w:p>
            <w:pPr>
              <w:pStyle w:val="ListParagraph"/>
              <w:numPr>
                <w:ilvl w:val="0"/>
                <w:numId w:val="2"/>
              </w:numPr>
              <w:spacing w:after="45"/>
            </w:pPr>
            <w:r>
              <w:rPr>
                <w:sz w:val="15"/>
                <w:szCs w:val="15"/>
              </w:rPr>
              <w:t xml:space="preserve">No survival, progression-free survival or time-to-progression is reported at any point, and the only symptom outcome is the unmeasured statement that all three patients with carcinoid syndrome had remission; no symptom instrument was used.</w:t>
            </w:r>
          </w:p>
          <w:p>
            <w:pPr>
              <w:pStyle w:val="ListParagraph"/>
              <w:numPr>
                <w:ilvl w:val="0"/>
                <w:numId w:val="2"/>
              </w:numPr>
              <w:spacing w:after="45"/>
            </w:pPr>
            <w:r>
              <w:rPr>
                <w:sz w:val="15"/>
                <w:szCs w:val="15"/>
              </w:rPr>
              <w:t xml:space="preserve">Enhancement on contrast MRI, measured by a semiautomatic three-dimensional segmentation tool, carries the efficacy claim. Enhancement necessarily falls after arterial embolisation whether or not tumour is killed, no central or blinded read is described, and a co-author is affiliated to Philips Research North America, whose clinical informatics group develops such quantification software.</w:t>
            </w:r>
          </w:p>
          <w:p>
            <w:pPr>
              <w:pStyle w:val="ListParagraph"/>
              <w:numPr>
                <w:ilvl w:val="0"/>
                <w:numId w:val="2"/>
              </w:numPr>
              <w:spacing w:after="45"/>
            </w:pPr>
            <w:r>
              <w:rPr>
                <w:sz w:val="15"/>
                <w:szCs w:val="15"/>
              </w:rPr>
              <w:t xml:space="preserve">The trial was partially funded by Biocompatibles UK Ltd, which manufactures the LC Bead product under test, and the senior author declares that funding. The abstract concludes that the technique was efficacious and that the trial could resume after the authors changed their own technique and selection criteria.</w:t>
            </w:r>
          </w:p>
          <w:p>
            <w:pPr>
              <w:pStyle w:val="ListParagraph"/>
              <w:numPr>
                <w:ilvl w:val="0"/>
                <w:numId w:val="2"/>
              </w:numPr>
              <w:spacing w:after="45"/>
            </w:pPr>
            <w:r>
              <w:rPr>
                <w:sz w:val="15"/>
                <w:szCs w:val="15"/>
              </w:rPr>
              <w:t xml:space="preserve">The comparison that makes the 54% rate interpretable is left to the reader to assemble. The paper itself cites 9.6% biloma after conventional TACE for liver metastases, about 30% biliary injury with none requiring drainage in the Guiu series, and 0% in de Baere's drug-eluting bead series using 500 to 700 micron particles, but runs no formal comparison and has no internal control arm.</w:t>
            </w:r>
          </w:p>
          <w:p>
            <w:pPr>
              <w:pStyle w:val="ListParagraph"/>
              <w:numPr>
                <w:ilvl w:val="0"/>
                <w:numId w:val="2"/>
              </w:numPr>
              <w:spacing w:after="45"/>
            </w:pPr>
            <w:r>
              <w:rPr>
                <w:sz w:val="15"/>
                <w:szCs w:val="15"/>
              </w:rPr>
              <w:t xml:space="preserve">Mean age is 64 in Table 1 and 65 in the abstract, and the discussion states that 92% had stable disease at 1 month, a figure that matches neither Table 6 nor Table 7.</w:t>
            </w:r>
          </w:p>
          <w:p>
            <w:pPr>
              <w:pStyle w:val="ListParagraph"/>
              <w:numPr>
                <w:ilvl w:val="0"/>
                <w:numId w:val="2"/>
              </w:numPr>
              <w:spacing w:after="45"/>
            </w:pPr>
            <w:r>
              <w:rPr>
                <w:sz w:val="15"/>
                <w:szCs w:val="15"/>
              </w:rPr>
              <w:t xml:space="preserve">A PubMed search found no linked editorial or comment, so the biliary-injury signal reached the literature without independent appraisal until the RETNET trial closed its drug-eluting bead arm.</w:t>
            </w:r>
          </w:p>
        </w:tc>
      </w:tr>
    </w:tbl>
    <w:p>
      <w:pPr>
        <w:spacing w:after="0" w:line="276"/>
      </w:pPr>
      <w:r>
        <w:rPr>
          <w:color w:val="5A6069"/>
          <w:sz w:val="14"/>
          <w:szCs w:val="14"/>
        </w:rPr>
        <w:t xml:space="preserve">Funding: Partially funded by National Institutes of Health Grant R01 CA160771-2 and by BioCompatibles UK Ltd, the manufacturer of the drug-eluting bead under study. N. Bhagat, M. Lin and J.-F. Geschwind were partially funded by the NIH grant; J.-F. Geschwind was partially funded by Biocompatibles UK Ltd.</w:t>
      </w:r>
    </w:p>
    <w:p>
      <w:pPr>
        <w:keepNext/>
        <w:spacing w:after="50" w:before="260"/>
      </w:pPr>
      <w:r>
        <w:rPr>
          <w:rFonts w:ascii="Cambria" w:cs="Cambria" w:eastAsia="Cambria" w:hAnsi="Cambria"/>
          <w:b/>
          <w:bCs/>
          <w:color w:val="17365D"/>
          <w:sz w:val="20"/>
          <w:szCs w:val="20"/>
        </w:rPr>
        <w:t xml:space="preserve">E2211 CAPTEM</w:t>
      </w:r>
      <w:r>
        <w:rPr>
          <w:b/>
          <w:bCs/>
          <w:color w:val="176A87"/>
          <w:sz w:val="15"/>
          <w:szCs w:val="15"/>
        </w:rPr>
        <w:t xml:space="preserve">   Randomised trial</w:t>
      </w:r>
      <w:r>
        <w:rPr>
          <w:color w:val="5A6069"/>
          <w:sz w:val="15"/>
          <w:szCs w:val="15"/>
        </w:rPr>
        <w:t xml:space="preserve">   PMID 36260828</w:t>
      </w:r>
    </w:p>
    <w:p>
      <w:pPr>
        <w:spacing w:after="50" w:line="276"/>
      </w:pPr>
      <w:r>
        <w:rPr>
          <w:color w:val="5A6069"/>
          <w:sz w:val="17"/>
          <w:szCs w:val="17"/>
        </w:rPr>
        <w:t xml:space="preserve">Randomized Study of Temozolomide or Temozolomide and Capecitabine in Patients With Advanced Pancreatic Neuroendocrine Tumors (ECOG-ACRIN E2211)</w:t>
      </w:r>
    </w:p>
    <w:p>
      <w:pPr>
        <w:spacing w:after="50"/>
      </w:pPr>
      <w:r>
        <w:rPr>
          <w:b/>
          <w:bCs/>
          <w:color w:val="176A87"/>
          <w:sz w:val="16"/>
          <w:szCs w:val="16"/>
        </w:rPr>
        <w:t xml:space="preserve">Population. </w:t>
      </w:r>
      <w:r>
        <w:rPr>
          <w:sz w:val="16"/>
          <w:szCs w:val="16"/>
        </w:rPr>
        <w:t xml:space="preserve">144 patients with advanced progressive low- or intermediate-grade pancreatic neuroendocrine tumours randomised 1:1 across ECOG-ACRIN sites from 2013 to 2016, of whom 133 were eligible for analysis (65 temozolomide, 68 capecitabine plus temozolomide); over 92% had liver metastases, and MGMT was assessed by immunohistochemistry in 97 and by promoter methylation in 57.</w:t>
      </w:r>
    </w:p>
    <w:p>
      <w:pPr>
        <w:spacing w:after="70"/>
      </w:pPr>
      <w:r>
        <w:rPr>
          <w:b/>
          <w:bCs/>
          <w:color w:val="17365D"/>
          <w:sz w:val="16"/>
          <w:szCs w:val="16"/>
        </w:rPr>
        <w:t xml:space="preserve">Bottom line. </w:t>
      </w:r>
      <w:r>
        <w:rPr>
          <w:sz w:val="16"/>
          <w:szCs w:val="16"/>
        </w:rPr>
        <w:t xml:space="preserve">E2211 is the only randomised evidence for capecitabine plus temozolomide in advanced progressive pancreatic neuroendocrine tumours, and at its interim analysis it met its primary endpoint with a median progression-free survival of 22.7 against 14.4 months. The threshold it met was an adjusted two-sided alpha of 0.119, and in the final analysis the hazard ratio was 0.71 (95% CI 0.46-1.07), overall survival was 53.8 against 58.7 months (P=0.42) and the response rate did not differ at all (39.7% against 33.8%, P=0.59) while grade 3-4 toxicity doubled. What it establishes is that temozolomide-based treatment produces response rates far above everolimus, sunitinib or a somatostatin analogue in this disease; what it does not establish is that adding capecitabine is responsible, or that any of this lengthens life.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absence of a non-temozolomide control arm precludes any definitive conclusion about whether MGMT deficiency is predictive rather than merely associated with response.</w:t>
            </w:r>
          </w:p>
          <w:p>
            <w:pPr>
              <w:pStyle w:val="ListParagraph"/>
              <w:numPr>
                <w:ilvl w:val="0"/>
                <w:numId w:val="2"/>
              </w:numPr>
              <w:spacing w:after="45"/>
            </w:pPr>
            <w:r>
              <w:rPr>
                <w:sz w:val="15"/>
                <w:szCs w:val="15"/>
              </w:rPr>
              <w:t xml:space="preserve">MGMT promoter methylation does not fully explain MGMT downregulation, since many more patients had low expression by immunohistochemistry, and the authors state there is insufficient evidence to support routine MGMT testing in metastatic pancreatic NET.</w:t>
            </w:r>
          </w:p>
          <w:p>
            <w:pPr>
              <w:pStyle w:val="ListParagraph"/>
              <w:numPr>
                <w:ilvl w:val="0"/>
                <w:numId w:val="2"/>
              </w:numPr>
              <w:spacing w:after="45"/>
            </w:pPr>
            <w:r>
              <w:rPr>
                <w:sz w:val="15"/>
                <w:szCs w:val="15"/>
              </w:rPr>
              <w:t xml:space="preserve">The absence of an overall survival benefit is attributed to relatively long survival, the effect of poststudy treatments and lack of statistical power to detect a difference.</w:t>
            </w:r>
          </w:p>
          <w:p>
            <w:pPr>
              <w:pStyle w:val="ListParagraph"/>
              <w:numPr>
                <w:ilvl w:val="0"/>
                <w:numId w:val="2"/>
              </w:numPr>
              <w:spacing w:after="45"/>
            </w:pPr>
            <w:r>
              <w:rPr>
                <w:sz w:val="15"/>
                <w:szCs w:val="15"/>
              </w:rPr>
              <w:t xml:space="preserve">Time from diagnosis was longer in the combination arm (34.3 versus 25.5 months), which the authors say could have dampened the efficacy result in that arm.</w:t>
            </w:r>
          </w:p>
          <w:p>
            <w:pPr>
              <w:pStyle w:val="ListParagraph"/>
              <w:numPr>
                <w:ilvl w:val="0"/>
                <w:numId w:val="2"/>
              </w:numPr>
              <w:spacing w:after="45"/>
            </w:pPr>
            <w:r>
              <w:rPr>
                <w:sz w:val="15"/>
                <w:szCs w:val="15"/>
              </w:rPr>
              <w:t xml:space="preserve">Second primary cancers in 4% and 5% may reflect the long median follow-up of 59.9 months and the known association of neuroendocrine tumours with second primaries; the authors call for better characterisation of these toxicities in future studies.</w:t>
            </w:r>
          </w:p>
          <w:p>
            <w:pPr>
              <w:pStyle w:val="ListParagraph"/>
              <w:numPr>
                <w:ilvl w:val="0"/>
                <w:numId w:val="2"/>
              </w:numPr>
              <w:spacing w:after="45"/>
            </w:pPr>
            <w:r>
              <w:rPr>
                <w:sz w:val="15"/>
                <w:szCs w:val="15"/>
              </w:rPr>
              <w:t xml:space="preserve">177Lu-DOTATATE has never been evaluated in a randomised trial in pancreatic NET, so no accurate comparison of progression-free survival with that option is possible.</w:t>
            </w:r>
          </w:p>
          <w:p>
            <w:pPr>
              <w:pStyle w:val="ListParagraph"/>
              <w:numPr>
                <w:ilvl w:val="0"/>
                <w:numId w:val="2"/>
              </w:numPr>
              <w:spacing w:after="45"/>
            </w:pPr>
            <w:r>
              <w:rPr>
                <w:sz w:val="15"/>
                <w:szCs w:val="15"/>
              </w:rPr>
              <w:t xml:space="preserve">The subgroup who had MGMT testing differed from the study population by sex, with a female predominance among those tested by promoter methylation against a male predominance overall.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was declared positive against an adjusted two-sided alpha of 0.119 at 76% information time, a threshold no phase III trial would accept, and the effect then attenuated: the final hazard ratio was 0.71 with a confidence interval of 0.46 to 1.07, and the grade-adjusted figure 0.63 (0.39-1.01). Both cross 1.</w:t>
            </w:r>
          </w:p>
          <w:p>
            <w:pPr>
              <w:pStyle w:val="ListParagraph"/>
              <w:numPr>
                <w:ilvl w:val="0"/>
                <w:numId w:val="2"/>
              </w:numPr>
              <w:spacing w:after="45"/>
            </w:pPr>
            <w:r>
              <w:rPr>
                <w:sz w:val="15"/>
                <w:szCs w:val="15"/>
              </w:rPr>
              <w:t xml:space="preserve">The numbers in general circulation are the interim ones. The abstract conclusion and most citations use 22.7 against 14.4 months with HR 0.58, the values from the analysis that triggered the stop, rather than the final 23.2 against 15.1 months with a non-significant hazard ratio.</w:t>
            </w:r>
          </w:p>
          <w:p>
            <w:pPr>
              <w:pStyle w:val="ListParagraph"/>
              <w:numPr>
                <w:ilvl w:val="0"/>
                <w:numId w:val="2"/>
              </w:numPr>
              <w:spacing w:after="45"/>
            </w:pPr>
            <w:r>
              <w:rPr>
                <w:sz w:val="15"/>
                <w:szCs w:val="15"/>
              </w:rPr>
              <w:t xml:space="preserve">The response-rate advantage the combination is credited with does not exist in this trial: 39.7% against 33.8%, P=0.59. The discussion nonetheless sets its 39.7% against lanreotide at 2%, everolimus at 5% and sunitinib at 9% to argue that temozolomide-based regimens stand apart, when the trial's own randomised comparison shows that single-agent temozolomide achieves the same thing. The response argument supports temozolomide, not the addition of capecitabine.</w:t>
            </w:r>
          </w:p>
          <w:p>
            <w:pPr>
              <w:pStyle w:val="ListParagraph"/>
              <w:numPr>
                <w:ilvl w:val="0"/>
                <w:numId w:val="2"/>
              </w:numPr>
              <w:spacing w:after="45"/>
            </w:pPr>
            <w:r>
              <w:rPr>
                <w:sz w:val="15"/>
                <w:szCs w:val="15"/>
              </w:rPr>
              <w:t xml:space="preserve">An apparently large interim survival benefit evaporated. At interim, median overall survival was 38 months against not reached, HR 0.41, P=0.012; at final analysis it was 53.8 against 58.7 months, HR 0.82, P=0.42. A trial that stopped accrual on the strength of its interim data produced two interim signals, both of which shrank.</w:t>
            </w:r>
          </w:p>
          <w:p>
            <w:pPr>
              <w:pStyle w:val="ListParagraph"/>
              <w:numPr>
                <w:ilvl w:val="0"/>
                <w:numId w:val="2"/>
              </w:numPr>
              <w:spacing w:after="45"/>
            </w:pPr>
            <w:r>
              <w:rPr>
                <w:sz w:val="15"/>
                <w:szCs w:val="15"/>
              </w:rPr>
              <w:t xml:space="preserve">The explanation offered for the survival null cannot be examined, because poststudy treatment data were not collected at all. Subsequent therapy is invoked as the reason and no record of it exists.</w:t>
            </w:r>
          </w:p>
          <w:p>
            <w:pPr>
              <w:pStyle w:val="ListParagraph"/>
              <w:numPr>
                <w:ilvl w:val="0"/>
                <w:numId w:val="2"/>
              </w:numPr>
              <w:spacing w:after="45"/>
            </w:pPr>
            <w:r>
              <w:rPr>
                <w:sz w:val="15"/>
                <w:szCs w:val="15"/>
              </w:rPr>
              <w:t xml:space="preserve">Eleven of 144 randomised patients were excluded from the analysed population, three of them after central pathology review, so the eligible population of 133 is defined partly by assessments made after randomisation.</w:t>
            </w:r>
          </w:p>
          <w:p>
            <w:pPr>
              <w:pStyle w:val="ListParagraph"/>
              <w:numPr>
                <w:ilvl w:val="0"/>
                <w:numId w:val="2"/>
              </w:numPr>
              <w:spacing w:after="45"/>
            </w:pPr>
            <w:r>
              <w:rPr>
                <w:sz w:val="15"/>
                <w:szCs w:val="15"/>
              </w:rPr>
              <w:t xml:space="preserve">Entry required radiographic progression within 12 months and the paper states that progression was not defined by RECIST 1.1, so the eligibility criterion that makes this a trial in progressive disease rested on local judgement.</w:t>
            </w:r>
          </w:p>
          <w:p>
            <w:pPr>
              <w:pStyle w:val="ListParagraph"/>
              <w:numPr>
                <w:ilvl w:val="0"/>
                <w:numId w:val="2"/>
              </w:numPr>
              <w:spacing w:after="45"/>
            </w:pPr>
            <w:r>
              <w:rPr>
                <w:sz w:val="15"/>
                <w:szCs w:val="15"/>
              </w:rPr>
              <w:t xml:space="preserve">Central pathology review found more grade 2 tumours in the temozolomide arm, and time from diagnosis differed by nine months between arms. In a 133-patient trial these imbalances are the size of the effect being measured, and the only adjustment offered is the grade-adjusted hazard ratio, which is also non-significant.</w:t>
            </w:r>
          </w:p>
          <w:p>
            <w:pPr>
              <w:pStyle w:val="ListParagraph"/>
              <w:numPr>
                <w:ilvl w:val="0"/>
                <w:numId w:val="2"/>
              </w:numPr>
              <w:spacing w:after="45"/>
            </w:pPr>
            <w:r>
              <w:rPr>
                <w:sz w:val="15"/>
                <w:szCs w:val="15"/>
              </w:rPr>
              <w:t xml:space="preserve">The MGMT methylation result rests on seven patients. An odds ratio of 9.79 with a confidence interval from 1.09 to 87.71 spans nearly two orders of magnitude, the methylation subgroup was tested in 57 of 133 patients, the immunohistochemistry subgroup in 97, and the tested patients differed from the trial population by sex.</w:t>
            </w:r>
          </w:p>
          <w:p>
            <w:pPr>
              <w:pStyle w:val="ListParagraph"/>
              <w:numPr>
                <w:ilvl w:val="0"/>
                <w:numId w:val="2"/>
              </w:numPr>
              <w:spacing w:after="45"/>
            </w:pPr>
            <w:r>
              <w:rPr>
                <w:sz w:val="15"/>
                <w:szCs w:val="15"/>
              </w:rPr>
              <w:t xml:space="preserve">Because both arms received temozolomide, the MGMT finding cannot distinguish a predictive biomarker from a prognostic marker of temozolomide sensitivity. The authors say so plainly, and the result is nonetheless routinely cited as predictive.</w:t>
            </w:r>
          </w:p>
          <w:p>
            <w:pPr>
              <w:pStyle w:val="ListParagraph"/>
              <w:numPr>
                <w:ilvl w:val="0"/>
                <w:numId w:val="2"/>
              </w:numPr>
              <w:spacing w:after="45"/>
            </w:pPr>
            <w:r>
              <w:rPr>
                <w:sz w:val="15"/>
                <w:szCs w:val="15"/>
              </w:rPr>
              <w:t xml:space="preserve">Over 92% of patients had liver metastases and the paper reports no hepatic tumour burden, no liver-specific endpoint and no analysis by extent of liver involvement, so nothing here helps in choosing between this regimen and a liver-directed option.</w:t>
            </w:r>
          </w:p>
          <w:p>
            <w:pPr>
              <w:pStyle w:val="ListParagraph"/>
              <w:numPr>
                <w:ilvl w:val="0"/>
                <w:numId w:val="2"/>
              </w:numPr>
              <w:spacing w:after="45"/>
            </w:pPr>
            <w:r>
              <w:rPr>
                <w:sz w:val="15"/>
                <w:szCs w:val="15"/>
              </w:rPr>
              <w:t xml:space="preserve">Both arms were capped at 13 cycles, so the regimen tested is a fixed 13-cycle course and the trial says nothing about treatment continued to progression, which is how the combination is often given.</w:t>
            </w:r>
          </w:p>
          <w:p>
            <w:pPr>
              <w:pStyle w:val="ListParagraph"/>
              <w:numPr>
                <w:ilvl w:val="0"/>
                <w:numId w:val="2"/>
              </w:numPr>
              <w:spacing w:after="45"/>
            </w:pPr>
            <w:r>
              <w:rPr>
                <w:sz w:val="15"/>
                <w:szCs w:val="15"/>
              </w:rPr>
              <w:t xml:space="preserve">A great deal now rests on this result. The authors propose capecitabine and temozolomide as a standard option and as the comparator arm for future trials, and two NCTN studies have been built on it, an adjuvant trial (SWOG 2104) and a randomised comparison against 177Lu-DOTATATE (A022001), all descending from a phase II result declared at alpha 0.119 whose final hazard ratio includes no effect.</w:t>
            </w:r>
          </w:p>
          <w:p>
            <w:pPr>
              <w:pStyle w:val="ListParagraph"/>
              <w:numPr>
                <w:ilvl w:val="0"/>
                <w:numId w:val="2"/>
              </w:numPr>
              <w:spacing w:after="45"/>
            </w:pPr>
            <w:r>
              <w:rPr>
                <w:sz w:val="15"/>
                <w:szCs w:val="15"/>
              </w:rPr>
              <w:t xml:space="preserve">A PubMed search found no linked editorial or comment, so this trial entered practice without independent published appraisal.</w:t>
            </w:r>
          </w:p>
        </w:tc>
      </w:tr>
    </w:tbl>
    <w:p>
      <w:pPr>
        <w:spacing w:after="0" w:line="276"/>
      </w:pPr>
      <w:r>
        <w:rPr>
          <w:color w:val="5A6069"/>
          <w:sz w:val="14"/>
          <w:szCs w:val="14"/>
        </w:rPr>
        <w:t xml:space="preserve">Funding: Coordinated by the ECOG-ACRIN Cancer Research Group and supported by the National Cancer Institute of the National Institutes of Health under fourteen cooperative group awards (U10CA180820, U10CA180794, UG1CA233337, UG1CA233320, UG1CA233253, UG1CA233329, UG1CA233180, U10CA180888, UG1CA189863, U10CA180821, UG1CA233331, UG1CA233160, UG1CA189821, UG1CA233290). No industry sponsor; individual author disclosures include consulting for Merck, Taiho, Ipsen and Genentech/Roche and institutional research funding from Genentech/Roche and Merck, and are filed with the article rather than printed in it.</w:t>
      </w:r>
    </w:p>
    <w:p>
      <w:pPr>
        <w:keepNext/>
        <w:spacing w:after="50" w:before="260"/>
      </w:pPr>
      <w:r>
        <w:rPr>
          <w:rFonts w:ascii="Cambria" w:cs="Cambria" w:eastAsia="Cambria" w:hAnsi="Cambria"/>
          <w:b/>
          <w:bCs/>
          <w:color w:val="17365D"/>
          <w:sz w:val="20"/>
          <w:szCs w:val="20"/>
        </w:rPr>
        <w:t xml:space="preserve">EANM Focus 3</w:t>
      </w:r>
      <w:r>
        <w:rPr>
          <w:b/>
          <w:bCs/>
          <w:color w:val="176A87"/>
          <w:sz w:val="15"/>
          <w:szCs w:val="15"/>
        </w:rPr>
        <w:t xml:space="preserve">   Consensus statement</w:t>
      </w:r>
      <w:r>
        <w:rPr>
          <w:color w:val="5A6069"/>
          <w:sz w:val="15"/>
          <w:szCs w:val="15"/>
        </w:rPr>
        <w:t xml:space="preserve">   PMID 33588146</w:t>
      </w:r>
    </w:p>
    <w:p>
      <w:pPr>
        <w:spacing w:after="50" w:line="276"/>
      </w:pPr>
      <w:r>
        <w:rPr>
          <w:color w:val="5A6069"/>
          <w:sz w:val="17"/>
          <w:szCs w:val="17"/>
        </w:rPr>
        <w:t xml:space="preserve">Consensus on Molecular Imaging and Theranostics in Neuroendocrine Neoplasms</w:t>
      </w:r>
    </w:p>
    <w:p>
      <w:pPr>
        <w:spacing w:after="50"/>
      </w:pPr>
      <w:r>
        <w:rPr>
          <w:b/>
          <w:bCs/>
          <w:color w:val="176A87"/>
          <w:sz w:val="16"/>
          <w:szCs w:val="16"/>
        </w:rPr>
        <w:t xml:space="preserve">Population. </w:t>
      </w:r>
      <w:r>
        <w:rPr>
          <w:sz w:val="16"/>
          <w:szCs w:val="16"/>
        </w:rPr>
        <w:t xml:space="preserve">No patient cohort. A 24-member multidisciplinary panel voted on 43 questions over a modified three-round Delphi process, built on a systematic PubMed review to 16 March 2019 that identified 22 qualifying studies across five topics; denominators per question range from 20 to 24 because panellists could abstain or declare themselves unqualified.</w:t>
      </w:r>
    </w:p>
    <w:p>
      <w:pPr>
        <w:spacing w:after="70"/>
      </w:pPr>
      <w:r>
        <w:rPr>
          <w:b/>
          <w:bCs/>
          <w:color w:val="17365D"/>
          <w:sz w:val="16"/>
          <w:szCs w:val="16"/>
        </w:rPr>
        <w:t xml:space="preserve">Bottom line. </w:t>
      </w:r>
      <w:r>
        <w:rPr>
          <w:sz w:val="16"/>
          <w:szCs w:val="16"/>
        </w:rPr>
        <w:t xml:space="preserve">This is the document that fixed current practice in somatostatin receptor imaging and PRRT selection: Ga-68-DOTA-SSA PET/CT as the preferred technique and as necessary alongside CT or MRI at staging and restaging, FDG PET to find the mismatched lesion, and PRRT as second line after a somatostatin analogue in gastrointestinal NET with Krenning 3 to 4 uptake in all metastases. What it does not settle is almost everything a tumour board argues about: consensus failed on 12 of 43 questions including second-line therapy in pancreatic NET, the point in the sequence at which PRRT belongs, PRRT with mismatched lesions and neoadjuvant PRRT. The recommendations rest on 22 qualifying studies with no quality grading, several pass at 50 to 58% agreement, the search predates NETTER-1's negative survival analysis, and the meeting was funded by the manufacturers of the drugs and scanners being recommended.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names its own consensus threshold as a limitation: in multiple-option questions only 50% preferring one answer was required, so several reported statements rest on 54 to 58% agreement.</w:t>
            </w:r>
          </w:p>
          <w:p>
            <w:pPr>
              <w:pStyle w:val="ListParagraph"/>
              <w:numPr>
                <w:ilvl w:val="0"/>
                <w:numId w:val="2"/>
              </w:numPr>
              <w:spacing w:after="45"/>
            </w:pPr>
            <w:r>
              <w:rPr>
                <w:sz w:val="15"/>
                <w:szCs w:val="15"/>
              </w:rPr>
              <w:t xml:space="preserve">Consensus failed on 12 of 43 questions, several of them management-deciding, and the panel tabulates them: second-line therapy for non-resectable pancreatic NET (PRRT reached only 65 to 70%), the right point in the sequence for PRRT, PRRT for local non-resectable disease, PRRT with mismatched lesions, and neoadjuvant PRRT.</w:t>
            </w:r>
          </w:p>
          <w:p>
            <w:pPr>
              <w:pStyle w:val="ListParagraph"/>
              <w:numPr>
                <w:ilvl w:val="0"/>
                <w:numId w:val="2"/>
              </w:numPr>
              <w:spacing w:after="45"/>
            </w:pPr>
            <w:r>
              <w:rPr>
                <w:sz w:val="15"/>
                <w:szCs w:val="15"/>
              </w:rPr>
              <w:t xml:space="preserve">The panel declined to recommend PRRT as second line in pancreatic NET because no study compares PRRT with sunitinib, everolimus or streptozocin-based chemotherapy, so the headline second-line statement applies to gastrointestinal primaries only.</w:t>
            </w:r>
          </w:p>
          <w:p>
            <w:pPr>
              <w:pStyle w:val="ListParagraph"/>
              <w:numPr>
                <w:ilvl w:val="0"/>
                <w:numId w:val="2"/>
              </w:numPr>
              <w:spacing w:after="45"/>
            </w:pPr>
            <w:r>
              <w:rPr>
                <w:sz w:val="15"/>
                <w:szCs w:val="15"/>
              </w:rPr>
              <w:t xml:space="preserve">The criteria defining the disease stability that licenses PRRT rechallenge are acknowledged to be unstandardised, with trials lacking.</w:t>
            </w:r>
          </w:p>
          <w:p>
            <w:pPr>
              <w:pStyle w:val="ListParagraph"/>
              <w:numPr>
                <w:ilvl w:val="0"/>
                <w:numId w:val="2"/>
              </w:numPr>
              <w:spacing w:after="45"/>
            </w:pPr>
            <w:r>
              <w:rPr>
                <w:sz w:val="15"/>
                <w:szCs w:val="15"/>
              </w:rPr>
              <w:t xml:space="preserve">Extension of PRRT to G3 NET rests on two small retrospective series restricted to Ki-67 under 55%.</w:t>
            </w:r>
          </w:p>
          <w:p>
            <w:pPr>
              <w:pStyle w:val="ListParagraph"/>
              <w:numPr>
                <w:ilvl w:val="0"/>
                <w:numId w:val="2"/>
              </w:numPr>
              <w:spacing w:after="45"/>
            </w:pPr>
            <w:r>
              <w:rPr>
                <w:sz w:val="15"/>
                <w:szCs w:val="15"/>
              </w:rPr>
              <w:t xml:space="preserve">Panellists were drawn from high-volume centres with full access to Ga-68-DOTA-SSA PET/CT and PRRT, while a 2017 survey of 443 respondents in 26 countries found both perceived as limited, and 56 of 60 ENETS centres of excellence are in Europe.</w:t>
            </w:r>
          </w:p>
          <w:p>
            <w:pPr>
              <w:pStyle w:val="ListParagraph"/>
              <w:numPr>
                <w:ilvl w:val="0"/>
                <w:numId w:val="2"/>
              </w:numPr>
              <w:spacing w:after="45"/>
            </w:pPr>
            <w:r>
              <w:rPr>
                <w:sz w:val="15"/>
                <w:szCs w:val="15"/>
              </w:rPr>
              <w:t xml:space="preserve">The panel stresses that RECIST size criteria capture slow-growing NET poorly, and that PET/CT can miss small liver lesions against high background which arterial-phase or hepatocyte-specific MRI detects better.</w:t>
            </w:r>
          </w:p>
          <w:p>
            <w:pPr>
              <w:pStyle w:val="ListParagraph"/>
              <w:numPr>
                <w:ilvl w:val="0"/>
                <w:numId w:val="2"/>
              </w:numPr>
              <w:spacing w:after="45"/>
            </w:pPr>
            <w:r>
              <w:rPr>
                <w:sz w:val="15"/>
                <w:szCs w:val="15"/>
              </w:rPr>
              <w:t xml:space="preserve">The document records that its recommendations conflict with other guidance: it rejects F-18-DOPA for small intestine NET although EANM guidelines list it as an additional first choice, and on monitoring EANM favours Ga-68-DOTA-SSA, ESMO favours CT and NCCN recommends SSTR imaging only at 12 to 36 months, while this panel reached no consensus at all.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Every company whose product the consensus recommends paid for the meeting. The EANM Focus 3 meeting was supported by unrestricted grants from Advanced Accelerator Applications (Novartis), which markets Lu-177-DOTATATE, ITM, which supplies the radioisotope, Ipsen, which markets lanreotide, and Siemens Healthineers, which makes PET scanners. The declaration of interests then records fees, grants or advisory roles with those same companies for almost every panellist.</w:t>
            </w:r>
          </w:p>
          <w:p>
            <w:pPr>
              <w:pStyle w:val="ListParagraph"/>
              <w:numPr>
                <w:ilvl w:val="0"/>
                <w:numId w:val="2"/>
              </w:numPr>
              <w:spacing w:after="45"/>
            </w:pPr>
            <w:r>
              <w:rPr>
                <w:sz w:val="15"/>
                <w:szCs w:val="15"/>
              </w:rPr>
              <w:t xml:space="preserve">The assurance that sponsors had no direct or indirect influence is an assertion, not a procedure. No recusal rule, no independent non-conflicted chair, no conflict-weighted voting and no blinded vote collection is described anywhere in the methods.</w:t>
            </w:r>
          </w:p>
          <w:p>
            <w:pPr>
              <w:pStyle w:val="ListParagraph"/>
              <w:numPr>
                <w:ilvl w:val="0"/>
                <w:numId w:val="2"/>
              </w:numPr>
              <w:spacing w:after="45"/>
            </w:pPr>
            <w:r>
              <w:rPr>
                <w:sz w:val="15"/>
                <w:szCs w:val="15"/>
              </w:rPr>
              <w:t xml:space="preserve">The panel's composition is weighted toward the speciality that provides the tests. Nine of 24 members are nuclear medicine physicians against one surgeon, one pathologist, one gastroenterologist and two radiologists, and the panel voted that Ga-68-DOTA-SSA PET/CT is necessary at staging in all NET, at restaging after both curative and non-curative surgery, and before PRRT.</w:t>
            </w:r>
          </w:p>
          <w:p>
            <w:pPr>
              <w:pStyle w:val="ListParagraph"/>
              <w:numPr>
                <w:ilvl w:val="0"/>
                <w:numId w:val="2"/>
              </w:numPr>
              <w:spacing w:after="45"/>
            </w:pPr>
            <w:r>
              <w:rPr>
                <w:sz w:val="15"/>
                <w:szCs w:val="15"/>
              </w:rPr>
              <w:t xml:space="preserve">The evidence base is thinner than the output. Twenty-two qualifying studies across five topics is about four per topic, no risk-of-bias appraisal or GRADE rating is attached to any statement, and the document makes 31 recommendations from that base.</w:t>
            </w:r>
          </w:p>
          <w:p>
            <w:pPr>
              <w:pStyle w:val="ListParagraph"/>
              <w:numPr>
                <w:ilvl w:val="0"/>
                <w:numId w:val="2"/>
              </w:numPr>
              <w:spacing w:after="45"/>
            </w:pPr>
            <w:r>
              <w:rPr>
                <w:sz w:val="15"/>
                <w:szCs w:val="15"/>
              </w:rPr>
              <w:t xml:space="preserve">The percentages are not comparable with one another. Denominators move between 20 and 24 question by question because panellists could abstain or declare themselves unqualified, so 95.2% is 20 of 21 and 70.0% is 14 of 20, and no overall agreement statistic for the exercise is reported.</w:t>
            </w:r>
          </w:p>
          <w:p>
            <w:pPr>
              <w:pStyle w:val="ListParagraph"/>
              <w:numPr>
                <w:ilvl w:val="0"/>
                <w:numId w:val="2"/>
              </w:numPr>
              <w:spacing w:after="45"/>
            </w:pPr>
            <w:r>
              <w:rPr>
                <w:sz w:val="15"/>
                <w:szCs w:val="15"/>
              </w:rPr>
              <w:t xml:space="preserve">The literature search closed on 16 March 2019 and the meeting was held in February 2020, so NETTER-1's final overall survival analysis, published in 2021 and showing no significant survival benefit, could not inform any PRRT recommendation here. The PRRT statements rest on the positive progression-free survival report alone.</w:t>
            </w:r>
          </w:p>
          <w:p>
            <w:pPr>
              <w:pStyle w:val="ListParagraph"/>
              <w:numPr>
                <w:ilvl w:val="0"/>
                <w:numId w:val="2"/>
              </w:numPr>
              <w:spacing w:after="45"/>
            </w:pPr>
            <w:r>
              <w:rPr>
                <w:sz w:val="15"/>
                <w:szCs w:val="15"/>
              </w:rPr>
              <w:t xml:space="preserve">Allowing progression to be declared on new lesions at SSTR imaging with a stable CT changes who gets treated and when, and the criterion is adopted without validation against any outcome, in the same document that reached no consensus on monitoring interval or modality.</w:t>
            </w:r>
          </w:p>
          <w:p>
            <w:pPr>
              <w:pStyle w:val="ListParagraph"/>
              <w:numPr>
                <w:ilvl w:val="0"/>
                <w:numId w:val="2"/>
              </w:numPr>
              <w:spacing w:after="45"/>
            </w:pPr>
            <w:r>
              <w:rPr>
                <w:sz w:val="15"/>
                <w:szCs w:val="15"/>
              </w:rPr>
              <w:t xml:space="preserve">Two of the dosimetry statements pull against each other and both sit near the consensus floor: dosimetry belongs in clinical trials (12 of 21, 57.1%) while administered activity should be adapted to dosimetry or to patient factors (14 of 21, 66.7%).</w:t>
            </w:r>
          </w:p>
          <w:p>
            <w:pPr>
              <w:pStyle w:val="ListParagraph"/>
              <w:numPr>
                <w:ilvl w:val="0"/>
                <w:numId w:val="2"/>
              </w:numPr>
              <w:spacing w:after="45"/>
            </w:pPr>
            <w:r>
              <w:rPr>
                <w:sz w:val="15"/>
                <w:szCs w:val="15"/>
              </w:rPr>
              <w:t xml:space="preserve">Making Ga-68-DOTA-SSA PET/CT necessary at staging and restaging in all NET has resource consequences the document never addresses. No cost, capacity or access analysis accompanies the recommendation, in a paper that itself cites survey evidence of limited availability.</w:t>
            </w:r>
          </w:p>
          <w:p>
            <w:pPr>
              <w:pStyle w:val="ListParagraph"/>
              <w:numPr>
                <w:ilvl w:val="0"/>
                <w:numId w:val="2"/>
              </w:numPr>
              <w:spacing w:after="45"/>
            </w:pPr>
            <w:r>
              <w:rPr>
                <w:sz w:val="15"/>
                <w:szCs w:val="15"/>
              </w:rPr>
              <w:t xml:space="preserve">One of the 24 panellists is a patient advocate and no patient-reported outcome, quality-of-life or cost consideration appears in any of the 31 recommendations.</w:t>
            </w:r>
          </w:p>
          <w:p>
            <w:pPr>
              <w:pStyle w:val="ListParagraph"/>
              <w:numPr>
                <w:ilvl w:val="0"/>
                <w:numId w:val="2"/>
              </w:numPr>
              <w:spacing w:after="45"/>
            </w:pPr>
            <w:r>
              <w:rPr>
                <w:sz w:val="15"/>
                <w:szCs w:val="15"/>
              </w:rPr>
              <w:t xml:space="preserve">Medical writing was provided by a commercial medical writing firm and project management by the sponsoring society's own staff, in a document whose authority rests on being an independent consensus.</w:t>
            </w:r>
          </w:p>
          <w:p>
            <w:pPr>
              <w:pStyle w:val="ListParagraph"/>
              <w:numPr>
                <w:ilvl w:val="0"/>
                <w:numId w:val="2"/>
              </w:numPr>
              <w:spacing w:after="45"/>
            </w:pPr>
            <w:r>
              <w:rPr>
                <w:sz w:val="15"/>
                <w:szCs w:val="15"/>
              </w:rPr>
              <w:t xml:space="preserve">A PubMed search found no linked editorial or comment, so this consensus entered the literature without published external appraisal.</w:t>
            </w:r>
          </w:p>
        </w:tc>
      </w:tr>
    </w:tbl>
    <w:p>
      <w:pPr>
        <w:spacing w:after="0" w:line="276"/>
      </w:pPr>
      <w:r>
        <w:rPr>
          <w:color w:val="5A6069"/>
          <w:sz w:val="14"/>
          <w:szCs w:val="14"/>
        </w:rPr>
        <w:t xml:space="preserve">Funding: The EANM Focus 3 meeting was funded by the EANM and supported by unrestricted grants from Advanced Accelerator Applications (a Novartis company), ITM Isotopen Technologien Munchen AG, Ipsen and Siemens Healthineers; the paper states these sponsors had no direct or indirect influence on the programme, content or writing. Medical writing services were provided by Bean Medical Writing. Almost every panellist declares personal fees, grants or advisory roles with Advanced Accelerator Applications/Novartis, Ipsen, ITM, Bayer, Telix, Curium, Siemens Healthineers or related companies, and one declares participation in the NETTER-1 and COMPETE trials.</w:t>
      </w:r>
    </w:p>
    <w:p>
      <w:pPr>
        <w:keepNext/>
        <w:spacing w:after="50" w:before="260"/>
      </w:pPr>
      <w:r>
        <w:rPr>
          <w:rFonts w:ascii="Cambria" w:cs="Cambria" w:eastAsia="Cambria" w:hAnsi="Cambria"/>
          <w:b/>
          <w:bCs/>
          <w:color w:val="17365D"/>
          <w:sz w:val="20"/>
          <w:szCs w:val="20"/>
        </w:rPr>
        <w:t xml:space="preserve">ENETS 2023 functioning panNET</w:t>
      </w:r>
      <w:r>
        <w:rPr>
          <w:b/>
          <w:bCs/>
          <w:color w:val="176A87"/>
          <w:sz w:val="15"/>
          <w:szCs w:val="15"/>
        </w:rPr>
        <w:t xml:space="preserve">   Guideline</w:t>
      </w:r>
      <w:r>
        <w:rPr>
          <w:color w:val="5A6069"/>
          <w:sz w:val="15"/>
          <w:szCs w:val="15"/>
        </w:rPr>
        <w:t xml:space="preserve">   PMID 37578384</w:t>
      </w:r>
    </w:p>
    <w:p>
      <w:pPr>
        <w:spacing w:after="50" w:line="276"/>
      </w:pPr>
      <w:r>
        <w:rPr>
          <w:color w:val="5A6069"/>
          <w:sz w:val="17"/>
          <w:szCs w:val="17"/>
        </w:rPr>
        <w:t xml:space="preserve">European Neuroendocrine Tumor Society 2023 guidance paper for functioning pancreatic neuroendocrine tumour syndromes</w:t>
      </w:r>
    </w:p>
    <w:p>
      <w:pPr>
        <w:spacing w:after="50"/>
      </w:pPr>
      <w:r>
        <w:rPr>
          <w:b/>
          <w:bCs/>
          <w:color w:val="176A87"/>
          <w:sz w:val="16"/>
          <w:szCs w:val="16"/>
        </w:rPr>
        <w:t xml:space="preserve">Population. </w:t>
      </w:r>
      <w:r>
        <w:rPr>
          <w:sz w:val="16"/>
          <w:szCs w:val="16"/>
        </w:rPr>
        <w:t xml:space="preserve">No patient cohort. Nine clinical questions agreed at an ENETS Guidance Paper Consensus Meeting on 13 October 2022, each answered with a level of evidence (1a to 5) and a strength of recommendation (A to D).</w:t>
      </w:r>
    </w:p>
    <w:p>
      <w:pPr>
        <w:spacing w:after="70"/>
      </w:pPr>
      <w:r>
        <w:rPr>
          <w:b/>
          <w:bCs/>
          <w:color w:val="17365D"/>
          <w:sz w:val="16"/>
          <w:szCs w:val="16"/>
        </w:rPr>
        <w:t xml:space="preserve">Bottom line. </w:t>
      </w:r>
      <w:r>
        <w:rPr>
          <w:sz w:val="16"/>
          <w:szCs w:val="16"/>
        </w:rPr>
        <w:t xml:space="preserve">This is the European reference for the functioning pancreatic NET syndromes, and its firm content is diagnostic and operative at the primary: gastrin above ten times normal with a gastric pH of 2 or less off acid suppression, a documented Whipple triad with a 72-hour fast for insulinoma, parenchyma-sparing resection without lymphadenectomy for insulinoma, and lymphadenectomy with duodenotomy for gastrinoma. For liver metastases it offers almost nothing usable: cytoreduction is endorsed at a target of 70% to 90% or more, a twenty-point range with no rule for choosing within it, and transarterial options are listed as equivalent alternatives with chemoembolisation called possibly better than bland on no comparative data. Every surgical and interventional statement carries level 2b to 5 evidence, and the MEN1 operation is explicitly left unresolved.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Almost every statement rests on level 3 to 5 evidence, that is case series and expert opinion, and the grades printed with the recommendations say so; no randomised data support any surgical or interventional recommendation in functioning pancreatic NET.</w:t>
            </w:r>
          </w:p>
          <w:p>
            <w:pPr>
              <w:pStyle w:val="ListParagraph"/>
              <w:numPr>
                <w:ilvl w:val="0"/>
                <w:numId w:val="2"/>
              </w:numPr>
              <w:spacing w:after="45"/>
            </w:pPr>
            <w:r>
              <w:rPr>
                <w:sz w:val="15"/>
                <w:szCs w:val="15"/>
              </w:rPr>
              <w:t xml:space="preserve">The timing and type of surgery for MEN1-related Zollinger-Ellison syndrome is explicitly called controversial and individualised, and the trade-off between about 30% cure of hypergastrinaemia at 5 years after duodenotomy and 60% to 80% at 10 years after pancreaticoduodenectomy is left to a conversation with the patient.</w:t>
            </w:r>
          </w:p>
          <w:p>
            <w:pPr>
              <w:pStyle w:val="ListParagraph"/>
              <w:numPr>
                <w:ilvl w:val="0"/>
                <w:numId w:val="2"/>
              </w:numPr>
              <w:spacing w:after="45"/>
            </w:pPr>
            <w:r>
              <w:rPr>
                <w:sz w:val="15"/>
                <w:szCs w:val="15"/>
              </w:rPr>
              <w:t xml:space="preserve">The diagnostic cutoffs for the rarer syndromes are conceded to be unvalidated.</w:t>
            </w:r>
          </w:p>
          <w:p>
            <w:pPr>
              <w:pStyle w:val="ListParagraph"/>
              <w:numPr>
                <w:ilvl w:val="0"/>
                <w:numId w:val="2"/>
              </w:numPr>
              <w:spacing w:after="45"/>
            </w:pPr>
            <w:r>
              <w:rPr>
                <w:sz w:val="15"/>
                <w:szCs w:val="15"/>
              </w:rPr>
              <w:t xml:space="preserve">The existence of a true somatostatinoma syndrome is questioned, and the WHO classification now reserves the term for symptomatic cases only.</w:t>
            </w:r>
          </w:p>
          <w:p>
            <w:pPr>
              <w:pStyle w:val="ListParagraph"/>
              <w:numPr>
                <w:ilvl w:val="0"/>
                <w:numId w:val="2"/>
              </w:numPr>
              <w:spacing w:after="45"/>
            </w:pPr>
            <w:r>
              <w:rPr>
                <w:sz w:val="15"/>
                <w:szCs w:val="15"/>
              </w:rPr>
              <w:t xml:space="preserve">The alternative route to a gastrinoma diagnosis, combining symptoms, a raised gastrin and a duodenopancreatic NET on imaging, carries the weakest grade in the scheme [5, D].</w:t>
            </w:r>
          </w:p>
          <w:p>
            <w:pPr>
              <w:pStyle w:val="ListParagraph"/>
              <w:numPr>
                <w:ilvl w:val="0"/>
                <w:numId w:val="2"/>
              </w:numPr>
              <w:spacing w:after="45"/>
            </w:pPr>
            <w:r>
              <w:rPr>
                <w:sz w:val="15"/>
                <w:szCs w:val="15"/>
              </w:rPr>
              <w:t xml:space="preserve">The paper addresses hormonal control rather than oncological treatment of pancreatic NET, which is deferred to a companion guidance paper.</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cytoreduction target is written as a twenty-point range, 70% to 90% or more, with no guidance on which end applies to which patient. As printed it endorses the historic 90% convention and the newer 70% threshold simultaneously, which means it cannot be used to decide an operation.</w:t>
            </w:r>
          </w:p>
          <w:p>
            <w:pPr>
              <w:pStyle w:val="ListParagraph"/>
              <w:numPr>
                <w:ilvl w:val="0"/>
                <w:numId w:val="2"/>
              </w:numPr>
              <w:spacing w:after="45"/>
            </w:pPr>
            <w:r>
              <w:rPr>
                <w:sz w:val="15"/>
                <w:szCs w:val="15"/>
              </w:rPr>
              <w:t xml:space="preserve">Chemoembolisation is described as possibly more effective than bland embolisation on no comparative trial, in a disease where the only randomised comparison of embolotherapies closed one of its arms for severe complications rather than reporting efficacy.</w:t>
            </w:r>
          </w:p>
          <w:p>
            <w:pPr>
              <w:pStyle w:val="ListParagraph"/>
              <w:numPr>
                <w:ilvl w:val="0"/>
                <w:numId w:val="2"/>
              </w:numPr>
              <w:spacing w:after="45"/>
            </w:pPr>
            <w:r>
              <w:rPr>
                <w:sz w:val="15"/>
                <w:szCs w:val="15"/>
              </w:rPr>
              <w:t xml:space="preserve">The 40% response rate attributed to capecitabine and temozolomide comes from E2211, in which the combination's response rate did not differ from temozolomide alone (39.7% against 33.8%, P=0.59). Crediting that figure to the combination overstates what the trial showed.</w:t>
            </w:r>
          </w:p>
          <w:p>
            <w:pPr>
              <w:pStyle w:val="ListParagraph"/>
              <w:numPr>
                <w:ilvl w:val="0"/>
                <w:numId w:val="2"/>
              </w:numPr>
              <w:spacing w:after="45"/>
            </w:pPr>
            <w:r>
              <w:rPr>
                <w:sz w:val="15"/>
                <w:szCs w:val="15"/>
              </w:rPr>
              <w:t xml:space="preserve">PRRT's control of hypoglycaemia in 13 of 14 metastatic insulinomas is a fourteen-patient series carrying a recommendation, and the 9% hormonal flare rate is quoted without the denominator it came from.</w:t>
            </w:r>
          </w:p>
          <w:p>
            <w:pPr>
              <w:pStyle w:val="ListParagraph"/>
              <w:numPr>
                <w:ilvl w:val="0"/>
                <w:numId w:val="2"/>
              </w:numPr>
              <w:spacing w:after="45"/>
            </w:pPr>
            <w:r>
              <w:rPr>
                <w:sz w:val="15"/>
                <w:szCs w:val="15"/>
              </w:rPr>
              <w:t xml:space="preserve">Systematic peripancreatic lymphadenectomy for sporadic gastrinoma is given grade A on level 3 evidence, justified by a roughly 80% nodal metastasis rate even below 5 mm, with no data that clearing those nodes changes survival. A high prevalence of nodal disease is an argument for staging, not automatically for a bigger operation.</w:t>
            </w:r>
          </w:p>
          <w:p>
            <w:pPr>
              <w:pStyle w:val="ListParagraph"/>
              <w:numPr>
                <w:ilvl w:val="0"/>
                <w:numId w:val="2"/>
              </w:numPr>
              <w:spacing w:after="45"/>
            </w:pPr>
            <w:r>
              <w:rPr>
                <w:sz w:val="15"/>
                <w:szCs w:val="15"/>
              </w:rPr>
              <w:t xml:space="preserve">The grading is applied inconsistently. EUS-guided ablation for insulinoma carries level 2a with a weak grade C, while gastrinoma lymphadenectomy carries level 3 with the strongest grade A, so the letters and the numbers move independently of one another.</w:t>
            </w:r>
          </w:p>
          <w:p>
            <w:pPr>
              <w:pStyle w:val="ListParagraph"/>
              <w:numPr>
                <w:ilvl w:val="0"/>
                <w:numId w:val="2"/>
              </w:numPr>
              <w:spacing w:after="45"/>
            </w:pPr>
            <w:r>
              <w:rPr>
                <w:sz w:val="15"/>
                <w:szCs w:val="15"/>
              </w:rPr>
              <w:t xml:space="preserve">The enucleation criteria, a lesion under 2 to 3 cm and at least 3 mm from the main pancreatic duct, present a one-centimetre size band and a three-millimetre clearance as operative thresholds with no supporting measurement or outcome study.</w:t>
            </w:r>
          </w:p>
          <w:p>
            <w:pPr>
              <w:pStyle w:val="ListParagraph"/>
              <w:numPr>
                <w:ilvl w:val="0"/>
                <w:numId w:val="2"/>
              </w:numPr>
              <w:spacing w:after="45"/>
            </w:pPr>
            <w:r>
              <w:rPr>
                <w:sz w:val="15"/>
                <w:szCs w:val="15"/>
              </w:rPr>
              <w:t xml:space="preserve">Diagnosing gastrinoma requires measuring gastrin off proton pump inhibitors with a gastric pH of 2 or less, which exposes a patient with Zollinger-Ellison syndrome to acid-related complications during withdrawal. The requirement is stated at grade A without addressing that risk or specifying a safe withdrawal protocol.</w:t>
            </w:r>
          </w:p>
          <w:p>
            <w:pPr>
              <w:pStyle w:val="ListParagraph"/>
              <w:numPr>
                <w:ilvl w:val="0"/>
                <w:numId w:val="2"/>
              </w:numPr>
              <w:spacing w:after="45"/>
            </w:pPr>
            <w:r>
              <w:rPr>
                <w:sz w:val="15"/>
                <w:szCs w:val="15"/>
              </w:rPr>
              <w:t xml:space="preserve">The split between this document and the companion non-functioning pancreatic NET paper means a clinician treating a functioning pancreatic NET with liver metastases must combine two guidance papers that set different thresholds, and this one gives no Ki-67 limit for cytoreduction while ESMO sets 10%.</w:t>
            </w:r>
          </w:p>
          <w:p>
            <w:pPr>
              <w:pStyle w:val="ListParagraph"/>
              <w:numPr>
                <w:ilvl w:val="0"/>
                <w:numId w:val="2"/>
              </w:numPr>
              <w:spacing w:after="45"/>
            </w:pPr>
            <w:r>
              <w:rPr>
                <w:sz w:val="15"/>
                <w:szCs w:val="15"/>
              </w:rPr>
              <w:t xml:space="preserve">This European guidance is not harmonised with the NANETS surgical consensus statements, which address the same operations with different numbers and a different grading scheme.</w:t>
            </w:r>
          </w:p>
          <w:p>
            <w:pPr>
              <w:pStyle w:val="ListParagraph"/>
              <w:numPr>
                <w:ilvl w:val="0"/>
                <w:numId w:val="2"/>
              </w:numPr>
              <w:spacing w:after="45"/>
            </w:pPr>
            <w:r>
              <w:rPr>
                <w:sz w:val="15"/>
                <w:szCs w:val="15"/>
              </w:rPr>
              <w:t xml:space="preserve">No funding statement appears; the acknowledgements list only the participants of the consensus meeting. Most authors declare speaker or advisory fees from Ipsen, Novartis or Advanced Accelerator Applications, and one is a consultant to the interventional arm of a contrast-media manufacturer in a document that recommends transarterial therapy.</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the acknowledgements list the participants of the ENETS Guidance Paper Consensus Meeting of 13 October 2022. Declared interests: J. Hofland reports speaker or advisory fees from Ipsen, Serb and Novartis; E. Christ, J.P.C., A. Faggiano, A. Lamarca, A. Perren, V. Prasad, P. Ruszniewski, C.T., M.-P. Vullierme, S. Welin and D.K. Bartsch report speaker, advisory, consultancy, travel or research support from Ipsen, Novartis, Advanced Accelerator Applications, Pfizer, HRA Pharma, Novo Nordisk, Recordati, Bayer, ITM, Navigo Proteins, SirtEx, Delcath, Guerbet and others, with A. Perren holding shares in Roche and Illumina; M.F. and S.P. declare no financial disclosures.</w:t>
      </w:r>
    </w:p>
    <w:p>
      <w:pPr>
        <w:keepNext/>
        <w:spacing w:after="50" w:before="260"/>
      </w:pPr>
      <w:r>
        <w:rPr>
          <w:rFonts w:ascii="Cambria" w:cs="Cambria" w:eastAsia="Cambria" w:hAnsi="Cambria"/>
          <w:b/>
          <w:bCs/>
          <w:color w:val="17365D"/>
          <w:sz w:val="20"/>
          <w:szCs w:val="20"/>
        </w:rPr>
        <w:t xml:space="preserve">ENETS 2023 NEC</w:t>
      </w:r>
      <w:r>
        <w:rPr>
          <w:b/>
          <w:bCs/>
          <w:color w:val="176A87"/>
          <w:sz w:val="15"/>
          <w:szCs w:val="15"/>
        </w:rPr>
        <w:t xml:space="preserve">   Guideline</w:t>
      </w:r>
      <w:r>
        <w:rPr>
          <w:color w:val="5A6069"/>
          <w:sz w:val="15"/>
          <w:szCs w:val="15"/>
        </w:rPr>
        <w:t xml:space="preserve">   PMID 36924180</w:t>
      </w:r>
    </w:p>
    <w:p>
      <w:pPr>
        <w:spacing w:after="50" w:line="276"/>
      </w:pPr>
      <w:r>
        <w:rPr>
          <w:color w:val="5A6069"/>
          <w:sz w:val="17"/>
          <w:szCs w:val="17"/>
        </w:rPr>
        <w:t xml:space="preserve">European Neuroendocrine Tumor Society (ENETS) 2023 guidance paper for digestive neuroendocrine carcinoma</w:t>
      </w:r>
    </w:p>
    <w:p>
      <w:pPr>
        <w:spacing w:after="50"/>
      </w:pPr>
      <w:r>
        <w:rPr>
          <w:b/>
          <w:bCs/>
          <w:color w:val="176A87"/>
          <w:sz w:val="16"/>
          <w:szCs w:val="16"/>
        </w:rPr>
        <w:t xml:space="preserve">Population. </w:t>
      </w:r>
      <w:r>
        <w:rPr>
          <w:sz w:val="16"/>
          <w:szCs w:val="16"/>
        </w:rPr>
        <w:t xml:space="preserve">No patient cohort. A multidisciplinary ENETS working group answered ten predefined questions from a MEDLINE search, with each recommendation graded, and circulated the draft to the participants of an ENETS Guidance Paper Consensus Meeting held on 13 October 2022.</w:t>
      </w:r>
    </w:p>
    <w:p>
      <w:pPr>
        <w:spacing w:after="70"/>
      </w:pPr>
      <w:r>
        <w:rPr>
          <w:b/>
          <w:bCs/>
          <w:color w:val="17365D"/>
          <w:sz w:val="16"/>
          <w:szCs w:val="16"/>
        </w:rPr>
        <w:t xml:space="preserve">Bottom line. </w:t>
      </w:r>
      <w:r>
        <w:rPr>
          <w:sz w:val="16"/>
          <w:szCs w:val="16"/>
        </w:rPr>
        <w:t xml:space="preserve">This is the boundary document: for poorly differentiated digestive neuroendocrine carcinoma it keeps resection for localised disease, puts carboplatin and etoposide first line with a 4 to 6 month progression-free survival, and advises against both metastasectomy and PRRT, which is the opposite of the pathway used for well-differentiated NET. Almost nothing in it is prospective, the recommendation against operating on metastatic disease carries grade 5D, the weakest in the paper, and the prognostic figures come from a registry without central pathology review. Its sharpest practical limitation is deliberate: well-differentiated NET G3 is excluded, so the Ki-67 20 to 55% patient, the one for whom a liver-directed decision is genuinely contested, is addressed by neither this guidance nor its NET counterpart.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throughout that prospective and randomised data are lacking, and that no randomised trial underpins either first- or second-line therapy.</w:t>
            </w:r>
          </w:p>
          <w:p>
            <w:pPr>
              <w:pStyle w:val="ListParagraph"/>
              <w:numPr>
                <w:ilvl w:val="0"/>
                <w:numId w:val="2"/>
              </w:numPr>
              <w:spacing w:after="45"/>
            </w:pPr>
            <w:r>
              <w:rPr>
                <w:sz w:val="15"/>
                <w:szCs w:val="15"/>
              </w:rPr>
              <w:t xml:space="preserve">Predictive and prognostic biomarkers remain an unmet need; no blood biomarker is established for routine use, and the prognostic markers described (chromogranin A, NSE, LDH, alkaline phosphatase, platelets) and the GI-NEC score are not prospectively validated.</w:t>
            </w:r>
          </w:p>
          <w:p>
            <w:pPr>
              <w:pStyle w:val="ListParagraph"/>
              <w:numPr>
                <w:ilvl w:val="0"/>
                <w:numId w:val="2"/>
              </w:numPr>
              <w:spacing w:after="45"/>
            </w:pPr>
            <w:r>
              <w:rPr>
                <w:sz w:val="15"/>
                <w:szCs w:val="15"/>
              </w:rPr>
              <w:t xml:space="preserve">Separating neuroendocrine carcinoma from well-differentiated NET G3 can be ambiguous, particularly for large-cell NEC, and the morphological distinction may be difficult even with immunohistochemistry.</w:t>
            </w:r>
          </w:p>
          <w:p>
            <w:pPr>
              <w:pStyle w:val="ListParagraph"/>
              <w:numPr>
                <w:ilvl w:val="0"/>
                <w:numId w:val="2"/>
              </w:numPr>
              <w:spacing w:after="45"/>
            </w:pPr>
            <w:r>
              <w:rPr>
                <w:sz w:val="15"/>
                <w:szCs w:val="15"/>
              </w:rPr>
              <w:t xml:space="preserve">Well-differentiated NET G3 is excluded from the guidance by design, because its prognosis, genetics and treatment differ.</w:t>
            </w:r>
          </w:p>
          <w:p>
            <w:pPr>
              <w:pStyle w:val="ListParagraph"/>
              <w:numPr>
                <w:ilvl w:val="0"/>
                <w:numId w:val="2"/>
              </w:numPr>
              <w:spacing w:after="45"/>
            </w:pPr>
            <w:r>
              <w:rPr>
                <w:sz w:val="15"/>
                <w:szCs w:val="15"/>
              </w:rPr>
              <w:t xml:space="preserve">The immunotherapy advice is hedged by the authors themselves: dual checkpoint inhibition is offered for later lines while they state that the vast majority of patients do not benefit and the data are insufficient for routine practice.</w:t>
            </w:r>
          </w:p>
          <w:p>
            <w:pPr>
              <w:pStyle w:val="ListParagraph"/>
              <w:numPr>
                <w:ilvl w:val="0"/>
                <w:numId w:val="2"/>
              </w:numPr>
              <w:spacing w:after="45"/>
            </w:pPr>
            <w:r>
              <w:rPr>
                <w:sz w:val="15"/>
                <w:szCs w:val="15"/>
              </w:rPr>
              <w:t xml:space="preserve">Most therapeutic recommendations carry the paper's weaker grades: surgery and chemoradiation for localised disease, adjuvant chemotherapy and first-line regimens at grade 4B, metastatic MiNEN and the advice against metastasectomy and PRRT at grade 5D.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statement that would end a liver resection discussion carries the weakest grade in the document. Surgery of metastatic disease and PRRT are 'generally not recommended' at grade 5D, that is expert opinion with the lowest strength, and no comparative data of any kind are cited against metastasectomy in selected patients with limited, resectable, chemotherapy-responsive hepatic NEC.</w:t>
            </w:r>
          </w:p>
          <w:p>
            <w:pPr>
              <w:pStyle w:val="ListParagraph"/>
              <w:numPr>
                <w:ilvl w:val="0"/>
                <w:numId w:val="2"/>
              </w:numPr>
              <w:spacing w:after="45"/>
            </w:pPr>
            <w:r>
              <w:rPr>
                <w:sz w:val="15"/>
                <w:szCs w:val="15"/>
              </w:rPr>
              <w:t xml:space="preserve">The Ki-67 55% cutoff that separates NEC from well-differentiated NET G3, and therefore decides which of two incompatible treatment pathways a patient enters, is drawn from a narrow evidence base while the authors concede that morphology is sometimes ambiguous. A patient at Ki-67 50% with poorly differentiated morphology and one at Ki-67 60% with well-differentiated morphology are routed in opposite directions on a threshold the paper does not defend quantitatively.</w:t>
            </w:r>
          </w:p>
          <w:p>
            <w:pPr>
              <w:pStyle w:val="ListParagraph"/>
              <w:numPr>
                <w:ilvl w:val="0"/>
                <w:numId w:val="2"/>
              </w:numPr>
              <w:spacing w:after="45"/>
            </w:pPr>
            <w:r>
              <w:rPr>
                <w:sz w:val="15"/>
                <w:szCs w:val="15"/>
              </w:rPr>
              <w:t xml:space="preserve">The two documents a tumour board uses together do not meet. This paper excludes NET G3 and the ENETS and ASCO NET guidance excludes NEC, so the Ki-67 20 to 55% poorly characterised patient falls between them, and that is exactly the patient about whom a surgical decision is hardest.</w:t>
            </w:r>
          </w:p>
          <w:p>
            <w:pPr>
              <w:pStyle w:val="ListParagraph"/>
              <w:numPr>
                <w:ilvl w:val="0"/>
                <w:numId w:val="2"/>
              </w:numPr>
              <w:spacing w:after="45"/>
            </w:pPr>
            <w:r>
              <w:rPr>
                <w:sz w:val="15"/>
                <w:szCs w:val="15"/>
              </w:rPr>
              <w:t xml:space="preserve">The survival figures that frame the whole document come from SEER, a registry with no central pathology review, in a disease whose definition changed across the period the registry covers. Median survival of 5.2 months for distant disease is therefore a mixture of true NEC and misclassified NET G3.</w:t>
            </w:r>
          </w:p>
          <w:p>
            <w:pPr>
              <w:pStyle w:val="ListParagraph"/>
              <w:numPr>
                <w:ilvl w:val="0"/>
                <w:numId w:val="2"/>
              </w:numPr>
              <w:spacing w:after="45"/>
            </w:pPr>
            <w:r>
              <w:rPr>
                <w:sz w:val="15"/>
                <w:szCs w:val="15"/>
              </w:rPr>
              <w:t xml:space="preserve">Palliative chemotherapy is credited with a median survival of 11 to 12 months against 1 month without, which is a comparison between treated patients and untreated patients in retrospective series, and the untreated figure describes people too unwell to be given chemotherapy. The guidance presents the contrast without qualification.</w:t>
            </w:r>
          </w:p>
          <w:p>
            <w:pPr>
              <w:pStyle w:val="ListParagraph"/>
              <w:numPr>
                <w:ilvl w:val="0"/>
                <w:numId w:val="2"/>
              </w:numPr>
              <w:spacing w:after="45"/>
            </w:pPr>
            <w:r>
              <w:rPr>
                <w:sz w:val="15"/>
                <w:szCs w:val="15"/>
              </w:rPr>
              <w:t xml:space="preserve">Performance status is reported as the dominant prognostic factor (18, 12 and 5 months at PS 0, 1 and 2) and is not integrated with any treatment recommendation, so the patients in whom chemotherapy is least likely to help are not identified as a group in whom it should be withheld.</w:t>
            </w:r>
          </w:p>
          <w:p>
            <w:pPr>
              <w:pStyle w:val="ListParagraph"/>
              <w:numPr>
                <w:ilvl w:val="0"/>
                <w:numId w:val="2"/>
              </w:numPr>
              <w:spacing w:after="45"/>
            </w:pPr>
            <w:r>
              <w:rPr>
                <w:sz w:val="15"/>
                <w:szCs w:val="15"/>
              </w:rPr>
              <w:t xml:space="preserve">Adjuvant platinum and etoposide after radical surgery is offered at grade 4B with no trial, no control arm and no estimate of absolute benefit, in a population whose 5-year survival after surgery is already stated as 25 to 40%.</w:t>
            </w:r>
          </w:p>
          <w:p>
            <w:pPr>
              <w:pStyle w:val="ListParagraph"/>
              <w:numPr>
                <w:ilvl w:val="0"/>
                <w:numId w:val="2"/>
              </w:numPr>
              <w:spacing w:after="45"/>
            </w:pPr>
            <w:r>
              <w:rPr>
                <w:sz w:val="15"/>
                <w:szCs w:val="15"/>
              </w:rPr>
              <w:t xml:space="preserve">First-line carboplatin and etoposide is recommended with a 30 to 50% response rate and a 4 to 6 month progression-free survival, which places the whole treatment pathway inside the span of a single imaging interval, and the guidance offers no stopping rule or re-assessment schedule.</w:t>
            </w:r>
          </w:p>
          <w:p>
            <w:pPr>
              <w:pStyle w:val="ListParagraph"/>
              <w:numPr>
                <w:ilvl w:val="0"/>
                <w:numId w:val="2"/>
              </w:numPr>
              <w:spacing w:after="45"/>
            </w:pPr>
            <w:r>
              <w:rPr>
                <w:sz w:val="15"/>
                <w:szCs w:val="15"/>
              </w:rPr>
              <w:t xml:space="preserve">The grading system is used in a way that obscures rather than clarifies. Grades 1A, 2aB, 2bB, 2bC, 3aB, 4A, 4B, 5A and 5D all appear, the tables defining them are supplementary and not in the text, and the strongest grade in the document (1A) is attached to a diagnostic definition while every therapeutic statement sits at 2b or weaker.</w:t>
            </w:r>
          </w:p>
          <w:p>
            <w:pPr>
              <w:pStyle w:val="ListParagraph"/>
              <w:numPr>
                <w:ilvl w:val="0"/>
                <w:numId w:val="2"/>
              </w:numPr>
              <w:spacing w:after="45"/>
            </w:pPr>
            <w:r>
              <w:rPr>
                <w:sz w:val="15"/>
                <w:szCs w:val="15"/>
              </w:rPr>
              <w:t xml:space="preserve">The conflict-of-interest statement is extensive: the lead author and most co-authors declare speaker or advisory honoraria from Novartis, Ipsen, Advanced Accelerator Applications, ITM, Bayer and others, with research grants from several, in a document whose recommendations include that somatostatin analogues must not be used and that PRRT is generally not indicated. The disclosures run against the recommendations here rather than with them, which is worth noting in both directions.</w:t>
            </w:r>
          </w:p>
          <w:p>
            <w:pPr>
              <w:pStyle w:val="ListParagraph"/>
              <w:numPr>
                <w:ilvl w:val="0"/>
                <w:numId w:val="2"/>
              </w:numPr>
              <w:spacing w:after="45"/>
            </w:pPr>
            <w:r>
              <w:rPr>
                <w:sz w:val="15"/>
                <w:szCs w:val="15"/>
              </w:rPr>
              <w:t xml:space="preserve">No funding statement appears anywhere, only an acknowledgement of the consensus meeting participants, so who paid for the working group's meeting is not stated.</w:t>
            </w:r>
          </w:p>
          <w:p>
            <w:pPr>
              <w:pStyle w:val="ListParagraph"/>
              <w:numPr>
                <w:ilvl w:val="0"/>
                <w:numId w:val="2"/>
              </w:numPr>
              <w:spacing w:after="45"/>
            </w:pPr>
            <w:r>
              <w:rPr>
                <w:sz w:val="15"/>
                <w:szCs w:val="15"/>
              </w:rPr>
              <w:t xml:space="preserve">A PubMed search found no linked editorial or comment on this guidance.</w:t>
            </w:r>
          </w:p>
        </w:tc>
      </w:tr>
    </w:tbl>
    <w:p>
      <w:pPr>
        <w:spacing w:after="0" w:line="276"/>
      </w:pPr>
      <w:r>
        <w:rPr>
          <w:color w:val="5A6069"/>
          <w:sz w:val="14"/>
          <w:szCs w:val="14"/>
        </w:rPr>
        <w:t xml:space="preserve">Funding: No funding statement appears; the authors acknowledge the participants of the ENETS Guidance Paper Consensus Meeting of 13 October 2022. Declared interests are extensive: H. Sorbye reports speaker honoraria from Novartis, Ipsen, Bayer, SAM Nordic and Pierre Fabre and advisory engagement with Hutchinson, ITM, AAA and Bayer; M. Pavel, N. Fazio, E. Grande, E. Christ, N. S. Reed, U. Knigge, M. Tesselaar, V. Ambrosini and E. Tiensuu Janson report speaker or advisory honoraria and in several cases research grants from Novartis, AAA, Ipsen, ITM, MSD, Merck, Pfizer and others; A. Couvelard declares none.</w:t>
      </w:r>
    </w:p>
    <w:p>
      <w:pPr>
        <w:keepNext/>
        <w:spacing w:after="50" w:before="260"/>
      </w:pPr>
      <w:r>
        <w:rPr>
          <w:rFonts w:ascii="Cambria" w:cs="Cambria" w:eastAsia="Cambria" w:hAnsi="Cambria"/>
          <w:b/>
          <w:bCs/>
          <w:color w:val="17365D"/>
          <w:sz w:val="20"/>
          <w:szCs w:val="20"/>
        </w:rPr>
        <w:t xml:space="preserve">ENETS 2024 small intestine</w:t>
      </w:r>
      <w:r>
        <w:rPr>
          <w:b/>
          <w:bCs/>
          <w:color w:val="176A87"/>
          <w:sz w:val="15"/>
          <w:szCs w:val="15"/>
        </w:rPr>
        <w:t xml:space="preserve">   Guideline</w:t>
      </w:r>
      <w:r>
        <w:rPr>
          <w:color w:val="5A6069"/>
          <w:sz w:val="15"/>
          <w:szCs w:val="15"/>
        </w:rPr>
        <w:t xml:space="preserve">   PMID 38977327</w:t>
      </w:r>
    </w:p>
    <w:p>
      <w:pPr>
        <w:spacing w:after="50" w:line="276"/>
      </w:pPr>
      <w:r>
        <w:rPr>
          <w:color w:val="5A6069"/>
          <w:sz w:val="17"/>
          <w:szCs w:val="17"/>
        </w:rPr>
        <w:t xml:space="preserve">European Neuroendocrine Tumor Society (ENETS) 2024 guidance paper for the management of well-differentiated small intestine neuroendocrine tumours</w:t>
      </w:r>
    </w:p>
    <w:p>
      <w:pPr>
        <w:spacing w:after="50"/>
      </w:pPr>
      <w:r>
        <w:rPr>
          <w:b/>
          <w:bCs/>
          <w:color w:val="176A87"/>
          <w:sz w:val="16"/>
          <w:szCs w:val="16"/>
        </w:rPr>
        <w:t xml:space="preserve">Population. </w:t>
      </w:r>
      <w:r>
        <w:rPr>
          <w:sz w:val="16"/>
          <w:szCs w:val="16"/>
        </w:rPr>
        <w:t xml:space="preserve">No patient cohort. An ENETS multidisciplinary writing group answered 10 key questions, with each recommendation given a strength (A to E) and an evidence level (1 to 5) under the scheme set out in the paper's appendix.</w:t>
      </w:r>
    </w:p>
    <w:p>
      <w:pPr>
        <w:spacing w:after="70"/>
      </w:pPr>
      <w:r>
        <w:rPr>
          <w:b/>
          <w:bCs/>
          <w:color w:val="17365D"/>
          <w:sz w:val="16"/>
          <w:szCs w:val="16"/>
        </w:rPr>
        <w:t xml:space="preserve">Bottom line. </w:t>
      </w:r>
      <w:r>
        <w:rPr>
          <w:sz w:val="16"/>
          <w:szCs w:val="16"/>
        </w:rPr>
        <w:t xml:space="preserve">This is the current European reference for small intestine NET and its liver-metastasis content sits almost entirely in its weakest grades: resect liver-only G1/G2 disease if R0 is achievable (B-4), use liver-directed therapy in non-surgical candidates (B-3), prefer bland embolisation, keep ablation to at most three to five lesions under 3 cm, and treat the primary and mesenteric nodes aggressively in a high-volume centre. Its most useful admissions are negative: recurrence after R0 resection is about 80% at five years, no data favour one embolotherapy over another, and resection of the primary in asymptomatic stage IV disease is contradicted by three propensity-matched studies. It sets no cytoreduction threshold and no Ki-67 limit for liver surgery, and it reduces transplantation to a rare consideration without engaging the Milan-criteria outcomes for the same tumour burden.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surgical and locoregional recommendations carry the weakest grades in the document: B-4 for resecting liver metastases, B-3 for liver-directed therapy, and C-4 for operating on mesenteric fibrosis.</w:t>
            </w:r>
          </w:p>
          <w:p>
            <w:pPr>
              <w:pStyle w:val="ListParagraph"/>
              <w:numPr>
                <w:ilvl w:val="0"/>
                <w:numId w:val="2"/>
              </w:numPr>
              <w:spacing w:after="45"/>
            </w:pPr>
            <w:r>
              <w:rPr>
                <w:sz w:val="15"/>
                <w:szCs w:val="15"/>
              </w:rPr>
              <w:t xml:space="preserve">No high-quality data favour any one embolotherapy over another.</w:t>
            </w:r>
          </w:p>
          <w:p>
            <w:pPr>
              <w:pStyle w:val="ListParagraph"/>
              <w:numPr>
                <w:ilvl w:val="0"/>
                <w:numId w:val="2"/>
              </w:numPr>
              <w:spacing w:after="45"/>
            </w:pPr>
            <w:r>
              <w:rPr>
                <w:sz w:val="15"/>
                <w:szCs w:val="15"/>
              </w:rPr>
              <w:t xml:space="preserve">Recurrence after R0 resection of liver metastases is about 80% at 5 years, so lifelong follow-up is required and the operation is not curative.</w:t>
            </w:r>
          </w:p>
          <w:p>
            <w:pPr>
              <w:pStyle w:val="ListParagraph"/>
              <w:numPr>
                <w:ilvl w:val="0"/>
                <w:numId w:val="2"/>
              </w:numPr>
              <w:spacing w:after="45"/>
            </w:pPr>
            <w:r>
              <w:rPr>
                <w:sz w:val="15"/>
                <w:szCs w:val="15"/>
              </w:rPr>
              <w:t xml:space="preserve">Resection of the primary tumour in asymptomatic stage IV disease is explicitly unresolved: unmatched retrospective series favour resection, at least three propensity-matched studies show no survival benefit, and only 22% of a watch-and-wait cohort ever needed surgery.</w:t>
            </w:r>
          </w:p>
          <w:p>
            <w:pPr>
              <w:pStyle w:val="ListParagraph"/>
              <w:numPr>
                <w:ilvl w:val="0"/>
                <w:numId w:val="2"/>
              </w:numPr>
              <w:spacing w:after="45"/>
            </w:pPr>
            <w:r>
              <w:rPr>
                <w:sz w:val="15"/>
                <w:szCs w:val="15"/>
              </w:rPr>
              <w:t xml:space="preserve">Radioembolisation carries a risk of late liver fibrosis and cirrhosis.</w:t>
            </w:r>
          </w:p>
          <w:p>
            <w:pPr>
              <w:pStyle w:val="ListParagraph"/>
              <w:numPr>
                <w:ilvl w:val="0"/>
                <w:numId w:val="2"/>
              </w:numPr>
              <w:spacing w:after="45"/>
            </w:pPr>
            <w:r>
              <w:rPr>
                <w:sz w:val="15"/>
                <w:szCs w:val="15"/>
              </w:rPr>
              <w:t xml:space="preserve">HIPEC cannot currently be recommended for peritoneal disease.</w:t>
            </w:r>
          </w:p>
          <w:p>
            <w:pPr>
              <w:pStyle w:val="ListParagraph"/>
              <w:numPr>
                <w:ilvl w:val="0"/>
                <w:numId w:val="2"/>
              </w:numPr>
              <w:spacing w:after="45"/>
            </w:pPr>
            <w:r>
              <w:rPr>
                <w:sz w:val="15"/>
                <w:szCs w:val="15"/>
              </w:rPr>
              <w:t xml:space="preserve">Objective remissions with somatostatin analogues are rare, so first-line therapy is stabilisation only.</w:t>
            </w:r>
          </w:p>
          <w:p>
            <w:pPr>
              <w:pStyle w:val="ListParagraph"/>
              <w:numPr>
                <w:ilvl w:val="0"/>
                <w:numId w:val="2"/>
              </w:numPr>
              <w:spacing w:after="45"/>
            </w:pPr>
            <w:r>
              <w:rPr>
                <w:sz w:val="15"/>
                <w:szCs w:val="15"/>
              </w:rPr>
              <w:t xml:space="preserve">The randomised trial comparing bland embolisation, lipiodol chemoembolisation and drug-eluting-bead chemoembolisation closed its drug-eluting-bead arm because of increased severe complications.</w:t>
            </w:r>
          </w:p>
          <w:p>
            <w:pPr>
              <w:pStyle w:val="ListParagraph"/>
              <w:numPr>
                <w:ilvl w:val="0"/>
                <w:numId w:val="2"/>
              </w:numPr>
              <w:spacing w:after="45"/>
            </w:pPr>
            <w:r>
              <w:rPr>
                <w:sz w:val="15"/>
                <w:szCs w:val="15"/>
              </w:rPr>
              <w:t xml:space="preserve">Liver transplantation is described only as a rare consideration in selected individuals after resection of the primary leaves liver-only disease.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Liver transplantation is reduced to a rare consideration without engaging the data that exist for it. The Milan-criteria literature reports 88.8% overall survival at 10 years in patients inside the same tumour-burden bracket this guidance describes, and no criteria, referral pathway or reason for the demotion is given.</w:t>
            </w:r>
          </w:p>
          <w:p>
            <w:pPr>
              <w:pStyle w:val="ListParagraph"/>
              <w:numPr>
                <w:ilvl w:val="0"/>
                <w:numId w:val="2"/>
              </w:numPr>
              <w:spacing w:after="45"/>
            </w:pPr>
            <w:r>
              <w:rPr>
                <w:sz w:val="15"/>
                <w:szCs w:val="15"/>
              </w:rPr>
              <w:t xml:space="preserve">No cytoreduction threshold appears anywhere, and no Ki-67 cut-off is set for operating on resectable liver metastases. The 70% versus 90% debulking question, which the North American guidance addresses however weakly, is not raised at all, so the two major guidance documents on this operation differ by omission rather than by argument.</w:t>
            </w:r>
          </w:p>
          <w:p>
            <w:pPr>
              <w:pStyle w:val="ListParagraph"/>
              <w:numPr>
                <w:ilvl w:val="0"/>
                <w:numId w:val="2"/>
              </w:numPr>
              <w:spacing w:after="45"/>
            </w:pPr>
            <w:r>
              <w:rPr>
                <w:sz w:val="15"/>
                <w:szCs w:val="15"/>
              </w:rPr>
              <w:t xml:space="preserve">The preference for bland embolisation is built from two pieces of evidence that do not test it. One retrospective study found no difference between chemoembolisation and radioembolisation, and a randomised trial closed its drug-eluting-bead arm on safety; neither compared bland embolisation with chemoembolisation, which is the comparison the recommendation makes.</w:t>
            </w:r>
          </w:p>
          <w:p>
            <w:pPr>
              <w:pStyle w:val="ListParagraph"/>
              <w:numPr>
                <w:ilvl w:val="0"/>
                <w:numId w:val="2"/>
              </w:numPr>
              <w:spacing w:after="45"/>
            </w:pPr>
            <w:r>
              <w:rPr>
                <w:sz w:val="15"/>
                <w:szCs w:val="15"/>
              </w:rPr>
              <w:t xml:space="preserve">Operating in high-volume centres is recommended on an observational 90-day mortality of 4% against 1%, with no definition of high volume given anywhere, so the recommendation cannot be acted on by a referring clinician.</w:t>
            </w:r>
          </w:p>
          <w:p>
            <w:pPr>
              <w:pStyle w:val="ListParagraph"/>
              <w:numPr>
                <w:ilvl w:val="0"/>
                <w:numId w:val="2"/>
              </w:numPr>
              <w:spacing w:after="45"/>
            </w:pPr>
            <w:r>
              <w:rPr>
                <w:sz w:val="15"/>
                <w:szCs w:val="15"/>
              </w:rPr>
              <w:t xml:space="preserve">A minimum of 8 lymph nodes is set as a standard with no evidence that the count changes outcome, and the companion North American pancreatic guidance sets 11 to 15 for a different primary site. Nodal yield in this disease is convention presented as a benchmark.</w:t>
            </w:r>
          </w:p>
          <w:p>
            <w:pPr>
              <w:pStyle w:val="ListParagraph"/>
              <w:numPr>
                <w:ilvl w:val="0"/>
                <w:numId w:val="2"/>
              </w:numPr>
              <w:spacing w:after="45"/>
            </w:pPr>
            <w:r>
              <w:rPr>
                <w:sz w:val="15"/>
                <w:szCs w:val="15"/>
              </w:rPr>
              <w:t xml:space="preserve">The survival figures that support resecting liver metastases, 71% to 74% at 5 years and 85% after R0, come from uncontrolled series of patients selected for resectability, as the same paragraph's 80% five-year recurrence rate makes plain.</w:t>
            </w:r>
          </w:p>
          <w:p>
            <w:pPr>
              <w:pStyle w:val="ListParagraph"/>
              <w:numPr>
                <w:ilvl w:val="0"/>
                <w:numId w:val="2"/>
              </w:numPr>
              <w:spacing w:after="45"/>
            </w:pPr>
            <w:r>
              <w:rPr>
                <w:sz w:val="15"/>
                <w:szCs w:val="15"/>
              </w:rPr>
              <w:t xml:space="preserve">The ablation criteria, at most 3 to 5 metastases each under 3 cm, present a range of ranges as an operative threshold with no derivation and no citation of a comparison across those numbers.</w:t>
            </w:r>
          </w:p>
          <w:p>
            <w:pPr>
              <w:pStyle w:val="ListParagraph"/>
              <w:numPr>
                <w:ilvl w:val="0"/>
                <w:numId w:val="2"/>
              </w:numPr>
              <w:spacing w:after="45"/>
            </w:pPr>
            <w:r>
              <w:rPr>
                <w:sz w:val="15"/>
                <w:szCs w:val="15"/>
              </w:rPr>
              <w:t xml:space="preserve">NETTER-2 is cited to support radioligand therapy in grade 2 and grade 3 disease, although that trial enrolled newly diagnosed patients with no documented progression, required uptake score 3 or 4 in every target lesion and excluded anyone with prior hepatic embolisation or ablation. That is precisely the population this guidance sends for liver-directed therapy, so the two recommendations do not describe the same patient.</w:t>
            </w:r>
          </w:p>
          <w:p>
            <w:pPr>
              <w:pStyle w:val="ListParagraph"/>
              <w:numPr>
                <w:ilvl w:val="0"/>
                <w:numId w:val="2"/>
              </w:numPr>
              <w:spacing w:after="45"/>
            </w:pPr>
            <w:r>
              <w:rPr>
                <w:sz w:val="15"/>
                <w:szCs w:val="15"/>
              </w:rPr>
              <w:t xml:space="preserve">Almost every member of the writing group declares honoraria, advisory fees or research funding from Ipsen, Advanced Accelerator Applications/Novartis or Pfizer, the makers of the first-line somatostatin analogues and the second-line radioligand, and one author is the inventor of and holds intellectual property rights on 64Cu-DOTATATE, a tracer the document endorses.</w:t>
            </w:r>
          </w:p>
          <w:p>
            <w:pPr>
              <w:pStyle w:val="ListParagraph"/>
              <w:numPr>
                <w:ilvl w:val="0"/>
                <w:numId w:val="2"/>
              </w:numPr>
              <w:spacing w:after="45"/>
            </w:pPr>
            <w:r>
              <w:rPr>
                <w:sz w:val="15"/>
                <w:szCs w:val="15"/>
              </w:rPr>
              <w:t xml:space="preserve">No funding statement appears anywhere in the paper.</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Declared interests: A. Lamarca reports travel and educational support from Ipsen, Pfizer, Bayer, AAA, SirtEx, Novartis, Mylan and Delcath, speaker honoraria from Merck, Pfizer, Ipsen, Incyte, AAA, QED, Servier, AstraZeneca and EISAI, advisory and consultancy honoraria from EISAI, Nutricia Ipsen, QED, Roche, Servier, Boston Scientific, Albireo, AstraZeneca, Boehringer Ingelheim, GENFIT and TransThera, and membership of the Ipsen-funded Knowledge Network and NETConnect initiatives; D. K. Bartsch, A. Rinke, E. Tiensuu Janson, M. Pavel, B. Kos-Kudla and M. Caplin report speaker, advisory or consultancy honoraria and in some cases research grants from AAA, Novartis, Ipsen, Advanz, Falk Foundation, Esteve, Boehringer-Ingelheim, MSD, Lilly, Serb, Pfizer, Merck, Hutchmed and Riemser; A. Kjaer is an inventor of and holds intellectual property rights on 64Cu-DOTATATE; M.-P. Vullierme is a consultant for Guerbet International; M.-L. van Velthuysen declares none.</w:t>
      </w:r>
    </w:p>
    <w:p>
      <w:pPr>
        <w:keepNext/>
        <w:spacing w:after="50" w:before="260"/>
      </w:pPr>
      <w:r>
        <w:rPr>
          <w:rFonts w:ascii="Cambria" w:cs="Cambria" w:eastAsia="Cambria" w:hAnsi="Cambria"/>
          <w:b/>
          <w:bCs/>
          <w:color w:val="17365D"/>
          <w:sz w:val="20"/>
          <w:szCs w:val="20"/>
        </w:rPr>
        <w:t xml:space="preserve">ESMO 2020 GEP-NEN</w:t>
      </w:r>
      <w:r>
        <w:rPr>
          <w:b/>
          <w:bCs/>
          <w:color w:val="176A87"/>
          <w:sz w:val="15"/>
          <w:szCs w:val="15"/>
        </w:rPr>
        <w:t xml:space="preserve">   Guideline</w:t>
      </w:r>
      <w:r>
        <w:rPr>
          <w:color w:val="5A6069"/>
          <w:sz w:val="15"/>
          <w:szCs w:val="15"/>
        </w:rPr>
        <w:t xml:space="preserve">   PMID 32272208</w:t>
      </w:r>
    </w:p>
    <w:p>
      <w:pPr>
        <w:spacing w:after="50" w:line="276"/>
      </w:pPr>
      <w:r>
        <w:rPr>
          <w:color w:val="5A6069"/>
          <w:sz w:val="17"/>
          <w:szCs w:val="17"/>
        </w:rPr>
        <w:t xml:space="preserve">Gastroenteropancreatic neuroendocrine neoplasms: ESMO Clinical Practice Guidelines for diagnosis, treatment and follow-up</w:t>
      </w:r>
    </w:p>
    <w:p>
      <w:pPr>
        <w:spacing w:after="70"/>
      </w:pPr>
      <w:r>
        <w:rPr>
          <w:b/>
          <w:bCs/>
          <w:color w:val="17365D"/>
          <w:sz w:val="16"/>
          <w:szCs w:val="16"/>
        </w:rPr>
        <w:t xml:space="preserve">Bottom line. </w:t>
      </w:r>
      <w:r>
        <w:rPr>
          <w:sz w:val="16"/>
          <w:szCs w:val="16"/>
        </w:rPr>
        <w:t xml:space="preserve">This is the principal European guideline for gastroenteropancreatic neuroendocrine neoplasms and it sets the boundaries a liver surgeon works within: surgery for selected stage IV disease with liver-predominant involvement, debulking for hormonal symptoms but generally not above Ki-67 10%, transplantation only under six simultaneous criteria, and PRRT second line in midgut NET but last in pancreatic NET. It gives no cytoreduction threshold at all, calls the role of debulking in non-functioning disease unclear, and grades almost every surgical and locoregional statement at level IV to V, conceding that the 85% five-year survival after curative resection partly reflects preselection. It also predates the first-line radioligand data, and it prints an unresolved dissent on PRRT sequencing from an author with declared employment, stock and intellectual-property interests in that field.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approximately 85% five-year survival after curative resection of liver metastases is attributed by the panel partly to preselection bias.</w:t>
            </w:r>
          </w:p>
          <w:p>
            <w:pPr>
              <w:pStyle w:val="ListParagraph"/>
              <w:numPr>
                <w:ilvl w:val="0"/>
                <w:numId w:val="2"/>
              </w:numPr>
              <w:spacing w:after="45"/>
            </w:pPr>
            <w:r>
              <w:rPr>
                <w:sz w:val="15"/>
                <w:szCs w:val="15"/>
              </w:rPr>
              <w:t xml:space="preserve">Liver metastases are often more extensive than appreciated even at operation, which the guideline states directly.</w:t>
            </w:r>
          </w:p>
          <w:p>
            <w:pPr>
              <w:pStyle w:val="ListParagraph"/>
              <w:numPr>
                <w:ilvl w:val="0"/>
                <w:numId w:val="2"/>
              </w:numPr>
              <w:spacing w:after="45"/>
            </w:pPr>
            <w:r>
              <w:rPr>
                <w:sz w:val="15"/>
                <w:szCs w:val="15"/>
              </w:rPr>
              <w:t xml:space="preserve">The role of debulking in non-functioning GEP-NET is called unclear, and no cytoreduction target is offered anywhere in the document.</w:t>
            </w:r>
          </w:p>
          <w:p>
            <w:pPr>
              <w:pStyle w:val="ListParagraph"/>
              <w:numPr>
                <w:ilvl w:val="0"/>
                <w:numId w:val="2"/>
              </w:numPr>
              <w:spacing w:after="45"/>
            </w:pPr>
            <w:r>
              <w:rPr>
                <w:sz w:val="15"/>
                <w:szCs w:val="15"/>
              </w:rPr>
              <w:t xml:space="preserve">The guideline records a dissenting position from one of its own authors, E. P. Krenning, who holds that PRRT should come earlier in SSTR-positive pancreatic NET and should rank equal to everolimus in small intestinal NET G2 with Ki-67 above 10%.</w:t>
            </w:r>
          </w:p>
          <w:p>
            <w:pPr>
              <w:pStyle w:val="ListParagraph"/>
              <w:numPr>
                <w:ilvl w:val="0"/>
                <w:numId w:val="2"/>
              </w:numPr>
              <w:spacing w:after="45"/>
            </w:pPr>
            <w:r>
              <w:rPr>
                <w:sz w:val="15"/>
                <w:szCs w:val="15"/>
              </w:rPr>
              <w:t xml:space="preserve">PRRT toxicity is stated plainly: up to 3% to 4% of patients develop irreversible marrow toxicity and about 30% long-term grade 1 or 2 renal toxicity.</w:t>
            </w:r>
          </w:p>
          <w:p>
            <w:pPr>
              <w:pStyle w:val="ListParagraph"/>
              <w:numPr>
                <w:ilvl w:val="0"/>
                <w:numId w:val="2"/>
              </w:numPr>
              <w:spacing w:after="45"/>
            </w:pPr>
            <w:r>
              <w:rPr>
                <w:sz w:val="15"/>
                <w:szCs w:val="15"/>
              </w:rPr>
              <w:t xml:space="preserve">Nearly all surgical and locoregional recommendations carry levels of evidence IV to V and grades B to C, the weakest categories the guideline uses.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most common operative question in neuroendocrine liver metastasis is left unanswered. No cytoreduction target of any kind is given, so a surgeon consulting the principal European guideline finds debulking endorsed for symptom relief in functioning disease, called unclear in non-functioning disease, and attached to no threshold.</w:t>
            </w:r>
          </w:p>
          <w:p>
            <w:pPr>
              <w:pStyle w:val="ListParagraph"/>
              <w:numPr>
                <w:ilvl w:val="0"/>
                <w:numId w:val="2"/>
              </w:numPr>
              <w:spacing w:after="45"/>
            </w:pPr>
            <w:r>
              <w:rPr>
                <w:sz w:val="15"/>
                <w:szCs w:val="15"/>
              </w:rPr>
              <w:t xml:space="preserve">A Ki-67 of 10% recurs as the operative boundary for first-line somatostatin analogues, for debulking and for transplantation, without any analysis supporting 10% rather than any neighbouring value. It is a convention used as a threshold in three separate decisions.</w:t>
            </w:r>
          </w:p>
          <w:p>
            <w:pPr>
              <w:pStyle w:val="ListParagraph"/>
              <w:numPr>
                <w:ilvl w:val="0"/>
                <w:numId w:val="2"/>
              </w:numPr>
              <w:spacing w:after="45"/>
            </w:pPr>
            <w:r>
              <w:rPr>
                <w:sz w:val="15"/>
                <w:szCs w:val="15"/>
              </w:rPr>
              <w:t xml:space="preserve">The transplant criteria, which are the most specific operative statement in the document, appear in figure footnotes rather than in graded recommendation text, and they are stricter than the criteria of the series that generated them: the Milan cohort treated age under 60 as a relative criterion and included patients whose liver involvement exceeded 50% and whose grade was later revised to G3.</w:t>
            </w:r>
          </w:p>
          <w:p>
            <w:pPr>
              <w:pStyle w:val="ListParagraph"/>
              <w:numPr>
                <w:ilvl w:val="0"/>
                <w:numId w:val="2"/>
              </w:numPr>
              <w:spacing w:after="45"/>
            </w:pPr>
            <w:r>
              <w:rPr>
                <w:sz w:val="15"/>
                <w:szCs w:val="15"/>
              </w:rPr>
              <w:t xml:space="preserve">Grade A is attached to level IV evidence more than once. Using locoregional therapy early after a somatostatin analogue in functional NET to prevent carcinoid crisis is [IV, A], and watch-and-wait at Ki-67 under 2% is [IV, A]: the strongest recommendation grade on evidence the same guideline classifies as among its weakest, with no trial behind either.</w:t>
            </w:r>
          </w:p>
          <w:p>
            <w:pPr>
              <w:pStyle w:val="ListParagraph"/>
              <w:numPr>
                <w:ilvl w:val="0"/>
                <w:numId w:val="2"/>
              </w:numPr>
              <w:spacing w:after="45"/>
            </w:pPr>
            <w:r>
              <w:rPr>
                <w:sz w:val="15"/>
                <w:szCs w:val="15"/>
              </w:rPr>
              <w:t xml:space="preserve">The statement that locoregional therapy may be used instead of resecting resectable liver metastases is graded [V, C], the weakest combination in the document, and directly contradicts the surgical pathway set out a few paragraphs earlier. No comparative data are cited.</w:t>
            </w:r>
          </w:p>
          <w:p>
            <w:pPr>
              <w:pStyle w:val="ListParagraph"/>
              <w:numPr>
                <w:ilvl w:val="0"/>
                <w:numId w:val="2"/>
              </w:numPr>
              <w:spacing w:after="45"/>
            </w:pPr>
            <w:r>
              <w:rPr>
                <w:sz w:val="15"/>
                <w:szCs w:val="15"/>
              </w:rPr>
              <w:t xml:space="preserve">The comparative material a liver surgeon needs, on chemoembolisation against bland embolisation against radioembolisation against ablation, is deferred to supplementary material and is not graded in the main text, so the guideline offers no graded basis for choosing between techniques.</w:t>
            </w:r>
          </w:p>
          <w:p>
            <w:pPr>
              <w:pStyle w:val="ListParagraph"/>
              <w:numPr>
                <w:ilvl w:val="0"/>
                <w:numId w:val="2"/>
              </w:numPr>
              <w:spacing w:after="45"/>
            </w:pPr>
            <w:r>
              <w:rPr>
                <w:sz w:val="15"/>
                <w:szCs w:val="15"/>
              </w:rPr>
              <w:t xml:space="preserve">The recommendation against upfront surgery in high-grade disease and in extra-abdominal metastasis is [IV, B], while the absolute bar in advanced NEC G3 is [IV, A], so the same evidence level supports a cautionary recommendation and an absolute contraindication.</w:t>
            </w:r>
          </w:p>
          <w:p>
            <w:pPr>
              <w:pStyle w:val="ListParagraph"/>
              <w:numPr>
                <w:ilvl w:val="0"/>
                <w:numId w:val="2"/>
              </w:numPr>
              <w:spacing w:after="45"/>
            </w:pPr>
            <w:r>
              <w:rPr>
                <w:sz w:val="15"/>
                <w:szCs w:val="15"/>
              </w:rPr>
              <w:t xml:space="preserve">PRRT is placed after all approved therapies in pancreatic NET [III, A] while an author of the guideline dissents in favour of earlier use. That author declares an employment interest at Cyclotron Rotterdam BV together with stock or other interest, patent or intellectual property interest and travel from Advanced Accelerator Applications, which is the context in which the dissent is printed without resolution.</w:t>
            </w:r>
          </w:p>
          <w:p>
            <w:pPr>
              <w:pStyle w:val="ListParagraph"/>
              <w:numPr>
                <w:ilvl w:val="0"/>
                <w:numId w:val="2"/>
              </w:numPr>
              <w:spacing w:after="45"/>
            </w:pPr>
            <w:r>
              <w:rPr>
                <w:sz w:val="15"/>
                <w:szCs w:val="15"/>
              </w:rPr>
              <w:t xml:space="preserve">The guideline was finalised in March 2020, so its Ki-67 10% ceiling for first-line somatostatin analogue and its second-line placement of PRRT both predate the first-line radioligand evidence in grade 2 and grade 3 disease, and NETTER-2 appears only as a recently initiated trial.</w:t>
            </w:r>
          </w:p>
          <w:p>
            <w:pPr>
              <w:pStyle w:val="ListParagraph"/>
              <w:numPr>
                <w:ilvl w:val="0"/>
                <w:numId w:val="2"/>
              </w:numPr>
              <w:spacing w:after="45"/>
            </w:pPr>
            <w:r>
              <w:rPr>
                <w:sz w:val="15"/>
                <w:szCs w:val="15"/>
              </w:rPr>
              <w:t xml:space="preserve">Watch-and-wait at Ki-67 under 2% is endorsed at grade A without specifying an imaging interval or a duration beyond which it stops being safe, in a disease where the comparator trials show untreated median times to progression of between 6 and 18 months.</w:t>
            </w:r>
          </w:p>
          <w:p>
            <w:pPr>
              <w:pStyle w:val="ListParagraph"/>
              <w:numPr>
                <w:ilvl w:val="0"/>
                <w:numId w:val="2"/>
              </w:numPr>
              <w:spacing w:after="45"/>
            </w:pPr>
            <w:r>
              <w:rPr>
                <w:sz w:val="15"/>
                <w:szCs w:val="15"/>
              </w:rPr>
              <w:t xml:space="preserve">Most authors declare honoraria, advisory roles or research funding from Novartis, Ipsen, Advanced Accelerator Applications, Pfizer and Lexicon, the manufacturers of the somatostatin analogues and radioligand therapy the guideline positions.</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external funding was received for the preparation of these guidelines; production costs were covered by ESMO from central funds. Disclosures: M. Pavel reports advisory and presentation honoraria from Novartis, Ipsen, Pfizer, Advanced Accelerator Applications and Lexicon and research funding from Ipsen and Novartis; M.F. reports presentation honoraria from Novartis, Ipsen, Advanced Accelerator Applications and Prime Oncology, advisory honoraria from Advanced Accelerator Applications and research funding from Ipsen and Novartis; E. P. Krenning declares an employment interest at Cyclotron Rotterdam BV and stock or other interest, patent or intellectual property interest, travel, accommodation and expenses from Advanced Accelerator Applications; A.S. reports lecture honoraria from Ipsen and honoraria from Advanced Accelerator Applications; A.B. reports consultancy, advisory and speaking fees from Bayer, Janssen, Astellas and Novartis with research grants from Janssen and Astellas; A.P. and K. Oberg declare none.</w:t>
      </w:r>
    </w:p>
    <w:p>
      <w:pPr>
        <w:keepNext/>
        <w:spacing w:after="50" w:before="260"/>
      </w:pPr>
      <w:r>
        <w:rPr>
          <w:rFonts w:ascii="Cambria" w:cs="Cambria" w:eastAsia="Cambria" w:hAnsi="Cambria"/>
          <w:b/>
          <w:bCs/>
          <w:color w:val="17365D"/>
          <w:sz w:val="20"/>
          <w:szCs w:val="20"/>
        </w:rPr>
        <w:t xml:space="preserve">Graff-Baker debulking</w:t>
      </w:r>
      <w:r>
        <w:rPr>
          <w:b/>
          <w:bCs/>
          <w:color w:val="176A87"/>
          <w:sz w:val="15"/>
          <w:szCs w:val="15"/>
        </w:rPr>
        <w:t xml:space="preserve">   cohort</w:t>
      </w:r>
      <w:r>
        <w:rPr>
          <w:color w:val="5A6069"/>
          <w:sz w:val="15"/>
          <w:szCs w:val="15"/>
        </w:rPr>
        <w:t xml:space="preserve">   PMID 25456912</w:t>
      </w:r>
    </w:p>
    <w:p>
      <w:pPr>
        <w:spacing w:after="50" w:line="276"/>
      </w:pPr>
      <w:r>
        <w:rPr>
          <w:color w:val="5A6069"/>
          <w:sz w:val="17"/>
          <w:szCs w:val="17"/>
        </w:rPr>
        <w:t xml:space="preserve">Expanded criteria for carcinoid liver debulking: Maintaining survival and increasing the number of eligible patients</w:t>
      </w:r>
    </w:p>
    <w:p>
      <w:pPr>
        <w:spacing w:after="50"/>
      </w:pPr>
      <w:r>
        <w:rPr>
          <w:b/>
          <w:bCs/>
          <w:color w:val="176A87"/>
          <w:sz w:val="16"/>
          <w:szCs w:val="16"/>
        </w:rPr>
        <w:t xml:space="preserve">Population. </w:t>
      </w:r>
      <w:r>
        <w:rPr>
          <w:sz w:val="16"/>
          <w:szCs w:val="16"/>
        </w:rPr>
        <w:t xml:space="preserve">52 patients with carcinoid liver metastases debulked by a single surgeon between January 2007 and December 2011; the number explored and then not resected because 70% debulking was judged unachievable is never reported.</w:t>
      </w:r>
    </w:p>
    <w:p>
      <w:pPr>
        <w:spacing w:after="70"/>
      </w:pPr>
      <w:r>
        <w:rPr>
          <w:b/>
          <w:bCs/>
          <w:color w:val="17365D"/>
          <w:sz w:val="16"/>
          <w:szCs w:val="16"/>
        </w:rPr>
        <w:t xml:space="preserve">Bottom line. </w:t>
      </w:r>
      <w:r>
        <w:rPr>
          <w:sz w:val="16"/>
          <w:szCs w:val="16"/>
        </w:rPr>
        <w:t xml:space="preserve">This is the source of the 70% debulking threshold, and what it shows is that among patients in whom a single surgeon judged intraoperatively that at least 70% of visible liver disease could be removed, the amount actually removed made no measurable difference to liver progression-free survival (P=.74) or disease-specific survival (P=.37), while 5-year disease-specific survival was 90% and the only surviving predictor was age under 50. It does not show that 70% is a defensible floor, because the design excluded every patient in whom 70% was not achievable, so there is no sub-70% comparison and no count of how many were explored and declined. The null results that justify the expanded criteria rest on 11 patients in the lowest band, 15 progression events, 26 unadjusted log-rank tests and a median follow-up half the length of the median endpoint.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design is retrospective.</w:t>
            </w:r>
          </w:p>
          <w:p>
            <w:pPr>
              <w:pStyle w:val="ListParagraph"/>
              <w:numPr>
                <w:ilvl w:val="0"/>
                <w:numId w:val="2"/>
              </w:numPr>
              <w:spacing w:after="45"/>
            </w:pPr>
            <w:r>
              <w:rPr>
                <w:sz w:val="15"/>
                <w:szCs w:val="15"/>
              </w:rPr>
              <w:t xml:space="preserve">Type 2 statistical error is possible: the numbers in some groups are too small to show a significant difference where one exists, and considering multiple variables fragments already small subgroups further.</w:t>
            </w:r>
          </w:p>
          <w:p>
            <w:pPr>
              <w:pStyle w:val="ListParagraph"/>
              <w:numPr>
                <w:ilvl w:val="0"/>
                <w:numId w:val="2"/>
              </w:numPr>
              <w:spacing w:after="45"/>
            </w:pPr>
            <w:r>
              <w:rPr>
                <w:sz w:val="15"/>
                <w:szCs w:val="15"/>
              </w:rPr>
              <w:t xml:space="preserve">Most patients continued octreotide LAR after resection, especially after publication of PROMID, and the authors state this consistent postoperative use may have contributed to the longer progression-free survival they report.</w:t>
            </w:r>
          </w:p>
          <w:p>
            <w:pPr>
              <w:pStyle w:val="ListParagraph"/>
              <w:numPr>
                <w:ilvl w:val="0"/>
                <w:numId w:val="2"/>
              </w:numPr>
              <w:spacing w:after="45"/>
            </w:pPr>
            <w:r>
              <w:rPr>
                <w:sz w:val="15"/>
                <w:szCs w:val="15"/>
              </w:rPr>
              <w:t xml:space="preserve">The small number of patients not given octreotide LAR may be why no difference was seen when octreotide use was tested as a variable.</w:t>
            </w:r>
          </w:p>
          <w:p>
            <w:pPr>
              <w:pStyle w:val="ListParagraph"/>
              <w:numPr>
                <w:ilvl w:val="0"/>
                <w:numId w:val="2"/>
              </w:numPr>
              <w:spacing w:after="45"/>
            </w:pPr>
            <w:r>
              <w:rPr>
                <w:sz w:val="15"/>
                <w:szCs w:val="15"/>
              </w:rPr>
              <w:t xml:space="preserve">Successful resection of the primary tumour in 92% of patients may also have contributed to the improved liver progression-free and disease-specific survival.</w:t>
            </w:r>
          </w:p>
          <w:p>
            <w:pPr>
              <w:pStyle w:val="ListParagraph"/>
              <w:numPr>
                <w:ilvl w:val="0"/>
                <w:numId w:val="2"/>
              </w:numPr>
              <w:spacing w:after="45"/>
            </w:pPr>
            <w:r>
              <w:rPr>
                <w:sz w:val="15"/>
                <w:szCs w:val="15"/>
              </w:rPr>
              <w:t xml:space="preserve">It is difficult to compare outcomes between published series, so the claim that these figures are better than others' is made with that caveat.</w:t>
            </w:r>
          </w:p>
          <w:p>
            <w:pPr>
              <w:pStyle w:val="ListParagraph"/>
              <w:numPr>
                <w:ilvl w:val="0"/>
                <w:numId w:val="2"/>
              </w:numPr>
              <w:spacing w:after="45"/>
            </w:pPr>
            <w:r>
              <w:rPr>
                <w:sz w:val="15"/>
                <w:szCs w:val="15"/>
              </w:rPr>
              <w:t xml:space="preserve">No data support the use of somatostatin analogues after complete resection; the authors frame this as a foundation for future adjuvant studies rather than current evidence.</w:t>
            </w:r>
          </w:p>
          <w:p>
            <w:pPr>
              <w:pStyle w:val="ListParagraph"/>
              <w:numPr>
                <w:ilvl w:val="0"/>
                <w:numId w:val="2"/>
              </w:numPr>
              <w:spacing w:after="45"/>
            </w:pPr>
            <w:r>
              <w:rPr>
                <w:sz w:val="15"/>
                <w:szCs w:val="15"/>
              </w:rPr>
              <w:t xml:space="preserve">Several series, including this one, find that the extent of hepatic and extrahepatic disease is underestimated preoperatively in about 15% of cases (19% here).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cohort cannot test the threshold it was built to test, because it contains no sub-70% arm. The methods state the surgeon did not perform resection in patients in whom 70% debulking was not achievable, so every patient analysed was already filtered for technical feasibility, and the number explored and turned down is never given. The comparison actually made is 70-89% against 90-99% and 100%.</w:t>
            </w:r>
          </w:p>
          <w:p>
            <w:pPr>
              <w:pStyle w:val="ListParagraph"/>
              <w:numPr>
                <w:ilvl w:val="0"/>
                <w:numId w:val="2"/>
              </w:numPr>
              <w:spacing w:after="45"/>
            </w:pPr>
            <w:r>
              <w:rPr>
                <w:sz w:val="15"/>
                <w:szCs w:val="15"/>
              </w:rPr>
              <w:t xml:space="preserve">Equivalence is inferred from null results in very small groups. The 70-89% band holds 11 patients and 3 progression events, and P=.95 for progression, P=.74 for liver progression-free survival and P=.37 for disease-specific survival are read as showing no detrimental effect. No equivalence margin and no power calculation appear anywhere.</w:t>
            </w:r>
          </w:p>
          <w:p>
            <w:pPr>
              <w:pStyle w:val="ListParagraph"/>
              <w:numPr>
                <w:ilvl w:val="0"/>
                <w:numId w:val="2"/>
              </w:numPr>
              <w:spacing w:after="45"/>
            </w:pPr>
            <w:r>
              <w:rPr>
                <w:sz w:val="15"/>
                <w:szCs w:val="15"/>
              </w:rPr>
              <w:t xml:space="preserve">Liver progression means something different in each debulking group. Progression was scored by RECIST 1.1, which requires measurable target lesions at baseline; the 19 patients resected to 100% have no residual target lesion, so their only route to progression is a new lesion, while the 70-89% group carries measurable residual tumour that can grow. The endpoint is therefore easier to reach in the groups the paper wants to defend.</w:t>
            </w:r>
          </w:p>
          <w:p>
            <w:pPr>
              <w:pStyle w:val="ListParagraph"/>
              <w:numPr>
                <w:ilvl w:val="0"/>
                <w:numId w:val="2"/>
              </w:numPr>
              <w:spacing w:after="45"/>
            </w:pPr>
            <w:r>
              <w:rPr>
                <w:sz w:val="15"/>
                <w:szCs w:val="15"/>
              </w:rPr>
              <w:t xml:space="preserve">The exposure variable is the operating surgeon's own unblinded intraoperative eyeball-and-ultrasound estimate recorded at the end of the operation, with no volumetric imaging verification and no second observer. The same surgeon decided who was operated on at all and the percentage each patient was assigned to.</w:t>
            </w:r>
          </w:p>
          <w:p>
            <w:pPr>
              <w:pStyle w:val="ListParagraph"/>
              <w:numPr>
                <w:ilvl w:val="0"/>
                <w:numId w:val="2"/>
              </w:numPr>
              <w:spacing w:after="45"/>
            </w:pPr>
            <w:r>
              <w:rPr>
                <w:sz w:val="15"/>
                <w:szCs w:val="15"/>
              </w:rPr>
              <w:t xml:space="preserve">Median follow-up was 37.4 months, roughly half the median liver progression-free survival of 71.6 months (95% CI 56.0 to 87.3). The 90% five-year disease-specific survival, the 88% five-year overall survival and the 85% five-year progression-free rate in older patients are all extrapolations beyond the median follow-up, and no figure in the paper reports numbers at risk.</w:t>
            </w:r>
          </w:p>
          <w:p>
            <w:pPr>
              <w:pStyle w:val="ListParagraph"/>
              <w:numPr>
                <w:ilvl w:val="0"/>
                <w:numId w:val="2"/>
              </w:numPr>
              <w:spacing w:after="45"/>
            </w:pPr>
            <w:r>
              <w:rPr>
                <w:sz w:val="15"/>
                <w:szCs w:val="15"/>
              </w:rPr>
              <w:t xml:space="preserve">All 26 comparisons in Tables II and III are unadjusted log-rank tests on 15 progression events and an unstated number of deaths. No multivariable model was fitted at all, so the single surviving finding, age, is unadjusted, and no correction for 26 tests is applied.</w:t>
            </w:r>
          </w:p>
          <w:p>
            <w:pPr>
              <w:pStyle w:val="ListParagraph"/>
              <w:numPr>
                <w:ilvl w:val="0"/>
                <w:numId w:val="2"/>
              </w:numPr>
              <w:spacing w:after="45"/>
            </w:pPr>
            <w:r>
              <w:rPr>
                <w:sz w:val="15"/>
                <w:szCs w:val="15"/>
              </w:rPr>
              <w:t xml:space="preserve">The age cutoff of 50 years is not prespecified and does not fall out of the data presented, where the group means were 52.0 and 60.1 years. A dichotomy chosen after seeing a continuous difference then supplies the paper's headline prognostic factor.</w:t>
            </w:r>
          </w:p>
          <w:p>
            <w:pPr>
              <w:pStyle w:val="ListParagraph"/>
              <w:numPr>
                <w:ilvl w:val="0"/>
                <w:numId w:val="2"/>
              </w:numPr>
              <w:spacing w:after="45"/>
            </w:pPr>
            <w:r>
              <w:rPr>
                <w:sz w:val="15"/>
                <w:szCs w:val="15"/>
              </w:rPr>
              <w:t xml:space="preserve">Intermediate-grade metastases point consistently the wrong way and are dismissed: P=.07 for progression in Table I, P=.10 for progression-free survival and P=.06 for disease-specific survival, all adverse, on 15 of 45 patients. From those three near-misses the paper advises against sampling multiple liver lesions for grading before debulking.</w:t>
            </w:r>
          </w:p>
          <w:p>
            <w:pPr>
              <w:pStyle w:val="ListParagraph"/>
              <w:numPr>
                <w:ilvl w:val="0"/>
                <w:numId w:val="2"/>
              </w:numPr>
              <w:spacing w:after="45"/>
            </w:pPr>
            <w:r>
              <w:rPr>
                <w:sz w:val="15"/>
                <w:szCs w:val="15"/>
              </w:rPr>
              <w:t xml:space="preserve">The grade comparison rests on far fewer specimens than the claim implies. Primary tumours were available in only 22 of 52 patients, so 'all primaries reviewed were low grade' is a statement about 22 specimens, and the primary-versus-metastasis comparison is made in 21 patients.</w:t>
            </w:r>
          </w:p>
          <w:p>
            <w:pPr>
              <w:pStyle w:val="ListParagraph"/>
              <w:numPr>
                <w:ilvl w:val="0"/>
                <w:numId w:val="2"/>
              </w:numPr>
              <w:spacing w:after="45"/>
            </w:pPr>
            <w:r>
              <w:rPr>
                <w:sz w:val="15"/>
                <w:szCs w:val="15"/>
              </w:rPr>
              <w:t xml:space="preserve">The number of metastases graded is reported two ways: more than 200 from 45 patients in the results, more than 220 from 46 patients in the discussion.</w:t>
            </w:r>
          </w:p>
          <w:p>
            <w:pPr>
              <w:pStyle w:val="ListParagraph"/>
              <w:numPr>
                <w:ilvl w:val="0"/>
                <w:numId w:val="2"/>
              </w:numPr>
              <w:spacing w:after="45"/>
            </w:pPr>
            <w:r>
              <w:rPr>
                <w:sz w:val="15"/>
                <w:szCs w:val="15"/>
              </w:rPr>
              <w:t xml:space="preserve">Figures disagree with text on the paper's own headline. The 5-year liver progression-free survival under age 50 is 25.7% in the results and 21.6% in the Figure 3 legend, and the age disease-specific survival P value is .03 in the abstract and Table III but .025 in the results.</w:t>
            </w:r>
          </w:p>
          <w:p>
            <w:pPr>
              <w:pStyle w:val="ListParagraph"/>
              <w:numPr>
                <w:ilvl w:val="0"/>
                <w:numId w:val="2"/>
              </w:numPr>
              <w:spacing w:after="45"/>
            </w:pPr>
            <w:r>
              <w:rPr>
                <w:sz w:val="15"/>
                <w:szCs w:val="15"/>
              </w:rPr>
              <w:t xml:space="preserve">No operative mortality and no morbidity rate appear anywhere in the paper. For a series whose entire argument is that more patients should be offered this operation, the only harm datum reported is a median length of stay of 6 days.</w:t>
            </w:r>
          </w:p>
          <w:p>
            <w:pPr>
              <w:pStyle w:val="ListParagraph"/>
              <w:numPr>
                <w:ilvl w:val="0"/>
                <w:numId w:val="2"/>
              </w:numPr>
              <w:spacing w:after="45"/>
            </w:pPr>
            <w:r>
              <w:rPr>
                <w:sz w:val="15"/>
                <w:szCs w:val="15"/>
              </w:rPr>
              <w:t xml:space="preserve">The number of deaths is never stated. A 90% five-year disease-specific survival and an 88% overall survival are reported without the event count behind them, and the statement that all deaths were from liver failure cannot be checked against a denominator.</w:t>
            </w:r>
          </w:p>
          <w:p>
            <w:pPr>
              <w:pStyle w:val="ListParagraph"/>
              <w:numPr>
                <w:ilvl w:val="0"/>
                <w:numId w:val="2"/>
              </w:numPr>
              <w:spacing w:after="45"/>
            </w:pPr>
            <w:r>
              <w:rPr>
                <w:sz w:val="15"/>
                <w:szCs w:val="15"/>
              </w:rPr>
              <w:t xml:space="preserve">Octreotide exposure is tangled up with calendar time. The cohort was operated between 2007 and 2011 and the authors say postoperative octreotide LAR became routine after PROMID appeared in 2009, so the most-treated patients are also the most recently operated and the least followed. No period analysis is presented.</w:t>
            </w:r>
          </w:p>
          <w:p>
            <w:pPr>
              <w:pStyle w:val="ListParagraph"/>
              <w:numPr>
                <w:ilvl w:val="0"/>
                <w:numId w:val="2"/>
              </w:numPr>
              <w:spacing w:after="45"/>
            </w:pPr>
            <w:r>
              <w:rPr>
                <w:sz w:val="15"/>
                <w:szCs w:val="15"/>
              </w:rPr>
              <w:t xml:space="preserve">Six patients underwent a second liver debulking and two who progressed were enrolled in RADIANT-4 (everolimus versus placebo). Disease-specific survival therefore reflects salvage treatment that the analysis does not model, and liver progression is itself the trigger for that salvage, as the author confirmed at the podium that other modalities are withheld until liver progression occurs.</w:t>
            </w:r>
          </w:p>
          <w:p>
            <w:pPr>
              <w:pStyle w:val="ListParagraph"/>
              <w:numPr>
                <w:ilvl w:val="0"/>
                <w:numId w:val="2"/>
              </w:numPr>
              <w:spacing w:after="45"/>
            </w:pPr>
            <w:r>
              <w:rPr>
                <w:sz w:val="15"/>
                <w:szCs w:val="15"/>
              </w:rPr>
              <w:t xml:space="preserve">The conclusion that extrahepatic disease does not matter rests on 37 months of median follow-up in a disease where extrahepatic carcinoid kills over many years. Eighteen patients were left with unresected extrahepatic disease, no patient died of it in the observation window, and that null result (P=.45 and P=.57) is turned into advice to offer debulking regardless of extrahepatic resectability.</w:t>
            </w:r>
          </w:p>
          <w:p>
            <w:pPr>
              <w:pStyle w:val="ListParagraph"/>
              <w:numPr>
                <w:ilvl w:val="0"/>
                <w:numId w:val="2"/>
              </w:numPr>
              <w:spacing w:after="45"/>
            </w:pPr>
            <w:r>
              <w:rPr>
                <w:sz w:val="15"/>
                <w:szCs w:val="15"/>
              </w:rPr>
              <w:t xml:space="preserve">At the published discussion Sareh Parangi argued that because much of the extrahepatic disease here was found at operation, prospectively selecting patients with known extrahepatic disease would be a different population; the author's answer, that two-thirds of the 34 were known preoperatively, concedes that a third were not. Allan Siperstein made the related point that the paper reports debulking in isolation from the multimodality therapy these patients actually receive.</w:t>
            </w:r>
          </w:p>
          <w:p>
            <w:pPr>
              <w:pStyle w:val="ListParagraph"/>
              <w:numPr>
                <w:ilvl w:val="0"/>
                <w:numId w:val="2"/>
              </w:numPr>
              <w:spacing w:after="45"/>
            </w:pPr>
            <w:r>
              <w:rPr>
                <w:sz w:val="15"/>
                <w:szCs w:val="15"/>
              </w:rPr>
              <w:t xml:space="preserve">The senior author declares consultancy for Novartis Oncology, which markets octreotide LAR and everolimus, and for Pfizer, which markets sunitinib, and the discussion attributes part of the series' unusually long progression-free survival to octreotide LAR. Funding came from the institution's own carcinoid research foundation. A PubMed search found no linked editorial or comment, so the only external appraisal is the printed podium discussion.</w:t>
            </w:r>
          </w:p>
        </w:tc>
      </w:tr>
    </w:tbl>
    <w:p>
      <w:pPr>
        <w:spacing w:after="0" w:line="276"/>
      </w:pPr>
      <w:r>
        <w:rPr>
          <w:color w:val="5A6069"/>
          <w:sz w:val="14"/>
          <w:szCs w:val="14"/>
        </w:rPr>
        <w:t xml:space="preserve">Funding: OHSU Carcinoid Research Foundation; R. Pommier declares consultancy for Novartis Oncology Pharmaceuticals and Pfizer.</w:t>
      </w:r>
    </w:p>
    <w:p>
      <w:pPr>
        <w:keepNext/>
        <w:spacing w:after="50" w:before="260"/>
      </w:pPr>
      <w:r>
        <w:rPr>
          <w:rFonts w:ascii="Cambria" w:cs="Cambria" w:eastAsia="Cambria" w:hAnsi="Cambria"/>
          <w:b/>
          <w:bCs/>
          <w:color w:val="17365D"/>
          <w:sz w:val="20"/>
          <w:szCs w:val="20"/>
        </w:rPr>
        <w:t xml:space="preserve">Gupta embolisation</w:t>
      </w:r>
      <w:r>
        <w:rPr>
          <w:b/>
          <w:bCs/>
          <w:color w:val="176A87"/>
          <w:sz w:val="15"/>
          <w:szCs w:val="15"/>
        </w:rPr>
        <w:t xml:space="preserve">   cohort</w:t>
      </w:r>
      <w:r>
        <w:rPr>
          <w:color w:val="5A6069"/>
          <w:sz w:val="15"/>
          <w:szCs w:val="15"/>
        </w:rPr>
        <w:t xml:space="preserve">   PMID 16134179</w:t>
      </w:r>
    </w:p>
    <w:p>
      <w:pPr>
        <w:spacing w:after="50" w:line="276"/>
      </w:pPr>
      <w:r>
        <w:rPr>
          <w:color w:val="5A6069"/>
          <w:sz w:val="17"/>
          <w:szCs w:val="17"/>
        </w:rPr>
        <w:t xml:space="preserve">Hepatic arterial embolization and chemoembolization for the treatment of patients with metastatic neuroendocrine tumors: variables affecting response rates and survival</w:t>
      </w:r>
    </w:p>
    <w:p>
      <w:pPr>
        <w:spacing w:after="50"/>
      </w:pPr>
      <w:r>
        <w:rPr>
          <w:b/>
          <w:bCs/>
          <w:color w:val="176A87"/>
          <w:sz w:val="16"/>
          <w:szCs w:val="16"/>
        </w:rPr>
        <w:t xml:space="preserve">Population. </w:t>
      </w:r>
      <w:r>
        <w:rPr>
          <w:sz w:val="16"/>
          <w:szCs w:val="16"/>
        </w:rPr>
        <w:t xml:space="preserve">123 patients with histologically confirmed neuroendocrine liver metastases, 69 carcinoid and 54 pancreatic islet cell, treated by hepatic arterial embolisation or chemoembolisation at one tertiary centre between January 1992 and December 2000; 8 patients (4 in each group) were lost to follow-up and dropped from the survival analysis.</w:t>
      </w:r>
    </w:p>
    <w:p>
      <w:pPr>
        <w:spacing w:after="70"/>
      </w:pPr>
      <w:r>
        <w:rPr>
          <w:b/>
          <w:bCs/>
          <w:color w:val="17365D"/>
          <w:sz w:val="16"/>
          <w:szCs w:val="16"/>
        </w:rPr>
        <w:t xml:space="preserve">Bottom line. </w:t>
      </w:r>
      <w:r>
        <w:rPr>
          <w:sz w:val="16"/>
          <w:szCs w:val="16"/>
        </w:rPr>
        <w:t xml:space="preserve">This is the largest single-centre comparison of bland embolisation with chemoembolisation in neuroendocrine liver metastases and the source of the widely quoted claim that adding intra-arterial chemotherapy helps pancreatic but not carcinoid primaries: response 81% versus 44% favouring bland embolisation in carcinoid, and 50% versus 25% favouring chemoembolisation in islet cell tumours. Neither finding is a treatment effect, because the choice between the two was made by the referring physician, and in the islet cell cohort the chemoembolisation group had more resected primaries, less liver disease and more sessions. The response difference in carcinoid produced no difference at all in progression-free or overall survival, which the paper reports without reconciling, and grade, Ki-67 and any symptom measure are absent throughout.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major limitation is the retrospective design.</w:t>
            </w:r>
          </w:p>
          <w:p>
            <w:pPr>
              <w:pStyle w:val="ListParagraph"/>
              <w:numPr>
                <w:ilvl w:val="0"/>
                <w:numId w:val="2"/>
              </w:numPr>
              <w:spacing w:after="45"/>
            </w:pPr>
            <w:r>
              <w:rPr>
                <w:sz w:val="15"/>
                <w:szCs w:val="15"/>
              </w:rPr>
              <w:t xml:space="preserve">Because the study is retrospective and non-randomised, some subgroups contain too few patients for meaningful statistical analysis.</w:t>
            </w:r>
          </w:p>
          <w:p>
            <w:pPr>
              <w:pStyle w:val="ListParagraph"/>
              <w:numPr>
                <w:ilvl w:val="0"/>
                <w:numId w:val="2"/>
              </w:numPr>
              <w:spacing w:after="45"/>
            </w:pPr>
            <w:r>
              <w:rPr>
                <w:sz w:val="15"/>
                <w:szCs w:val="15"/>
              </w:rPr>
              <w:t xml:space="preserve">The lack of a uniform imaging protocol for detecting extrahepatic metastatic disease, and variability in how often follow-up imaging was obtained, may have affected both the response and the survival analyses.</w:t>
            </w:r>
          </w:p>
          <w:p>
            <w:pPr>
              <w:pStyle w:val="ListParagraph"/>
              <w:numPr>
                <w:ilvl w:val="0"/>
                <w:numId w:val="2"/>
              </w:numPr>
              <w:spacing w:after="45"/>
            </w:pPr>
            <w:r>
              <w:rPr>
                <w:sz w:val="15"/>
                <w:szCs w:val="15"/>
              </w:rPr>
              <w:t xml:space="preserve">The choice between embolisation and chemoembolisation was left to the discretion of the referring physician.</w:t>
            </w:r>
          </w:p>
          <w:p>
            <w:pPr>
              <w:pStyle w:val="ListParagraph"/>
              <w:numPr>
                <w:ilvl w:val="0"/>
                <w:numId w:val="2"/>
              </w:numPr>
              <w:spacing w:after="45"/>
            </w:pPr>
            <w:r>
              <w:rPr>
                <w:sz w:val="15"/>
                <w:szCs w:val="15"/>
              </w:rPr>
              <w:t xml:space="preserve">In the islet cell cohort the chemoembolisation group had more resected primary tumours, less extensive liver involvement and more sessions than the embolisation group, so the authors say the apparent chemoembolisation advantage must be viewed with caution.</w:t>
            </w:r>
          </w:p>
          <w:p>
            <w:pPr>
              <w:pStyle w:val="ListParagraph"/>
              <w:numPr>
                <w:ilvl w:val="0"/>
                <w:numId w:val="2"/>
              </w:numPr>
              <w:spacing w:after="45"/>
            </w:pPr>
            <w:r>
              <w:rPr>
                <w:sz w:val="15"/>
                <w:szCs w:val="15"/>
              </w:rPr>
              <w:t xml:space="preserve">Direct comparison with the published series they tabulate is described as problematic because of marked heterogeneity in patient groups, treatment protocols and methods of reporting response.</w:t>
            </w:r>
          </w:p>
          <w:p>
            <w:pPr>
              <w:pStyle w:val="ListParagraph"/>
              <w:numPr>
                <w:ilvl w:val="0"/>
                <w:numId w:val="2"/>
              </w:numPr>
              <w:spacing w:after="45"/>
            </w:pPr>
            <w:r>
              <w:rPr>
                <w:sz w:val="15"/>
                <w:szCs w:val="15"/>
              </w:rPr>
              <w:t xml:space="preserve">They cannot rule out that patients whose primary tumour had been resected had less local tumour burden, the selection bias others have raised about that comparison.</w:t>
            </w:r>
          </w:p>
          <w:p>
            <w:pPr>
              <w:pStyle w:val="ListParagraph"/>
              <w:numPr>
                <w:ilvl w:val="0"/>
                <w:numId w:val="2"/>
              </w:numPr>
              <w:spacing w:after="45"/>
            </w:pPr>
            <w:r>
              <w:rPr>
                <w:sz w:val="15"/>
                <w:szCs w:val="15"/>
              </w:rPr>
              <w:t xml:space="preserve">The conclusions need validation in prospective randomised studies and may change with newer chemotherapeutic agents.</w:t>
            </w:r>
          </w:p>
          <w:p>
            <w:pPr>
              <w:pStyle w:val="ListParagraph"/>
              <w:numPr>
                <w:ilvl w:val="0"/>
                <w:numId w:val="2"/>
              </w:numPr>
              <w:spacing w:after="45"/>
            </w:pPr>
            <w:r>
              <w:rPr>
                <w:sz w:val="15"/>
                <w:szCs w:val="15"/>
              </w:rPr>
              <w:t xml:space="preserve">Whether concomitant octreotide with embolisation offers any benefit requires a prospective randomised trial.</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Progression-free survival is defined in a way that mixes events with censoring: the interval from first embolisation to progression in patients who progressed, or to death or last follow-up in those who did not. Death without documented progression is therefore handled as the end of follow-up rather than as a competing event, and only progression in the liver counts.</w:t>
            </w:r>
          </w:p>
          <w:p>
            <w:pPr>
              <w:pStyle w:val="ListParagraph"/>
              <w:numPr>
                <w:ilvl w:val="0"/>
                <w:numId w:val="2"/>
              </w:numPr>
              <w:spacing w:after="45"/>
            </w:pPr>
            <w:r>
              <w:rPr>
                <w:sz w:val="15"/>
                <w:szCs w:val="15"/>
              </w:rPr>
              <w:t xml:space="preserve">Progressive disease is defined against the nadir, as a 25% increase over the measurement at the time of maximal tumour shrinkage, not against baseline. With follow-up imaging at 3 to 4 months then every 4 to 6 months and varying in practice, both response duration and progression-free survival depend on the imaging interval as much as on the disease.</w:t>
            </w:r>
          </w:p>
          <w:p>
            <w:pPr>
              <w:pStyle w:val="ListParagraph"/>
              <w:numPr>
                <w:ilvl w:val="0"/>
                <w:numId w:val="2"/>
              </w:numPr>
              <w:spacing w:after="45"/>
            </w:pPr>
            <w:r>
              <w:rPr>
                <w:sz w:val="15"/>
                <w:szCs w:val="15"/>
              </w:rPr>
              <w:t xml:space="preserve">Response was scored by the investigators on non-blinded, non-centrally reviewed CT or MRI using the WHO product of two diameters, in up to five lesions selected by the investigators for their suitability for accurate repeated measurement, in a liver that had just been embolised and was often necrotic.</w:t>
            </w:r>
          </w:p>
          <w:p>
            <w:pPr>
              <w:pStyle w:val="ListParagraph"/>
              <w:numPr>
                <w:ilvl w:val="0"/>
                <w:numId w:val="2"/>
              </w:numPr>
              <w:spacing w:after="45"/>
            </w:pPr>
            <w:r>
              <w:rPr>
                <w:sz w:val="15"/>
                <w:szCs w:val="15"/>
              </w:rPr>
              <w:t xml:space="preserve">Not one carcinoid patient achieved a complete response, so the 66.7% response rate consists entirely of partial responses by a bidimensional size criterion, and it is this number the paper uses to prefer bland embolisation.</w:t>
            </w:r>
          </w:p>
          <w:p>
            <w:pPr>
              <w:pStyle w:val="ListParagraph"/>
              <w:numPr>
                <w:ilvl w:val="0"/>
                <w:numId w:val="2"/>
              </w:numPr>
              <w:spacing w:after="45"/>
            </w:pPr>
            <w:r>
              <w:rPr>
                <w:sz w:val="15"/>
                <w:szCs w:val="15"/>
              </w:rPr>
              <w:t xml:space="preserve">The survival analysis quietly drops 8 patients lost to follow-up, 4 from each group, while the response rates are reported on the full 69 and 54. The denominators behind the two headline comparisons are therefore different.</w:t>
            </w:r>
          </w:p>
          <w:p>
            <w:pPr>
              <w:pStyle w:val="ListParagraph"/>
              <w:numPr>
                <w:ilvl w:val="0"/>
                <w:numId w:val="2"/>
              </w:numPr>
              <w:spacing w:after="45"/>
            </w:pPr>
            <w:r>
              <w:rPr>
                <w:sz w:val="15"/>
                <w:szCs w:val="15"/>
              </w:rPr>
              <w:t xml:space="preserve">The paper's own central finding is internally inconsistent and the inconsistency is not addressed: in carcinoid tumours chemoembolisation halved the response rate (44.4% versus 81.0%, P=0.004) yet made no difference whatever to progression-free or overall survival. If a bidimensional response at this magnitude means anything, the survival curves should separate.</w:t>
            </w:r>
          </w:p>
          <w:p>
            <w:pPr>
              <w:pStyle w:val="ListParagraph"/>
              <w:numPr>
                <w:ilvl w:val="0"/>
                <w:numId w:val="2"/>
              </w:numPr>
              <w:spacing w:after="45"/>
            </w:pPr>
            <w:r>
              <w:rPr>
                <w:sz w:val="15"/>
                <w:szCs w:val="15"/>
              </w:rPr>
              <w:t xml:space="preserve">Male sex is presented as the sole independent predictor of survival in carcinoid patients on a relative risk of 2.55 with a 95% confidence interval of 0.99 to 6.58, an interval that includes 1, at P=0.05. The bone-metastasis predictor in islet cell tumours (RR 3.23, 95% CI 1.09-9.53) is barely more robust, and both come from models into which variables were admitted at a univariate threshold of P&lt;0.1 pooled across the two tumour groups.</w:t>
            </w:r>
          </w:p>
          <w:p>
            <w:pPr>
              <w:pStyle w:val="ListParagraph"/>
              <w:numPr>
                <w:ilvl w:val="0"/>
                <w:numId w:val="2"/>
              </w:numPr>
              <w:spacing w:after="45"/>
            </w:pPr>
            <w:r>
              <w:rPr>
                <w:sz w:val="15"/>
                <w:szCs w:val="15"/>
              </w:rPr>
              <w:t xml:space="preserve">The recommendation that patients with over 75% liver involvement can still benefit rests on 14 carcinoid patients with a 43% response rate and a 20.1-month median survival, set against a major complication rate of 27.3% versus 12.9% at P=0.11. A non-significant safety comparison in a small subgroup is read as reassurance.</w:t>
            </w:r>
          </w:p>
          <w:p>
            <w:pPr>
              <w:pStyle w:val="ListParagraph"/>
              <w:numPr>
                <w:ilvl w:val="0"/>
                <w:numId w:val="2"/>
              </w:numPr>
              <w:spacing w:after="45"/>
            </w:pPr>
            <w:r>
              <w:rPr>
                <w:sz w:val="15"/>
                <w:szCs w:val="15"/>
              </w:rPr>
              <w:t xml:space="preserve">Table 9 pools 13 published series spanning 1983 to 2003 and computes unweighted arithmetic averages of response (32% for chemoembolisation versus 55% for embolisation in carcinoid) across different eras, agents and response criteria. The authors note in the text that such comparison is problematic and then present the averages as corroboration.</w:t>
            </w:r>
          </w:p>
          <w:p>
            <w:pPr>
              <w:pStyle w:val="ListParagraph"/>
              <w:numPr>
                <w:ilvl w:val="0"/>
                <w:numId w:val="2"/>
              </w:numPr>
              <w:spacing w:after="45"/>
            </w:pPr>
            <w:r>
              <w:rPr>
                <w:sz w:val="15"/>
                <w:szCs w:val="15"/>
              </w:rPr>
              <w:t xml:space="preserve">The conclusion that concomitant octreotide prolongs progression-free survival comes from an exposure driven entirely by indication: octreotide was given before embolisation to patients with hormonal symptoms, and carcinoid patients were significantly more likely to have received it. The comparison is between patients selected for a syndrome and those without one.</w:t>
            </w:r>
          </w:p>
          <w:p>
            <w:pPr>
              <w:pStyle w:val="ListParagraph"/>
              <w:numPr>
                <w:ilvl w:val="0"/>
                <w:numId w:val="2"/>
              </w:numPr>
              <w:spacing w:after="45"/>
            </w:pPr>
            <w:r>
              <w:rPr>
                <w:sz w:val="15"/>
                <w:szCs w:val="15"/>
              </w:rPr>
              <w:t xml:space="preserve">Extrahepatic disease, including the bone metastases that become an independent predictor, was ascertained from whatever bone scans, octreoscans, MRI or CT happened to be available, many performed at outside institutions. A prognostic factor is thus derived from an exposure whose measurement the authors themselves list as a limitation.</w:t>
            </w:r>
          </w:p>
          <w:p>
            <w:pPr>
              <w:pStyle w:val="ListParagraph"/>
              <w:numPr>
                <w:ilvl w:val="0"/>
                <w:numId w:val="2"/>
              </w:numPr>
              <w:spacing w:after="45"/>
            </w:pPr>
            <w:r>
              <w:rPr>
                <w:sz w:val="15"/>
                <w:szCs w:val="15"/>
              </w:rPr>
              <w:t xml:space="preserve">Neither grade nor Ki-67 is reported anywhere. 'Carcinoid' pools 43 small-bowel, 9 bronchial and 17 other primaries, and the islet cell group pools 20 functional with 34 non-functional pancreatic tumours, so the two arms of the paper's central comparison are each internally heterogeneous on the axes that now determine treatment.</w:t>
            </w:r>
          </w:p>
          <w:p>
            <w:pPr>
              <w:pStyle w:val="ListParagraph"/>
              <w:numPr>
                <w:ilvl w:val="0"/>
                <w:numId w:val="2"/>
              </w:numPr>
              <w:spacing w:after="45"/>
            </w:pPr>
            <w:r>
              <w:rPr>
                <w:sz w:val="15"/>
                <w:szCs w:val="15"/>
              </w:rPr>
              <w:t xml:space="preserve">The indication for treatment was not clear from the record in 9 of 54 islet cell patients, who are nonetheless counted in both the response and survival analyses.</w:t>
            </w:r>
          </w:p>
          <w:p>
            <w:pPr>
              <w:pStyle w:val="ListParagraph"/>
              <w:numPr>
                <w:ilvl w:val="0"/>
                <w:numId w:val="2"/>
              </w:numPr>
              <w:spacing w:after="45"/>
            </w:pPr>
            <w:r>
              <w:rPr>
                <w:sz w:val="15"/>
                <w:szCs w:val="15"/>
              </w:rPr>
              <w:t xml:space="preserve">The interventions are not specified at the patient level. Bland embolisation used polyvinyl alcohol particles or gelfoam powder interchangeably, injected to substantial flow slowing judged by the operator, and the chemotherapy regimens used in the chemoembolisation arm are not broken down, so neither arm of the comparison describes a reproducible procedure.</w:t>
            </w:r>
          </w:p>
          <w:p>
            <w:pPr>
              <w:pStyle w:val="ListParagraph"/>
              <w:numPr>
                <w:ilvl w:val="0"/>
                <w:numId w:val="2"/>
              </w:numPr>
              <w:spacing w:after="45"/>
            </w:pPr>
            <w:r>
              <w:rPr>
                <w:sz w:val="15"/>
                <w:szCs w:val="15"/>
              </w:rPr>
              <w:t xml:space="preserve">The 8.5% serious-adverse-event rate per session and the single day-3 death are reported for the cohort as a whole, with no breakdown by embolisation versus chemoembolisation, which is precisely the comparison the paper exists to make.</w:t>
            </w:r>
          </w:p>
          <w:p>
            <w:pPr>
              <w:pStyle w:val="ListParagraph"/>
              <w:numPr>
                <w:ilvl w:val="0"/>
                <w:numId w:val="2"/>
              </w:numPr>
              <w:spacing w:after="45"/>
            </w:pPr>
            <w:r>
              <w:rPr>
                <w:sz w:val="15"/>
                <w:szCs w:val="15"/>
              </w:rPr>
              <w:t xml:space="preserve">Hormonal response is never measured. Repeat sessions were triggered by 'inadequate hormonal response', an undefined clinical judgement, and no symptom score, chromogranin or 5-HIAA outcome is reported.</w:t>
            </w:r>
          </w:p>
          <w:p>
            <w:pPr>
              <w:pStyle w:val="ListParagraph"/>
              <w:numPr>
                <w:ilvl w:val="0"/>
                <w:numId w:val="2"/>
              </w:numPr>
              <w:spacing w:after="45"/>
            </w:pPr>
            <w:r>
              <w:rPr>
                <w:sz w:val="15"/>
                <w:szCs w:val="15"/>
              </w:rPr>
              <w:t xml:space="preserve">No funding statement and no conflict-of-interest declaration appears anywhere in the paper, and a PubMed search found no linked editorial or comment.</w:t>
            </w:r>
          </w:p>
        </w:tc>
      </w:tr>
    </w:tbl>
    <w:p>
      <w:pPr>
        <w:keepNext/>
        <w:spacing w:after="50" w:before="260"/>
      </w:pPr>
      <w:r>
        <w:rPr>
          <w:rFonts w:ascii="Cambria" w:cs="Cambria" w:eastAsia="Cambria" w:hAnsi="Cambria"/>
          <w:b/>
          <w:bCs/>
          <w:color w:val="17365D"/>
          <w:sz w:val="20"/>
          <w:szCs w:val="20"/>
        </w:rPr>
        <w:t xml:space="preserve">HEPAR PLuS</w:t>
      </w:r>
      <w:r>
        <w:rPr>
          <w:b/>
          <w:bCs/>
          <w:color w:val="176A87"/>
          <w:sz w:val="15"/>
          <w:szCs w:val="15"/>
        </w:rPr>
        <w:t xml:space="preserve">   cohort</w:t>
      </w:r>
      <w:r>
        <w:rPr>
          <w:color w:val="5A6069"/>
          <w:sz w:val="15"/>
          <w:szCs w:val="15"/>
        </w:rPr>
        <w:t xml:space="preserve">   PMID 40302310</w:t>
      </w:r>
    </w:p>
    <w:p>
      <w:pPr>
        <w:spacing w:after="50" w:line="276"/>
      </w:pPr>
      <w:r>
        <w:rPr>
          <w:color w:val="5A6069"/>
          <w:sz w:val="17"/>
          <w:szCs w:val="17"/>
        </w:rPr>
        <w:t xml:space="preserve">PRRT plus holmium-166-SIRT (HEPAR PLuS) versus PRRT-only in patients with metastatic neuroendocrine tumors: A propensity-score matched analysis</w:t>
      </w:r>
    </w:p>
    <w:p>
      <w:pPr>
        <w:spacing w:after="50"/>
      </w:pPr>
      <w:r>
        <w:rPr>
          <w:b/>
          <w:bCs/>
          <w:color w:val="176A87"/>
          <w:sz w:val="16"/>
          <w:szCs w:val="16"/>
        </w:rPr>
        <w:t xml:space="preserve">Population. </w:t>
      </w:r>
      <w:r>
        <w:rPr>
          <w:sz w:val="16"/>
          <w:szCs w:val="16"/>
        </w:rPr>
        <w:t xml:space="preserve">24 matched pairs: the 30 patients of the prospective single-arm HEPAR PLuS phase 2 trial set against 90 PRRT-only patients collected retrospectively from four European ENETS Centres of Excellence, reduced to 1:1 matching on a ten-covariate propensity score.</w:t>
      </w:r>
    </w:p>
    <w:p>
      <w:pPr>
        <w:spacing w:after="70"/>
      </w:pPr>
      <w:r>
        <w:rPr>
          <w:b/>
          <w:bCs/>
          <w:color w:val="17365D"/>
          <w:sz w:val="16"/>
          <w:szCs w:val="16"/>
        </w:rPr>
        <w:t xml:space="preserve">Bottom line. </w:t>
      </w:r>
      <w:r>
        <w:rPr>
          <w:sz w:val="16"/>
          <w:szCs w:val="16"/>
        </w:rPr>
        <w:t xml:space="preserve">This suggests that adding holmium-166 radioembolisation after four cycles of 177Lu-DOTATATE improves control of liver disease, with two-year hepatic progression-free survival of 82% against 50% and an intrahepatic response rate of 75% against 29% in 24 matched pairs. It does not establish benefit: the primary endpoint is two proportions with overlapping confidence intervals and no statistical test, median PFS and overall survival are unchanged, the combination arm had less liver disease after matching (8% against 20% burden) despite bulky disease being the rationale, and toxicity could not be compared at all. The one arm is a prospective trial cohort that had to survive and tolerate full PRRT to qualify, the other a retrospective chart series, and the study is funded by the microsphere manufacturer with two of its employees as co-authors under a declaration of no conflicts.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 prospectively collected trial cohort is compared with a retrospective PRRT-only cohort.</w:t>
            </w:r>
          </w:p>
          <w:p>
            <w:pPr>
              <w:pStyle w:val="ListParagraph"/>
              <w:numPr>
                <w:ilvl w:val="0"/>
                <w:numId w:val="2"/>
              </w:numPr>
              <w:spacing w:after="45"/>
            </w:pPr>
            <w:r>
              <w:rPr>
                <w:sz w:val="15"/>
                <w:szCs w:val="15"/>
              </w:rPr>
              <w:t xml:space="preserve">The PRRT-only cohort suffered from reporting bias, which forced the authors to drop the toxicity analysis and the analysis of hormone-related complaints altogether.</w:t>
            </w:r>
          </w:p>
          <w:p>
            <w:pPr>
              <w:pStyle w:val="ListParagraph"/>
              <w:numPr>
                <w:ilvl w:val="0"/>
                <w:numId w:val="2"/>
              </w:numPr>
              <w:spacing w:after="45"/>
            </w:pPr>
            <w:r>
              <w:rPr>
                <w:sz w:val="15"/>
                <w:szCs w:val="15"/>
              </w:rPr>
              <w:t xml:space="preserve">Heterogeneity of the primary tumours made propensity-score matching difficult and limited it to 1:1, and even with restrictive inclusion and matching criteria an imbalance in ECOG score remained.</w:t>
            </w:r>
          </w:p>
          <w:p>
            <w:pPr>
              <w:pStyle w:val="ListParagraph"/>
              <w:numPr>
                <w:ilvl w:val="0"/>
                <w:numId w:val="2"/>
              </w:numPr>
              <w:spacing w:after="45"/>
            </w:pPr>
            <w:r>
              <w:rPr>
                <w:sz w:val="15"/>
                <w:szCs w:val="15"/>
              </w:rPr>
              <w:t xml:space="preserve">No patient in the combination cohort had received prior chemotherapy against 21% of the PRRT-only cohort, an imbalance that could not be entered into the propensity model.</w:t>
            </w:r>
          </w:p>
          <w:p>
            <w:pPr>
              <w:pStyle w:val="ListParagraph"/>
              <w:numPr>
                <w:ilvl w:val="0"/>
                <w:numId w:val="2"/>
              </w:numPr>
              <w:spacing w:after="45"/>
            </w:pPr>
            <w:r>
              <w:rPr>
                <w:sz w:val="15"/>
                <w:szCs w:val="15"/>
              </w:rPr>
              <w:t xml:space="preserve">The finding that every combination-cohort patient rose at least one ECOG point after PRRT is described as striking, and the authors caution that it may reflect less rigorous retrospective data collection rather than a real difference.</w:t>
            </w:r>
          </w:p>
          <w:p>
            <w:pPr>
              <w:pStyle w:val="ListParagraph"/>
              <w:numPr>
                <w:ilvl w:val="0"/>
                <w:numId w:val="2"/>
              </w:numPr>
              <w:spacing w:after="45"/>
            </w:pPr>
            <w:r>
              <w:rPr>
                <w:sz w:val="15"/>
                <w:szCs w:val="15"/>
              </w:rPr>
              <w:t xml:space="preserve">Too few patients had liver-only disease to run the separate analysis that would most support the hypothesis, so no solid evidence is offered for the population the authors think would benefit most.</w:t>
            </w:r>
          </w:p>
          <w:p>
            <w:pPr>
              <w:pStyle w:val="ListParagraph"/>
              <w:numPr>
                <w:ilvl w:val="0"/>
                <w:numId w:val="2"/>
              </w:numPr>
              <w:spacing w:after="45"/>
            </w:pPr>
            <w:r>
              <w:rPr>
                <w:sz w:val="15"/>
                <w:szCs w:val="15"/>
              </w:rPr>
              <w:t xml:space="preserve">The gastrointestinal versus pancreatic subgroup difference rests on very small numbers and the authors say it warrants confirmation.</w:t>
            </w:r>
          </w:p>
          <w:p>
            <w:pPr>
              <w:pStyle w:val="ListParagraph"/>
              <w:numPr>
                <w:ilvl w:val="0"/>
                <w:numId w:val="2"/>
              </w:numPr>
              <w:spacing w:after="45"/>
            </w:pPr>
            <w:r>
              <w:rPr>
                <w:sz w:val="15"/>
                <w:szCs w:val="15"/>
              </w:rPr>
              <w:t xml:space="preserve">There is no clear definition of liver-dominant disease in the literature or in any guideline, which the authors identify as a basic obstacle to positioning SIRT at all.</w:t>
            </w:r>
          </w:p>
          <w:p>
            <w:pPr>
              <w:pStyle w:val="ListParagraph"/>
              <w:numPr>
                <w:ilvl w:val="0"/>
                <w:numId w:val="2"/>
              </w:numPr>
              <w:spacing w:after="45"/>
            </w:pPr>
            <w:r>
              <w:rPr>
                <w:sz w:val="15"/>
                <w:szCs w:val="15"/>
              </w:rPr>
              <w:t xml:space="preserve">Concerns about long-term hepatotoxicity rest on small retrospective studies describing pseudo-cirrhotic imaging morphology whose clinical implications remain unknown.</w:t>
            </w:r>
          </w:p>
          <w:p>
            <w:pPr>
              <w:pStyle w:val="ListParagraph"/>
              <w:numPr>
                <w:ilvl w:val="0"/>
                <w:numId w:val="2"/>
              </w:numPr>
              <w:spacing w:after="45"/>
            </w:pPr>
            <w:r>
              <w:rPr>
                <w:sz w:val="15"/>
                <w:szCs w:val="15"/>
              </w:rPr>
              <w:t xml:space="preserve">Short-term quality of life is not hampered by SIRT but long-term quality-of-life effects remain unknown, and no quality-of-life data were collected here.</w:t>
            </w:r>
          </w:p>
          <w:p>
            <w:pPr>
              <w:pStyle w:val="ListParagraph"/>
              <w:numPr>
                <w:ilvl w:val="0"/>
                <w:numId w:val="2"/>
              </w:numPr>
              <w:spacing w:after="45"/>
            </w:pPr>
            <w:r>
              <w:rPr>
                <w:sz w:val="15"/>
                <w:szCs w:val="15"/>
              </w:rPr>
              <w:t xml:space="preserve">All available SIRT data in NET, including this study, use a one-size-fits-all fixed activity; the authors state that personalised dosimetry is now standard elsewhere and that prospective dosimetry studies are needed.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primary endpoint is reported as two proportions with heavily overlapping confidence intervals and no between-group test at all: 68% (95% CI 43-87) against 55% (32-76). No hazard ratio and no p value is given for the primary comparison, and the same is true of the hepatic PFS figures (82%, 57-96 against 50%, 28-72) on which the conclusion actually rests.</w:t>
            </w:r>
          </w:p>
          <w:p>
            <w:pPr>
              <w:pStyle w:val="ListParagraph"/>
              <w:numPr>
                <w:ilvl w:val="0"/>
                <w:numId w:val="2"/>
              </w:numPr>
              <w:spacing w:after="45"/>
            </w:pPr>
            <w:r>
              <w:rPr>
                <w:sz w:val="15"/>
                <w:szCs w:val="15"/>
              </w:rPr>
              <w:t xml:space="preserve">After matching, the arm receiving the extra liver-directed treatment had less liver disease, not more. Median liver tumour burden was 8% in the combination cohort against 20% in the PRRT-only cohort (6% against 13% at the 3-month scan), even though fractional liver involvement at 3 months was one of the ten covariates in the final propensity model, and even though the whole rationale of the study is bulky hepatic disease.</w:t>
            </w:r>
          </w:p>
          <w:p>
            <w:pPr>
              <w:pStyle w:val="ListParagraph"/>
              <w:numPr>
                <w:ilvl w:val="0"/>
                <w:numId w:val="2"/>
              </w:numPr>
              <w:spacing w:after="45"/>
            </w:pPr>
            <w:r>
              <w:rPr>
                <w:sz w:val="15"/>
                <w:szCs w:val="15"/>
              </w:rPr>
              <w:t xml:space="preserve">Both arms are given a guaranteed event-free run-in. Patients who progressed by RECIST at the 3-month scan after the last PRRT cycle were removed, while progression-free survival is measured from the first PRRT cycle, so roughly nine months of PRRT plus three months of restaging are credited to every patient before an event can be recorded.</w:t>
            </w:r>
          </w:p>
          <w:p>
            <w:pPr>
              <w:pStyle w:val="ListParagraph"/>
              <w:numPr>
                <w:ilvl w:val="0"/>
                <w:numId w:val="2"/>
              </w:numPr>
              <w:spacing w:after="45"/>
            </w:pPr>
            <w:r>
              <w:rPr>
                <w:sz w:val="15"/>
                <w:szCs w:val="15"/>
              </w:rPr>
              <w:t xml:space="preserve">How many patients that exclusion removed from each matched arm cannot be worked out. The text gives 4 (13%) in the combination cohort and 16 (18%) in the PRRT-only cohort and cites Table 2, which presents the matched sets of 24, yet 16 of 24 would be 67%; the percentages belong to the full analysis sets and the matched-set figures are never stated.</w:t>
            </w:r>
          </w:p>
          <w:p>
            <w:pPr>
              <w:pStyle w:val="ListParagraph"/>
              <w:numPr>
                <w:ilvl w:val="0"/>
                <w:numId w:val="2"/>
              </w:numPr>
              <w:spacing w:after="45"/>
            </w:pPr>
            <w:r>
              <w:rPr>
                <w:sz w:val="15"/>
                <w:szCs w:val="15"/>
              </w:rPr>
              <w:t xml:space="preserve">The ECOG imbalance the authors could not match on is the strongest evidence that the two cohorts were observed differently rather than being clinically different. Performance status was balanced before PRRT and then diverged completely afterwards, with 0% of the combination cohort and 75% of the controls at ECOG 0, which is what prospective trial monitoring against retrospective chart abstraction would produce. The paper acknowledges the possibility and then uses the same observation to argue that its treated cohort was the sicker one.</w:t>
            </w:r>
          </w:p>
          <w:p>
            <w:pPr>
              <w:pStyle w:val="ListParagraph"/>
              <w:numPr>
                <w:ilvl w:val="0"/>
                <w:numId w:val="2"/>
              </w:numPr>
              <w:spacing w:after="45"/>
            </w:pPr>
            <w:r>
              <w:rPr>
                <w:sz w:val="15"/>
                <w:szCs w:val="15"/>
              </w:rPr>
              <w:t xml:space="preserve">The argument that the combination cohort had worse prognosis is assembled selectively. More pulmonary metastases are cited as adverse, fewer bone metastases are noted as pointing the other way, extrahepatic disease differed in the full analysis set (83% versus 64%) but was balanced after matching (88% in both), and less liver disease is not mentioned in that passage at all.</w:t>
            </w:r>
          </w:p>
          <w:p>
            <w:pPr>
              <w:pStyle w:val="ListParagraph"/>
              <w:numPr>
                <w:ilvl w:val="0"/>
                <w:numId w:val="2"/>
              </w:numPr>
              <w:spacing w:after="45"/>
            </w:pPr>
            <w:r>
              <w:rPr>
                <w:sz w:val="15"/>
                <w:szCs w:val="15"/>
              </w:rPr>
              <w:t xml:space="preserve">Matching discards most of the control pool. Ninety PRRT-only patients were collected and 24 used, with a ten-covariate logistic propensity model fitted across 120 patients to produce those pairs, and no overlap or common-support diagnostics are reported beyond a balance figure.</w:t>
            </w:r>
          </w:p>
          <w:p>
            <w:pPr>
              <w:pStyle w:val="ListParagraph"/>
              <w:numPr>
                <w:ilvl w:val="0"/>
                <w:numId w:val="2"/>
              </w:numPr>
              <w:spacing w:after="45"/>
            </w:pPr>
            <w:r>
              <w:rPr>
                <w:sz w:val="15"/>
                <w:szCs w:val="15"/>
              </w:rPr>
              <w:t xml:space="preserve">The combination cohort is defined by having completed and tolerated four full cycles of PRRT and then being fit enough for radioembolisation within 20 weeks. Being alive, non-progressing and well enough for a second procedure is an eligibility requirement in one arm and not the other, however carefully the controls are matched on baseline covariates.</w:t>
            </w:r>
          </w:p>
          <w:p>
            <w:pPr>
              <w:pStyle w:val="ListParagraph"/>
              <w:numPr>
                <w:ilvl w:val="0"/>
                <w:numId w:val="2"/>
              </w:numPr>
              <w:spacing w:after="45"/>
            </w:pPr>
            <w:r>
              <w:rPr>
                <w:sz w:val="15"/>
                <w:szCs w:val="15"/>
              </w:rPr>
              <w:t xml:space="preserve">The subgroup numbers do not agree between the results and the discussion. The gastrointestinal and pancreatic subgroups are given as n=10 versus 14 and n=6 versus 7 in the results, and as n=13 versus 15 and n=8 versus 7 in the discussion, for the single finding the paper describes as most interesting.</w:t>
            </w:r>
          </w:p>
          <w:p>
            <w:pPr>
              <w:pStyle w:val="ListParagraph"/>
              <w:numPr>
                <w:ilvl w:val="0"/>
                <w:numId w:val="2"/>
              </w:numPr>
              <w:spacing w:after="45"/>
            </w:pPr>
            <w:r>
              <w:rPr>
                <w:sz w:val="15"/>
                <w:szCs w:val="15"/>
              </w:rPr>
              <w:t xml:space="preserve">The benefit is hepatic and the endpoints that matter clinically are unchanged. Median PFS was 30.8 against 30.3 months and median hepatic PFS 33.5 against 30.3 months, with no overall survival difference, so the case for adding SIRT rests entirely on two-year landmark proportions and on a response rate measured in the organ that was irradiated.</w:t>
            </w:r>
          </w:p>
          <w:p>
            <w:pPr>
              <w:pStyle w:val="ListParagraph"/>
              <w:numPr>
                <w:ilvl w:val="0"/>
                <w:numId w:val="2"/>
              </w:numPr>
              <w:spacing w:after="45"/>
            </w:pPr>
            <w:r>
              <w:rPr>
                <w:sz w:val="15"/>
                <w:szCs w:val="15"/>
              </w:rPr>
              <w:t xml:space="preserve">Best objective response is the softest available endpoint for this comparison. Radioembolisation produces necrosis and cavitation in treated lesions, and a 71% versus 25% response rate measured by RECIST size change in an irradiated liver cannot be separated from the direct physical effect of the treatment on the target lesions.</w:t>
            </w:r>
          </w:p>
          <w:p>
            <w:pPr>
              <w:pStyle w:val="ListParagraph"/>
              <w:numPr>
                <w:ilvl w:val="0"/>
                <w:numId w:val="2"/>
              </w:numPr>
              <w:spacing w:after="45"/>
            </w:pPr>
            <w:r>
              <w:rPr>
                <w:sz w:val="15"/>
                <w:szCs w:val="15"/>
              </w:rPr>
              <w:t xml:space="preserve">No dosimetry of any kind is reported: no absorbed dose to tumour or to normal liver, no dose-volume metrics, in a study of two sequential radiation treatments to the same organ. The authors raise the point themselves as a general deficiency of the field, having run their own study the same way.</w:t>
            </w:r>
          </w:p>
          <w:p>
            <w:pPr>
              <w:pStyle w:val="ListParagraph"/>
              <w:numPr>
                <w:ilvl w:val="0"/>
                <w:numId w:val="2"/>
              </w:numPr>
              <w:spacing w:after="45"/>
            </w:pPr>
            <w:r>
              <w:rPr>
                <w:sz w:val="15"/>
                <w:szCs w:val="15"/>
              </w:rPr>
              <w:t xml:space="preserve">The two analyses a clinician would most want, toxicity and hormonal symptom control, were abandoned because the retrospective arm's records would not support them. A combination of two radiation therapies is therefore recommended as safe and feasible on the basis of a comparison in which safety could not be compared.</w:t>
            </w:r>
          </w:p>
          <w:p>
            <w:pPr>
              <w:pStyle w:val="ListParagraph"/>
              <w:numPr>
                <w:ilvl w:val="0"/>
                <w:numId w:val="2"/>
              </w:numPr>
              <w:spacing w:after="45"/>
            </w:pPr>
            <w:r>
              <w:rPr>
                <w:sz w:val="15"/>
                <w:szCs w:val="15"/>
              </w:rPr>
              <w:t xml:space="preserve">The funder manufactures the product. The study is funded by Terumo, which makes the holmium-166 microspheres, two co-authors are employed by Medical Affairs Interventional Oncology at Terumo Europe NV and a third is from a commercial biostatistics company, and the conflict-of-interest statement reads that the authors declare no conflicts of interest.</w:t>
            </w:r>
          </w:p>
          <w:p>
            <w:pPr>
              <w:pStyle w:val="ListParagraph"/>
              <w:numPr>
                <w:ilvl w:val="0"/>
                <w:numId w:val="2"/>
              </w:numPr>
              <w:spacing w:after="45"/>
            </w:pPr>
            <w:r>
              <w:rPr>
                <w:sz w:val="15"/>
                <w:szCs w:val="15"/>
              </w:rPr>
              <w:t xml:space="preserve">A PubMed search found no linked editorial or comment, so this propensity-matched comparison of a single-arm trial against a historical cohort entered the literature without independent appraisal.</w:t>
            </w:r>
          </w:p>
        </w:tc>
      </w:tr>
    </w:tbl>
    <w:p>
      <w:pPr>
        <w:spacing w:after="0" w:line="276"/>
      </w:pPr>
      <w:r>
        <w:rPr>
          <w:color w:val="5A6069"/>
          <w:sz w:val="14"/>
          <w:szCs w:val="14"/>
        </w:rPr>
        <w:t xml:space="preserve">Funding: Funded by Terumo, the manufacturer of the holmium-166 microspheres studied. Two co-authors are employed by Medical Affairs Interventional Oncology, Terumo Europe NV, Leuven, and one is from Barton Biostatistics Ltd; the paper nonetheless states that the authors declare no conflicts of interest.</w:t>
      </w:r>
    </w:p>
    <w:p>
      <w:pPr>
        <w:keepNext/>
        <w:spacing w:after="50" w:before="260"/>
      </w:pPr>
      <w:r>
        <w:rPr>
          <w:rFonts w:ascii="Cambria" w:cs="Cambria" w:eastAsia="Cambria" w:hAnsi="Cambria"/>
          <w:b/>
          <w:bCs/>
          <w:color w:val="17365D"/>
          <w:sz w:val="20"/>
          <w:szCs w:val="20"/>
        </w:rPr>
        <w:t xml:space="preserve">Itanet 2024 RLT</w:t>
      </w:r>
      <w:r>
        <w:rPr>
          <w:b/>
          <w:bCs/>
          <w:color w:val="176A87"/>
          <w:sz w:val="15"/>
          <w:szCs w:val="15"/>
        </w:rPr>
        <w:t xml:space="preserve">   Consensus statement</w:t>
      </w:r>
      <w:r>
        <w:rPr>
          <w:color w:val="5A6069"/>
          <w:sz w:val="15"/>
          <w:szCs w:val="15"/>
        </w:rPr>
        <w:t xml:space="preserve">   PMID 39395114</w:t>
      </w:r>
    </w:p>
    <w:p>
      <w:pPr>
        <w:spacing w:after="50" w:line="276"/>
      </w:pPr>
      <w:r>
        <w:rPr>
          <w:color w:val="5A6069"/>
          <w:sz w:val="17"/>
          <w:szCs w:val="17"/>
        </w:rPr>
        <w:t xml:space="preserve">Radioligand therapy in the therapeutic strategy for patients with gastro-entero-pancreatic neuroendocrine tumors: a consensus statement from the Italian Association for Neuroendocrine Tumors (Itanet), Italian Association of Nuclear Medicine (AIMN), Italian Society of Endocrinology (SIE), Italian Association of Medical Oncology (AIOM)</w:t>
      </w:r>
    </w:p>
    <w:p>
      <w:pPr>
        <w:spacing w:after="50"/>
      </w:pPr>
      <w:r>
        <w:rPr>
          <w:b/>
          <w:bCs/>
          <w:color w:val="176A87"/>
          <w:sz w:val="16"/>
          <w:szCs w:val="16"/>
        </w:rPr>
        <w:t xml:space="preserve">Population. </w:t>
      </w:r>
      <w:r>
        <w:rPr>
          <w:sz w:val="16"/>
          <w:szCs w:val="16"/>
        </w:rPr>
        <w:t xml:space="preserve">No patient cohort. A four-society Italian panel answered ten predefined questions from a MEDLINE search restricted to 177Lu-DOTATATE plus expert opinion, assigning each statement a level of evidence (1 to 5) and a strength of recommendation (A to D).</w:t>
      </w:r>
    </w:p>
    <w:p>
      <w:pPr>
        <w:spacing w:after="70"/>
      </w:pPr>
      <w:r>
        <w:rPr>
          <w:b/>
          <w:bCs/>
          <w:color w:val="17365D"/>
          <w:sz w:val="16"/>
          <w:szCs w:val="16"/>
        </w:rPr>
        <w:t xml:space="preserve">Bottom line. </w:t>
      </w:r>
      <w:r>
        <w:rPr>
          <w:sz w:val="16"/>
          <w:szCs w:val="16"/>
        </w:rPr>
        <w:t xml:space="preserve">This four-society Italian consensus moves radioligand therapy to second line in somatostatin-receptor-positive gastroenteropancreatic NET, ahead of high-dose somatostatin analogue, everolimus, sunitinib and chemotherapy, and recommends incorporating it early on the grounds that high tumour burden reduces its efficacy. Only the comparison with high-dose somatostatin analogue rests on randomised evidence; preference over targeted agents comes from one phase 2 trial and preference over chemotherapy from a matched retrospective series, which the panel itself grades 2b and 3b while attaching strength A to the weaker of the two. The document is silent on surgery and liver-directed therapy, mentioning locoregional treatment only as something to exclude on pre-treatment imaging, so it cannot be used to decide between radioligand therapy and debulking or embolisation in liver-dominant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recommendations preferring RLT over targeted agents and over chemotherapy rest on cross-trial comparison and retrospective series rather than head-to-head data, which the panel reflects in grades of 2b - B and 3b - A, and it notes that COMPETE and COMPOSE are still running.</w:t>
            </w:r>
          </w:p>
          <w:p>
            <w:pPr>
              <w:pStyle w:val="ListParagraph"/>
              <w:numPr>
                <w:ilvl w:val="0"/>
                <w:numId w:val="2"/>
              </w:numPr>
              <w:spacing w:after="45"/>
            </w:pPr>
            <w:r>
              <w:rPr>
                <w:sz w:val="15"/>
                <w:szCs w:val="15"/>
              </w:rPr>
              <w:t xml:space="preserve">The G2-G3 recommendation is written in anticipation of a regulatory approval that had not yet occurred, hence the phrasing 'once approved'.</w:t>
            </w:r>
          </w:p>
          <w:p>
            <w:pPr>
              <w:pStyle w:val="ListParagraph"/>
              <w:numPr>
                <w:ilvl w:val="0"/>
                <w:numId w:val="2"/>
              </w:numPr>
              <w:spacing w:after="45"/>
            </w:pPr>
            <w:r>
              <w:rPr>
                <w:sz w:val="15"/>
                <w:szCs w:val="15"/>
              </w:rPr>
              <w:t xml:space="preserve">The frail-patient recommendation is graded level 5, that is expert opinion, and rests on a single retrospective matched cohort.</w:t>
            </w:r>
          </w:p>
          <w:p>
            <w:pPr>
              <w:pStyle w:val="ListParagraph"/>
              <w:numPr>
                <w:ilvl w:val="0"/>
                <w:numId w:val="2"/>
              </w:numPr>
              <w:spacing w:after="45"/>
            </w:pPr>
            <w:r>
              <w:rPr>
                <w:sz w:val="15"/>
                <w:szCs w:val="15"/>
              </w:rPr>
              <w:t xml:space="preserve">The literature search was deliberately restricted to 177Lu-DOTATATE, so the document cannot speak to 90Y-DOTATOC or newer radioligands, nor to the intra-arterial and combination strategies it mentions.</w:t>
            </w:r>
          </w:p>
          <w:p>
            <w:pPr>
              <w:pStyle w:val="ListParagraph"/>
              <w:numPr>
                <w:ilvl w:val="0"/>
                <w:numId w:val="2"/>
              </w:numPr>
              <w:spacing w:after="45"/>
            </w:pPr>
            <w:r>
              <w:rPr>
                <w:sz w:val="15"/>
                <w:szCs w:val="15"/>
              </w:rPr>
              <w:t xml:space="preserve">The panel sets out the limits of RECIST 1.1 in this disease at length: these tumours may stabilise or even enlarge while responding, central necrosis during RLT produces false-positive size increases, and shrinkage can be delayed, so RECIST should be applied cautiously in slow-growing GEP-NET.</w:t>
            </w:r>
          </w:p>
          <w:p>
            <w:pPr>
              <w:pStyle w:val="ListParagraph"/>
              <w:numPr>
                <w:ilvl w:val="0"/>
                <w:numId w:val="2"/>
              </w:numPr>
              <w:spacing w:after="45"/>
            </w:pPr>
            <w:r>
              <w:rPr>
                <w:sz w:val="15"/>
                <w:szCs w:val="15"/>
              </w:rPr>
              <w:t xml:space="preserve">The Choi criteria perform equally or markedly better in published comparisons but rely on portal venous phase images while arterial phase is standard for these vascular tumours, which the panel calls a major limitation on using Choi in the neuroendocrine context.</w:t>
            </w:r>
          </w:p>
          <w:p>
            <w:pPr>
              <w:pStyle w:val="ListParagraph"/>
              <w:numPr>
                <w:ilvl w:val="0"/>
                <w:numId w:val="2"/>
              </w:numPr>
              <w:spacing w:after="45"/>
            </w:pPr>
            <w:r>
              <w:rPr>
                <w:sz w:val="15"/>
                <w:szCs w:val="15"/>
              </w:rPr>
              <w:t xml:space="preserve">Chemotherapy is retained as the choice for pancreatic NET with high tumour burden, tumour-related symptoms or rapid progression, a carve-out from the panel's own recommendation to prefer RLT.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grading does not track the evidence. The recommendation to prefer radioligand therapy over chemotherapy is given the document's strongest recommendation grade (A) on one of its weakest evidence levels (3b), while the recommendation to prefer it over everolimus or sunitinib carries better evidence (2b) and a weaker grade (B). A reader cannot tell what the letters mean.</w:t>
            </w:r>
          </w:p>
          <w:p>
            <w:pPr>
              <w:pStyle w:val="ListParagraph"/>
              <w:numPr>
                <w:ilvl w:val="0"/>
                <w:numId w:val="2"/>
              </w:numPr>
              <w:spacing w:after="45"/>
            </w:pPr>
            <w:r>
              <w:rPr>
                <w:sz w:val="15"/>
                <w:szCs w:val="15"/>
              </w:rPr>
              <w:t xml:space="preserve">The central second-line recommendation is built from a 508-patient matched retrospective series (progression-free survival 2.2 against 0.6 years) and a phase 2 trial in pancreatic NET (OCLURANDOM, 12-month progression-free survival 80.5% against 42%). No randomised head-to-head comparison of radioligand therapy against everolimus, sunitinib or chemotherapy existed when this was written, and the document's own grades concede it.</w:t>
            </w:r>
          </w:p>
          <w:p>
            <w:pPr>
              <w:pStyle w:val="ListParagraph"/>
              <w:numPr>
                <w:ilvl w:val="0"/>
                <w:numId w:val="2"/>
              </w:numPr>
              <w:spacing w:after="45"/>
            </w:pPr>
            <w:r>
              <w:rPr>
                <w:sz w:val="15"/>
                <w:szCs w:val="15"/>
              </w:rPr>
              <w:t xml:space="preserve">Early incorporation of radioligand therapy is recommended at the document's highest level, 1b - A, on the reasoning that high tumour burden reduces its efficacy. That is a prognostic observation. No trial randomised early against delayed radioligand therapy, so the strength of this recommendation is not supported by the kind of evidence a 1b label implies.</w:t>
            </w:r>
          </w:p>
          <w:p>
            <w:pPr>
              <w:pStyle w:val="ListParagraph"/>
              <w:numPr>
                <w:ilvl w:val="0"/>
                <w:numId w:val="2"/>
              </w:numPr>
              <w:spacing w:after="45"/>
            </w:pPr>
            <w:r>
              <w:rPr>
                <w:sz w:val="15"/>
                <w:szCs w:val="15"/>
              </w:rPr>
              <w:t xml:space="preserve">Pre-committing to a recommendation 'once approved' leaves practice tied to a regulatory decision, and the trial behind it does not match the recommendation's scope. NETTER-2 enrolled newly diagnosed patients with no documented progression, required uptake score 3 or 4 in every target lesion, capped Ki-67 at 55% and excluded anyone with prior hepatic embolisation or ablation, none of which qualifies the statement here.</w:t>
            </w:r>
          </w:p>
          <w:p>
            <w:pPr>
              <w:pStyle w:val="ListParagraph"/>
              <w:numPr>
                <w:ilvl w:val="0"/>
                <w:numId w:val="2"/>
              </w:numPr>
              <w:spacing w:after="45"/>
            </w:pPr>
            <w:r>
              <w:rPr>
                <w:sz w:val="15"/>
                <w:szCs w:val="15"/>
              </w:rPr>
              <w:t xml:space="preserve">There is no surgical or liver-directed content whatever. Locoregional therapy appears only as something to be excluded on pre-RLT imaging, and the document says nothing about debulking, embolisation, radioembolisation or sequencing in liver-dominant disease, although hepatic tumour burden is the very variable it invokes to argue for treating early.</w:t>
            </w:r>
          </w:p>
          <w:p>
            <w:pPr>
              <w:pStyle w:val="ListParagraph"/>
              <w:numPr>
                <w:ilvl w:val="0"/>
                <w:numId w:val="2"/>
              </w:numPr>
              <w:spacing w:after="45"/>
            </w:pPr>
            <w:r>
              <w:rPr>
                <w:sz w:val="15"/>
                <w:szCs w:val="15"/>
              </w:rPr>
              <w:t xml:space="preserve">The retreatment recommendation rests on a confounded observation. Patients who reached a cumulative renal absorbed dose of 23 Gy had nearly double the median progression-free and overall survival, but reaching a higher cumulative dose requires surviving and tolerating more cycles, so the association is in part a consequence of doing well rather than a cause of it.</w:t>
            </w:r>
          </w:p>
          <w:p>
            <w:pPr>
              <w:pStyle w:val="ListParagraph"/>
              <w:numPr>
                <w:ilvl w:val="0"/>
                <w:numId w:val="2"/>
              </w:numPr>
              <w:spacing w:after="45"/>
            </w:pPr>
            <w:r>
              <w:rPr>
                <w:sz w:val="15"/>
                <w:szCs w:val="15"/>
              </w:rPr>
              <w:t xml:space="preserve">Dosimetry is invoked to tailor the retreatment dose and no dosimetry protocol, renal constraint beyond the 23 Gy figure, or marrow constraint is specified anywhere.</w:t>
            </w:r>
          </w:p>
          <w:p>
            <w:pPr>
              <w:pStyle w:val="ListParagraph"/>
              <w:numPr>
                <w:ilvl w:val="0"/>
                <w:numId w:val="2"/>
              </w:numPr>
              <w:spacing w:after="45"/>
            </w:pPr>
            <w:r>
              <w:rPr>
                <w:sz w:val="15"/>
                <w:szCs w:val="15"/>
              </w:rPr>
              <w:t xml:space="preserve">The method is thin for a document of this reach. Ten questions, a MEDLINE search whose dates and search strings are not reported in the body, grades assigned by the panel itself, and no independent evidence review, no external review and no voting or agreement statistic described.</w:t>
            </w:r>
          </w:p>
          <w:p>
            <w:pPr>
              <w:pStyle w:val="ListParagraph"/>
              <w:numPr>
                <w:ilvl w:val="0"/>
                <w:numId w:val="2"/>
              </w:numPr>
              <w:spacing w:after="45"/>
            </w:pPr>
            <w:r>
              <w:rPr>
                <w:sz w:val="15"/>
                <w:szCs w:val="15"/>
              </w:rPr>
              <w:t xml:space="preserve">A level 5 recommendation, that is pure expert opinion, is given strength B for treating frail patients, a combination the grading framework the panel invokes does not support.</w:t>
            </w:r>
          </w:p>
          <w:p>
            <w:pPr>
              <w:pStyle w:val="ListParagraph"/>
              <w:numPr>
                <w:ilvl w:val="0"/>
                <w:numId w:val="2"/>
              </w:numPr>
              <w:spacing w:after="45"/>
            </w:pPr>
            <w:r>
              <w:rPr>
                <w:sz w:val="15"/>
                <w:szCs w:val="15"/>
              </w:rPr>
              <w:t xml:space="preserve">Seven named authors declare consultancy or speaker honoraria from Advanced Accelerator Applications, Novartis, ITM, Ipsen, Recordati, Advanz, Harpoon Therapeutics, Merck or Harbour Biomedical, and the document's single most consequential output is a recommendation to prefer those companies' radioligand over competing drug classes.</w:t>
            </w:r>
          </w:p>
          <w:p>
            <w:pPr>
              <w:pStyle w:val="ListParagraph"/>
              <w:numPr>
                <w:ilvl w:val="0"/>
                <w:numId w:val="2"/>
              </w:numPr>
              <w:spacing w:after="45"/>
            </w:pPr>
            <w:r>
              <w:rPr>
                <w:sz w:val="15"/>
                <w:szCs w:val="15"/>
              </w:rPr>
              <w:t xml:space="preserve">A PubMed search found no linked editorial or comment, so a set of recommendations that reorders second-line therapy for this disease entered the literature without external appraisal.</w:t>
            </w:r>
          </w:p>
        </w:tc>
      </w:tr>
    </w:tbl>
    <w:p>
      <w:pPr>
        <w:spacing w:after="0" w:line="276"/>
      </w:pPr>
      <w:r>
        <w:rPr>
          <w:color w:val="5A6069"/>
          <w:sz w:val="14"/>
          <w:szCs w:val="14"/>
        </w:rPr>
        <w:t xml:space="preserve">Funding: Open access funding provided by Universita degli Studi di Roma La Sapienza within the CRUI-CARE Agreement; no study funding is declared. Seven named authors declare consultancy or speaker honoraria outside the submitted work from Advanced Accelerator Applications, Novartis, ITM, Ipsen, Recordati, Advanz, Harpoon Therapeutics, Merck and Harbour Biomedical; the remaining authors declare no conflict of interest.</w:t>
      </w:r>
    </w:p>
    <w:p>
      <w:pPr>
        <w:keepNext/>
        <w:spacing w:after="50" w:before="260"/>
      </w:pPr>
      <w:r>
        <w:rPr>
          <w:rFonts w:ascii="Cambria" w:cs="Cambria" w:eastAsia="Cambria" w:hAnsi="Cambria"/>
          <w:b/>
          <w:bCs/>
          <w:color w:val="17365D"/>
          <w:sz w:val="20"/>
          <w:szCs w:val="20"/>
        </w:rPr>
        <w:t xml:space="preserve">Kennedy Y-90</w:t>
      </w:r>
      <w:r>
        <w:rPr>
          <w:b/>
          <w:bCs/>
          <w:color w:val="176A87"/>
          <w:sz w:val="15"/>
          <w:szCs w:val="15"/>
        </w:rPr>
        <w:t xml:space="preserve">   cohort</w:t>
      </w:r>
      <w:r>
        <w:rPr>
          <w:color w:val="5A6069"/>
          <w:sz w:val="15"/>
          <w:szCs w:val="15"/>
        </w:rPr>
        <w:t xml:space="preserve">   PMID 18525307</w:t>
      </w:r>
    </w:p>
    <w:p>
      <w:pPr>
        <w:spacing w:after="50" w:line="276"/>
      </w:pPr>
      <w:r>
        <w:rPr>
          <w:color w:val="5A6069"/>
          <w:sz w:val="17"/>
          <w:szCs w:val="17"/>
        </w:rPr>
        <w:t xml:space="preserve">Radioembolization for unresectable neuroendocrine hepatic metastases using resin 90Y-microspheres: early results in 148 patients</w:t>
      </w:r>
    </w:p>
    <w:p>
      <w:pPr>
        <w:spacing w:after="50"/>
      </w:pPr>
      <w:r>
        <w:rPr>
          <w:b/>
          <w:bCs/>
          <w:color w:val="176A87"/>
          <w:sz w:val="16"/>
          <w:szCs w:val="16"/>
        </w:rPr>
        <w:t xml:space="preserve">Population. </w:t>
      </w:r>
      <w:r>
        <w:rPr>
          <w:sz w:val="16"/>
          <w:szCs w:val="16"/>
        </w:rPr>
        <w:t xml:space="preserve">148 patients with unresectable neuroendocrine liver metastases treated with resin yttrium-90 microspheres in 185 procedures at 10 North American and European centres, all described as centres of excellence for radioembolisation, with most patients and treatments contributed by half of them; median follow-up 42 months.</w:t>
      </w:r>
    </w:p>
    <w:p>
      <w:pPr>
        <w:spacing w:after="70"/>
      </w:pPr>
      <w:r>
        <w:rPr>
          <w:b/>
          <w:bCs/>
          <w:color w:val="17365D"/>
          <w:sz w:val="16"/>
          <w:szCs w:val="16"/>
        </w:rPr>
        <w:t xml:space="preserve">Bottom line. </w:t>
      </w:r>
      <w:r>
        <w:rPr>
          <w:sz w:val="16"/>
          <w:szCs w:val="16"/>
        </w:rPr>
        <w:t xml:space="preserve">This is the first multicentre series of resin yttrium-90 radioembolisation dedicated to neuroendocrine liver metastases, and what it establishes is tolerability: across 185 procedures in 148 patients, grade 3 to 4 events were uncommon, no radiation-induced liver disease occurred and retreatment of the same volume in 22% caused no liver failure. The efficacy figures should not be carried further than that: a 63% objective response is scored per treatment on non-standardised imaging with a best-estimate category where RECIST could not be applied, the percentages are computed over a denominator that includes unassessable treatments, and the 70-month median survival comes from a curve on which 78% of patients were still alive at a median follow-up of 42 months. With no comparator, no quality-of-life data, no tumour-marker results despite a defined scale for them, and no grade or Ki-67, it cannot say what radioembolisation adds or to whom.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As a retrospective review from multiple centres the data are incomplete, and the authors state they are continuing the collaboration to capture the proportion of patients symptomatic before and after treatment, the duration of symptomatic and radiographic response, and tumour marker response.</w:t>
            </w:r>
          </w:p>
          <w:p>
            <w:pPr>
              <w:pStyle w:val="ListParagraph"/>
              <w:numPr>
                <w:ilvl w:val="0"/>
                <w:numId w:val="2"/>
              </w:numPr>
              <w:spacing w:after="45"/>
            </w:pPr>
            <w:r>
              <w:rPr>
                <w:sz w:val="15"/>
                <w:szCs w:val="15"/>
              </w:rPr>
              <w:t xml:space="preserve">Imaging technique was not standardised and a single response system was not applied; where WHO or RECIST criteria could not be used because the pre- and post-treatment imaging differed, a best estimate of response was given.</w:t>
            </w:r>
          </w:p>
          <w:p>
            <w:pPr>
              <w:pStyle w:val="ListParagraph"/>
              <w:numPr>
                <w:ilvl w:val="0"/>
                <w:numId w:val="2"/>
              </w:numPr>
              <w:spacing w:after="45"/>
            </w:pPr>
            <w:r>
              <w:rPr>
                <w:sz w:val="15"/>
                <w:szCs w:val="15"/>
              </w:rPr>
              <w:t xml:space="preserve">The authors name standardising the imaging technique, the response system and the interval between scans in the first 6 months as work still to be done.</w:t>
            </w:r>
          </w:p>
          <w:p>
            <w:pPr>
              <w:pStyle w:val="ListParagraph"/>
              <w:numPr>
                <w:ilvl w:val="0"/>
                <w:numId w:val="2"/>
              </w:numPr>
              <w:spacing w:after="45"/>
            </w:pPr>
            <w:r>
              <w:rPr>
                <w:sz w:val="15"/>
                <w:szCs w:val="15"/>
              </w:rPr>
              <w:t xml:space="preserve">No quality-of-life measures were collected; the authors note that EORTC global and liver-specific tools should be included in future analyses of radioembolisation.</w:t>
            </w:r>
          </w:p>
          <w:p>
            <w:pPr>
              <w:pStyle w:val="ListParagraph"/>
              <w:numPr>
                <w:ilvl w:val="0"/>
                <w:numId w:val="2"/>
              </w:numPr>
              <w:spacing w:after="45"/>
            </w:pPr>
            <w:r>
              <w:rPr>
                <w:sz w:val="15"/>
                <w:szCs w:val="15"/>
              </w:rPr>
              <w:t xml:space="preserve">Participation was voluntary and, the project being unfunded, the response to join was modest; institutions in Australia and Asia were not approached at all, for want of established relationships.</w:t>
            </w:r>
          </w:p>
          <w:p>
            <w:pPr>
              <w:pStyle w:val="ListParagraph"/>
              <w:numPr>
                <w:ilvl w:val="0"/>
                <w:numId w:val="2"/>
              </w:numPr>
              <w:spacing w:after="45"/>
            </w:pPr>
            <w:r>
              <w:rPr>
                <w:sz w:val="15"/>
                <w:szCs w:val="15"/>
              </w:rPr>
              <w:t xml:space="preserve">Specific data could not be found for some patients, so every result is reported as the number with data available over the total possible.</w:t>
            </w:r>
          </w:p>
          <w:p>
            <w:pPr>
              <w:pStyle w:val="ListParagraph"/>
              <w:numPr>
                <w:ilvl w:val="0"/>
                <w:numId w:val="2"/>
              </w:numPr>
              <w:spacing w:after="45"/>
            </w:pPr>
            <w:r>
              <w:rPr>
                <w:sz w:val="15"/>
                <w:szCs w:val="15"/>
              </w:rPr>
              <w:t xml:space="preserve">The partition method of activity calculation cannot be applied in neuroendocrine metastases because it requires a single well-defined tumour, so body surface area dosimetry was used throughout.</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response percentages are computed over a denominator that includes the treatments that could not be assessed. Only 168 of 185 treatments were assessable, yet partial response is given as 112/185 (60.5%), complete response 5/185, stable disease 42/185 and progression 9/185, so the four categories sum to 90.8% and the 17 unassessable treatments silently dilute every rate.</w:t>
            </w:r>
          </w:p>
          <w:p>
            <w:pPr>
              <w:pStyle w:val="ListParagraph"/>
              <w:numPr>
                <w:ilvl w:val="0"/>
                <w:numId w:val="2"/>
              </w:numPr>
              <w:spacing w:after="45"/>
            </w:pPr>
            <w:r>
              <w:rPr>
                <w:sz w:val="15"/>
                <w:szCs w:val="15"/>
              </w:rPr>
              <w:t xml:space="preserve">Response is reported per treatment rather than per patient, so the 22.3% of patients retreated and the centres that deliberately treat one lobe then the other contribute two or three response observations each to a denominator of 185 treatments in 148 people.</w:t>
            </w:r>
          </w:p>
          <w:p>
            <w:pPr>
              <w:pStyle w:val="ListParagraph"/>
              <w:numPr>
                <w:ilvl w:val="0"/>
                <w:numId w:val="2"/>
              </w:numPr>
              <w:spacing w:after="45"/>
            </w:pPr>
            <w:r>
              <w:rPr>
                <w:sz w:val="15"/>
                <w:szCs w:val="15"/>
              </w:rPr>
              <w:t xml:space="preserve">The toxicity accounting does not close either. Grade 3 to 4 data were available for 161 of 185 treatments, the rates are nonetheless given over 185, and the statement that no grade 3 to 4 toxicity occurred in 124 of 185 treatments leaves 61 treatments unaccounted for by the handful of listed events.</w:t>
            </w:r>
          </w:p>
          <w:p>
            <w:pPr>
              <w:pStyle w:val="ListParagraph"/>
              <w:numPr>
                <w:ilvl w:val="0"/>
                <w:numId w:val="2"/>
              </w:numPr>
              <w:spacing w:after="45"/>
            </w:pPr>
            <w:r>
              <w:rPr>
                <w:sz w:val="15"/>
                <w:szCs w:val="15"/>
              </w:rPr>
              <w:t xml:space="preserve">The median survival of 70 months is reported with 77.7% of patients still alive and a median follow-up of 42 months. The estimate therefore comes from the far tail of a heavily censored curve, and no confidence interval and no numbers at risk are given anywhere.</w:t>
            </w:r>
          </w:p>
          <w:p>
            <w:pPr>
              <w:pStyle w:val="ListParagraph"/>
              <w:numPr>
                <w:ilvl w:val="0"/>
                <w:numId w:val="2"/>
              </w:numPr>
              <w:spacing w:after="45"/>
            </w:pPr>
            <w:r>
              <w:rPr>
                <w:sz w:val="15"/>
                <w:szCs w:val="15"/>
              </w:rPr>
              <w:t xml:space="preserve">Survival is timed from the first microsphere treatment in a cohort that, by the stated inclusion criterion, had already completed comprehensive evaluation and treatment of the primary tumour and its metastases. These are survivors of earlier therapy, and prior treatment is nowhere quantified, so the line of therapy this 70-month figure represents is unknown.</w:t>
            </w:r>
          </w:p>
          <w:p>
            <w:pPr>
              <w:pStyle w:val="ListParagraph"/>
              <w:numPr>
                <w:ilvl w:val="0"/>
                <w:numId w:val="2"/>
              </w:numPr>
              <w:spacing w:after="45"/>
            </w:pPr>
            <w:r>
              <w:rPr>
                <w:sz w:val="15"/>
                <w:szCs w:val="15"/>
              </w:rPr>
              <w:t xml:space="preserve">The methods define a four-level tumour marker response scale using chromogranin A, serotonin and occasionally 24-hour 5-HIAA, and no marker result appears anywhere in the paper. The discussion lists marker response among the things the collaboration still intends to collect.</w:t>
            </w:r>
          </w:p>
          <w:p>
            <w:pPr>
              <w:pStyle w:val="ListParagraph"/>
              <w:numPr>
                <w:ilvl w:val="0"/>
                <w:numId w:val="2"/>
              </w:numPr>
              <w:spacing w:after="45"/>
            </w:pPr>
            <w:r>
              <w:rPr>
                <w:sz w:val="15"/>
                <w:szCs w:val="15"/>
              </w:rPr>
              <w:t xml:space="preserve">The lung shunt exclusion was breached without separate analysis. The stated threshold was 20% and patients were treated with shunt fractions up to 34.1%; how many, and what happened to them, is not reported.</w:t>
            </w:r>
          </w:p>
          <w:p>
            <w:pPr>
              <w:pStyle w:val="ListParagraph"/>
              <w:numPr>
                <w:ilvl w:val="0"/>
                <w:numId w:val="2"/>
              </w:numPr>
              <w:spacing w:after="45"/>
            </w:pPr>
            <w:r>
              <w:rPr>
                <w:sz w:val="15"/>
                <w:szCs w:val="15"/>
              </w:rPr>
              <w:t xml:space="preserve">Delivered activity ranged from 38.1% to 147.4% of the body-surface-area prescription, and that percentage was recorded for only 132 of 185 procedures. A delivery of nearly one and a half times the prescribed activity is neither flagged as a deviation nor related to the toxicity data, and the reasons for reduced delivery were not captured.</w:t>
            </w:r>
          </w:p>
          <w:p>
            <w:pPr>
              <w:pStyle w:val="ListParagraph"/>
              <w:numPr>
                <w:ilvl w:val="0"/>
                <w:numId w:val="2"/>
              </w:numPr>
              <w:spacing w:after="45"/>
            </w:pPr>
            <w:r>
              <w:rPr>
                <w:sz w:val="15"/>
                <w:szCs w:val="15"/>
              </w:rPr>
              <w:t xml:space="preserve">The safety claim rests on a dosimetry method chosen precisely so that dose need not be measured. Body surface area prescribing is a manufacturer-suggested convention and the paper reports no absorbed dose to tumour or to uninvolved liver, so 'no radiation-induced liver disease' is a statement about clinical observation with no dose denominator behind it.</w:t>
            </w:r>
          </w:p>
          <w:p>
            <w:pPr>
              <w:pStyle w:val="ListParagraph"/>
              <w:numPr>
                <w:ilvl w:val="0"/>
                <w:numId w:val="2"/>
              </w:numPr>
              <w:spacing w:after="45"/>
            </w:pPr>
            <w:r>
              <w:rPr>
                <w:sz w:val="15"/>
                <w:szCs w:val="15"/>
              </w:rPr>
              <w:t xml:space="preserve">Radiation-induced liver injury in this disease is a late effect and this cohort is young in follow-up terms, with 78% alive at a median of 42 months. The same question asked later with longer follow-up found progressive alkaline phosphatase and transaminase elevation and imaging features of portal hypertension after sequential lobar treatment, which this series would not have been positioned to see.</w:t>
            </w:r>
          </w:p>
          <w:p>
            <w:pPr>
              <w:pStyle w:val="ListParagraph"/>
              <w:numPr>
                <w:ilvl w:val="0"/>
                <w:numId w:val="2"/>
              </w:numPr>
              <w:spacing w:after="45"/>
            </w:pPr>
            <w:r>
              <w:rPr>
                <w:sz w:val="15"/>
                <w:szCs w:val="15"/>
              </w:rPr>
              <w:t xml:space="preserve">Thirty-three patients had the same liver volume treated two or three times and no cumulative-activity or cumulative-dose analysis is presented, even though repeated irradiation of the same parenchyma is the main theoretical route to late liver injury.</w:t>
            </w:r>
          </w:p>
          <w:p>
            <w:pPr>
              <w:pStyle w:val="ListParagraph"/>
              <w:numPr>
                <w:ilvl w:val="0"/>
                <w:numId w:val="2"/>
              </w:numPr>
              <w:spacing w:after="45"/>
            </w:pPr>
            <w:r>
              <w:rPr>
                <w:sz w:val="15"/>
                <w:szCs w:val="15"/>
              </w:rPr>
              <w:t xml:space="preserve">Data were abstracted locally at ten voluntarily participating centres with no central imaging review, no source-data verification and no audit, and every participating team is characterised in the paper as a centre of excellence for radioembolisation. The response and toxicity figures therefore describe best-case expert practice at self-selected sites.</w:t>
            </w:r>
          </w:p>
          <w:p>
            <w:pPr>
              <w:pStyle w:val="ListParagraph"/>
              <w:numPr>
                <w:ilvl w:val="0"/>
                <w:numId w:val="2"/>
              </w:numPr>
              <w:spacing w:after="45"/>
            </w:pPr>
            <w:r>
              <w:rPr>
                <w:sz w:val="15"/>
                <w:szCs w:val="15"/>
              </w:rPr>
              <w:t xml:space="preserve">Tables 5 to 8 set the series' own figures beside collected surgical, chemoembolisation, radiopeptide and 131I-MIBG series from the literature without any formal comparison, matching or adjustment, and the discussion draws its favourable reading from those side-by-side tables.</w:t>
            </w:r>
          </w:p>
          <w:p>
            <w:pPr>
              <w:pStyle w:val="ListParagraph"/>
              <w:numPr>
                <w:ilvl w:val="0"/>
                <w:numId w:val="2"/>
              </w:numPr>
              <w:spacing w:after="45"/>
            </w:pPr>
            <w:r>
              <w:rPr>
                <w:sz w:val="15"/>
                <w:szCs w:val="15"/>
              </w:rPr>
              <w:t xml:space="preserve">Neither grade nor Ki-67 is reported, 82% of the cohort is recorded only as carcinoid, and the one patient who developed ascites is noted to have had concurrent hepatic progression, so even that single event is attributed away without analysis.</w:t>
            </w:r>
          </w:p>
          <w:p>
            <w:pPr>
              <w:pStyle w:val="ListParagraph"/>
              <w:numPr>
                <w:ilvl w:val="0"/>
                <w:numId w:val="2"/>
              </w:numPr>
              <w:spacing w:after="45"/>
            </w:pPr>
            <w:r>
              <w:rPr>
                <w:sz w:val="15"/>
                <w:szCs w:val="15"/>
              </w:rPr>
              <w:t xml:space="preserve">The product studied is a single manufacturer's resin microsphere and the dosimetry follows that manufacturer's recommendation, and the paper carries no funding statement and no conflict-of-interest declaration of any kind; the authors describe the project only as unfunded. A PubMed search found no linked editorial or comment.</w:t>
            </w:r>
          </w:p>
        </w:tc>
      </w:tr>
    </w:tbl>
    <w:p>
      <w:pPr>
        <w:spacing w:after="0" w:line="276"/>
      </w:pPr>
      <w:r>
        <w:rPr>
          <w:color w:val="5A6069"/>
          <w:sz w:val="14"/>
          <w:szCs w:val="14"/>
        </w:rPr>
        <w:t xml:space="preserve">Funding: The authors describe the project as unfunded, which is why participation was limited; no funding statement and no conflict-of-interest declaration appears anywhere in the paper.</w:t>
      </w:r>
    </w:p>
    <w:p>
      <w:pPr>
        <w:keepNext/>
        <w:spacing w:after="50" w:before="260"/>
      </w:pPr>
      <w:r>
        <w:rPr>
          <w:rFonts w:ascii="Cambria" w:cs="Cambria" w:eastAsia="Cambria" w:hAnsi="Cambria"/>
          <w:b/>
          <w:bCs/>
          <w:color w:val="17365D"/>
          <w:sz w:val="20"/>
          <w:szCs w:val="20"/>
        </w:rPr>
        <w:t xml:space="preserve">Mazzaglia RFA</w:t>
      </w:r>
      <w:r>
        <w:rPr>
          <w:b/>
          <w:bCs/>
          <w:color w:val="176A87"/>
          <w:sz w:val="15"/>
          <w:szCs w:val="15"/>
        </w:rPr>
        <w:t xml:space="preserve">   Case series</w:t>
      </w:r>
      <w:r>
        <w:rPr>
          <w:color w:val="5A6069"/>
          <w:sz w:val="15"/>
          <w:szCs w:val="15"/>
        </w:rPr>
        <w:t xml:space="preserve">   PMID 17629995</w:t>
      </w:r>
    </w:p>
    <w:p>
      <w:pPr>
        <w:spacing w:after="50" w:line="276"/>
      </w:pPr>
      <w:r>
        <w:rPr>
          <w:color w:val="5A6069"/>
          <w:sz w:val="17"/>
          <w:szCs w:val="17"/>
        </w:rPr>
        <w:t xml:space="preserve">Laparoscopic radiofrequency ablation of neuroendocrine liver metastases: a 10-year experience evaluating predictors of survival</w:t>
      </w:r>
    </w:p>
    <w:p>
      <w:pPr>
        <w:spacing w:after="50"/>
      </w:pPr>
      <w:r>
        <w:rPr>
          <w:b/>
          <w:bCs/>
          <w:color w:val="176A87"/>
          <w:sz w:val="16"/>
          <w:szCs w:val="16"/>
        </w:rPr>
        <w:t xml:space="preserve">Population. </w:t>
      </w:r>
      <w:r>
        <w:rPr>
          <w:sz w:val="16"/>
          <w:szCs w:val="16"/>
        </w:rPr>
        <w:t xml:space="preserve">63 patients with 384 neuroendocrine liver metastases treated in 80 laparoscopic ablation sessions, selected from 524 patients with 1636 primary and secondary liver tumours ablated by one surgeon between January 1996 and October 2005.</w:t>
      </w:r>
    </w:p>
    <w:p>
      <w:pPr>
        <w:spacing w:after="70"/>
      </w:pPr>
      <w:r>
        <w:rPr>
          <w:b/>
          <w:bCs/>
          <w:color w:val="17365D"/>
          <w:sz w:val="16"/>
          <w:szCs w:val="16"/>
        </w:rPr>
        <w:t xml:space="preserve">Bottom line. </w:t>
      </w:r>
      <w:r>
        <w:rPr>
          <w:sz w:val="16"/>
          <w:szCs w:val="16"/>
        </w:rPr>
        <w:t xml:space="preserve">This shows that laparoscopic radiofrequency ablation can be delivered to unresectable, liver-dominant neuroendocrine metastases with 5% morbidity, no deaths, a 1.1-day stay and symptom relief in 94% of symptomatic patients lasting a median of 11 months. It does not show that ablation changes the course of the disease: 80% of imaged patients developed new or progressive liver disease, the survival figures are quoted from three different starting points against a mean follow-up of 2.8 years, and the two independent predictors rest on a four-covariate model with 25 deaths and confidence intervals that barely exclude 1. Tissue was biopsied in every patient and grade was never reported, so the series cannot be read onto the G1/G2 distinctions that now decide who is offered ablation.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carries no limitations section; the concessions below are scattered through the discussion and conclusions.</w:t>
            </w:r>
          </w:p>
          <w:p>
            <w:pPr>
              <w:pStyle w:val="ListParagraph"/>
              <w:numPr>
                <w:ilvl w:val="0"/>
                <w:numId w:val="2"/>
              </w:numPr>
              <w:spacing w:after="45"/>
            </w:pPr>
            <w:r>
              <w:rPr>
                <w:sz w:val="15"/>
                <w:szCs w:val="15"/>
              </w:rPr>
              <w:t xml:space="preserve">The authors state it is not possible to make direct comparisons with resection, chemoembolisation and cryoablation series because of the difference in the patients treated.</w:t>
            </w:r>
          </w:p>
          <w:p>
            <w:pPr>
              <w:pStyle w:val="ListParagraph"/>
              <w:numPr>
                <w:ilvl w:val="0"/>
                <w:numId w:val="2"/>
              </w:numPr>
              <w:spacing w:after="45"/>
            </w:pPr>
            <w:r>
              <w:rPr>
                <w:sz w:val="15"/>
                <w:szCs w:val="15"/>
              </w:rPr>
              <w:t xml:space="preserve">They concede the cohort is a selected referral population with more aggressive tumour biology, since many had already progressed on octreotide, chemoembolisation, chemotherapy or interferon.</w:t>
            </w:r>
          </w:p>
          <w:p>
            <w:pPr>
              <w:pStyle w:val="ListParagraph"/>
              <w:numPr>
                <w:ilvl w:val="0"/>
                <w:numId w:val="2"/>
              </w:numPr>
              <w:spacing w:after="45"/>
            </w:pPr>
            <w:r>
              <w:rPr>
                <w:sz w:val="15"/>
                <w:szCs w:val="15"/>
              </w:rPr>
              <w:t xml:space="preserve">They acknowledge that most liver progression was the development of new lesions or growth of sub-centimetre lesions deliberately left untreated at the index ablation, so the procedure is debulking rather than cure.</w:t>
            </w:r>
          </w:p>
          <w:p>
            <w:pPr>
              <w:pStyle w:val="ListParagraph"/>
              <w:numPr>
                <w:ilvl w:val="0"/>
                <w:numId w:val="2"/>
              </w:numPr>
              <w:spacing w:after="45"/>
            </w:pPr>
            <w:r>
              <w:rPr>
                <w:sz w:val="15"/>
                <w:szCs w:val="15"/>
              </w:rPr>
              <w:t xml:space="preserve">They concede that octreotide response is lost early, with over half of patients tolerant within 4 months and most resistant within a year, which is the background against which their symptom-control figures should be read.</w:t>
            </w:r>
          </w:p>
          <w:p>
            <w:pPr>
              <w:pStyle w:val="ListParagraph"/>
              <w:numPr>
                <w:ilvl w:val="0"/>
                <w:numId w:val="2"/>
              </w:numPr>
              <w:spacing w:after="45"/>
            </w:pPr>
            <w:r>
              <w:rPr>
                <w:sz w:val="15"/>
                <w:szCs w:val="15"/>
              </w:rPr>
              <w:t xml:space="preserve">They state the male-sex finding is biologically unexplained and can only be analogised to thyroid cancer, and call for further investigation of more aggressive treatment in men.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number of treated metastases is irreconcilable within the paper. The abstract and Table 1 give 384 lesions, the results text says 452, and Table 1's mean of 6 plus or minus 0.5 lesions across 63 patients implies about 378. The per-lesion local recurrence rate of 6.3% depends on which denominator is used.</w:t>
            </w:r>
          </w:p>
          <w:p>
            <w:pPr>
              <w:pStyle w:val="ListParagraph"/>
              <w:numPr>
                <w:ilvl w:val="0"/>
                <w:numId w:val="2"/>
              </w:numPr>
              <w:spacing w:after="45"/>
            </w:pPr>
            <w:r>
              <w:rPr>
                <w:sz w:val="15"/>
                <w:szCs w:val="15"/>
              </w:rPr>
              <w:t xml:space="preserve">The entire univariate predictor table is built on 62 patients, not 63, and the sex split changes between tables: Table 1 and the results give 41 men and 22 women, Table 6 gives 41 and 21. Extrahepatic disease is present in 24 patients (38.1%) in the text and Table 3 but in 21 patients in Table 6, and the chromogranin A rows sum to only 41 patients.</w:t>
            </w:r>
          </w:p>
          <w:p>
            <w:pPr>
              <w:pStyle w:val="ListParagraph"/>
              <w:numPr>
                <w:ilvl w:val="0"/>
                <w:numId w:val="2"/>
              </w:numPr>
              <w:spacing w:after="45"/>
            </w:pPr>
            <w:r>
              <w:rPr>
                <w:sz w:val="15"/>
                <w:szCs w:val="15"/>
              </w:rPr>
              <w:t xml:space="preserve">The multivariable Cox model carries four covariates on 25 deaths, with candidates admitted on a univariate screen at P&lt;.10, and both significant hazard ratios have confidence intervals that barely clear 1 (1.1 to 9.1 and 1.1 to 10.1). Table 7's two liver-volume rows carry hazard ratios of 0.9 and 1.8 with identical upper confidence bounds of 2.8, which cannot both be right.</w:t>
            </w:r>
          </w:p>
          <w:p>
            <w:pPr>
              <w:pStyle w:val="ListParagraph"/>
              <w:numPr>
                <w:ilvl w:val="0"/>
                <w:numId w:val="2"/>
              </w:numPr>
              <w:spacing w:after="45"/>
            </w:pPr>
            <w:r>
              <w:rPr>
                <w:sz w:val="15"/>
                <w:szCs w:val="15"/>
              </w:rPr>
              <w:t xml:space="preserve">The dominant-tumour-size effect weakens sharply when the survival clock is moved earlier: P=.005 measured from ablation but P=.05 measured from diagnosis of liver metastases. That pattern is what referral timing rather than biology would produce.</w:t>
            </w:r>
          </w:p>
          <w:p>
            <w:pPr>
              <w:pStyle w:val="ListParagraph"/>
              <w:numPr>
                <w:ilvl w:val="0"/>
                <w:numId w:val="2"/>
              </w:numPr>
              <w:spacing w:after="45"/>
            </w:pPr>
            <w:r>
              <w:rPr>
                <w:sz w:val="15"/>
                <w:szCs w:val="15"/>
              </w:rPr>
              <w:t xml:space="preserve">This cohort is a subset of the same group's later 89-patient series, and the two papers reach opposite conclusions on the strongest variable: extrahepatic disease has no effect here (P=.85) and is the most significant predictor there (P=.0001, median 26 versus 133 months).</w:t>
            </w:r>
          </w:p>
          <w:p>
            <w:pPr>
              <w:pStyle w:val="ListParagraph"/>
              <w:numPr>
                <w:ilvl w:val="0"/>
                <w:numId w:val="2"/>
              </w:numPr>
              <w:spacing w:after="45"/>
            </w:pPr>
            <w:r>
              <w:rPr>
                <w:sz w:val="15"/>
                <w:szCs w:val="15"/>
              </w:rPr>
              <w:t xml:space="preserve">A core-needle biopsy of a representative lesion was taken under ultrasound in every patient to confirm histology, and no grade, Ki-67, mitotic rate or differentiation is reported anywhere. Tissue was in hand and the variable that now governs management of these patients was not measured.</w:t>
            </w:r>
          </w:p>
          <w:p>
            <w:pPr>
              <w:pStyle w:val="ListParagraph"/>
              <w:numPr>
                <w:ilvl w:val="0"/>
                <w:numId w:val="2"/>
              </w:numPr>
              <w:spacing w:after="45"/>
            </w:pPr>
            <w:r>
              <w:rPr>
                <w:sz w:val="15"/>
                <w:szCs w:val="15"/>
              </w:rPr>
              <w:t xml:space="preserve">The study is described as a phase II protocol, yet no prespecified primary endpoint, sample size calculation or protocol-defined response criteria appear. The methods promise objective tumour response on serial triphasic CT and no objective response rate is ever reported.</w:t>
            </w:r>
          </w:p>
          <w:p>
            <w:pPr>
              <w:pStyle w:val="ListParagraph"/>
              <w:numPr>
                <w:ilvl w:val="0"/>
                <w:numId w:val="2"/>
              </w:numPr>
              <w:spacing w:after="45"/>
            </w:pPr>
            <w:r>
              <w:rPr>
                <w:sz w:val="15"/>
                <w:szCs w:val="15"/>
              </w:rPr>
              <w:t xml:space="preserve">The 80% liver-progression figure is calculated on the 45 patients with at least 3 months of imaging, excluding 18 of 63. The patients excluded are those who were lost or died earliest, which is the group whose disease was progressing fastest.</w:t>
            </w:r>
          </w:p>
          <w:p>
            <w:pPr>
              <w:pStyle w:val="ListParagraph"/>
              <w:numPr>
                <w:ilvl w:val="0"/>
                <w:numId w:val="2"/>
              </w:numPr>
              <w:spacing w:after="45"/>
            </w:pPr>
            <w:r>
              <w:rPr>
                <w:sz w:val="15"/>
                <w:szCs w:val="15"/>
              </w:rPr>
              <w:t xml:space="preserve">The median duration of symptom control is calculated on the 33 responders only, dropping the 2 non-responders, and is reported as a median plus or minus a standard error of the mean. Symptom response itself was graded at one week as complete, significant, moderate or minimal by unblinded surgeon assessment, with no definitions and no instrument.</w:t>
            </w:r>
          </w:p>
          <w:p>
            <w:pPr>
              <w:pStyle w:val="ListParagraph"/>
              <w:numPr>
                <w:ilvl w:val="0"/>
                <w:numId w:val="2"/>
              </w:numPr>
              <w:spacing w:after="45"/>
            </w:pPr>
            <w:r>
              <w:rPr>
                <w:sz w:val="15"/>
                <w:szCs w:val="15"/>
              </w:rPr>
              <w:t xml:space="preserve">The finding that repeat ablation did not reduce survival is confounded by design. The methods state that patients with numerous, diffuse and rapidly progressing lesions were recommended for alternative therapy, so the worst progressors were channelled out of the repeat-ablation group before the comparison was made.</w:t>
            </w:r>
          </w:p>
          <w:p>
            <w:pPr>
              <w:pStyle w:val="ListParagraph"/>
              <w:numPr>
                <w:ilvl w:val="0"/>
                <w:numId w:val="2"/>
              </w:numPr>
              <w:spacing w:after="45"/>
            </w:pPr>
            <w:r>
              <w:rPr>
                <w:sz w:val="15"/>
                <w:szCs w:val="15"/>
              </w:rPr>
              <w:t xml:space="preserve">Table 6's progression stratum compares progression within 6 months against progression after 12 months, omitting entirely the patients who progressed between 6 and 12 months, and concludes that timing of progression does not affect survival.</w:t>
            </w:r>
          </w:p>
          <w:p>
            <w:pPr>
              <w:pStyle w:val="ListParagraph"/>
              <w:numPr>
                <w:ilvl w:val="0"/>
                <w:numId w:val="2"/>
              </w:numPr>
              <w:spacing w:after="45"/>
            </w:pPr>
            <w:r>
              <w:rPr>
                <w:sz w:val="15"/>
                <w:szCs w:val="15"/>
              </w:rPr>
              <w:t xml:space="preserve">Survival is reported from three different time zeros (11.0, 5.5 and 3.9 years) against a mean follow-up of only 2.8 plus or minus 0.3 years, so the 5-year rates and the unreached medians for women and for lesions under 3 cm are extrapolations beyond the observed data.</w:t>
            </w:r>
          </w:p>
          <w:p>
            <w:pPr>
              <w:pStyle w:val="ListParagraph"/>
              <w:numPr>
                <w:ilvl w:val="0"/>
                <w:numId w:val="2"/>
              </w:numPr>
              <w:spacing w:after="45"/>
            </w:pPr>
            <w:r>
              <w:rPr>
                <w:sz w:val="15"/>
                <w:szCs w:val="15"/>
              </w:rPr>
              <w:t xml:space="preserve">The 48% five-year survival after ablation is set against a cited 61% after resection and discussed as underscoring the place of RFA; the comparison runs the wrong way and the paper does not say so.</w:t>
            </w:r>
          </w:p>
          <w:p>
            <w:pPr>
              <w:pStyle w:val="ListParagraph"/>
              <w:numPr>
                <w:ilvl w:val="0"/>
                <w:numId w:val="2"/>
              </w:numPr>
              <w:spacing w:after="45"/>
            </w:pPr>
            <w:r>
              <w:rPr>
                <w:sz w:val="15"/>
                <w:szCs w:val="15"/>
              </w:rPr>
              <w:t xml:space="preserve">The cohort includes 9 medullary thyroid cancers, 4 bronchial carcinoids and 1 undifferentiated neuroendocrine tumour, so almost a quarter of the series lies outside the gastroenteropancreatic population to which the conclusions are applied.</w:t>
            </w:r>
          </w:p>
          <w:p>
            <w:pPr>
              <w:pStyle w:val="ListParagraph"/>
              <w:numPr>
                <w:ilvl w:val="0"/>
                <w:numId w:val="2"/>
              </w:numPr>
              <w:spacing w:after="45"/>
            </w:pPr>
            <w:r>
              <w:rPr>
                <w:sz w:val="15"/>
                <w:szCs w:val="15"/>
              </w:rPr>
              <w:t xml:space="preserve">The ablation catheter is a named commercial device (RITA Medical Systems) and two of the cited supporting references are the same authors' own clinical evaluations of that manufacturer's catheter. The paper carries no funding statement and no conflict-of-interest declaration.</w:t>
            </w:r>
          </w:p>
          <w:p>
            <w:pPr>
              <w:pStyle w:val="ListParagraph"/>
              <w:numPr>
                <w:ilvl w:val="0"/>
                <w:numId w:val="2"/>
              </w:numPr>
              <w:spacing w:after="45"/>
            </w:pPr>
            <w:r>
              <w:rPr>
                <w:sz w:val="15"/>
                <w:szCs w:val="15"/>
              </w:rPr>
              <w:t xml:space="preserve">A search of PubMed found no linked editorial or comment for this paper, and unlike the authors' 2010 series no podium discussion is printed with it, so no external appraisal is available.</w:t>
            </w:r>
          </w:p>
        </w:tc>
      </w:tr>
    </w:tbl>
    <w:p>
      <w:pPr>
        <w:keepNext/>
        <w:spacing w:after="50" w:before="260"/>
      </w:pPr>
      <w:r>
        <w:rPr>
          <w:rFonts w:ascii="Cambria" w:cs="Cambria" w:eastAsia="Cambria" w:hAnsi="Cambria"/>
          <w:b/>
          <w:bCs/>
          <w:color w:val="17365D"/>
          <w:sz w:val="20"/>
          <w:szCs w:val="20"/>
        </w:rPr>
        <w:t xml:space="preserve">Milan-NET transplant</w:t>
      </w:r>
      <w:r>
        <w:rPr>
          <w:b/>
          <w:bCs/>
          <w:color w:val="176A87"/>
          <w:sz w:val="15"/>
          <w:szCs w:val="15"/>
        </w:rPr>
        <w:t xml:space="preserve">   cohort</w:t>
      </w:r>
      <w:r>
        <w:rPr>
          <w:color w:val="5A6069"/>
          <w:sz w:val="15"/>
          <w:szCs w:val="15"/>
        </w:rPr>
        <w:t xml:space="preserve">   PMID 27134017</w:t>
      </w:r>
    </w:p>
    <w:p>
      <w:pPr>
        <w:spacing w:after="50" w:line="276"/>
      </w:pPr>
      <w:r>
        <w:rPr>
          <w:color w:val="5A6069"/>
          <w:sz w:val="17"/>
          <w:szCs w:val="17"/>
        </w:rPr>
        <w:t xml:space="preserve">The Long-Term Benefit of Liver Transplantation for Hepatic Metastases From Neuroendocrine Tumors</w:t>
      </w:r>
    </w:p>
    <w:p>
      <w:pPr>
        <w:spacing w:after="50"/>
      </w:pPr>
      <w:r>
        <w:rPr>
          <w:b/>
          <w:bCs/>
          <w:color w:val="176A87"/>
          <w:sz w:val="16"/>
          <w:szCs w:val="16"/>
        </w:rPr>
        <w:t xml:space="preserve">Population. </w:t>
      </w:r>
      <w:r>
        <w:rPr>
          <w:sz w:val="16"/>
          <w:szCs w:val="16"/>
        </w:rPr>
        <w:t xml:space="preserve">88 patients meeting the Milan-NET criteria, drawn from 280 consecutive referrals with gastroenteropancreatic NET liver metastases between June 1995 and January 2010; 42 were transplanted and 46 continued non-transplant treatment, with a median follow-up of 122 months in both groups.</w:t>
      </w:r>
    </w:p>
    <w:p>
      <w:pPr>
        <w:spacing w:after="70"/>
      </w:pPr>
      <w:r>
        <w:rPr>
          <w:b/>
          <w:bCs/>
          <w:color w:val="17365D"/>
          <w:sz w:val="16"/>
          <w:szCs w:val="16"/>
        </w:rPr>
        <w:t xml:space="preserve">Bottom line. </w:t>
      </w:r>
      <w:r>
        <w:rPr>
          <w:sz w:val="16"/>
          <w:szCs w:val="16"/>
        </w:rPr>
        <w:t xml:space="preserve">This is the paper that fixes the Milan-NET criteria and attaches a number to them: under restrictive selection, transplantation was followed by 88.8% ten-year survival and a propensity-adjusted benefit rising from 6.8 months at 5 years to 38.4 months at 10, an outcome no other NET series had reported. It does not establish that transplantation caused that difference, because allocation turned on waiting-list capacity, age and patient refusal rather than disease, the transplant group was 15 years younger, and the comparator arm was given no cytoreductive liver resection, 8.7% PRRT and 2.2% targeted agents. The propensity model that carries the adjustment was reduced by automatic selection to four variables and excludes grade, liver burden and treatment, which are the very imbalances the paper flags in its own results.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main limitation is that treatment could not be randomised, and segregation of the groups on criteria other than those applied might occur in a non-randomised study.</w:t>
            </w:r>
          </w:p>
          <w:p>
            <w:pPr>
              <w:pStyle w:val="ListParagraph"/>
              <w:numPr>
                <w:ilvl w:val="0"/>
                <w:numId w:val="2"/>
              </w:numPr>
              <w:spacing w:after="45"/>
            </w:pPr>
            <w:r>
              <w:rPr>
                <w:sz w:val="15"/>
                <w:szCs w:val="15"/>
              </w:rPr>
              <w:t xml:space="preserve">Some clinical aspects that led to the final enlistment decision might have been underestimated, which is why propensity-score adjustment was adopted.</w:t>
            </w:r>
          </w:p>
          <w:p>
            <w:pPr>
              <w:pStyle w:val="ListParagraph"/>
              <w:numPr>
                <w:ilvl w:val="0"/>
                <w:numId w:val="2"/>
              </w:numPr>
              <w:spacing w:after="45"/>
            </w:pPr>
            <w:r>
              <w:rPr>
                <w:sz w:val="15"/>
                <w:szCs w:val="15"/>
              </w:rPr>
              <w:t xml:space="preserve">The sample was too small for conventional propensity-score matching, so the score could only be entered as a covariate in the regression models.</w:t>
            </w:r>
          </w:p>
          <w:p>
            <w:pPr>
              <w:pStyle w:val="ListParagraph"/>
              <w:numPr>
                <w:ilvl w:val="0"/>
                <w:numId w:val="2"/>
              </w:numPr>
              <w:spacing w:after="45"/>
            </w:pPr>
            <w:r>
              <w:rPr>
                <w:sz w:val="15"/>
                <w:szCs w:val="15"/>
              </w:rPr>
              <w:t xml:space="preserve">The prognostic-factor analysis is explicitly exploratory because it was not possible to satisfy the ten-events-per-variable rule.</w:t>
            </w:r>
          </w:p>
          <w:p>
            <w:pPr>
              <w:pStyle w:val="ListParagraph"/>
              <w:numPr>
                <w:ilvl w:val="0"/>
                <w:numId w:val="2"/>
              </w:numPr>
              <w:spacing w:after="45"/>
            </w:pPr>
            <w:r>
              <w:rPr>
                <w:sz w:val="15"/>
                <w:szCs w:val="15"/>
              </w:rPr>
              <w:t xml:space="preserve">Histology in 11 non-transplant patients (24% of that group) was assessed only on the primary tumour because liver metastatic tissue was unavailable; the authors call this an unavoidable bias incorporated into the regression models.</w:t>
            </w:r>
          </w:p>
          <w:p>
            <w:pPr>
              <w:pStyle w:val="ListParagraph"/>
              <w:numPr>
                <w:ilvl w:val="0"/>
                <w:numId w:val="2"/>
              </w:numPr>
              <w:spacing w:after="45"/>
            </w:pPr>
            <w:r>
              <w:rPr>
                <w:sz w:val="15"/>
                <w:szCs w:val="15"/>
              </w:rPr>
              <w:t xml:space="preserve">More intense systemic therapy, including peptide-receptor radionuclide therapy, was given to the non-transplant patients, a bias the authors describe as inherent to field practice.</w:t>
            </w:r>
          </w:p>
          <w:p>
            <w:pPr>
              <w:pStyle w:val="ListParagraph"/>
              <w:numPr>
                <w:ilvl w:val="0"/>
                <w:numId w:val="2"/>
              </w:numPr>
              <w:spacing w:after="45"/>
            </w:pPr>
            <w:r>
              <w:rPr>
                <w:sz w:val="15"/>
                <w:szCs w:val="15"/>
              </w:rPr>
              <w:t xml:space="preserve">The study was conducted in the pre-molecular-target era of NET treatment, so transplantation after downstaging with newer agents remains uninvestigated.</w:t>
            </w:r>
          </w:p>
          <w:p>
            <w:pPr>
              <w:pStyle w:val="ListParagraph"/>
              <w:numPr>
                <w:ilvl w:val="0"/>
                <w:numId w:val="2"/>
              </w:numPr>
              <w:spacing w:after="45"/>
            </w:pPr>
            <w:r>
              <w:rPr>
                <w:sz w:val="15"/>
                <w:szCs w:val="15"/>
              </w:rPr>
              <w:t xml:space="preserve">Quality of life was not measured over time; the authors infer it from the rate of long-term curability.</w:t>
            </w:r>
          </w:p>
          <w:p>
            <w:pPr>
              <w:pStyle w:val="ListParagraph"/>
              <w:numPr>
                <w:ilvl w:val="0"/>
                <w:numId w:val="2"/>
              </w:numPr>
              <w:spacing w:after="45"/>
            </w:pPr>
            <w:r>
              <w:rPr>
                <w:sz w:val="15"/>
                <w:szCs w:val="15"/>
              </w:rPr>
              <w:t xml:space="preserve">The survival benefit observed might be due both to the transplant itself and to the selection of patients for transplantation.</w:t>
            </w:r>
          </w:p>
          <w:p>
            <w:pPr>
              <w:pStyle w:val="ListParagraph"/>
              <w:numPr>
                <w:ilvl w:val="0"/>
                <w:numId w:val="2"/>
              </w:numPr>
              <w:spacing w:after="45"/>
            </w:pPr>
            <w:r>
              <w:rPr>
                <w:sz w:val="15"/>
                <w:szCs w:val="15"/>
              </w:rPr>
              <w:t xml:space="preserve">The authors state that randomised studies in this setting are considered infeasible, and that uniform objective criteria for selecting transplant candidates upfront are still lacking.</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propensity score does not adjust for the imbalances the paper itself identifies. Backward AIC selection reduced the model to year of diagnosis, age, T stage and serum chromogranin, so WHO 2010 grade, percentage liver involvement, primary site, carcinoid syndrome and locoregional or systemic treatment, all of which were offered to the model, are absent from the adjustment that produces the headline hazard ratio of 7.4.</w:t>
            </w:r>
          </w:p>
          <w:p>
            <w:pPr>
              <w:pStyle w:val="ListParagraph"/>
              <w:numPr>
                <w:ilvl w:val="0"/>
                <w:numId w:val="2"/>
              </w:numPr>
              <w:spacing w:after="45"/>
            </w:pPr>
            <w:r>
              <w:rPr>
                <w:sz w:val="15"/>
                <w:szCs w:val="15"/>
              </w:rPr>
              <w:t xml:space="preserve">Four non-transplant patients (8.7%) were reclassified as G3 on WHO 2010 review and none of the transplanted patients were (p=0.032). G3 histology is itself an exclusion criterion of the Milan-NET rule set, so the comparator arm contains patients who do not meet the criteria the study exists to validate, and the adjustment does not remove them.</w:t>
            </w:r>
          </w:p>
          <w:p>
            <w:pPr>
              <w:pStyle w:val="ListParagraph"/>
              <w:numPr>
                <w:ilvl w:val="0"/>
                <w:numId w:val="2"/>
              </w:numPr>
              <w:spacing w:after="45"/>
            </w:pPr>
            <w:r>
              <w:rPr>
                <w:sz w:val="15"/>
                <w:szCs w:val="15"/>
              </w:rPr>
              <w:t xml:space="preserve">Seven patients breached the liver-burden criterion in the same way: H3 disease, over 50% of the parenchyma, in 4 transplanted and 3 non-transplanted patients, with liver involvement undetermined in a further 3 non-transplant patients, against an inclusion rule of under 50%.</w:t>
            </w:r>
          </w:p>
          <w:p>
            <w:pPr>
              <w:pStyle w:val="ListParagraph"/>
              <w:numPr>
                <w:ilvl w:val="0"/>
                <w:numId w:val="2"/>
              </w:numPr>
              <w:spacing w:after="45"/>
            </w:pPr>
            <w:r>
              <w:rPr>
                <w:sz w:val="15"/>
                <w:szCs w:val="15"/>
              </w:rPr>
              <w:t xml:space="preserve">Hilar nodal status, which the same group's later work finds to be the only independent predictor of post-transplant outcome, is unknown in 40 of the 46 non-transplant patients (86.9%) and known in 37 of 42 transplanted patients. The two arms cannot be compared on it, and the paper reports the p value of 0.645 as if they could.</w:t>
            </w:r>
          </w:p>
          <w:p>
            <w:pPr>
              <w:pStyle w:val="ListParagraph"/>
              <w:numPr>
                <w:ilvl w:val="0"/>
                <w:numId w:val="2"/>
              </w:numPr>
              <w:spacing w:after="45"/>
            </w:pPr>
            <w:r>
              <w:rPr>
                <w:sz w:val="15"/>
                <w:szCs w:val="15"/>
              </w:rPr>
              <w:t xml:space="preserve">Time-to-progression means a different thing in each arm. After total hepatectomy there is no measurable liver lesion, so a transplanted patient can only have an event by growing a new one, while a non-transplant patient has measurable residual metastases that need only enlarge by the RECIST threshold. A 13.1% versus 89% difference is partly an artefact of that asymmetry.</w:t>
            </w:r>
          </w:p>
          <w:p>
            <w:pPr>
              <w:pStyle w:val="ListParagraph"/>
              <w:numPr>
                <w:ilvl w:val="0"/>
                <w:numId w:val="2"/>
              </w:numPr>
              <w:spacing w:after="45"/>
            </w:pPr>
            <w:r>
              <w:rPr>
                <w:sz w:val="15"/>
                <w:szCs w:val="15"/>
              </w:rPr>
              <w:t xml:space="preserve">The comparator arm was systematically denied surgery. The text states that none of the non-transplant patients was considered for palliative cytoreductive liver resection, even though 75 of the original 280 referrals were excluded precisely because their disease was resectable. Transplantation is therefore being compared with medical therapy, not with the best available surgical alternative.</w:t>
            </w:r>
          </w:p>
          <w:p>
            <w:pPr>
              <w:pStyle w:val="ListParagraph"/>
              <w:numPr>
                <w:ilvl w:val="0"/>
                <w:numId w:val="2"/>
              </w:numPr>
              <w:spacing w:after="45"/>
            </w:pPr>
            <w:r>
              <w:rPr>
                <w:sz w:val="15"/>
                <w:szCs w:val="15"/>
              </w:rPr>
              <w:t xml:space="preserve">The non-transplant backbone is thin even for its era: 89.1% on somatostatin analogues, 13.0% chemoembolisation, 8.7% peptide-receptor radionuclide therapy and 2.2% targeted agents. A 10-year survival of 22.4% is the yardstick, and it reflects what was withheld as much as what transplantation adds.</w:t>
            </w:r>
          </w:p>
          <w:p>
            <w:pPr>
              <w:pStyle w:val="ListParagraph"/>
              <w:numPr>
                <w:ilvl w:val="0"/>
                <w:numId w:val="2"/>
              </w:numPr>
              <w:spacing w:after="45"/>
            </w:pPr>
            <w:r>
              <w:rPr>
                <w:sz w:val="15"/>
                <w:szCs w:val="15"/>
              </w:rPr>
              <w:t xml:space="preserve">Treatment is unbalanced in the other direction too, and this is never adjusted for: the transplant group received TACE in 40.5% versus 13.0%, and somatostatin analogues in 54.8% versus 89.1%, so the two arms differ in liver-directed therapy before the index procedure as well as after it.</w:t>
            </w:r>
          </w:p>
          <w:p>
            <w:pPr>
              <w:pStyle w:val="ListParagraph"/>
              <w:numPr>
                <w:ilvl w:val="0"/>
                <w:numId w:val="2"/>
              </w:numPr>
              <w:spacing w:after="45"/>
            </w:pPr>
            <w:r>
              <w:rPr>
                <w:sz w:val="15"/>
                <w:szCs w:val="15"/>
              </w:rPr>
              <w:t xml:space="preserve">Transplant recipients were a median of 15 years younger (40.5 versus 55.5 years), and the paper's own multivariable analysis makes age an independent determinant of death, with hazard ratios of 3.41 and 3.72 for patients younger than 42 and older than 54 against the 42-54 band. The discussion concedes the tendency to push for transplantation in the young, which is the mechanism by which age and treatment became confounded.</w:t>
            </w:r>
          </w:p>
          <w:p>
            <w:pPr>
              <w:pStyle w:val="ListParagraph"/>
              <w:numPr>
                <w:ilvl w:val="0"/>
                <w:numId w:val="2"/>
              </w:numPr>
              <w:spacing w:after="45"/>
            </w:pPr>
            <w:r>
              <w:rPr>
                <w:sz w:val="15"/>
                <w:szCs w:val="15"/>
              </w:rPr>
              <w:t xml:space="preserve">The Cox models use left truncation to handle delayed entry, but the Kaplan-Meier curves, the 5- and 10-year survival percentages and the difference-in-mean-survival-time benefit calculation are not stated to do so. Transplanted patients had to survive a median of 18.5 months from primary resection to reach their transplant, and the headline 97.2% and 88.8% are measured from primary resection.</w:t>
            </w:r>
          </w:p>
          <w:p>
            <w:pPr>
              <w:pStyle w:val="ListParagraph"/>
              <w:numPr>
                <w:ilvl w:val="0"/>
                <w:numId w:val="2"/>
              </w:numPr>
              <w:spacing w:after="45"/>
            </w:pPr>
            <w:r>
              <w:rPr>
                <w:sz w:val="15"/>
                <w:szCs w:val="15"/>
              </w:rPr>
              <w:t xml:space="preserve">The propensity model discriminates almost too well. A bootstrap-corrected Harrell C of 0.861 means the two groups are nearly separable on baseline characteristics, so there is little region of common support; combined with the authors' own admission that matching was impossible, the covariate adjustment is being asked to bridge groups that barely overlap.</w:t>
            </w:r>
          </w:p>
          <w:p>
            <w:pPr>
              <w:pStyle w:val="ListParagraph"/>
              <w:numPr>
                <w:ilvl w:val="0"/>
                <w:numId w:val="2"/>
              </w:numPr>
              <w:spacing w:after="45"/>
            </w:pPr>
            <w:r>
              <w:rPr>
                <w:sz w:val="15"/>
                <w:szCs w:val="15"/>
              </w:rPr>
              <w:t xml:space="preserve">The paper's own benefit figure falls short of the benchmark it invokes. The discussion argues that transplant benefit justifies MELD exception points by noting that a MELD of 15 corresponds to 12 months of life gained at 5 years, while the adjusted 5-year benefit reported here is 6.82 months with a confidence interval running down to 1.10 months. Only the 10-year figure clears that bar.</w:t>
            </w:r>
          </w:p>
          <w:p>
            <w:pPr>
              <w:pStyle w:val="ListParagraph"/>
              <w:numPr>
                <w:ilvl w:val="0"/>
                <w:numId w:val="2"/>
              </w:numPr>
              <w:spacing w:after="45"/>
            </w:pPr>
            <w:r>
              <w:rPr>
                <w:sz w:val="15"/>
                <w:szCs w:val="15"/>
              </w:rPr>
              <w:t xml:space="preserve">No perioperative harm of transplantation is reported anywhere. Grafts were marginal in 88% of cases, with a median donor age of 65, 40% steatosis and a donor risk index of 1.6, and the paper gives no 90-day mortality, no graft loss or retransplantation rate, no rejection rate and no cause of death for the 5 deaths in the transplant group.</w:t>
            </w:r>
          </w:p>
          <w:p>
            <w:pPr>
              <w:pStyle w:val="ListParagraph"/>
              <w:numPr>
                <w:ilvl w:val="0"/>
                <w:numId w:val="2"/>
              </w:numPr>
              <w:spacing w:after="45"/>
            </w:pPr>
            <w:r>
              <w:rPr>
                <w:sz w:val="15"/>
                <w:szCs w:val="15"/>
              </w:rPr>
              <w:t xml:space="preserve">Allocation ran on exactly the variables that predict outcome. Of the 46 non-transplant patients, 24 could not be listed because of waiting-list conditions and 22 refused, 18 of them because they judged their own health normal enough to postpone transplant indefinitely. That self-selection puts the better-feeling patients in the comparator arm, which argues against the result, but it also means the groups were formed by patient disposition and list capacity rather than by any measured clinical variable the propensity score could capture.</w:t>
            </w:r>
          </w:p>
          <w:p>
            <w:pPr>
              <w:pStyle w:val="ListParagraph"/>
              <w:numPr>
                <w:ilvl w:val="0"/>
                <w:numId w:val="2"/>
              </w:numPr>
              <w:spacing w:after="45"/>
            </w:pPr>
            <w:r>
              <w:rPr>
                <w:sz w:val="15"/>
                <w:szCs w:val="15"/>
              </w:rPr>
              <w:t xml:space="preserve">Only 88 of 280 referrals (31%) met the criteria, at a national cancer institute operating a bespoke protocol with its own regional organ-sharing agreement since 1995. The 88.8% ten-year survival is the output of that selection machine and says little about what a general transplant programme would achieve.</w:t>
            </w:r>
          </w:p>
          <w:p>
            <w:pPr>
              <w:pStyle w:val="ListParagraph"/>
              <w:numPr>
                <w:ilvl w:val="0"/>
                <w:numId w:val="2"/>
              </w:numPr>
              <w:spacing w:after="45"/>
            </w:pPr>
            <w:r>
              <w:rPr>
                <w:sz w:val="15"/>
                <w:szCs w:val="15"/>
              </w:rPr>
              <w:t xml:space="preserve">Missing data were handled by substitution rather than modelled: categorical values replaced by the modal category and continuous values by the median wherever missingness was under 10%, in a dataset with 10.9% missing T stage, 13.0% Nx, 15.2% missing grade and 86.9% unknown hilar nodes in the non-transplant arm.</w:t>
            </w:r>
          </w:p>
          <w:p>
            <w:pPr>
              <w:pStyle w:val="ListParagraph"/>
              <w:numPr>
                <w:ilvl w:val="0"/>
                <w:numId w:val="2"/>
              </w:numPr>
              <w:spacing w:after="45"/>
            </w:pPr>
            <w:r>
              <w:rPr>
                <w:sz w:val="15"/>
                <w:szCs w:val="15"/>
              </w:rPr>
              <w:t xml:space="preserve">A PubMed search found no linked editorial or comment on this paper, so no independent appraisal of the benefit estimate accompanies it in the literature.</w:t>
            </w:r>
          </w:p>
        </w:tc>
      </w:tr>
    </w:tbl>
    <w:p>
      <w:pPr>
        <w:spacing w:after="0" w:line="276"/>
      </w:pPr>
      <w:r>
        <w:rPr>
          <w:color w:val="5A6069"/>
          <w:sz w:val="14"/>
          <w:szCs w:val="14"/>
        </w:rPr>
        <w:t xml:space="preserve">Funding: Non-sponsored, academic, investigator-initiated study. V. Mazzaferro supported by grants from INT-Milan on Hepato-Oncology (5x1000 grant), AIRC (Italian Association for Cancer Research) and the National Transplant Centre, Rome. The authors declare no conflicts of interest.</w:t>
      </w:r>
    </w:p>
    <w:p>
      <w:pPr>
        <w:keepNext/>
        <w:spacing w:after="50" w:before="260"/>
      </w:pPr>
      <w:r>
        <w:rPr>
          <w:rFonts w:ascii="Cambria" w:cs="Cambria" w:eastAsia="Cambria" w:hAnsi="Cambria"/>
          <w:b/>
          <w:bCs/>
          <w:color w:val="17365D"/>
          <w:sz w:val="20"/>
          <w:szCs w:val="20"/>
        </w:rPr>
        <w:t xml:space="preserve">NANETS 2017 medical</w:t>
      </w:r>
      <w:r>
        <w:rPr>
          <w:b/>
          <w:bCs/>
          <w:color w:val="176A87"/>
          <w:sz w:val="15"/>
          <w:szCs w:val="15"/>
        </w:rPr>
        <w:t xml:space="preserve">   Guideline</w:t>
      </w:r>
      <w:r>
        <w:rPr>
          <w:color w:val="5A6069"/>
          <w:sz w:val="15"/>
          <w:szCs w:val="15"/>
        </w:rPr>
        <w:t xml:space="preserve">   PMID 28609356</w:t>
      </w:r>
    </w:p>
    <w:p>
      <w:pPr>
        <w:spacing w:after="50" w:line="276"/>
      </w:pPr>
      <w:r>
        <w:rPr>
          <w:color w:val="5A6069"/>
          <w:sz w:val="17"/>
          <w:szCs w:val="17"/>
        </w:rPr>
        <w:t xml:space="preserve">The North American Neuroendocrine Tumor Society Consensus Guidelines for Surveillance and Medical Management of Midgut Neuroendocrine Tumors</w:t>
      </w:r>
    </w:p>
    <w:p>
      <w:pPr>
        <w:spacing w:after="50"/>
      </w:pPr>
      <w:r>
        <w:rPr>
          <w:b/>
          <w:bCs/>
          <w:color w:val="176A87"/>
          <w:sz w:val="16"/>
          <w:szCs w:val="16"/>
        </w:rPr>
        <w:t xml:space="preserve">Population. </w:t>
      </w:r>
      <w:r>
        <w:rPr>
          <w:sz w:val="16"/>
          <w:szCs w:val="16"/>
        </w:rPr>
        <w:t xml:space="preserve">No patient cohort. A 15-member multidisciplinary panel voted by audience response system, with consensus defined as no more than one oppositional vote and significant majority as agreement of at least 75%.</w:t>
      </w:r>
    </w:p>
    <w:p>
      <w:pPr>
        <w:spacing w:after="70"/>
      </w:pPr>
      <w:r>
        <w:rPr>
          <w:b/>
          <w:bCs/>
          <w:color w:val="17365D"/>
          <w:sz w:val="16"/>
          <w:szCs w:val="16"/>
        </w:rPr>
        <w:t xml:space="preserve">Bottom line. </w:t>
      </w:r>
      <w:r>
        <w:rPr>
          <w:sz w:val="16"/>
          <w:szCs w:val="16"/>
        </w:rPr>
        <w:t xml:space="preserve">This is the medical counterpart to the NANETS surgical guideline, and its firm positions are narrow: surveillance for about a decade after resection, somatostatin-receptor imaging at baseline but not for routine follow-up, 177Lu-DOTATATE as second line after progression on a somatostatin analogue, and telotristat rather than dose escalation for refractory carcinoid diarrhoea. On the questions a liver tumour board brings, it records no consensus at all: whether to treat or observe low-volume asymptomatic metastases, which embolisation modality to use, and whether to continue a somatostatin analogue past progression. The document carries no evidence grading, its PRRT endorsement predates NETTER-1's negative survival analysis, and nearly every panellist declares relationships with the manufacturers of the drugs and devices under discussion.</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panel records many areas of non-consensus, including whether to treat or observe low-volume asymptomatic metastatic disease, octreotide versus lanreotide, whether to continue a somatostatin analogue past progression, which embolisation modality to prefer, how to select patients for carcinoid heart disease screening, and whether surveillance should extend beyond 10 years.</w:t>
            </w:r>
          </w:p>
          <w:p>
            <w:pPr>
              <w:pStyle w:val="ListParagraph"/>
              <w:numPr>
                <w:ilvl w:val="0"/>
                <w:numId w:val="2"/>
              </w:numPr>
              <w:spacing w:after="45"/>
            </w:pPr>
            <w:r>
              <w:rPr>
                <w:sz w:val="15"/>
                <w:szCs w:val="15"/>
              </w:rPr>
              <w:t xml:space="preserve">There is no high-quality evidence favouring any liver-directed therapy over another or over systemic treatment.</w:t>
            </w:r>
          </w:p>
          <w:p>
            <w:pPr>
              <w:pStyle w:val="ListParagraph"/>
              <w:numPr>
                <w:ilvl w:val="0"/>
                <w:numId w:val="2"/>
              </w:numPr>
              <w:spacing w:after="45"/>
            </w:pPr>
            <w:r>
              <w:rPr>
                <w:sz w:val="15"/>
                <w:szCs w:val="15"/>
              </w:rPr>
              <w:t xml:space="preserve">The cumulative hepatic radiation burden of radioembolisation followed by PRRT is unstudied, and the panel names RETNET (NCT02724540) as the trial needed to resolve the comparison between embolisation techniques.</w:t>
            </w:r>
          </w:p>
          <w:p>
            <w:pPr>
              <w:pStyle w:val="ListParagraph"/>
              <w:numPr>
                <w:ilvl w:val="0"/>
                <w:numId w:val="2"/>
              </w:numPr>
              <w:spacing w:after="45"/>
            </w:pPr>
            <w:r>
              <w:rPr>
                <w:sz w:val="15"/>
                <w:szCs w:val="15"/>
              </w:rPr>
              <w:t xml:space="preserve">Roughly half the panel judged chromogranin A, pancreastatin and neuron-specific enolase too prone to false positive and false negative results to recommend.</w:t>
            </w:r>
          </w:p>
          <w:p>
            <w:pPr>
              <w:pStyle w:val="ListParagraph"/>
              <w:numPr>
                <w:ilvl w:val="0"/>
                <w:numId w:val="2"/>
              </w:numPr>
              <w:spacing w:after="45"/>
            </w:pPr>
            <w:r>
              <w:rPr>
                <w:sz w:val="15"/>
                <w:szCs w:val="15"/>
              </w:rPr>
              <w:t xml:space="preserve">Most panellists judged the evidence insufficient to use embolisation as second-line therapy.</w:t>
            </w:r>
          </w:p>
          <w:p>
            <w:pPr>
              <w:pStyle w:val="ListParagraph"/>
              <w:numPr>
                <w:ilvl w:val="0"/>
                <w:numId w:val="2"/>
              </w:numPr>
              <w:spacing w:after="45"/>
            </w:pPr>
            <w:r>
              <w:rPr>
                <w:sz w:val="15"/>
                <w:szCs w:val="15"/>
              </w:rPr>
              <w:t xml:space="preserve">Surgical management, including the hepatic debulking threshold, was deliberately excluded and deferred to the companion surgical guideline.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Consensus here is a show of hands. Fifteen panellists voted by audience response system, consensus was defined as no more than one oppositional vote and significant majority as 75% agreement, and no systematic review, evidence table or grading system exists. A near-unanimous statement and an even split appear in the same typography, so the strength behind a recommendation cannot be read off the page.</w:t>
            </w:r>
          </w:p>
          <w:p>
            <w:pPr>
              <w:pStyle w:val="ListParagraph"/>
              <w:numPr>
                <w:ilvl w:val="0"/>
                <w:numId w:val="2"/>
              </w:numPr>
              <w:spacing w:after="45"/>
            </w:pPr>
            <w:r>
              <w:rPr>
                <w:sz w:val="15"/>
                <w:szCs w:val="15"/>
              </w:rPr>
              <w:t xml:space="preserve">The declared interests mirror the evidence base almost exactly. Panellists report advisory, speaker or institutional research relationships with Novartis, Ipsen, Lexicon and Advanced Accelerator Applications, the makers of the somatostatin analogues, telotristat and the radioligand the guideline recommends, and the panel's interventional radiologist declares research grants from Guerbet and BTG, consultancy for Guerbet, Terumo, Merit Medical and Bayer and proctoring for Sirtex while the panel votes on embolisation modality.</w:t>
            </w:r>
          </w:p>
          <w:p>
            <w:pPr>
              <w:pStyle w:val="ListParagraph"/>
              <w:numPr>
                <w:ilvl w:val="0"/>
                <w:numId w:val="2"/>
              </w:numPr>
              <w:spacing w:after="45"/>
            </w:pPr>
            <w:r>
              <w:rPr>
                <w:sz w:val="15"/>
                <w:szCs w:val="15"/>
              </w:rPr>
              <w:t xml:space="preserve">The second-line endorsement of 177Lu-DOTATATE rests on NETTER-1's progression-free survival report. The final overall survival analysis published four years later was negative (hazard ratio 0.84, p=0.30), so the '79% improvement' quoted here is a progression figure and carries no survival claim.</w:t>
            </w:r>
          </w:p>
          <w:p>
            <w:pPr>
              <w:pStyle w:val="ListParagraph"/>
              <w:numPr>
                <w:ilvl w:val="0"/>
                <w:numId w:val="2"/>
              </w:numPr>
              <w:spacing w:after="45"/>
            </w:pPr>
            <w:r>
              <w:rPr>
                <w:sz w:val="15"/>
                <w:szCs w:val="15"/>
              </w:rPr>
              <w:t xml:space="preserve">The recommendation to try somatostatin analogues regardless of the receptor imaging result sits awkwardly beside the same guideline's receptor-based selection for PRRT, and no evidence of benefit in receptor-negative midgut disease is offered.</w:t>
            </w:r>
          </w:p>
          <w:p>
            <w:pPr>
              <w:pStyle w:val="ListParagraph"/>
              <w:numPr>
                <w:ilvl w:val="0"/>
                <w:numId w:val="2"/>
              </w:numPr>
              <w:spacing w:after="45"/>
            </w:pPr>
            <w:r>
              <w:rPr>
                <w:sz w:val="15"/>
                <w:szCs w:val="15"/>
              </w:rPr>
              <w:t xml:space="preserve">Roughly ten years of surveillance with cross-sectional imaging, every 6 months in the first year then annually, is recommended on a recurrence rate of about 50% with no evidence that earlier detection of recurrence changes outcome, and with no consideration of cumulative radiation exposure or cost in a disease whose patients live for decades.</w:t>
            </w:r>
          </w:p>
          <w:p>
            <w:pPr>
              <w:pStyle w:val="ListParagraph"/>
              <w:numPr>
                <w:ilvl w:val="0"/>
                <w:numId w:val="2"/>
              </w:numPr>
              <w:spacing w:after="45"/>
            </w:pPr>
            <w:r>
              <w:rPr>
                <w:sz w:val="15"/>
                <w:szCs w:val="15"/>
              </w:rPr>
              <w:t xml:space="preserve">The telotristat recommendation prefers a new drug to dose escalation of an existing one without any head-to-head comparison, on the strength of a 35% reduction in daily bowel movements at the higher of two doses in a short symptom trial.</w:t>
            </w:r>
          </w:p>
          <w:p>
            <w:pPr>
              <w:pStyle w:val="ListParagraph"/>
              <w:numPr>
                <w:ilvl w:val="0"/>
                <w:numId w:val="2"/>
              </w:numPr>
              <w:spacing w:after="45"/>
            </w:pPr>
            <w:r>
              <w:rPr>
                <w:sz w:val="15"/>
                <w:szCs w:val="15"/>
              </w:rPr>
              <w:t xml:space="preserve">Carcinoid heart disease screening is triggered at a 5-HIAA above five times normal, a threshold given without any diagnostic accuracy data, in the same breath as the panel reporting that it could not agree on how to select patients for screening at all.</w:t>
            </w:r>
          </w:p>
          <w:p>
            <w:pPr>
              <w:pStyle w:val="ListParagraph"/>
              <w:numPr>
                <w:ilvl w:val="0"/>
                <w:numId w:val="2"/>
              </w:numPr>
              <w:spacing w:after="45"/>
            </w:pPr>
            <w:r>
              <w:rPr>
                <w:sz w:val="15"/>
                <w:szCs w:val="15"/>
              </w:rPr>
              <w:t xml:space="preserve">The question that matters most to a liver tumour board, which embolisation technique to use, produced no consensus, and the trial the panel nominated to settle it later closed its drug-eluting-bead arm for excess severe complications. The uncertainty recorded here was real and was eventually resolved on safety grounds rather than efficacy.</w:t>
            </w:r>
          </w:p>
          <w:p>
            <w:pPr>
              <w:pStyle w:val="ListParagraph"/>
              <w:numPr>
                <w:ilvl w:val="0"/>
                <w:numId w:val="2"/>
              </w:numPr>
              <w:spacing w:after="45"/>
            </w:pPr>
            <w:r>
              <w:rPr>
                <w:sz w:val="15"/>
                <w:szCs w:val="15"/>
              </w:rPr>
              <w:t xml:space="preserve">Splitting the surgical and medical guidance into companion papers means neither document addresses sequencing between them: this paper defers debulking to the surgical companion while recommending PRRT and embolisation, and the surgical paper recommends cytoreduction without reference to the systemic sequence.</w:t>
            </w:r>
          </w:p>
          <w:p>
            <w:pPr>
              <w:pStyle w:val="ListParagraph"/>
              <w:numPr>
                <w:ilvl w:val="0"/>
                <w:numId w:val="2"/>
              </w:numPr>
              <w:spacing w:after="45"/>
            </w:pPr>
            <w:r>
              <w:rPr>
                <w:sz w:val="15"/>
                <w:szCs w:val="15"/>
              </w:rPr>
              <w:t xml:space="preserve">No funding statement appears anywhere in the document.</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Declared interests are extensive: J.R. Strosberg reports advisory boards for Novartis, Ipsen and Lexicon, speaker's bureaux for Ipsen and Lexicon and institutional research funding from Advanced Accelerator Applications and Novartis; J.A. Chan, P.L. Kunz, E. Bergsland, T.R. Halfdanarson, R.F. Pommier, J.C. Yao, E.S. and J.S.Z. report consulting, advisory, speaker or institutional research relationships with Novartis, Ipsen, Lexicon, Advanced Accelerator Applications, Dicerna, Esanex, Genentech, Merck, Oxigene and Thermo Fisher; M.C. Soulen reports research grants from Guerbet and BTG International, consultancy for Guerbet, Terumo, Merit Medical and Bayer and proctoring for Sirtex Medical; R.S. reports advisory board and a research grant from BTG. The remaining authors declare no conflict of interest.</w:t>
      </w:r>
    </w:p>
    <w:p>
      <w:pPr>
        <w:keepNext/>
        <w:spacing w:after="50" w:before="260"/>
      </w:pPr>
      <w:r>
        <w:rPr>
          <w:rFonts w:ascii="Cambria" w:cs="Cambria" w:eastAsia="Cambria" w:hAnsi="Cambria"/>
          <w:b/>
          <w:bCs/>
          <w:color w:val="17365D"/>
          <w:sz w:val="20"/>
          <w:szCs w:val="20"/>
        </w:rPr>
        <w:t xml:space="preserve">NANETS 2017 surgical</w:t>
      </w:r>
      <w:r>
        <w:rPr>
          <w:b/>
          <w:bCs/>
          <w:color w:val="176A87"/>
          <w:sz w:val="15"/>
          <w:szCs w:val="15"/>
        </w:rPr>
        <w:t xml:space="preserve">   Guideline</w:t>
      </w:r>
      <w:r>
        <w:rPr>
          <w:color w:val="5A6069"/>
          <w:sz w:val="15"/>
          <w:szCs w:val="15"/>
        </w:rPr>
        <w:t xml:space="preserve">   PMID 28609357</w:t>
      </w:r>
    </w:p>
    <w:p>
      <w:pPr>
        <w:spacing w:after="50" w:line="276"/>
      </w:pPr>
      <w:r>
        <w:rPr>
          <w:color w:val="5A6069"/>
          <w:sz w:val="17"/>
          <w:szCs w:val="17"/>
        </w:rPr>
        <w:t xml:space="preserve">The Surgical Management of Small Bowel Neuroendocrine Tumors: Consensus Guidelines of the North American Neuroendocrine Tumor Society</w:t>
      </w:r>
    </w:p>
    <w:p>
      <w:pPr>
        <w:spacing w:after="50"/>
      </w:pPr>
      <w:r>
        <w:rPr>
          <w:b/>
          <w:bCs/>
          <w:color w:val="176A87"/>
          <w:sz w:val="16"/>
          <w:szCs w:val="16"/>
        </w:rPr>
        <w:t xml:space="preserve">Population. </w:t>
      </w:r>
      <w:r>
        <w:rPr>
          <w:sz w:val="16"/>
          <w:szCs w:val="16"/>
        </w:rPr>
        <w:t xml:space="preserve">No patient cohort. A consensus conference at the University of Iowa on 11 and 12 August 2016 with ten surgeons plus a gastroenterologist, a radiologist and a nuclear medicine physician, answering 19 predefined questions; each participant researched one or two questions and the panel voted by audience response system.</w:t>
      </w:r>
    </w:p>
    <w:p>
      <w:pPr>
        <w:spacing w:after="70"/>
      </w:pPr>
      <w:r>
        <w:rPr>
          <w:b/>
          <w:bCs/>
          <w:color w:val="17365D"/>
          <w:sz w:val="16"/>
          <w:szCs w:val="16"/>
        </w:rPr>
        <w:t xml:space="preserve">Bottom line. </w:t>
      </w:r>
      <w:r>
        <w:rPr>
          <w:sz w:val="16"/>
          <w:szCs w:val="16"/>
        </w:rPr>
        <w:t xml:space="preserve">This is the document that moved the hepatic debulking threshold in small bowel NET from 90% to 70% and that licenses cytoreduction regardless of the number or size of metastases, intermediate grade, positive margins or extrahepatic disease, together with resection of the primary even when the liver disease is inoperable. Every one of those positions rests on retrospective single-institution series, two of them from centres represented on the panel, with no systematic search, no evidence grading and no randomised data, which the authors concede will never exist. The specific weakness worth remembering is that the series most often cited for the 70% figure excluded by design every patient in whom 70% was unachievable, and within it the extent of debulking predicted neither progression nor death.</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authors state that the lack of randomised trials makes it difficult to prove the validity of these clinical recommendations, and that no randomised trial defines the surgical treatment of these tumours or is likely ever to be performed.</w:t>
            </w:r>
          </w:p>
          <w:p>
            <w:pPr>
              <w:pStyle w:val="ListParagraph"/>
              <w:numPr>
                <w:ilvl w:val="0"/>
                <w:numId w:val="2"/>
              </w:numPr>
              <w:spacing w:after="45"/>
            </w:pPr>
            <w:r>
              <w:rPr>
                <w:sz w:val="15"/>
                <w:szCs w:val="15"/>
              </w:rPr>
              <w:t xml:space="preserve">The recommendations are presented as based on clinical experience and a careful review of the literature rather than on graded evidence.</w:t>
            </w:r>
          </w:p>
          <w:p>
            <w:pPr>
              <w:pStyle w:val="ListParagraph"/>
              <w:numPr>
                <w:ilvl w:val="0"/>
                <w:numId w:val="2"/>
              </w:numPr>
              <w:spacing w:after="45"/>
            </w:pPr>
            <w:r>
              <w:rPr>
                <w:sz w:val="15"/>
                <w:szCs w:val="15"/>
              </w:rPr>
              <w:t xml:space="preserve">The historic 90% debulking figure is conceded to have come from an observation about symptom relief and never to have been validated as an oncologic threshold.</w:t>
            </w:r>
          </w:p>
          <w:p>
            <w:pPr>
              <w:pStyle w:val="ListParagraph"/>
              <w:numPr>
                <w:ilvl w:val="0"/>
                <w:numId w:val="2"/>
              </w:numPr>
              <w:spacing w:after="45"/>
            </w:pPr>
            <w:r>
              <w:rPr>
                <w:sz w:val="15"/>
                <w:szCs w:val="15"/>
              </w:rPr>
              <w:t xml:space="preserve">The survival advantage claimed for resecting the primary tumour in the presence of inoperable liver metastases comes from retrospective cohorts and the authors acknowledge that selection bias cannot be excluded.</w:t>
            </w:r>
          </w:p>
          <w:p>
            <w:pPr>
              <w:pStyle w:val="ListParagraph"/>
              <w:numPr>
                <w:ilvl w:val="0"/>
                <w:numId w:val="2"/>
              </w:numPr>
              <w:spacing w:after="45"/>
            </w:pPr>
            <w:r>
              <w:rPr>
                <w:sz w:val="15"/>
                <w:szCs w:val="15"/>
              </w:rPr>
              <w:t xml:space="preserve">The panel records near consensus, that is one or two dissenting votes, on several questions including those about the debulking threshold.</w:t>
            </w:r>
          </w:p>
          <w:p>
            <w:pPr>
              <w:pStyle w:val="ListParagraph"/>
              <w:numPr>
                <w:ilvl w:val="0"/>
                <w:numId w:val="2"/>
              </w:numPr>
              <w:spacing w:after="45"/>
            </w:pPr>
            <w:r>
              <w:rPr>
                <w:sz w:val="15"/>
                <w:szCs w:val="15"/>
              </w:rPr>
              <w:t xml:space="preserve">The literature is conceded not to support prophylactic octreotide for carcinoid crisis, although an intraoperative infusion is sanctioned as harmless practice.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There is no systematic search and no grading anywhere in the document. Participants were each assigned one or two questions to research, the panel voted by audience response system, and consensus was defined after the fact as unanimity. No evidence table, risk-of-bias assessment or evidence level accompanies any of the 19 answers, so a statement resting on three retrospective series and one resting on panel practice look identical on the page.</w:t>
            </w:r>
          </w:p>
          <w:p>
            <w:pPr>
              <w:pStyle w:val="ListParagraph"/>
              <w:numPr>
                <w:ilvl w:val="0"/>
                <w:numId w:val="2"/>
              </w:numPr>
              <w:spacing w:after="45"/>
            </w:pPr>
            <w:r>
              <w:rPr>
                <w:sz w:val="15"/>
                <w:szCs w:val="15"/>
              </w:rPr>
              <w:t xml:space="preserve">The 70% threshold was set by the centres that proposed it. Both single-institution series behind it come from institutions represented on the panel, and the lead author's and the Oregon group's own work supplies the central number, with the conference itself hosted by one of those institutions.</w:t>
            </w:r>
          </w:p>
          <w:p>
            <w:pPr>
              <w:pStyle w:val="ListParagraph"/>
              <w:numPr>
                <w:ilvl w:val="0"/>
                <w:numId w:val="2"/>
              </w:numPr>
              <w:spacing w:after="45"/>
            </w:pPr>
            <w:r>
              <w:rPr>
                <w:sz w:val="15"/>
                <w:szCs w:val="15"/>
              </w:rPr>
              <w:t xml:space="preserve">One of those supporting series cannot test the threshold at all, because it excluded by design every patient in whom 70% debulking was judged intraoperatively unachievable and so contains no sub-70% arm. In that series the extent of debulking did not correlate with liver progression-free survival (P=.74) or disease-specific survival (P=.37), and age was the only predictor.</w:t>
            </w:r>
          </w:p>
          <w:p>
            <w:pPr>
              <w:pStyle w:val="ListParagraph"/>
              <w:numPr>
                <w:ilvl w:val="0"/>
                <w:numId w:val="2"/>
              </w:numPr>
              <w:spacing w:after="45"/>
            </w:pPr>
            <w:r>
              <w:rPr>
                <w:sz w:val="15"/>
                <w:szCs w:val="15"/>
              </w:rPr>
              <w:t xml:space="preserve">The 'over 70% versus under 70%' comparison quoted here, overall survival not reached against 6.5 years and progression-free survival 3.2 against 1.3 years, therefore comes from a cohort in which the sub-70% group is a selected residue of patients in whom more could not be removed, which is a statement about resectability rather than about the benefit of a threshold.</w:t>
            </w:r>
          </w:p>
          <w:p>
            <w:pPr>
              <w:pStyle w:val="ListParagraph"/>
              <w:numPr>
                <w:ilvl w:val="0"/>
                <w:numId w:val="2"/>
              </w:numPr>
              <w:spacing w:after="45"/>
            </w:pPr>
            <w:r>
              <w:rPr>
                <w:sz w:val="15"/>
                <w:szCs w:val="15"/>
              </w:rPr>
              <w:t xml:space="preserve">The absence of a survival difference between R0 and R1 or R2 resection is used to justify debulking, and it is derived from retrospective series in which margin status was determined by what the disease allowed rather than by allocation. Patients who end up R2 are those whose tumour could not be cleared.</w:t>
            </w:r>
          </w:p>
          <w:p>
            <w:pPr>
              <w:pStyle w:val="ListParagraph"/>
              <w:numPr>
                <w:ilvl w:val="0"/>
                <w:numId w:val="2"/>
              </w:numPr>
              <w:spacing w:after="45"/>
            </w:pPr>
            <w:r>
              <w:rPr>
                <w:sz w:val="15"/>
                <w:szCs w:val="15"/>
              </w:rPr>
              <w:t xml:space="preserve">Open laparotomy with digital palpation of the entire small bowel is recommended because 25 to 44% of these tumours are multifocal, with no evidence that finding and removing the additional subcentimetre primaries changes survival. The recommendation against purely laparoscopic resection rests entirely on that surrogate.</w:t>
            </w:r>
          </w:p>
          <w:p>
            <w:pPr>
              <w:pStyle w:val="ListParagraph"/>
              <w:numPr>
                <w:ilvl w:val="0"/>
                <w:numId w:val="2"/>
              </w:numPr>
              <w:spacing w:after="45"/>
            </w:pPr>
            <w:r>
              <w:rPr>
                <w:sz w:val="15"/>
                <w:szCs w:val="15"/>
              </w:rPr>
              <w:t xml:space="preserve">The contraindications to cytoreduction are given without derivation. Liver replacement above 50% to 70% is a twenty-point band presented as a threshold, and grade 3 histology and poor performance status are excluded on judgement rather than on any cited comparison of operated with non-operated patients in those groups.</w:t>
            </w:r>
          </w:p>
          <w:p>
            <w:pPr>
              <w:pStyle w:val="ListParagraph"/>
              <w:numPr>
                <w:ilvl w:val="0"/>
                <w:numId w:val="2"/>
              </w:numPr>
              <w:spacing w:after="45"/>
            </w:pPr>
            <w:r>
              <w:rPr>
                <w:sz w:val="15"/>
                <w:szCs w:val="15"/>
              </w:rPr>
              <w:t xml:space="preserve">Ten of the thirteen participants are surgeons, deliberating on whether surgery should be offered to more patients and at a lower threshold than before.</w:t>
            </w:r>
          </w:p>
          <w:p>
            <w:pPr>
              <w:pStyle w:val="ListParagraph"/>
              <w:numPr>
                <w:ilvl w:val="0"/>
                <w:numId w:val="2"/>
              </w:numPr>
              <w:spacing w:after="45"/>
            </w:pPr>
            <w:r>
              <w:rPr>
                <w:sz w:val="15"/>
                <w:szCs w:val="15"/>
              </w:rPr>
              <w:t xml:space="preserve">Prophylactic cholecystectomy at the index operation is recommended on gallstone rates of 52 to 63% during somatostatin analogue therapy, with no figure for how often those stones become symptomatic or need intervention and no estimate of the added morbidity of the extra procedure.</w:t>
            </w:r>
          </w:p>
          <w:p>
            <w:pPr>
              <w:pStyle w:val="ListParagraph"/>
              <w:numPr>
                <w:ilvl w:val="0"/>
                <w:numId w:val="2"/>
              </w:numPr>
              <w:spacing w:after="45"/>
            </w:pPr>
            <w:r>
              <w:rPr>
                <w:sz w:val="15"/>
                <w:szCs w:val="15"/>
              </w:rPr>
              <w:t xml:space="preserve">No conflict-of-interest statement of any kind appears in this paper, although its NANETS companion guideline published in the same issue of the same journal carries extensive industry disclosures for several of the same authors, including Bergsland, Strosberg and Pommier.</w:t>
            </w:r>
          </w:p>
          <w:p>
            <w:pPr>
              <w:pStyle w:val="ListParagraph"/>
              <w:numPr>
                <w:ilvl w:val="0"/>
                <w:numId w:val="2"/>
              </w:numPr>
              <w:spacing w:after="45"/>
            </w:pPr>
            <w:r>
              <w:rPr>
                <w:sz w:val="15"/>
                <w:szCs w:val="15"/>
              </w:rPr>
              <w:t xml:space="preserve">The conference was organised at the lead author's institution with acknowledgement of that institution's NIH SPORE grant in neuroendocrine tumours, and that institution's own series underpins the document's central recommendation.</w:t>
            </w:r>
          </w:p>
          <w:p>
            <w:pPr>
              <w:pStyle w:val="ListParagraph"/>
              <w:numPr>
                <w:ilvl w:val="0"/>
                <w:numId w:val="2"/>
              </w:numPr>
              <w:spacing w:after="45"/>
            </w:pPr>
            <w:r>
              <w:rPr>
                <w:sz w:val="15"/>
                <w:szCs w:val="15"/>
              </w:rPr>
              <w:t xml:space="preserve">A PubMed search found no linked editorial or comment, so the lowering of the debulking threshold from 90% to 70% entered surgical practice without published external appraisal.</w:t>
            </w:r>
          </w:p>
        </w:tc>
      </w:tr>
    </w:tbl>
    <w:p>
      <w:pPr>
        <w:spacing w:after="0" w:line="276"/>
      </w:pPr>
      <w:r>
        <w:rPr>
          <w:color w:val="5A6069"/>
          <w:sz w:val="14"/>
          <w:szCs w:val="14"/>
        </w:rPr>
        <w:t xml:space="preserve">Funding: No funding statement and no conflict-of-interest declaration appears. The acknowledgements thank the conference organisers, M. Sue O'Dorisio and the Iowa SPORE grant in neuroendocrine tumours (NIH P50 CA174521-01), and the leadership of NANETS for providing the impetus for the conference.</w:t>
      </w:r>
    </w:p>
    <w:p>
      <w:pPr>
        <w:keepNext/>
        <w:spacing w:after="50" w:before="260"/>
      </w:pPr>
      <w:r>
        <w:rPr>
          <w:rFonts w:ascii="Cambria" w:cs="Cambria" w:eastAsia="Cambria" w:hAnsi="Cambria"/>
          <w:b/>
          <w:bCs/>
          <w:color w:val="17365D"/>
          <w:sz w:val="20"/>
          <w:szCs w:val="20"/>
        </w:rPr>
        <w:t xml:space="preserve">NANETS 2020 surgical</w:t>
      </w:r>
      <w:r>
        <w:rPr>
          <w:b/>
          <w:bCs/>
          <w:color w:val="176A87"/>
          <w:sz w:val="15"/>
          <w:szCs w:val="15"/>
        </w:rPr>
        <w:t xml:space="preserve">   Guideline</w:t>
      </w:r>
      <w:r>
        <w:rPr>
          <w:color w:val="5A6069"/>
          <w:sz w:val="15"/>
          <w:szCs w:val="15"/>
        </w:rPr>
        <w:t xml:space="preserve">   PMID 31856076</w:t>
      </w:r>
    </w:p>
    <w:p>
      <w:pPr>
        <w:spacing w:after="50" w:line="276"/>
      </w:pPr>
      <w:r>
        <w:rPr>
          <w:color w:val="5A6069"/>
          <w:sz w:val="17"/>
          <w:szCs w:val="17"/>
        </w:rPr>
        <w:t xml:space="preserve">The North American Neuroendocrine Tumor Society Consensus Paper on the Surgical Management of Pancreatic Neuroendocrine Tumors</w:t>
      </w:r>
    </w:p>
    <w:p>
      <w:pPr>
        <w:spacing w:after="50"/>
      </w:pPr>
      <w:r>
        <w:rPr>
          <w:b/>
          <w:bCs/>
          <w:color w:val="176A87"/>
          <w:sz w:val="16"/>
          <w:szCs w:val="16"/>
        </w:rPr>
        <w:t xml:space="preserve">Population. </w:t>
      </w:r>
      <w:r>
        <w:rPr>
          <w:sz w:val="16"/>
          <w:szCs w:val="16"/>
        </w:rPr>
        <w:t xml:space="preserve">No patient cohort. A consensus conference in Iowa City on 19 and 20 July 2018 with 14 surgeons, two radiologists and a gastroenterologist answering 34 predefined questions; each participant researched two questions, and the supporting literature is almost entirely retrospective cohorts described as level 3.</w:t>
      </w:r>
    </w:p>
    <w:p>
      <w:pPr>
        <w:spacing w:after="70"/>
      </w:pPr>
      <w:r>
        <w:rPr>
          <w:b/>
          <w:bCs/>
          <w:color w:val="17365D"/>
          <w:sz w:val="16"/>
          <w:szCs w:val="16"/>
        </w:rPr>
        <w:t xml:space="preserve">Bottom line. </w:t>
      </w:r>
      <w:r>
        <w:rPr>
          <w:sz w:val="16"/>
          <w:szCs w:val="16"/>
        </w:rPr>
        <w:t xml:space="preserve">This is the NANETS surgical reference for pancreatic NET, and on the two questions that matter for liver metastases it reached no consensus: over half the panel favoured an individualised cytoreduction target above 70%, others held that only complete removal helps, and a few doubted that any benefit of cytoreduction has been shown, since every supporting study is retrospective. Its firmer positions are about the primary: observe non-functioning tumours under 1 cm, individualise 1 to 2 cm, resect all functional tumours, clear 11 to 15 nodes, and do not operate on poorly differentiated carcinoma. The specific thing to carry forward is that its own cited data do not support the claim it makes for the 70% threshold, since progression-free survival was 20.6 against 56.1 months for 70-90% versus over 90% debulking, a difference the recommendation text describes as little.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consensus was reached on hepatic cytoreduction. Over half the panel favoured individualised treatment with a target above 70%, others held that cytoreduction might only be effective if all lesions could be removed, and a few questioned whether any benefit of cytoreduction has been established at all because every supporting study is a retrospective series prone to selection bias. The panel calls this a controversial area where the level of evidence is weak (level 3).</w:t>
            </w:r>
          </w:p>
          <w:p>
            <w:pPr>
              <w:pStyle w:val="ListParagraph"/>
              <w:numPr>
                <w:ilvl w:val="0"/>
                <w:numId w:val="2"/>
              </w:numPr>
              <w:spacing w:after="45"/>
            </w:pPr>
            <w:r>
              <w:rPr>
                <w:sz w:val="15"/>
                <w:szCs w:val="15"/>
              </w:rPr>
              <w:t xml:space="preserve">No consensus was reached on resecting the primary tumour in the presence of unresectable metastases; the majority view that it may help in selected cases rests on retrospective data.</w:t>
            </w:r>
          </w:p>
          <w:p>
            <w:pPr>
              <w:pStyle w:val="ListParagraph"/>
              <w:numPr>
                <w:ilvl w:val="0"/>
                <w:numId w:val="2"/>
              </w:numPr>
              <w:spacing w:after="45"/>
            </w:pPr>
            <w:r>
              <w:rPr>
                <w:sz w:val="15"/>
                <w:szCs w:val="15"/>
              </w:rPr>
              <w:t xml:space="preserve">The panel states that limitations of the available data constrain the specificity of its recommendations on initial evaluation, extent of follow-up, selection for observation versus resection, and the extent of surgical resection.</w:t>
            </w:r>
          </w:p>
          <w:p>
            <w:pPr>
              <w:pStyle w:val="ListParagraph"/>
              <w:numPr>
                <w:ilvl w:val="0"/>
                <w:numId w:val="2"/>
              </w:numPr>
              <w:spacing w:after="45"/>
            </w:pPr>
            <w:r>
              <w:rPr>
                <w:sz w:val="15"/>
                <w:szCs w:val="15"/>
              </w:rPr>
              <w:t xml:space="preserve">The safety of combining major pancreatectomy with major liver debulking in one operation is not entirely clear from the literature, and the panel notes the theoretical risk of hepatic infection through a biliary-enteric anastomosis after pancreaticoduodenectomy.</w:t>
            </w:r>
          </w:p>
          <w:p>
            <w:pPr>
              <w:pStyle w:val="ListParagraph"/>
              <w:numPr>
                <w:ilvl w:val="0"/>
                <w:numId w:val="2"/>
              </w:numPr>
              <w:spacing w:after="45"/>
            </w:pPr>
            <w:r>
              <w:rPr>
                <w:sz w:val="15"/>
                <w:szCs w:val="15"/>
              </w:rPr>
              <w:t xml:space="preserve">Most published liver debulking series are dominated by small bowel primaries with only a minority of pancreatic primaries, and complication rates and simultaneous primary resections are inconsistently reported within them.</w:t>
            </w:r>
          </w:p>
          <w:p>
            <w:pPr>
              <w:pStyle w:val="ListParagraph"/>
              <w:numPr>
                <w:ilvl w:val="0"/>
                <w:numId w:val="2"/>
              </w:numPr>
              <w:spacing w:after="45"/>
            </w:pPr>
            <w:r>
              <w:rPr>
                <w:sz w:val="15"/>
                <w:szCs w:val="15"/>
              </w:rPr>
              <w:t xml:space="preserve">In the observation-versus-resection literature the panel warns that reporting and selection biases mean caution is needed before reading the results as a uniform endorsement of resection in small pancreatic NET.</w:t>
            </w:r>
          </w:p>
          <w:p>
            <w:pPr>
              <w:pStyle w:val="ListParagraph"/>
              <w:numPr>
                <w:ilvl w:val="0"/>
                <w:numId w:val="2"/>
              </w:numPr>
              <w:spacing w:after="45"/>
            </w:pPr>
            <w:r>
              <w:rPr>
                <w:sz w:val="15"/>
                <w:szCs w:val="15"/>
              </w:rPr>
              <w:t xml:space="preserve">The recommendations for well-differentiated grade 3 tumours and for the 1 to 2 cm size window are acknowledged as unsupported pending studies using the 2017 WHO classification.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recommendation contradicts the data printed immediately above it. The text asserts that studies have shown little difference in progression-free or overall survival once more than 70% cytoreduction is achieved, while the cited series gives progression-free survival of 20.6 months for 70% to 90% against 56.1 months for over 90%, a near-threefold difference. The statistical equivalence that was actually reported applies to overall survival between those two bands, not to progression-free survival.</w:t>
            </w:r>
          </w:p>
          <w:p>
            <w:pPr>
              <w:pStyle w:val="ListParagraph"/>
              <w:numPr>
                <w:ilvl w:val="0"/>
                <w:numId w:val="2"/>
              </w:numPr>
              <w:spacing w:after="45"/>
            </w:pPr>
            <w:r>
              <w:rPr>
                <w:sz w:val="15"/>
                <w:szCs w:val="15"/>
              </w:rPr>
              <w:t xml:space="preserve">The 70% threshold is imported from small bowel NET series into pancreatic NET, and the panel itself records that most of the debulking literature consists of small bowel primaries. The number that governs the operation is therefore borrowed from a different disease.</w:t>
            </w:r>
          </w:p>
          <w:p>
            <w:pPr>
              <w:pStyle w:val="ListParagraph"/>
              <w:numPr>
                <w:ilvl w:val="0"/>
                <w:numId w:val="2"/>
              </w:numPr>
              <w:spacing w:after="45"/>
            </w:pPr>
            <w:r>
              <w:rPr>
                <w:sz w:val="15"/>
                <w:szCs w:val="15"/>
              </w:rPr>
              <w:t xml:space="preserve">No consensus was reached on either of the two questions that decide a pancreatic NET liver operation, the cytoreduction threshold and resection of the primary in metastatic disease, and the document is nevertheless cited as support for the 70% threshold.</w:t>
            </w:r>
          </w:p>
          <w:p>
            <w:pPr>
              <w:pStyle w:val="ListParagraph"/>
              <w:numPr>
                <w:ilvl w:val="0"/>
                <w:numId w:val="2"/>
              </w:numPr>
              <w:spacing w:after="45"/>
            </w:pPr>
            <w:r>
              <w:rPr>
                <w:sz w:val="15"/>
                <w:szCs w:val="15"/>
              </w:rPr>
              <w:t xml:space="preserve">There is no systematic search and no formal grading system. Each participant was assigned two questions to research and the statements combine that personal review with expert opinion, with 'level 3' appearing as a narrative descriptor rather than a grade attached to each recommendation.</w:t>
            </w:r>
          </w:p>
          <w:p>
            <w:pPr>
              <w:pStyle w:val="ListParagraph"/>
              <w:numPr>
                <w:ilvl w:val="0"/>
                <w:numId w:val="2"/>
              </w:numPr>
              <w:spacing w:after="45"/>
            </w:pPr>
            <w:r>
              <w:rPr>
                <w:sz w:val="15"/>
                <w:szCs w:val="15"/>
              </w:rPr>
              <w:t xml:space="preserve">Fourteen of the 17 participants are surgeons, deliberating on when surgery should be offered.</w:t>
            </w:r>
          </w:p>
          <w:p>
            <w:pPr>
              <w:pStyle w:val="ListParagraph"/>
              <w:numPr>
                <w:ilvl w:val="0"/>
                <w:numId w:val="2"/>
              </w:numPr>
              <w:spacing w:after="45"/>
            </w:pPr>
            <w:r>
              <w:rPr>
                <w:sz w:val="15"/>
                <w:szCs w:val="15"/>
              </w:rPr>
              <w:t xml:space="preserve">The argument that extrahepatic disease should not contraindicate resection, because it is rarely the cause of death, is a prognostic observation from retrospective series with limited follow-up, and it is used to widen operative indications rather than as a statement about what kills these patients over decades.</w:t>
            </w:r>
          </w:p>
          <w:p>
            <w:pPr>
              <w:pStyle w:val="ListParagraph"/>
              <w:numPr>
                <w:ilvl w:val="0"/>
                <w:numId w:val="2"/>
              </w:numPr>
              <w:spacing w:after="45"/>
            </w:pPr>
            <w:r>
              <w:rPr>
                <w:sz w:val="15"/>
                <w:szCs w:val="15"/>
              </w:rPr>
              <w:t xml:space="preserve">A nodal yield of 11 to 15 lymph nodes is set as a staging standard with no evidence cited that achieving it changes management or outcome in pancreatic NET.</w:t>
            </w:r>
          </w:p>
          <w:p>
            <w:pPr>
              <w:pStyle w:val="ListParagraph"/>
              <w:numPr>
                <w:ilvl w:val="0"/>
                <w:numId w:val="2"/>
              </w:numPr>
              <w:spacing w:after="45"/>
            </w:pPr>
            <w:r>
              <w:rPr>
                <w:sz w:val="15"/>
                <w:szCs w:val="15"/>
              </w:rPr>
              <w:t xml:space="preserve">The suggestion that resecting the primary may improve the response to PRRT is explicitly speculative and is nonetheless listed among the reasons to operate.</w:t>
            </w:r>
          </w:p>
          <w:p>
            <w:pPr>
              <w:pStyle w:val="ListParagraph"/>
              <w:numPr>
                <w:ilvl w:val="0"/>
                <w:numId w:val="2"/>
              </w:numPr>
              <w:spacing w:after="45"/>
            </w:pPr>
            <w:r>
              <w:rPr>
                <w:sz w:val="15"/>
                <w:szCs w:val="15"/>
              </w:rPr>
              <w:t xml:space="preserve">Disclosures bear directly on the technical statements. One panellist reports research funding from Intuitive Surgical and travel expenses for a robotics symposium in a document that addresses operative approach, and others report advisory or research relationships with Ipsen, Novartis, Advanced Accelerator Applications, Curium and Lexicon while the panel votes on statements about PRRT and somatostatin analogues.</w:t>
            </w:r>
          </w:p>
          <w:p>
            <w:pPr>
              <w:pStyle w:val="ListParagraph"/>
              <w:numPr>
                <w:ilvl w:val="0"/>
                <w:numId w:val="2"/>
              </w:numPr>
              <w:spacing w:after="45"/>
            </w:pPr>
            <w:r>
              <w:rPr>
                <w:sz w:val="15"/>
                <w:szCs w:val="15"/>
              </w:rPr>
              <w:t xml:space="preserve">No funding statement for the conference appears anywhere in the paper.</w:t>
            </w:r>
          </w:p>
          <w:p>
            <w:pPr>
              <w:pStyle w:val="ListParagraph"/>
              <w:numPr>
                <w:ilvl w:val="0"/>
                <w:numId w:val="2"/>
              </w:numPr>
              <w:spacing w:after="45"/>
            </w:pPr>
            <w:r>
              <w:rPr>
                <w:sz w:val="15"/>
                <w:szCs w:val="15"/>
              </w:rPr>
              <w:t xml:space="preserve">A PubMed search found no linked editorial or comment.</w:t>
            </w:r>
          </w:p>
        </w:tc>
      </w:tr>
    </w:tbl>
    <w:p>
      <w:pPr>
        <w:spacing w:after="0" w:line="276"/>
      </w:pPr>
      <w:r>
        <w:rPr>
          <w:color w:val="5A6069"/>
          <w:sz w:val="14"/>
          <w:szCs w:val="14"/>
        </w:rPr>
        <w:t xml:space="preserve">Funding: No funding statement appears for the conference or the paper. Declared interests include a research grant from Mauna Kea Technologies (J.F.T.), research funding from Intuitive Surgical and robotics symposium travel (H.J.Z.), advisory board and consultancy for Curium (T.A.H.), research funds from Novartis (M.K.K.), research funding from Ipsen and Advanced Accelerator Applications (Y.M.), research funding from Ipsen and Thermo Fisher with advisory boards for Ipsen, Curium, Novartis and Lexicon (T.R.H.), consultancy and advisory roles with Crinetics, Ipsen, Novartis and Lexicon plus UpToDate royalties and Merck stock (J.A.C.), and consultancy for Novartis, Lexicon and Advanced Accelerator Applications (R.F.P.); the other authors declare none.</w:t>
      </w:r>
    </w:p>
    <w:p>
      <w:pPr>
        <w:keepNext/>
        <w:spacing w:after="50" w:before="260"/>
      </w:pPr>
      <w:r>
        <w:rPr>
          <w:rFonts w:ascii="Cambria" w:cs="Cambria" w:eastAsia="Cambria" w:hAnsi="Cambria"/>
          <w:b/>
          <w:bCs/>
          <w:color w:val="17365D"/>
          <w:sz w:val="20"/>
          <w:szCs w:val="20"/>
        </w:rPr>
        <w:t xml:space="preserve">NANETS/SNMMI PRRT</w:t>
      </w:r>
      <w:r>
        <w:rPr>
          <w:b/>
          <w:bCs/>
          <w:color w:val="176A87"/>
          <w:sz w:val="15"/>
          <w:szCs w:val="15"/>
        </w:rPr>
        <w:t xml:space="preserve">   Consensus statement</w:t>
      </w:r>
      <w:r>
        <w:rPr>
          <w:color w:val="5A6069"/>
          <w:sz w:val="15"/>
          <w:szCs w:val="15"/>
        </w:rPr>
        <w:t xml:space="preserve">   PMID 32015164</w:t>
      </w:r>
    </w:p>
    <w:p>
      <w:pPr>
        <w:spacing w:after="50" w:line="276"/>
      </w:pPr>
      <w:r>
        <w:rPr>
          <w:color w:val="5A6069"/>
          <w:sz w:val="17"/>
          <w:szCs w:val="17"/>
        </w:rPr>
        <w:t xml:space="preserve">NANETS/SNMMI Consensus Statement on Patient Selection and Appropriate Use of 177Lu-DOTATATE Peptide Receptor Radionuclide Therapy</w:t>
      </w:r>
    </w:p>
    <w:p>
      <w:pPr>
        <w:spacing w:after="50"/>
      </w:pPr>
      <w:r>
        <w:rPr>
          <w:b/>
          <w:bCs/>
          <w:color w:val="176A87"/>
          <w:sz w:val="16"/>
          <w:szCs w:val="16"/>
        </w:rPr>
        <w:t xml:space="preserve">Population. </w:t>
      </w:r>
      <w:r>
        <w:rPr>
          <w:sz w:val="16"/>
          <w:szCs w:val="16"/>
        </w:rPr>
        <w:t xml:space="preserve">No patient cohort. A 14-member multidisciplinary NANETS/SNMMI workgroup, including one patient advocate, scored clinical scenarios for appropriateness, informed by a PRISMA literature review that screened 1195 articles and included 153.</w:t>
      </w:r>
    </w:p>
    <w:p>
      <w:pPr>
        <w:spacing w:after="70"/>
      </w:pPr>
      <w:r>
        <w:rPr>
          <w:b/>
          <w:bCs/>
          <w:color w:val="17365D"/>
          <w:sz w:val="16"/>
          <w:szCs w:val="16"/>
        </w:rPr>
        <w:t xml:space="preserve">Bottom line. </w:t>
      </w:r>
      <w:r>
        <w:rPr>
          <w:sz w:val="16"/>
          <w:szCs w:val="16"/>
        </w:rPr>
        <w:t xml:space="preserve">This is the document that defines who should receive 177Lu-DOTATATE in North America: somatostatin receptor uptake exceeding liver as an absolute prerequisite, a score of 9 for midgut NET progressing on a somatostatin analogue, 8 for pancreatic and unknown primaries, 7 and 6 for bronchial carcinoid, and a substantial relaxation of the renal threshold. Only one randomised trial sits behind it, and the survival figure it quotes for that trial, a preliminary hazard ratio of 0.4, was later shown to be non-significant. The scores themselves come from an expert workgroup with no stated voting method, agreement statistic or evidence grading, the sequencing of PRRT against everolimus, chemotherapy and liver-directed therapy is conceded to be non-evidence-based, and the two statements that most affect a surgeon, that debulking before PRRT may help and that prior liver-directed therapy may raise hepatotoxicity, each rest on a single retrospective series.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Only one randomised trial, NETTER-1 in midgut NET, underpins the document; every other recommendation rests on retrospective and registry data.</w:t>
            </w:r>
          </w:p>
          <w:p>
            <w:pPr>
              <w:pStyle w:val="ListParagraph"/>
              <w:numPr>
                <w:ilvl w:val="0"/>
                <w:numId w:val="2"/>
              </w:numPr>
              <w:spacing w:after="45"/>
            </w:pPr>
            <w:r>
              <w:rPr>
                <w:sz w:val="15"/>
                <w:szCs w:val="15"/>
              </w:rPr>
              <w:t xml:space="preserve">Overall survival data were preliminary at the time of writing and the final analysis was pending, so the survival case for PRRT was unproven even in the midgut setting that scored 9.</w:t>
            </w:r>
          </w:p>
          <w:p>
            <w:pPr>
              <w:pStyle w:val="ListParagraph"/>
              <w:numPr>
                <w:ilvl w:val="0"/>
                <w:numId w:val="2"/>
              </w:numPr>
              <w:spacing w:after="45"/>
            </w:pPr>
            <w:r>
              <w:rPr>
                <w:sz w:val="15"/>
                <w:szCs w:val="15"/>
              </w:rPr>
              <w:t xml:space="preserve">The authors state plainly that selection and sequencing of PRRT against everolimus, sunitinib, capecitabine/temozolomide and liver-directed therapy are not evidence-based and must rest on cross-trial comparison.</w:t>
            </w:r>
          </w:p>
          <w:p>
            <w:pPr>
              <w:pStyle w:val="ListParagraph"/>
              <w:numPr>
                <w:ilvl w:val="0"/>
                <w:numId w:val="2"/>
              </w:numPr>
              <w:spacing w:after="45"/>
            </w:pPr>
            <w:r>
              <w:rPr>
                <w:sz w:val="15"/>
                <w:szCs w:val="15"/>
              </w:rPr>
              <w:t xml:space="preserve">Evidence in grade 3 disease is explicitly described as limited, resting on a single series whose outcomes collapse above Ki-67 55%.</w:t>
            </w:r>
          </w:p>
          <w:p>
            <w:pPr>
              <w:pStyle w:val="ListParagraph"/>
              <w:numPr>
                <w:ilvl w:val="0"/>
                <w:numId w:val="2"/>
              </w:numPr>
              <w:spacing w:after="45"/>
            </w:pPr>
            <w:r>
              <w:rPr>
                <w:sz w:val="15"/>
                <w:szCs w:val="15"/>
              </w:rPr>
              <w:t xml:space="preserve">The effect of prior liver-directed therapy on PRRT hepatotoxicity, and the value of debulking before PRRT, are both acknowledged to rest on limited retrospective data.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appropriateness scores have no stated method behind them. The 1 to 9 scale is borrowed from appropriate-use-criteria methodology without the apparatus: no voting rounds, no panel size per scenario, no median or dispersion, no definition of agreement or disagreement, and no indication of whether scores were reached by discussion or by anonymous ballot. A score of 8 for pancreatic NET is therefore an assertion in the form of a number.</w:t>
            </w:r>
          </w:p>
          <w:p>
            <w:pPr>
              <w:pStyle w:val="ListParagraph"/>
              <w:numPr>
                <w:ilvl w:val="0"/>
                <w:numId w:val="2"/>
              </w:numPr>
              <w:spacing w:after="45"/>
            </w:pPr>
            <w:r>
              <w:rPr>
                <w:sz w:val="15"/>
                <w:szCs w:val="15"/>
              </w:rPr>
              <w:t xml:space="preserve">The PRISMA review that supports the document is reported as a count. One thousand one hundred and ninety-five articles screened and 153 included, with no risk-of-bias assessment, no evidence tables and no grading, so a single randomised trial and a run of retrospective series feed the same scores on the same footing.</w:t>
            </w:r>
          </w:p>
          <w:p>
            <w:pPr>
              <w:pStyle w:val="ListParagraph"/>
              <w:numPr>
                <w:ilvl w:val="0"/>
                <w:numId w:val="2"/>
              </w:numPr>
              <w:spacing w:after="45"/>
            </w:pPr>
            <w:r>
              <w:rPr>
                <w:sz w:val="15"/>
                <w:szCs w:val="15"/>
              </w:rPr>
              <w:t xml:space="preserve">The document contradicts itself on a score it is meant to deliver: use of 177Lu-DOTATATE in place of 131I-iobenguane in MIBG-positive paraganglioma is scored 6 in the text and 5 in Table 1, which straddles the boundary between may be appropriate and rarely appropriate.</w:t>
            </w:r>
          </w:p>
          <w:p>
            <w:pPr>
              <w:pStyle w:val="ListParagraph"/>
              <w:numPr>
                <w:ilvl w:val="0"/>
                <w:numId w:val="2"/>
              </w:numPr>
              <w:spacing w:after="45"/>
            </w:pPr>
            <w:r>
              <w:rPr>
                <w:sz w:val="15"/>
                <w:szCs w:val="15"/>
              </w:rPr>
              <w:t xml:space="preserve">The survival claim quoted for midgut disease has since been overturned. The preliminary overall survival hazard ratio of 0.4 with P=0.004 cited here fell far short of NETTER-1's own prespecified interim boundary, and the final analysis published in 2021 found no significant survival difference (HR 0.84, p=0.30). The score of 9 rests on progression-free survival alone.</w:t>
            </w:r>
          </w:p>
          <w:p>
            <w:pPr>
              <w:pStyle w:val="ListParagraph"/>
              <w:numPr>
                <w:ilvl w:val="0"/>
                <w:numId w:val="2"/>
              </w:numPr>
              <w:spacing w:after="45"/>
            </w:pPr>
            <w:r>
              <w:rPr>
                <w:sz w:val="15"/>
                <w:szCs w:val="15"/>
              </w:rPr>
              <w:t xml:space="preserve">The renal eligibility is widened substantially with little supporting data. Removing GFR under 50 as a contraindication, allowing GFR under 30 in exceptional circumstances and permitting treatment of dialysis patients with dose reduction and dosimetry are consequential statements, and no renal outcome series is cited for the dialysis recommendation.</w:t>
            </w:r>
          </w:p>
          <w:p>
            <w:pPr>
              <w:pStyle w:val="ListParagraph"/>
              <w:numPr>
                <w:ilvl w:val="0"/>
                <w:numId w:val="2"/>
              </w:numPr>
              <w:spacing w:after="45"/>
            </w:pPr>
            <w:r>
              <w:rPr>
                <w:sz w:val="15"/>
                <w:szCs w:val="15"/>
              </w:rPr>
              <w:t xml:space="preserve">The two statements that bear directly on surgical decisions point in opposite directions and each rests on one retrospective series: debulking before PRRT may improve response and progression-free survival, while prior liver-directed therapy may raise PRRT hepatotoxicity. A surgeon is left to weigh two single-series observations against each other.</w:t>
            </w:r>
          </w:p>
          <w:p>
            <w:pPr>
              <w:pStyle w:val="ListParagraph"/>
              <w:numPr>
                <w:ilvl w:val="0"/>
                <w:numId w:val="2"/>
              </w:numPr>
              <w:spacing w:after="45"/>
            </w:pPr>
            <w:r>
              <w:rPr>
                <w:sz w:val="15"/>
                <w:szCs w:val="15"/>
              </w:rPr>
              <w:t xml:space="preserve">The choice between PRRT and hepatic arterial embolisation in liver-dominant disease is handed over as a cross-trial comparison between an approximately 50% radiographic response rate from embolisation meta-analyses and the 18% response rate in NETTER-1, measured by different criteria in different populations with different endpoints.</w:t>
            </w:r>
          </w:p>
          <w:p>
            <w:pPr>
              <w:pStyle w:val="ListParagraph"/>
              <w:numPr>
                <w:ilvl w:val="0"/>
                <w:numId w:val="2"/>
              </w:numPr>
              <w:spacing w:after="45"/>
            </w:pPr>
            <w:r>
              <w:rPr>
                <w:sz w:val="15"/>
                <w:szCs w:val="15"/>
              </w:rPr>
              <w:t xml:space="preserve">Scenarios are scored by primary site and not by hepatic tumour burden, although the document's own reference list includes a NETTER-1 analysis of baseline liver tumour burden. For a patient whose problem is the liver, the appropriateness framework has no axis.</w:t>
            </w:r>
          </w:p>
          <w:p>
            <w:pPr>
              <w:pStyle w:val="ListParagraph"/>
              <w:numPr>
                <w:ilvl w:val="0"/>
                <w:numId w:val="2"/>
              </w:numPr>
              <w:spacing w:after="45"/>
            </w:pPr>
            <w:r>
              <w:rPr>
                <w:sz w:val="15"/>
                <w:szCs w:val="15"/>
              </w:rPr>
              <w:t xml:space="preserve">No ceiling is set for grade 3 disease, although the series the document cites shows median progression-free survival falling to 4 months and overall survival to 7 months above Ki-67 55%.</w:t>
            </w:r>
          </w:p>
          <w:p>
            <w:pPr>
              <w:pStyle w:val="ListParagraph"/>
              <w:numPr>
                <w:ilvl w:val="0"/>
                <w:numId w:val="2"/>
              </w:numPr>
              <w:spacing w:after="45"/>
            </w:pPr>
            <w:r>
              <w:rPr>
                <w:sz w:val="15"/>
                <w:szCs w:val="15"/>
              </w:rPr>
              <w:t xml:space="preserve">No funding statement and no conflict-of-interest declaration appears anywhere in the document, which is a joint society statement on the appropriate use of a single commercial product whose authors include many of the investigators on that product's registration trial.</w:t>
            </w:r>
          </w:p>
          <w:p>
            <w:pPr>
              <w:pStyle w:val="ListParagraph"/>
              <w:numPr>
                <w:ilvl w:val="0"/>
                <w:numId w:val="2"/>
              </w:numPr>
              <w:spacing w:after="45"/>
            </w:pPr>
            <w:r>
              <w:rPr>
                <w:sz w:val="15"/>
                <w:szCs w:val="15"/>
              </w:rPr>
              <w:t xml:space="preserve">A PubMed search found no linked editorial or comment, so the appropriateness scores entered practice without published external appraisal.</w:t>
            </w:r>
          </w:p>
        </w:tc>
      </w:tr>
    </w:tbl>
    <w:p>
      <w:pPr>
        <w:keepNext/>
        <w:spacing w:after="50" w:before="260"/>
      </w:pPr>
      <w:r>
        <w:rPr>
          <w:rFonts w:ascii="Cambria" w:cs="Cambria" w:eastAsia="Cambria" w:hAnsi="Cambria"/>
          <w:b/>
          <w:bCs/>
          <w:color w:val="17365D"/>
          <w:sz w:val="20"/>
          <w:szCs w:val="20"/>
        </w:rPr>
        <w:t xml:space="preserve">NETTER-1</w:t>
      </w:r>
      <w:r>
        <w:rPr>
          <w:b/>
          <w:bCs/>
          <w:color w:val="176A87"/>
          <w:sz w:val="15"/>
          <w:szCs w:val="15"/>
        </w:rPr>
        <w:t xml:space="preserve">   Randomised trial</w:t>
      </w:r>
      <w:r>
        <w:rPr>
          <w:color w:val="5A6069"/>
          <w:sz w:val="15"/>
          <w:szCs w:val="15"/>
        </w:rPr>
        <w:t xml:space="preserve">   PMID 28076709</w:t>
      </w:r>
    </w:p>
    <w:p>
      <w:pPr>
        <w:spacing w:after="50" w:line="276"/>
      </w:pPr>
      <w:r>
        <w:rPr>
          <w:color w:val="5A6069"/>
          <w:sz w:val="17"/>
          <w:szCs w:val="17"/>
        </w:rPr>
        <w:t xml:space="preserve">Phase 3 Trial of 177Lu-Dotatate for Midgut Neuroendocrine Tumors</w:t>
      </w:r>
    </w:p>
    <w:p>
      <w:pPr>
        <w:spacing w:after="50"/>
      </w:pPr>
      <w:r>
        <w:rPr>
          <w:b/>
          <w:bCs/>
          <w:color w:val="176A87"/>
          <w:sz w:val="16"/>
          <w:szCs w:val="16"/>
        </w:rPr>
        <w:t xml:space="preserve">Population. </w:t>
      </w:r>
      <w:r>
        <w:rPr>
          <w:sz w:val="16"/>
          <w:szCs w:val="16"/>
        </w:rPr>
        <w:t xml:space="preserve">229 patients with well-differentiated, somatostatin-receptor-positive, inoperable midgut neuroendocrine tumours progressing on octreotide LAR, randomised 1:1 at 41 centres in 8 countries between September 2012 and January 2016: 116 to 177Lu-Dotatate plus octreotide LAR 30 mg and 113 to octreotide LAR 60 mg. 111 patients received at least one dose of 177Lu-Dotatate and 77% received all four; response was evaluable in 101 and 100.</w:t>
      </w:r>
    </w:p>
    <w:p>
      <w:pPr>
        <w:spacing w:after="70"/>
      </w:pPr>
      <w:r>
        <w:rPr>
          <w:b/>
          <w:bCs/>
          <w:color w:val="17365D"/>
          <w:sz w:val="16"/>
          <w:szCs w:val="16"/>
        </w:rPr>
        <w:t xml:space="preserve">Bottom line. </w:t>
      </w:r>
      <w:r>
        <w:rPr>
          <w:sz w:val="16"/>
          <w:szCs w:val="16"/>
        </w:rPr>
        <w:t xml:space="preserve">NETTER-1 is the trial that made peptide receptor radionuclide therapy standard second-line treatment for midgut neuroendocrine tumours, with a progression-free survival hazard ratio of 0.21 and an 18% response rate against 3%, by blinded central review. What it establishes is superiority over octreotide LAR 60 mg, a dose escalation with no antitumour pedigree, in a narrowly selected population: midgut primary, Ki-67 at or below 20%, Krenning grade 2 to 4 uptake in every target lesion, and documented progression on standard-dose somatostatin analogue. It establishes nothing about survival, since the interim p value of 0.004 fell far short of the prespecified 0.000085 boundary and the final analysis five years later was negative, and nothing about the late renal and myeloid harms, which cannot be seen at a median follow-up of 14 months.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in passing in the discussion.</w:t>
            </w:r>
          </w:p>
          <w:p>
            <w:pPr>
              <w:pStyle w:val="ListParagraph"/>
              <w:numPr>
                <w:ilvl w:val="0"/>
                <w:numId w:val="2"/>
              </w:numPr>
              <w:spacing w:after="45"/>
            </w:pPr>
            <w:r>
              <w:rPr>
                <w:sz w:val="15"/>
                <w:szCs w:val="15"/>
              </w:rPr>
              <w:t xml:space="preserve">The trial had not reached the point at which median overall survival could be calculated, so the interim analysis only suggests longer survival with 177Lu-Dotatate; the final analysis was still to come, at 158 deaths or 5 years after the last randomisation, whichever came first.</w:t>
            </w:r>
          </w:p>
          <w:p>
            <w:pPr>
              <w:pStyle w:val="ListParagraph"/>
              <w:numPr>
                <w:ilvl w:val="0"/>
                <w:numId w:val="2"/>
              </w:numPr>
              <w:spacing w:after="45"/>
            </w:pPr>
            <w:r>
              <w:rPr>
                <w:sz w:val="15"/>
                <w:szCs w:val="15"/>
              </w:rPr>
              <w:t xml:space="preserve">The claim of no renal toxic effects is bounded explicitly by the trial time frame, a median follow-up of 14 months, and depends on concurrent administration of a renal-protective amino acid infusion.</w:t>
            </w:r>
          </w:p>
          <w:p>
            <w:pPr>
              <w:pStyle w:val="ListParagraph"/>
              <w:numPr>
                <w:ilvl w:val="0"/>
                <w:numId w:val="2"/>
              </w:numPr>
              <w:spacing w:after="45"/>
            </w:pPr>
            <w:r>
              <w:rPr>
                <w:sz w:val="15"/>
                <w:szCs w:val="15"/>
              </w:rPr>
              <w:t xml:space="preserve">Myelodysplastic syndrome is identified by the authors as an event of particular interest because a long-term risk of myelodysplasia or acute leukaemia of about 2% has been reported previously, and one case had already occurred before the data cutoff, in a patient with pre-existing monoclonal gammopathy.</w:t>
            </w:r>
          </w:p>
          <w:p>
            <w:pPr>
              <w:pStyle w:val="ListParagraph"/>
              <w:numPr>
                <w:ilvl w:val="0"/>
                <w:numId w:val="2"/>
              </w:numPr>
              <w:spacing w:after="45"/>
            </w:pPr>
            <w:r>
              <w:rPr>
                <w:sz w:val="15"/>
                <w:szCs w:val="15"/>
              </w:rPr>
              <w:t xml:space="preserve">Most of the nausea and vomiting is attributed to the concurrent amino acid infusion rather than to the radioligand, which the authors note resolved once the infusion finished.</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comparator is a dose escalation nobody expected to work. Octreotide LAR 60 mg every 4 weeks has never been shown to control tumour growth, and the control arm's 8.4-month median progression-free survival is the yardstick against which a 79% risk reduction is measured. Everolimus, chemotherapy and liver-directed therapy, the treatments actually competing for these patients, are not in the trial.</w:t>
            </w:r>
          </w:p>
          <w:p>
            <w:pPr>
              <w:pStyle w:val="ListParagraph"/>
              <w:numPr>
                <w:ilvl w:val="0"/>
                <w:numId w:val="2"/>
              </w:numPr>
              <w:spacing w:after="45"/>
            </w:pPr>
            <w:r>
              <w:rPr>
                <w:sz w:val="15"/>
                <w:szCs w:val="15"/>
              </w:rPr>
              <w:t xml:space="preserve">The trial is open-label and the two arms are visibly different, one being a four-cycle intravenous radioligand with amino acid infusion and the other an intramuscular depot. Central blinded radiology protects the progression reading but not the decision to withdraw, the use of rescue octreotide, adverse event reporting or the choice of subsequent therapy, all of which were made by unblinded investigators.</w:t>
            </w:r>
          </w:p>
          <w:p>
            <w:pPr>
              <w:pStyle w:val="ListParagraph"/>
              <w:numPr>
                <w:ilvl w:val="0"/>
                <w:numId w:val="2"/>
              </w:numPr>
              <w:spacing w:after="45"/>
            </w:pPr>
            <w:r>
              <w:rPr>
                <w:sz w:val="15"/>
                <w:szCs w:val="15"/>
              </w:rPr>
              <w:t xml:space="preserve">The interim survival result is presented as encouraging against a threshold it did not come close to meeting. Fourteen deaths against 26 give a hazard ratio of 0.40 at p=0.004, while the prespecified O'Brien-Fleming boundary at that analysis was 0.000085. The discussion's statement that the results suggest longer overall survival travelled into guidelines and practice well before the final analysis, which was negative.</w:t>
            </w:r>
          </w:p>
          <w:p>
            <w:pPr>
              <w:pStyle w:val="ListParagraph"/>
              <w:numPr>
                <w:ilvl w:val="0"/>
                <w:numId w:val="2"/>
              </w:numPr>
              <w:spacing w:after="45"/>
            </w:pPr>
            <w:r>
              <w:rPr>
                <w:sz w:val="15"/>
                <w:szCs w:val="15"/>
              </w:rPr>
              <w:t xml:space="preserve">The response analysis quietly loses 27 patients. Objective response is reported on 101 and 100 evaluable patients against 116 and 113 randomised, with no account of who was excluded or why, and the 18% rate comprises one complete and 17 partial responses.</w:t>
            </w:r>
          </w:p>
          <w:p>
            <w:pPr>
              <w:pStyle w:val="ListParagraph"/>
              <w:numPr>
                <w:ilvl w:val="0"/>
                <w:numId w:val="2"/>
              </w:numPr>
              <w:spacing w:after="45"/>
            </w:pPr>
            <w:r>
              <w:rPr>
                <w:sz w:val="15"/>
                <w:szCs w:val="15"/>
              </w:rPr>
              <w:t xml:space="preserve">Nearly a quarter of the treated patients did not complete the regimen. Of 116 randomised to 177Lu-Dotatate, 111 received at least one dose, 77% received all four cycles and 8 required dose reduction, so the progression-free survival benefit is attached to a variable exposure that is never analysed by cycles received or administered activity.</w:t>
            </w:r>
          </w:p>
          <w:p>
            <w:pPr>
              <w:pStyle w:val="ListParagraph"/>
              <w:numPr>
                <w:ilvl w:val="0"/>
                <w:numId w:val="2"/>
              </w:numPr>
              <w:spacing w:after="45"/>
            </w:pPr>
            <w:r>
              <w:rPr>
                <w:sz w:val="15"/>
                <w:szCs w:val="15"/>
              </w:rPr>
              <w:t xml:space="preserve">Renal injury and secondary myeloid malignancy are the two harms that decide whether PRRT is worth giving, and both are late. A median follow-up of 14 months cannot see them. The supporting creatinine data sit in supplementary figures, and the single myelodysplastic syndrome case is attributed partly to a pre-existing monoclonal gammopathy.</w:t>
            </w:r>
          </w:p>
          <w:p>
            <w:pPr>
              <w:pStyle w:val="ListParagraph"/>
              <w:numPr>
                <w:ilvl w:val="0"/>
                <w:numId w:val="2"/>
              </w:numPr>
              <w:spacing w:after="45"/>
            </w:pPr>
            <w:r>
              <w:rPr>
                <w:sz w:val="15"/>
                <w:szCs w:val="15"/>
              </w:rPr>
              <w:t xml:space="preserve">Eligibility required Krenning grade 2 to 4 uptake in every target lesion on planar scintigraphy with central confirmation, so any patient with one receptor-poor metastasis was excluded. Receptor heterogeneity is the main reason PRRT fails in practice, and the trial selected it out.</w:t>
            </w:r>
          </w:p>
          <w:p>
            <w:pPr>
              <w:pStyle w:val="ListParagraph"/>
              <w:numPr>
                <w:ilvl w:val="0"/>
                <w:numId w:val="2"/>
              </w:numPr>
              <w:spacing w:after="45"/>
            </w:pPr>
            <w:r>
              <w:rPr>
                <w:sz w:val="15"/>
                <w:szCs w:val="15"/>
              </w:rPr>
              <w:t xml:space="preserve">The trial excludes everything that would place PRRT in a treatment sequence: no prior PRRT at all, and no surgery, liver-directed transarterial therapy or chemotherapy within 12 weeks. Nothing here says whether PRRT works after embolisation, or whether embolisation works after PRRT.</w:t>
            </w:r>
          </w:p>
          <w:p>
            <w:pPr>
              <w:pStyle w:val="ListParagraph"/>
              <w:numPr>
                <w:ilvl w:val="0"/>
                <w:numId w:val="2"/>
              </w:numPr>
              <w:spacing w:after="45"/>
            </w:pPr>
            <w:r>
              <w:rPr>
                <w:sz w:val="15"/>
                <w:szCs w:val="15"/>
              </w:rPr>
              <w:t xml:space="preserve">Eighty-three to 84% of patients had liver metastases and the primary report contains no analysis by hepatic tumour burden, the variable that most determines whether a liver-directed option competes with PRRT in this population. That analysis appeared only in later post hoc publications.</w:t>
            </w:r>
          </w:p>
          <w:p>
            <w:pPr>
              <w:pStyle w:val="ListParagraph"/>
              <w:numPr>
                <w:ilvl w:val="0"/>
                <w:numId w:val="2"/>
              </w:numPr>
              <w:spacing w:after="45"/>
            </w:pPr>
            <w:r>
              <w:rPr>
                <w:sz w:val="15"/>
                <w:szCs w:val="15"/>
              </w:rPr>
              <w:t xml:space="preserve">Patients in both arms could receive subcutaneous octreotide rescue injections for carcinoid symptoms, and the amount used is not reported. The control arm was on twice the depot dose, so any symptom comparison between the arms is confounded by both the rescue medication and the depot dose.</w:t>
            </w:r>
          </w:p>
          <w:p>
            <w:pPr>
              <w:pStyle w:val="ListParagraph"/>
              <w:numPr>
                <w:ilvl w:val="0"/>
                <w:numId w:val="2"/>
              </w:numPr>
              <w:spacing w:after="45"/>
            </w:pPr>
            <w:r>
              <w:rPr>
                <w:sz w:val="15"/>
                <w:szCs w:val="15"/>
              </w:rPr>
              <w:t xml:space="preserve">Enrolment averaged under two patients per centre per year across 41 centres over three and a half years, so almost every site contributed a handful of patients to a trial whose procedure requires nuclear medicine infrastructure.</w:t>
            </w:r>
          </w:p>
          <w:p>
            <w:pPr>
              <w:pStyle w:val="ListParagraph"/>
              <w:numPr>
                <w:ilvl w:val="0"/>
                <w:numId w:val="2"/>
              </w:numPr>
              <w:spacing w:after="45"/>
            </w:pPr>
            <w:r>
              <w:rPr>
                <w:sz w:val="15"/>
                <w:szCs w:val="15"/>
              </w:rPr>
              <w:t xml:space="preserve">The sponsor designed, funded, monitored and analysed the trial. Advanced Accelerator Applications designed it in collaboration with the last two authors, contract research organisations collected, compiled, maintained and analysed the data, a sponsor-funded medical writer assisted with the first draft, and two co-authors are affiliated to the company in France and the USA.</w:t>
            </w:r>
          </w:p>
          <w:p>
            <w:pPr>
              <w:pStyle w:val="ListParagraph"/>
              <w:numPr>
                <w:ilvl w:val="0"/>
                <w:numId w:val="2"/>
              </w:numPr>
              <w:spacing w:after="45"/>
            </w:pPr>
            <w:r>
              <w:rPr>
                <w:sz w:val="15"/>
                <w:szCs w:val="15"/>
              </w:rPr>
              <w:t xml:space="preserve">Four correspondence items are linked to this paper in PubMed, three letters and the authors' reply (PMIDs 28382815, 28379809, 28382816 and 28379808). None of their full texts was obtained, so whatever objections they raise are not represented here.</w:t>
            </w:r>
          </w:p>
        </w:tc>
      </w:tr>
    </w:tbl>
    <w:p>
      <w:pPr>
        <w:spacing w:after="0" w:line="276"/>
      </w:pPr>
      <w:r>
        <w:rPr>
          <w:color w:val="5A6069"/>
          <w:sz w:val="14"/>
          <w:szCs w:val="14"/>
        </w:rPr>
        <w:t xml:space="preserve">Funding: Supported by Advanced Accelerator Applications, which sponsored the trial and designed it in collaboration with the last two authors. Contract research organisations monitored the trial and collected, compiled, maintained and analysed the data, and the first draft was prepared by the first author with assistance from a professional medical writer funded by the sponsor. Two co-authors are affiliated to Advanced Accelerator Applications in St Genis-Pouilly, France and the USA; individual disclosure forms were filed separately and do not appear in the article text.</w:t>
      </w:r>
    </w:p>
    <w:p>
      <w:pPr>
        <w:keepNext/>
        <w:spacing w:after="50" w:before="260"/>
      </w:pPr>
      <w:r>
        <w:rPr>
          <w:rFonts w:ascii="Cambria" w:cs="Cambria" w:eastAsia="Cambria" w:hAnsi="Cambria"/>
          <w:b/>
          <w:bCs/>
          <w:color w:val="17365D"/>
          <w:sz w:val="20"/>
          <w:szCs w:val="20"/>
        </w:rPr>
        <w:t xml:space="preserve">NETTER-1 final OS</w:t>
      </w:r>
      <w:r>
        <w:rPr>
          <w:b/>
          <w:bCs/>
          <w:color w:val="176A87"/>
          <w:sz w:val="15"/>
          <w:szCs w:val="15"/>
        </w:rPr>
        <w:t xml:space="preserve">   Randomised trial</w:t>
      </w:r>
      <w:r>
        <w:rPr>
          <w:color w:val="5A6069"/>
          <w:sz w:val="15"/>
          <w:szCs w:val="15"/>
        </w:rPr>
        <w:t xml:space="preserve">   PMID 34793718</w:t>
      </w:r>
    </w:p>
    <w:p>
      <w:pPr>
        <w:spacing w:after="50" w:line="276"/>
      </w:pPr>
      <w:r>
        <w:rPr>
          <w:color w:val="5A6069"/>
          <w:sz w:val="17"/>
          <w:szCs w:val="17"/>
        </w:rPr>
        <w:t xml:space="preserve">177Lu-Dotatate plus long-acting octreotide versus high-dose long-acting octreotide in patients with midgut neuroendocrine tumours (NETTER-1): final overall survival and long-term safety results from an open-label, randomised, controlled, phase 3 trial</w:t>
      </w:r>
    </w:p>
    <w:p>
      <w:pPr>
        <w:spacing w:after="50"/>
      </w:pPr>
      <w:r>
        <w:rPr>
          <w:b/>
          <w:bCs/>
          <w:color w:val="176A87"/>
          <w:sz w:val="16"/>
          <w:szCs w:val="16"/>
        </w:rPr>
        <w:t xml:space="preserve">Population. </w:t>
      </w:r>
      <w:r>
        <w:rPr>
          <w:sz w:val="16"/>
          <w:szCs w:val="16"/>
        </w:rPr>
        <w:t xml:space="preserve">231 patients randomised at 41 sites in Europe and the USA between September 2012 and January 2016, 117 to 177Lu-Dotatate and 114 to high-dose octreotide; the final overall survival analysis was performed at 142 deaths, the 5-year calendar cutoff having arrived before the planned 158 deaths.</w:t>
      </w:r>
    </w:p>
    <w:p>
      <w:pPr>
        <w:spacing w:after="70"/>
      </w:pPr>
      <w:r>
        <w:rPr>
          <w:b/>
          <w:bCs/>
          <w:color w:val="17365D"/>
          <w:sz w:val="16"/>
          <w:szCs w:val="16"/>
        </w:rPr>
        <w:t xml:space="preserve">Bottom line. </w:t>
      </w:r>
      <w:r>
        <w:rPr>
          <w:sz w:val="16"/>
          <w:szCs w:val="16"/>
        </w:rPr>
        <w:t xml:space="preserve">This is the analysis that settles what NETTER-1 did and did not show: 177Lu-Dotatate did not significantly improve overall survival, with medians of 48.0 against 36.3 months, a hazard ratio of 0.84 (95% CI 0.60-1.17) and p=0.30, and by five years the two arms had 65 and 63 deaths. No survival claim should be made from NETTER-1, and the positive framing rests on a restricted mean survival analysis and a crossover adjustment both added by late amendment, neither of which excludes no effect at five years. Its solid contribution is long-term safety: no new signals after 2016, myelodysplastic syndrome in 2% including one death, and a five-year fall in creatinine clearance no greater than in the control arm, though during long-term follow-up only the treated arm was required to report adverse events at all.</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During long-term follow-up 36% of control patients received PRRT as subsequent treatment, most of them early (23% by 24 months after randomisation), which the authors name as a limitation of the analysis.</w:t>
            </w:r>
          </w:p>
          <w:p>
            <w:pPr>
              <w:pStyle w:val="ListParagraph"/>
              <w:numPr>
                <w:ilvl w:val="0"/>
                <w:numId w:val="2"/>
              </w:numPr>
              <w:spacing w:after="45"/>
            </w:pPr>
            <w:r>
              <w:rPr>
                <w:sz w:val="15"/>
                <w:szCs w:val="15"/>
              </w:rPr>
              <w:t xml:space="preserve">The rank-preserving structural failure time adjustment for that crossover assumes a constant treatment effect regardless of when PRRT was received.</w:t>
            </w:r>
          </w:p>
          <w:p>
            <w:pPr>
              <w:pStyle w:val="ListParagraph"/>
              <w:numPr>
                <w:ilvl w:val="0"/>
                <w:numId w:val="2"/>
              </w:numPr>
              <w:spacing w:after="45"/>
            </w:pPr>
            <w:r>
              <w:rPr>
                <w:sz w:val="15"/>
                <w:szCs w:val="15"/>
              </w:rPr>
              <w:t xml:space="preserve">Other confounding factors clearly existed: 24% of patients received further antineoplastic agents.</w:t>
            </w:r>
          </w:p>
          <w:p>
            <w:pPr>
              <w:pStyle w:val="ListParagraph"/>
              <w:numPr>
                <w:ilvl w:val="0"/>
                <w:numId w:val="2"/>
              </w:numPr>
              <w:spacing w:after="45"/>
            </w:pPr>
            <w:r>
              <w:rPr>
                <w:sz w:val="15"/>
                <w:szCs w:val="15"/>
              </w:rPr>
              <w:t xml:space="preserve">More than 35% of patients in each group survived 5 years regardless of their assigned treatment, so a large subpopulation had extended survival independent of the intervention.</w:t>
            </w:r>
          </w:p>
          <w:p>
            <w:pPr>
              <w:pStyle w:val="ListParagraph"/>
              <w:numPr>
                <w:ilvl w:val="0"/>
                <w:numId w:val="2"/>
              </w:numPr>
              <w:spacing w:after="45"/>
            </w:pPr>
            <w:r>
              <w:rPr>
                <w:sz w:val="15"/>
                <w:szCs w:val="15"/>
              </w:rPr>
              <w:t xml:space="preserve">20% of patients were censored because of consent withdrawal or loss to follow-up.</w:t>
            </w:r>
          </w:p>
          <w:p>
            <w:pPr>
              <w:pStyle w:val="ListParagraph"/>
              <w:numPr>
                <w:ilvl w:val="0"/>
                <w:numId w:val="2"/>
              </w:numPr>
              <w:spacing w:after="45"/>
            </w:pPr>
            <w:r>
              <w:rPr>
                <w:sz w:val="15"/>
                <w:szCs w:val="15"/>
              </w:rPr>
              <w:t xml:space="preserve">The proportional-hazards assumption required by the Cox analysis of overall survival was not fulfilled (Schoenfeld residuals test p = 0.03), which is why a restricted mean survival time analysis was performed.</w:t>
            </w:r>
          </w:p>
          <w:p>
            <w:pPr>
              <w:pStyle w:val="ListParagraph"/>
              <w:numPr>
                <w:ilvl w:val="0"/>
                <w:numId w:val="2"/>
              </w:numPr>
              <w:spacing w:after="45"/>
            </w:pPr>
            <w:r>
              <w:rPr>
                <w:sz w:val="15"/>
                <w:szCs w:val="15"/>
              </w:rPr>
              <w:t xml:space="preserve">Long-term survival analysis in an indolent tumour type is acknowledged to be difficult because of extended survival, the potential for crossover and the availability of subsequent therapies; the authors note phase 3 somatostatin analogue trials in similar populations also failed to show an overall survival benefit despite large progression-free survival gains.</w:t>
            </w:r>
          </w:p>
          <w:p>
            <w:pPr>
              <w:pStyle w:val="ListParagraph"/>
              <w:numPr>
                <w:ilvl w:val="0"/>
                <w:numId w:val="2"/>
              </w:numPr>
              <w:spacing w:after="45"/>
            </w:pPr>
            <w:r>
              <w:rPr>
                <w:sz w:val="15"/>
                <w:szCs w:val="15"/>
              </w:rPr>
              <w:t xml:space="preserve">During long-term follow-up the protocol required reporting only of serious adverse events deemed related to 177Lu-Dotatate and of adverse events of special interest in the 177Lu-Dotatate group, and did not require reporting of all adverse events in both groups.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analysis is negative on its own prespecified terms and is written as though it were not. The final significance threshold after alpha spending was 0.049915, the observed two-sided p value was 0.30 and the hazard ratio was 0.84 with a confidence interval from 0.60 to 1.17. Describing the 11.7-month median difference as clinically relevant is an argument about a result the trial failed to demonstrate.</w:t>
            </w:r>
          </w:p>
          <w:p>
            <w:pPr>
              <w:pStyle w:val="ListParagraph"/>
              <w:numPr>
                <w:ilvl w:val="0"/>
                <w:numId w:val="2"/>
              </w:numPr>
              <w:spacing w:after="45"/>
            </w:pPr>
            <w:r>
              <w:rPr>
                <w:sz w:val="15"/>
                <w:szCs w:val="15"/>
              </w:rPr>
              <w:t xml:space="preserve">The trial never reached the event count it was powered for. Eighty per cent power required 158 deaths; the 5-year calendar cutoff arrived first with 142, so the definitive survival question was answered with less evidence than the protocol said it needed.</w:t>
            </w:r>
          </w:p>
          <w:p>
            <w:pPr>
              <w:pStyle w:val="ListParagraph"/>
              <w:numPr>
                <w:ilvl w:val="0"/>
                <w:numId w:val="2"/>
              </w:numPr>
              <w:spacing w:after="45"/>
            </w:pPr>
            <w:r>
              <w:rPr>
                <w:sz w:val="15"/>
                <w:szCs w:val="15"/>
              </w:rPr>
              <w:t xml:space="preserve">By the last timepoint the two arms had the same number of deaths: 65 of 117 (56%) with 177Lu-Dotatate and 63 of 114 (55%) in the control arm. The entire restricted mean survival time advantage accrues in years 2 to 4 and its 5-year difference of 5.1 months has a confidence interval from -0.5 to 10.7 that includes zero.</w:t>
            </w:r>
          </w:p>
          <w:p>
            <w:pPr>
              <w:pStyle w:val="ListParagraph"/>
              <w:numPr>
                <w:ilvl w:val="0"/>
                <w:numId w:val="2"/>
              </w:numPr>
              <w:spacing w:after="45"/>
            </w:pPr>
            <w:r>
              <w:rPr>
                <w:sz w:val="15"/>
                <w:szCs w:val="15"/>
              </w:rPr>
              <w:t xml:space="preserve">Both analyses that carry the positive reading were added late. The restricted mean survival time analysis and the rank-preserving structural failure time crossover adjustment were specified in a statistical analysis plan amendment before final data cutoff and conditional on the proportional-hazards assumption failing, which it then did.</w:t>
            </w:r>
          </w:p>
          <w:p>
            <w:pPr>
              <w:pStyle w:val="ListParagraph"/>
              <w:numPr>
                <w:ilvl w:val="0"/>
                <w:numId w:val="2"/>
              </w:numPr>
              <w:spacing w:after="45"/>
            </w:pPr>
            <w:r>
              <w:rPr>
                <w:sz w:val="15"/>
                <w:szCs w:val="15"/>
              </w:rPr>
              <w:t xml:space="preserve">The crossover adjustment rests on an assumption the authors themselves flag as untenable, a treatment effect constant in time, when 23% of controls crossed over within the first 24 months. Even so, the adjusted hazard ratio of 0.73 has a confidence interval of 0.40 to 1.34 and does not exclude no effect.</w:t>
            </w:r>
          </w:p>
          <w:p>
            <w:pPr>
              <w:pStyle w:val="ListParagraph"/>
              <w:numPr>
                <w:ilvl w:val="0"/>
                <w:numId w:val="2"/>
              </w:numPr>
              <w:spacing w:after="45"/>
            </w:pPr>
            <w:r>
              <w:rPr>
                <w:sz w:val="15"/>
                <w:szCs w:val="15"/>
              </w:rPr>
              <w:t xml:space="preserve">The long-term safety comparison is structurally one-sided. By protocol, only the 177Lu-Dotatate arm had to report treatment-related serious adverse events and events of special interest during long-term follow-up, so the 2% myelodysplastic syndrome rate has no control denominator and the claim that no new safety signals emerged describes a collection designed to look at one arm.</w:t>
            </w:r>
          </w:p>
          <w:p>
            <w:pPr>
              <w:pStyle w:val="ListParagraph"/>
              <w:numPr>
                <w:ilvl w:val="0"/>
                <w:numId w:val="2"/>
              </w:numPr>
              <w:spacing w:after="45"/>
            </w:pPr>
            <w:r>
              <w:rPr>
                <w:sz w:val="15"/>
                <w:szCs w:val="15"/>
              </w:rPr>
              <w:t xml:space="preserve">One fifth of the cohort was censored for consent withdrawal or loss to follow-up in a survival analysis, and no sensitivity analysis for informative censoring is presented. Patients who withdraw after progression are not a random sample.</w:t>
            </w:r>
          </w:p>
          <w:p>
            <w:pPr>
              <w:pStyle w:val="ListParagraph"/>
              <w:numPr>
                <w:ilvl w:val="0"/>
                <w:numId w:val="2"/>
              </w:numPr>
              <w:spacing w:after="45"/>
            </w:pPr>
            <w:r>
              <w:rPr>
                <w:sz w:val="15"/>
                <w:szCs w:val="15"/>
              </w:rPr>
              <w:t xml:space="preserve">The Karnofsky 60-80 subgroup hazard ratio of 0.45 (95% CI 0.26-0.78) is one of roughly twenty prespecified subgroup analyses, spanning stratification factors, four age cuts, sex, three body-mass-index bands, region, race, OctreoScan grade and burden, performance status, prior therapies, tumour grade and two baseline markers. No multiplicity adjustment and no interaction test is reported, and the control arm's median survival in that subgroup was under a year.</w:t>
            </w:r>
          </w:p>
          <w:p>
            <w:pPr>
              <w:pStyle w:val="ListParagraph"/>
              <w:numPr>
                <w:ilvl w:val="0"/>
                <w:numId w:val="2"/>
              </w:numPr>
              <w:spacing w:after="45"/>
            </w:pPr>
            <w:r>
              <w:rPr>
                <w:sz w:val="15"/>
                <w:szCs w:val="15"/>
              </w:rPr>
              <w:t xml:space="preserve">The registrational primary endpoint was recomputed after publication. The progression-free survival hazard ratio is given here as 0.18 (0.11-0.29) against the published 0.21 (0.13-0.33), following health-authority re-review of baseline scans, and the randomised denominators are 117 and 114 here against 116 and 113 in the primary report because two patients randomised after the enrolment cutoff are now included.</w:t>
            </w:r>
          </w:p>
          <w:p>
            <w:pPr>
              <w:pStyle w:val="ListParagraph"/>
              <w:numPr>
                <w:ilvl w:val="0"/>
                <w:numId w:val="2"/>
              </w:numPr>
              <w:spacing w:after="45"/>
            </w:pPr>
            <w:r>
              <w:rPr>
                <w:sz w:val="15"/>
                <w:szCs w:val="15"/>
              </w:rPr>
              <w:t xml:space="preserve">Creatinine clearance fell by a similar amount in both arms over 5 years, by 21.6 mL/min with 177Lu-Dotatate and 24.7 mL/min on octreotide. That is genuinely reassuring about radioligand nephrotoxicity and it also means the renal decline observed here is not attributable to treatment in either direction, a point the renal safety paragraph does not make.</w:t>
            </w:r>
          </w:p>
          <w:p>
            <w:pPr>
              <w:pStyle w:val="ListParagraph"/>
              <w:numPr>
                <w:ilvl w:val="0"/>
                <w:numId w:val="2"/>
              </w:numPr>
              <w:spacing w:after="45"/>
            </w:pPr>
            <w:r>
              <w:rPr>
                <w:sz w:val="15"/>
                <w:szCs w:val="15"/>
              </w:rPr>
              <w:t xml:space="preserve">A diffuse large B-cell lymphoma occurring during long-term follow-up is reported separately from the myelodysplastic syndrome count, so the secondary haematological malignancy burden is higher than the headline figure of 2% conveys.</w:t>
            </w:r>
          </w:p>
          <w:p>
            <w:pPr>
              <w:pStyle w:val="ListParagraph"/>
              <w:numPr>
                <w:ilvl w:val="0"/>
                <w:numId w:val="2"/>
              </w:numPr>
              <w:spacing w:after="45"/>
            </w:pPr>
            <w:r>
              <w:rPr>
                <w:sz w:val="15"/>
                <w:szCs w:val="15"/>
              </w:rPr>
              <w:t xml:space="preserve">The comparator and the selection method are both obsolete. The control arm is octreotide LAR 60 mg, a dose with no antitumour pedigree, and eligibility required uptake on 111In-DTPA-octreotide scintigraphy rather than 68Ga- or 64Cu-DOTATATE PET, which identifies a different and larger population today.</w:t>
            </w:r>
          </w:p>
          <w:p>
            <w:pPr>
              <w:pStyle w:val="ListParagraph"/>
              <w:numPr>
                <w:ilvl w:val="0"/>
                <w:numId w:val="2"/>
              </w:numPr>
              <w:spacing w:after="45"/>
            </w:pPr>
            <w:r>
              <w:rPr>
                <w:sz w:val="15"/>
                <w:szCs w:val="15"/>
              </w:rPr>
              <w:t xml:space="preserve">The sponsor ran the analysis. Advanced Accelerator Applications, a Novartis company, sponsored the trial, designed it through its own representatives with two named investigators, and analysed the data before providing them to the authors for interpretation. Two co-authors are Novartis employees, and the declaration of interests records consulting, speakers bureau and research funding from the sponsor or Novartis for most of the senior authors.</w:t>
            </w:r>
          </w:p>
          <w:p>
            <w:pPr>
              <w:pStyle w:val="ListParagraph"/>
              <w:numPr>
                <w:ilvl w:val="0"/>
                <w:numId w:val="2"/>
              </w:numPr>
              <w:spacing w:after="45"/>
            </w:pPr>
            <w:r>
              <w:rPr>
                <w:sz w:val="15"/>
                <w:szCs w:val="15"/>
              </w:rPr>
              <w:t xml:space="preserve">A linked comment accompanies this paper (Virgolini, Lancet Oncol 2021;22:1645-6, PMID 34793720, titled as an important milestone). Its text was not accessible, so no position is attributed to it here.</w:t>
            </w:r>
          </w:p>
        </w:tc>
      </w:tr>
    </w:tbl>
    <w:p>
      <w:pPr>
        <w:spacing w:after="0" w:line="276"/>
      </w:pPr>
      <w:r>
        <w:rPr>
          <w:color w:val="5A6069"/>
          <w:sz w:val="14"/>
          <w:szCs w:val="14"/>
        </w:rPr>
        <w:t xml:space="preserve">Funding: Sponsored by Advanced Accelerator Applications, a Novartis company, which designed the trial through its own representatives in collaboration with two named investigators and analysed the data before providing them to the authors for interpretation. Two co-authors are Novartis employees. The declaration of interests records consulting, advisory, speakers bureau and research-funding relationships with Advanced Accelerator Applications and Novartis for the senior authors, alongside Ipsen, Lexicon, Sirtex Medical, ITM and Xencor.</w:t>
      </w:r>
    </w:p>
    <w:p>
      <w:pPr>
        <w:keepNext/>
        <w:spacing w:after="50" w:before="260"/>
      </w:pPr>
      <w:r>
        <w:rPr>
          <w:rFonts w:ascii="Cambria" w:cs="Cambria" w:eastAsia="Cambria" w:hAnsi="Cambria"/>
          <w:b/>
          <w:bCs/>
          <w:color w:val="17365D"/>
          <w:sz w:val="20"/>
          <w:szCs w:val="20"/>
        </w:rPr>
        <w:t xml:space="preserve">NETTER-2</w:t>
      </w:r>
      <w:r>
        <w:rPr>
          <w:b/>
          <w:bCs/>
          <w:color w:val="176A87"/>
          <w:sz w:val="15"/>
          <w:szCs w:val="15"/>
        </w:rPr>
        <w:t xml:space="preserve">   Randomised trial</w:t>
      </w:r>
      <w:r>
        <w:rPr>
          <w:color w:val="5A6069"/>
          <w:sz w:val="15"/>
          <w:szCs w:val="15"/>
        </w:rPr>
        <w:t xml:space="preserve">   PMID 38851203</w:t>
      </w:r>
    </w:p>
    <w:p>
      <w:pPr>
        <w:spacing w:after="50" w:line="276"/>
      </w:pPr>
      <w:r>
        <w:rPr>
          <w:color w:val="5A6069"/>
          <w:sz w:val="17"/>
          <w:szCs w:val="17"/>
        </w:rPr>
        <w:t xml:space="preserve">[177Lu]Lu-DOTA-TATE plus long-acting octreotide versus high-dose long-acting octreotide for the treatment of newly diagnosed, advanced grade 2-3, well-differentiated, gastroenteropancreatic neuroendocrine tumours (NETTER-2): an open-label, randomised, phase 3 study</w:t>
      </w:r>
    </w:p>
    <w:p>
      <w:pPr>
        <w:spacing w:after="50"/>
      </w:pPr>
      <w:r>
        <w:rPr>
          <w:b/>
          <w:bCs/>
          <w:color w:val="176A87"/>
          <w:sz w:val="16"/>
          <w:szCs w:val="16"/>
        </w:rPr>
        <w:t xml:space="preserve">Population. </w:t>
      </w:r>
      <w:r>
        <w:rPr>
          <w:sz w:val="16"/>
          <w:szCs w:val="16"/>
        </w:rPr>
        <w:t xml:space="preserve">226 of 261 screened patients with newly diagnosed, inoperable, somatostatin-receptor-positive, well-differentiated higher grade 2 or grade 3 gastroenteropancreatic NET, randomised 2:1 at 45 centres in nine countries between January 2020 and October 2022: 151 to 177Lu-Dotatate plus octreotide LAR 30 mg and 75 to octreotide LAR 60 mg, of whom 147 and 73 were treated. Median Ki-67 was 16% and 90% had liver metastases.</w:t>
      </w:r>
    </w:p>
    <w:p>
      <w:pPr>
        <w:spacing w:after="70"/>
      </w:pPr>
      <w:r>
        <w:rPr>
          <w:b/>
          <w:bCs/>
          <w:color w:val="17365D"/>
          <w:sz w:val="16"/>
          <w:szCs w:val="16"/>
        </w:rPr>
        <w:t xml:space="preserve">Bottom line. </w:t>
      </w:r>
      <w:r>
        <w:rPr>
          <w:sz w:val="16"/>
          <w:szCs w:val="16"/>
        </w:rPr>
        <w:t xml:space="preserve">NETTER-2 establishes that four cycles of 177Lu-Dotatate given first line in newly diagnosed, receptor-avid, well-differentiated grade 2-3 gastroenteropancreatic NET delays radiographic progression dramatically, from 8.5 to 22.8 months with a hazard ratio of 0.28, and produces a 43% response rate against 9%. It establishes nothing about survival, which is immature with 48% of controls crossed over, nothing about how patients feel, since time to quality-of-life deterioration was identical, and nothing about whether PRRT is better than the capecitabine-temozolomide it never tested. The enrolled population was newly diagnosed and not required to be progressing, needed uptake score 3 or 4 in every target lesion, and excluded anyone with prior hepatic embolisation or ablation, so a patient with heterogeneous uptake or previous liver-directed therapy is outside the evidence.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study was designed as open label because the two treatments are administered differently and radiation-exposure precautions are needed; bias was mitigated only through blinded central review of imaging.</w:t>
            </w:r>
          </w:p>
          <w:p>
            <w:pPr>
              <w:pStyle w:val="ListParagraph"/>
              <w:numPr>
                <w:ilvl w:val="0"/>
                <w:numId w:val="2"/>
              </w:numPr>
              <w:spacing w:after="45"/>
            </w:pPr>
            <w:r>
              <w:rPr>
                <w:sz w:val="15"/>
                <w:szCs w:val="15"/>
              </w:rPr>
              <w:t xml:space="preserve">Although open to patients aged 15 and over, no adolescents aged 15 to 17 were accrued, so the data relate to adults only.</w:t>
            </w:r>
          </w:p>
          <w:p>
            <w:pPr>
              <w:pStyle w:val="ListParagraph"/>
              <w:numPr>
                <w:ilvl w:val="0"/>
                <w:numId w:val="2"/>
              </w:numPr>
              <w:spacing w:after="45"/>
            </w:pPr>
            <w:r>
              <w:rPr>
                <w:sz w:val="15"/>
                <w:szCs w:val="15"/>
              </w:rPr>
              <w:t xml:space="preserve">Relative effectiveness against other available therapies, sequencing, cost-effectiveness and access all remain to be addressed in future research.</w:t>
            </w:r>
          </w:p>
          <w:p>
            <w:pPr>
              <w:pStyle w:val="ListParagraph"/>
              <w:numPr>
                <w:ilvl w:val="0"/>
                <w:numId w:val="2"/>
              </w:numPr>
              <w:spacing w:after="45"/>
            </w:pPr>
            <w:r>
              <w:rPr>
                <w:sz w:val="15"/>
                <w:szCs w:val="15"/>
              </w:rPr>
              <w:t xml:space="preserve">There is no defined standard of care and no robust data for this patient population, which is how the authors justify their choice of comparator.</w:t>
            </w:r>
          </w:p>
          <w:p>
            <w:pPr>
              <w:pStyle w:val="ListParagraph"/>
              <w:numPr>
                <w:ilvl w:val="0"/>
                <w:numId w:val="2"/>
              </w:numPr>
              <w:spacing w:after="45"/>
            </w:pPr>
            <w:r>
              <w:rPr>
                <w:sz w:val="15"/>
                <w:szCs w:val="15"/>
              </w:rPr>
              <w:t xml:space="preserve">Time to deterioration in quality of life did not differ between the groups, which the authors attribute to both arms receiving a somatostatin analogue backbone.</w:t>
            </w:r>
          </w:p>
          <w:p>
            <w:pPr>
              <w:pStyle w:val="ListParagraph"/>
              <w:numPr>
                <w:ilvl w:val="0"/>
                <w:numId w:val="2"/>
              </w:numPr>
              <w:spacing w:after="45"/>
            </w:pPr>
            <w:r>
              <w:rPr>
                <w:sz w:val="15"/>
                <w:szCs w:val="15"/>
              </w:rPr>
              <w:t xml:space="preserve">Overall survival data were immature, with the median not reached in either group, and 48% of control patients had crossed over to a radioligand after progression.</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comparator was chosen for regulatory continuity rather than clinical relevance, and the paper's own defence of it is about tolerability, not activity: octreotide LAR 60 mg was selected by copying NETTER-1's FDA-guided design, and the justification offered is that the high dose had no notable side-effects and so is well tolerated. In grade 3 disease the retrospective PFS on a somatostatin analogue is cited at 4 to 8 months, and the control arm produced 8.5 months, so the trial beat the number it predicted.</w:t>
            </w:r>
          </w:p>
          <w:p>
            <w:pPr>
              <w:pStyle w:val="ListParagraph"/>
              <w:numPr>
                <w:ilvl w:val="0"/>
                <w:numId w:val="2"/>
              </w:numPr>
              <w:spacing w:after="45"/>
            </w:pPr>
            <w:r>
              <w:rPr>
                <w:sz w:val="15"/>
                <w:szCs w:val="15"/>
              </w:rPr>
              <w:t xml:space="preserve">The one comparison a tumour board needs is raised and then dropped. The discussion cites E2211's 40% response rate with capecitabine plus temozolomide in progressive pancreatic NET, numerically indistinguishable from this trial's own 43%, and no comparison with alkylating chemotherapy is made anywhere.</w:t>
            </w:r>
          </w:p>
          <w:p>
            <w:pPr>
              <w:pStyle w:val="ListParagraph"/>
              <w:numPr>
                <w:ilvl w:val="0"/>
                <w:numId w:val="2"/>
              </w:numPr>
              <w:spacing w:after="45"/>
            </w:pPr>
            <w:r>
              <w:rPr>
                <w:sz w:val="15"/>
                <w:szCs w:val="15"/>
              </w:rPr>
              <w:t xml:space="preserve">The population was not known to be progressing. Enrolment required diagnosis within the previous 6 months and excluded any documented progression, with short-course somatostatin analogue permitted only in the absence of progression. The control arm's 8.5-month median therefore measures the behaviour of untreated grade 2-3 disease in part, and the trial cannot say whether starting radioligand therapy at diagnosis is better than starting it at progression, which is the decision it is used to settle.</w:t>
            </w:r>
          </w:p>
          <w:p>
            <w:pPr>
              <w:pStyle w:val="ListParagraph"/>
              <w:numPr>
                <w:ilvl w:val="0"/>
                <w:numId w:val="2"/>
              </w:numPr>
              <w:spacing w:after="45"/>
            </w:pPr>
            <w:r>
              <w:rPr>
                <w:sz w:val="15"/>
                <w:szCs w:val="15"/>
              </w:rPr>
              <w:t xml:space="preserve">Somatostatin receptor uptake score 3 or 4 was required in every target lesion. Receptor heterogeneity rises with grade, so the trial enrolled the most uniformly receptor-avid slice of a grade 2-3 population and excluded the patients in whom the choice between PRRT and chemotherapy is hardest.</w:t>
            </w:r>
          </w:p>
          <w:p>
            <w:pPr>
              <w:pStyle w:val="ListParagraph"/>
              <w:numPr>
                <w:ilvl w:val="0"/>
                <w:numId w:val="2"/>
              </w:numPr>
              <w:spacing w:after="45"/>
            </w:pPr>
            <w:r>
              <w:rPr>
                <w:sz w:val="15"/>
                <w:szCs w:val="15"/>
              </w:rPr>
              <w:t xml:space="preserve">Any previous hepatic artery embolisation or radiofrequency ablation was an outright exclusion, and 90% of enrolled patients had liver metastases. The trial therefore excludes the neuroendocrine liver metastasis population that has already had liver-directed therapy, and it reports no analysis at all by hepatic tumour burden.</w:t>
            </w:r>
          </w:p>
          <w:p>
            <w:pPr>
              <w:pStyle w:val="ListParagraph"/>
              <w:numPr>
                <w:ilvl w:val="0"/>
                <w:numId w:val="2"/>
              </w:numPr>
              <w:spacing w:after="45"/>
            </w:pPr>
            <w:r>
              <w:rPr>
                <w:sz w:val="15"/>
                <w:szCs w:val="15"/>
              </w:rPr>
              <w:t xml:space="preserve">The grade range is narrower than the title suggests. Grade 3 was capped at Ki-67 55%, poorly differentiated neuroendocrine carcinoma was excluded, the median Ki-67 across the whole cohort was 16% and 65% of patients were grade 2, so the cohort sits at the low end of the grades it claims to cover.</w:t>
            </w:r>
          </w:p>
          <w:p>
            <w:pPr>
              <w:pStyle w:val="ListParagraph"/>
              <w:numPr>
                <w:ilvl w:val="0"/>
                <w:numId w:val="2"/>
              </w:numPr>
              <w:spacing w:after="45"/>
            </w:pPr>
            <w:r>
              <w:rPr>
                <w:sz w:val="15"/>
                <w:szCs w:val="15"/>
              </w:rPr>
              <w:t xml:space="preserve">The 2:1 allocation leaves the control arm with 75 patients and 46 events, so the comparator median has a confidence interval from 7.7 to 13.8 months and every control subgroup contains a few dozen patients at most. The subgroup consistency the paper emphasises is consistency across very small denominators.</w:t>
            </w:r>
          </w:p>
          <w:p>
            <w:pPr>
              <w:pStyle w:val="ListParagraph"/>
              <w:numPr>
                <w:ilvl w:val="0"/>
                <w:numId w:val="2"/>
              </w:numPr>
              <w:spacing w:after="45"/>
            </w:pPr>
            <w:r>
              <w:rPr>
                <w:sz w:val="15"/>
                <w:szCs w:val="15"/>
              </w:rPr>
              <w:t xml:space="preserve">The experimental arm's median progression-free survival of 22.8 months is essentially equal to the median follow-up of 23.2 months, and its upper confidence limit is not estimable. The headline number sits at the edge of the observed data.</w:t>
            </w:r>
          </w:p>
          <w:p>
            <w:pPr>
              <w:pStyle w:val="ListParagraph"/>
              <w:numPr>
                <w:ilvl w:val="0"/>
                <w:numId w:val="2"/>
              </w:numPr>
              <w:spacing w:after="45"/>
            </w:pPr>
            <w:r>
              <w:rPr>
                <w:sz w:val="15"/>
                <w:szCs w:val="15"/>
              </w:rPr>
              <w:t xml:space="preserve">Tripling progression-free survival produced no detectable difference in how patients felt. Time to deterioration was no different for global health status, diarrhoea, fatigue or pain, and the paper reads this as encouraging rather than as a limit on what the primary endpoint means.</w:t>
            </w:r>
          </w:p>
          <w:p>
            <w:pPr>
              <w:pStyle w:val="ListParagraph"/>
              <w:numPr>
                <w:ilvl w:val="0"/>
                <w:numId w:val="2"/>
              </w:numPr>
              <w:spacing w:after="45"/>
            </w:pPr>
            <w:r>
              <w:rPr>
                <w:sz w:val="15"/>
                <w:szCs w:val="15"/>
              </w:rPr>
              <w:t xml:space="preserve">Crossover is built into the protocol, with patients still on crossover at the data cutoff, so the survival endpoint can never be clean in this trial and no future analysis will fix it.</w:t>
            </w:r>
          </w:p>
          <w:p>
            <w:pPr>
              <w:pStyle w:val="ListParagraph"/>
              <w:numPr>
                <w:ilvl w:val="0"/>
                <w:numId w:val="2"/>
              </w:numPr>
              <w:spacing w:after="45"/>
            </w:pPr>
            <w:r>
              <w:rPr>
                <w:sz w:val="15"/>
                <w:szCs w:val="15"/>
              </w:rPr>
              <w:t xml:space="preserve">Twelve per cent of treated patients did not receive all four cycles, and no analysis relates outcome to cycles received or to the median cumulative 29.2 GBq actually delivered.</w:t>
            </w:r>
          </w:p>
          <w:p>
            <w:pPr>
              <w:pStyle w:val="ListParagraph"/>
              <w:numPr>
                <w:ilvl w:val="0"/>
                <w:numId w:val="2"/>
              </w:numPr>
              <w:spacing w:after="45"/>
            </w:pPr>
            <w:r>
              <w:rPr>
                <w:sz w:val="15"/>
                <w:szCs w:val="15"/>
              </w:rPr>
              <w:t xml:space="preserve">First-line use spends the marrow early. Grade 3 or worse haematotoxicity occurred in 14% against 1%, one myelodysplastic syndrome had already appeared at about 14 months, and a median follow-up of 23.2 months cannot evaluate what moving a myelotoxic therapy to first line costs a patient who will need several more lines of treatment.</w:t>
            </w:r>
          </w:p>
          <w:p>
            <w:pPr>
              <w:pStyle w:val="ListParagraph"/>
              <w:numPr>
                <w:ilvl w:val="0"/>
                <w:numId w:val="2"/>
              </w:numPr>
              <w:spacing w:after="45"/>
            </w:pPr>
            <w:r>
              <w:rPr>
                <w:sz w:val="15"/>
                <w:szCs w:val="15"/>
              </w:rPr>
              <w:t xml:space="preserve">The conclusion claims first-line radioligand therapy as standard of care on the strength of progression-free survival and response rate alone, in the same paper that lists relative effectiveness, sequencing, cost-effectiveness and access as unanswered.</w:t>
            </w:r>
          </w:p>
          <w:p>
            <w:pPr>
              <w:pStyle w:val="ListParagraph"/>
              <w:numPr>
                <w:ilvl w:val="0"/>
                <w:numId w:val="2"/>
              </w:numPr>
              <w:spacing w:after="45"/>
            </w:pPr>
            <w:r>
              <w:rPr>
                <w:sz w:val="15"/>
                <w:szCs w:val="15"/>
              </w:rPr>
              <w:t xml:space="preserve">The sponsor designed the trial, sponsored it, and its own statistical team analysed the data before providing them to the authors, with a sponsor-funded medical writer assisting the manuscript. The declaration of interests runs to dozens of relationships, with the first author and most senior co-authors reporting Novartis support for this work alongside grants and consulting from the sponsor.</w:t>
            </w:r>
          </w:p>
          <w:p>
            <w:pPr>
              <w:pStyle w:val="ListParagraph"/>
              <w:numPr>
                <w:ilvl w:val="0"/>
                <w:numId w:val="2"/>
              </w:numPr>
              <w:spacing w:after="45"/>
            </w:pPr>
            <w:r>
              <w:rPr>
                <w:sz w:val="15"/>
                <w:szCs w:val="15"/>
              </w:rPr>
              <w:t xml:space="preserve">A linked Comment accompanies the paper (Ramirez and Eng, 'The developing role of theranostics in NETs', Lancet 2024;403:2759-61, PMID 38851204). Its full text was not obtained, so none of the points above draws on it.</w:t>
            </w:r>
          </w:p>
        </w:tc>
      </w:tr>
    </w:tbl>
    <w:p>
      <w:pPr>
        <w:spacing w:after="0" w:line="276"/>
      </w:pPr>
      <w:r>
        <w:rPr>
          <w:color w:val="5A6069"/>
          <w:sz w:val="14"/>
          <w:szCs w:val="14"/>
        </w:rPr>
        <w:t xml:space="preserve">Funding: Designed and sponsored by Advanced Accelerator Applications, a Novartis company, whose statistical team analysed the data and provided them to the authors for interpretation; a medical writer funded by the sponsor assisted with the manuscript. The declaration of interests records Novartis support for the present work and grants, consulting fees or meeting support from Novartis or Advanced Accelerator Applications for the first author and most senior co-authors, alongside extensive relationships with Ipsen, ITM, RayzeBio, Camurus, Telix, Curium and many others.</w:t>
      </w:r>
    </w:p>
    <w:p>
      <w:pPr>
        <w:keepNext/>
        <w:spacing w:after="50" w:before="260"/>
      </w:pPr>
      <w:r>
        <w:rPr>
          <w:rFonts w:ascii="Cambria" w:cs="Cambria" w:eastAsia="Cambria" w:hAnsi="Cambria"/>
          <w:b/>
          <w:bCs/>
          <w:color w:val="17365D"/>
          <w:sz w:val="20"/>
          <w:szCs w:val="20"/>
        </w:rPr>
        <w:t xml:space="preserve">PROMID</w:t>
      </w:r>
      <w:r>
        <w:rPr>
          <w:b/>
          <w:bCs/>
          <w:color w:val="176A87"/>
          <w:sz w:val="15"/>
          <w:szCs w:val="15"/>
        </w:rPr>
        <w:t xml:space="preserve">   Randomised trial</w:t>
      </w:r>
      <w:r>
        <w:rPr>
          <w:color w:val="5A6069"/>
          <w:sz w:val="15"/>
          <w:szCs w:val="15"/>
        </w:rPr>
        <w:t xml:space="preserve">   PMID 19704057</w:t>
      </w:r>
    </w:p>
    <w:p>
      <w:pPr>
        <w:spacing w:after="50" w:line="276"/>
      </w:pPr>
      <w:r>
        <w:rPr>
          <w:color w:val="5A6069"/>
          <w:sz w:val="17"/>
          <w:szCs w:val="17"/>
        </w:rPr>
        <w:t xml:space="preserve">Placebo-controlled, double-blind, prospective, randomized study on the effect of octreotide LAR in the control of tumor growth in patients with metastatic neuroendocrine midgut tumors: a report from the PROMID Study Group</w:t>
      </w:r>
    </w:p>
    <w:p>
      <w:pPr>
        <w:spacing w:after="50"/>
      </w:pPr>
      <w:r>
        <w:rPr>
          <w:b/>
          <w:bCs/>
          <w:color w:val="176A87"/>
          <w:sz w:val="16"/>
          <w:szCs w:val="16"/>
        </w:rPr>
        <w:t xml:space="preserve">Population. </w:t>
      </w:r>
      <w:r>
        <w:rPr>
          <w:sz w:val="16"/>
          <w:szCs w:val="16"/>
        </w:rPr>
        <w:t xml:space="preserve">85 treatment-naive patients with well-differentiated, locally inoperable or metastatic midgut neuroendocrine tumours randomised 1:1 at 18 German academic centres between March 2001 and January 2008, out of 90 enrolled and against a planned sample of 162; reported at the planned interim analysis after 67 progressions and 16 deaths, with 9 patients still on treatment and never unblinded.</w:t>
      </w:r>
    </w:p>
    <w:p>
      <w:pPr>
        <w:spacing w:after="70"/>
      </w:pPr>
      <w:r>
        <w:rPr>
          <w:b/>
          <w:bCs/>
          <w:color w:val="17365D"/>
          <w:sz w:val="16"/>
          <w:szCs w:val="16"/>
        </w:rPr>
        <w:t xml:space="preserve">Bottom line. </w:t>
      </w:r>
      <w:r>
        <w:rPr>
          <w:sz w:val="16"/>
          <w:szCs w:val="16"/>
        </w:rPr>
        <w:t xml:space="preserve">PROMID is the trial that converted somatostatin analogues from symptom control into antitumour therapy, showing a median time to tumour progression of 14.3 against 6.0 months with a hazard ratio of about 0.33 in treatment-naive metastatic midgut NET. Its effect is stabilisation, not shrinkage (one partial response in each arm), and it establishes nothing about survival, symptoms or quality of life: only 16 deaths had occurred, the placebo arm went on to somatostatin analogues after progression, and no symptom or quality-of-life comparison reached significance. The benefit is concentrated where the disease is least threatening, with hazard ratios of 0.17, 0.40 and 0.71 across 0-10%, 10-50% and over 50% hepatic involvement on strata of a dozen patients, so the trial's own data argue that a patient with a heavy liver burden is the one it speaks least to.</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Treatment after progression was at the discretion of each centre; most placebo patients went on to a somatostatin analogue and many on the active arm continued it, so long-term observation of patients not receiving octreotide LAR is difficult and no conclusion about overall survival can be drawn from this trial.</w:t>
            </w:r>
          </w:p>
          <w:p>
            <w:pPr>
              <w:pStyle w:val="ListParagraph"/>
              <w:numPr>
                <w:ilvl w:val="0"/>
                <w:numId w:val="2"/>
              </w:numPr>
              <w:spacing w:after="45"/>
            </w:pPr>
            <w:r>
              <w:rPr>
                <w:sz w:val="15"/>
                <w:szCs w:val="15"/>
              </w:rPr>
              <w:t xml:space="preserve">The protocol specified that the analysis of time to tumour-related death be based on 121 events; because of the observed effect on tumour growth and a slow recruitment rate the authors stopped further enrolment, without unblinding the nine patients still on treatment.</w:t>
            </w:r>
          </w:p>
          <w:p>
            <w:pPr>
              <w:pStyle w:val="ListParagraph"/>
              <w:numPr>
                <w:ilvl w:val="0"/>
                <w:numId w:val="2"/>
              </w:numPr>
              <w:spacing w:after="45"/>
            </w:pPr>
            <w:r>
              <w:rPr>
                <w:sz w:val="15"/>
                <w:szCs w:val="15"/>
              </w:rPr>
              <w:t xml:space="preserve">The number of patients with high hepatic tumour burden was low, and the authors state that the role of hepatic tumour load needs investigating in more depth.</w:t>
            </w:r>
          </w:p>
          <w:p>
            <w:pPr>
              <w:pStyle w:val="ListParagraph"/>
              <w:numPr>
                <w:ilvl w:val="0"/>
                <w:numId w:val="2"/>
              </w:numPr>
              <w:spacing w:after="45"/>
            </w:pPr>
            <w:r>
              <w:rPr>
                <w:sz w:val="15"/>
                <w:szCs w:val="15"/>
              </w:rPr>
              <w:t xml:space="preserve">Whether the favourable effect on time to tumour progression translates into prolonged overall survival, an important secondary aim, could not be determined.</w:t>
            </w:r>
          </w:p>
          <w:p>
            <w:pPr>
              <w:pStyle w:val="ListParagraph"/>
              <w:numPr>
                <w:ilvl w:val="0"/>
                <w:numId w:val="2"/>
              </w:numPr>
              <w:spacing w:after="45"/>
            </w:pPr>
            <w:r>
              <w:rPr>
                <w:sz w:val="15"/>
                <w:szCs w:val="15"/>
              </w:rPr>
              <w:t xml:space="preserve">Whether patients with a high hepatic tumour burden that developed slowly respond more favourably to biotherapy requires further study.</w:t>
            </w:r>
          </w:p>
          <w:p>
            <w:pPr>
              <w:pStyle w:val="ListParagraph"/>
              <w:numPr>
                <w:ilvl w:val="0"/>
                <w:numId w:val="2"/>
              </w:numPr>
              <w:spacing w:after="45"/>
            </w:pPr>
            <w:r>
              <w:rPr>
                <w:sz w:val="15"/>
                <w:szCs w:val="15"/>
              </w:rPr>
              <w:t xml:space="preserve">The result applies to midgut primaries only; the authors call for studies in neuroendocrine tumours of other origins.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effect size comes from an interim analysis at a prespecified local alpha of 0.0122, after which recruitment was stopped because the result was positive. A trial halted early on an efficacy boundary systematically overstates the treatment effect, and PROMID enrolled 85 of a planned 162 patients, so its hazard ratio of 0.32 to 0.34 is the most favourable point in the trial's history rather than its final estimate.</w:t>
            </w:r>
          </w:p>
          <w:p>
            <w:pPr>
              <w:pStyle w:val="ListParagraph"/>
              <w:numPr>
                <w:ilvl w:val="0"/>
                <w:numId w:val="2"/>
              </w:numPr>
              <w:spacing w:after="45"/>
            </w:pPr>
            <w:r>
              <w:rPr>
                <w:sz w:val="15"/>
                <w:szCs w:val="15"/>
              </w:rPr>
              <w:t xml:space="preserve">Three different hazard ratios are available for the same comparison (conservative intent-to-treat 0.34, planned intent-to-treat 0.32, per-protocol 0.24), and the subgroup analyses most often quoted in clinical discussion come from the per-protocol set, the most selected of the three.</w:t>
            </w:r>
          </w:p>
          <w:p>
            <w:pPr>
              <w:pStyle w:val="ListParagraph"/>
              <w:numPr>
                <w:ilvl w:val="0"/>
                <w:numId w:val="2"/>
              </w:numPr>
              <w:spacing w:after="45"/>
            </w:pPr>
            <w:r>
              <w:rPr>
                <w:sz w:val="15"/>
                <w:szCs w:val="15"/>
              </w:rPr>
              <w:t xml:space="preserve">The subgroup results that drive practice cannot exclude no effect. The hazard ratio of 0.17 at 0 to 10% liver involvement comes from strata of roughly 7 to 14 patients, while the intervals at 10 to 50% (0.10 to 1.67) and above 50% (0.11 to 4.45) include both large benefit and substantial harm, and no interaction test is reported. The claim that octreotide LAR is the treatment of choice in low hepatic load rests on a comparison the trial was never powered to make.</w:t>
            </w:r>
          </w:p>
          <w:p>
            <w:pPr>
              <w:pStyle w:val="ListParagraph"/>
              <w:numPr>
                <w:ilvl w:val="0"/>
                <w:numId w:val="2"/>
              </w:numPr>
              <w:spacing w:after="45"/>
            </w:pPr>
            <w:r>
              <w:rPr>
                <w:sz w:val="15"/>
                <w:szCs w:val="15"/>
              </w:rPr>
              <w:t xml:space="preserve">Resection of the primary (HR 0.16 against 0.84 unresected) is similarly exploratory and is confounded with disease extent, since patients whose primary was resectable are not the same patients as those whose was not.</w:t>
            </w:r>
          </w:p>
          <w:p>
            <w:pPr>
              <w:pStyle w:val="ListParagraph"/>
              <w:numPr>
                <w:ilvl w:val="0"/>
                <w:numId w:val="2"/>
              </w:numPr>
              <w:spacing w:after="45"/>
            </w:pPr>
            <w:r>
              <w:rPr>
                <w:sz w:val="15"/>
                <w:szCs w:val="15"/>
              </w:rPr>
              <w:t xml:space="preserve">Progression was read by bidimensional WHO criteria, which register a given amount of growth as a larger percentage change than unidimensional RECIST. CLARINET's authors made precisely this point about PROMID, and it is one reason the 6.0-month placebo median here sits so far from CLARINET's 18.0 months.</w:t>
            </w:r>
          </w:p>
          <w:p>
            <w:pPr>
              <w:pStyle w:val="ListParagraph"/>
              <w:numPr>
                <w:ilvl w:val="0"/>
                <w:numId w:val="2"/>
              </w:numPr>
              <w:spacing w:after="45"/>
            </w:pPr>
            <w:r>
              <w:rPr>
                <w:sz w:val="15"/>
                <w:szCs w:val="15"/>
              </w:rPr>
              <w:t xml:space="preserve">The primary endpoint is time to tumour progression, not progression-free survival, so deaths without documented progression are censored rather than counted as events. In a disease whose patients die of liver failure, that choice is not neutral.</w:t>
            </w:r>
          </w:p>
          <w:p>
            <w:pPr>
              <w:pStyle w:val="ListParagraph"/>
              <w:numPr>
                <w:ilvl w:val="0"/>
                <w:numId w:val="2"/>
              </w:numPr>
              <w:spacing w:after="45"/>
            </w:pPr>
            <w:r>
              <w:rPr>
                <w:sz w:val="15"/>
                <w:szCs w:val="15"/>
              </w:rPr>
              <w:t xml:space="preserve">Nothing in the symptom or quality-of-life data supports the drug. No difference reached significance in the EORTC QLQ-C30 scores, symptomatic response or biochemical response tables, with p values as high as .1106, in a trial that includes functioning tumours and a drug whose original indication is symptom control.</w:t>
            </w:r>
          </w:p>
          <w:p>
            <w:pPr>
              <w:pStyle w:val="ListParagraph"/>
              <w:numPr>
                <w:ilvl w:val="0"/>
                <w:numId w:val="2"/>
              </w:numPr>
              <w:spacing w:after="45"/>
            </w:pPr>
            <w:r>
              <w:rPr>
                <w:sz w:val="15"/>
                <w:szCs w:val="15"/>
              </w:rPr>
              <w:t xml:space="preserve">The population is close to the most indolent that exists: 95% had a Ki-67 of 2% or less, 61% had 10% or less liver involvement, 66% had the primary resected, and all were treatment-naive with no curative option. Grade 2 midgut disease and any pancreatic primary are outside the evidence entirely.</w:t>
            </w:r>
          </w:p>
          <w:p>
            <w:pPr>
              <w:pStyle w:val="ListParagraph"/>
              <w:numPr>
                <w:ilvl w:val="0"/>
                <w:numId w:val="2"/>
              </w:numPr>
              <w:spacing w:after="45"/>
            </w:pPr>
            <w:r>
              <w:rPr>
                <w:sz w:val="15"/>
                <w:szCs w:val="15"/>
              </w:rPr>
              <w:t xml:space="preserve">With 16 deaths the survival comparison carries no information (HR 0.81, 95% CI 0.30 to 2.18), and the placebo median of 73.7 months is longer than the trial could observe, so the figure most often used to characterise untreated midgut NET comes from an immature curve.</w:t>
            </w:r>
          </w:p>
          <w:p>
            <w:pPr>
              <w:pStyle w:val="ListParagraph"/>
              <w:numPr>
                <w:ilvl w:val="0"/>
                <w:numId w:val="2"/>
              </w:numPr>
              <w:spacing w:after="45"/>
            </w:pPr>
            <w:r>
              <w:rPr>
                <w:sz w:val="15"/>
                <w:szCs w:val="15"/>
              </w:rPr>
              <w:t xml:space="preserve">The conclusion extends the result to a population the trial never contained: the authors propose octreotide LAR as an attractive option after cytoreductive surgery with few remaining metastases, when PROMID excluded patients with any curative option and performed no liver surgery as part of the study.</w:t>
            </w:r>
          </w:p>
          <w:p>
            <w:pPr>
              <w:pStyle w:val="ListParagraph"/>
              <w:numPr>
                <w:ilvl w:val="0"/>
                <w:numId w:val="2"/>
              </w:numPr>
              <w:spacing w:after="45"/>
            </w:pPr>
            <w:r>
              <w:rPr>
                <w:sz w:val="15"/>
                <w:szCs w:val="15"/>
              </w:rPr>
              <w:t xml:space="preserve">Five of the six gallstone events occurred on octreotide and five patients stopped the drug for adverse events against none on placebo, in a population who may subsequently require hepatectomy or hepatic arterial therapy. The safety paragraph records similar serious-adverse-event counts and no treatment-related deaths without drawing that implication.</w:t>
            </w:r>
          </w:p>
          <w:p>
            <w:pPr>
              <w:pStyle w:val="ListParagraph"/>
              <w:numPr>
                <w:ilvl w:val="0"/>
                <w:numId w:val="2"/>
              </w:numPr>
              <w:spacing w:after="45"/>
            </w:pPr>
            <w:r>
              <w:rPr>
                <w:sz w:val="15"/>
                <w:szCs w:val="15"/>
              </w:rPr>
              <w:t xml:space="preserve">The trial ran at 18 academic centres in a single country over seven years, averaging under one patient per centre per year, and ended with 9 patients still blinded and on treatment, so the dataset is incomplete by design and cannot be completed.</w:t>
            </w:r>
          </w:p>
          <w:p>
            <w:pPr>
              <w:pStyle w:val="ListParagraph"/>
              <w:numPr>
                <w:ilvl w:val="0"/>
                <w:numId w:val="2"/>
              </w:numPr>
              <w:spacing w:after="45"/>
            </w:pPr>
            <w:r>
              <w:rPr>
                <w:sz w:val="15"/>
                <w:szCs w:val="15"/>
              </w:rPr>
              <w:t xml:space="preserve">Novartis, which markets octreotide LAR, funded the trial, supplied the drug and participated in developing the study design, and the disclosure block lists Novartis honoraria for three authors and Novartis research funding for four. The paper states the company took no part in data collection, analysis or interpretation.</w:t>
            </w:r>
          </w:p>
          <w:p>
            <w:pPr>
              <w:pStyle w:val="ListParagraph"/>
              <w:numPr>
                <w:ilvl w:val="0"/>
                <w:numId w:val="2"/>
              </w:numPr>
              <w:spacing w:after="45"/>
            </w:pPr>
            <w:r>
              <w:rPr>
                <w:sz w:val="15"/>
                <w:szCs w:val="15"/>
              </w:rPr>
              <w:t xml:space="preserve">A linked editorial accompanies the trial in the same issue (Oberg, 'Is it time to widen the use of somatostatin analogs in neuroendocrine tumors?', J Clin Oncol 2009;27:4635-6, PMID 19704053). Its full text was not obtained, so none of the points above draws on it.</w:t>
            </w:r>
          </w:p>
        </w:tc>
      </w:tr>
    </w:tbl>
    <w:p>
      <w:pPr>
        <w:spacing w:after="0" w:line="276"/>
      </w:pPr>
      <w:r>
        <w:rPr>
          <w:color w:val="5A6069"/>
          <w:sz w:val="14"/>
          <w:szCs w:val="14"/>
        </w:rPr>
        <w:t xml:space="preserve">Funding: Supported by grants from Novartis, Nuremberg, Germany, which participated in developing the study design and provided the active medication and the funding but, per the paper, took no part in data collection, analysis or interpretation. Declared interests: Novartis honoraria to A. Rinke, M. Blaker and R. Arnold; Novartis research funding to A. Rinke, K.-J. Klose, P. Barth and R. Arnold.</w:t>
      </w:r>
    </w:p>
    <w:p>
      <w:pPr>
        <w:keepNext/>
        <w:spacing w:after="50" w:before="260"/>
      </w:pPr>
      <w:r>
        <w:rPr>
          <w:rFonts w:ascii="Cambria" w:cs="Cambria" w:eastAsia="Cambria" w:hAnsi="Cambria"/>
          <w:b/>
          <w:bCs/>
          <w:color w:val="17365D"/>
          <w:sz w:val="20"/>
          <w:szCs w:val="20"/>
        </w:rPr>
        <w:t xml:space="preserve">RADIANT-3</w:t>
      </w:r>
      <w:r>
        <w:rPr>
          <w:b/>
          <w:bCs/>
          <w:color w:val="176A87"/>
          <w:sz w:val="15"/>
          <w:szCs w:val="15"/>
        </w:rPr>
        <w:t xml:space="preserve">   Randomised trial</w:t>
      </w:r>
      <w:r>
        <w:rPr>
          <w:color w:val="5A6069"/>
          <w:sz w:val="15"/>
          <w:szCs w:val="15"/>
        </w:rPr>
        <w:t xml:space="preserve">   PMID 21306238</w:t>
      </w:r>
    </w:p>
    <w:p>
      <w:pPr>
        <w:spacing w:after="50" w:line="276"/>
      </w:pPr>
      <w:r>
        <w:rPr>
          <w:color w:val="5A6069"/>
          <w:sz w:val="17"/>
          <w:szCs w:val="17"/>
        </w:rPr>
        <w:t xml:space="preserve">Everolimus for Advanced Pancreatic Neuroendocrine Tumors</w:t>
      </w:r>
    </w:p>
    <w:p>
      <w:pPr>
        <w:spacing w:after="50"/>
      </w:pPr>
      <w:r>
        <w:rPr>
          <w:b/>
          <w:bCs/>
          <w:color w:val="176A87"/>
          <w:sz w:val="16"/>
          <w:szCs w:val="16"/>
        </w:rPr>
        <w:t xml:space="preserve">Population. </w:t>
      </w:r>
      <w:r>
        <w:rPr>
          <w:sz w:val="16"/>
          <w:szCs w:val="16"/>
        </w:rPr>
        <w:t xml:space="preserve">410 patients with advanced low- or intermediate-grade pancreatic neuroendocrine tumours and radiologic progression within the previous 12 months, randomised at 82 centres in 18 countries between July 2007 and May 2009: 207 to everolimus 10 mg daily and 203 to placebo; over 90% had liver metastases, 24% a functioning tumour, and 148 of the 203 placebo patients (73%) later crossed over to open-label everolimus.</w:t>
      </w:r>
    </w:p>
    <w:p>
      <w:pPr>
        <w:spacing w:after="70"/>
      </w:pPr>
      <w:r>
        <w:rPr>
          <w:b/>
          <w:bCs/>
          <w:color w:val="17365D"/>
          <w:sz w:val="16"/>
          <w:szCs w:val="16"/>
        </w:rPr>
        <w:t xml:space="preserve">Bottom line. </w:t>
      </w:r>
      <w:r>
        <w:rPr>
          <w:sz w:val="16"/>
          <w:szCs w:val="16"/>
        </w:rPr>
        <w:t xml:space="preserve">RADIANT-3 established everolimus 10 mg daily as a treatment for progressive advanced pancreatic neuroendocrine tumours, more than doubling median progression-free survival from 4.6 to 11.0 months (hazard ratio 0.35), with blinded central review in close agreement. The benefit is stabilisation and nothing more: 5% had a partial response, none a complete one, and because 73% of the placebo arm crossed over the trial can never show whether everolimus lets anyone live longer, with the observed hazard ratio for death at 1.05. Patients embolised within 6 months or ablated within 2 months were excluded and no hepatic tumour burden is reported, so in a cohort over 90% liver-metastatic the trial offers no guidance on sequencing everolimus with liver-directed treatment.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appear in the results and discussion.</w:t>
            </w:r>
          </w:p>
          <w:p>
            <w:pPr>
              <w:pStyle w:val="ListParagraph"/>
              <w:numPr>
                <w:ilvl w:val="0"/>
                <w:numId w:val="2"/>
              </w:numPr>
              <w:spacing w:after="45"/>
            </w:pPr>
            <w:r>
              <w:rPr>
                <w:sz w:val="15"/>
                <w:szCs w:val="15"/>
              </w:rPr>
              <w:t xml:space="preserve">The authors state that patients assigned to placebo could switch to open-label everolimus on progression, which confounds the detection of a treatment-related survival benefit.</w:t>
            </w:r>
          </w:p>
          <w:p>
            <w:pPr>
              <w:pStyle w:val="ListParagraph"/>
              <w:numPr>
                <w:ilvl w:val="0"/>
                <w:numId w:val="2"/>
              </w:numPr>
              <w:spacing w:after="45"/>
            </w:pPr>
            <w:r>
              <w:rPr>
                <w:sz w:val="15"/>
                <w:szCs w:val="15"/>
              </w:rPr>
              <w:t xml:space="preserve">Exposure to study drug was far longer in the everolimus arm, which the authors note when comparing adverse-event rates with other trials.</w:t>
            </w:r>
          </w:p>
          <w:p>
            <w:pPr>
              <w:pStyle w:val="ListParagraph"/>
              <w:numPr>
                <w:ilvl w:val="0"/>
                <w:numId w:val="2"/>
              </w:numPr>
              <w:spacing w:after="45"/>
            </w:pPr>
            <w:r>
              <w:rPr>
                <w:sz w:val="15"/>
                <w:szCs w:val="15"/>
              </w:rPr>
              <w:t xml:space="preserve">Non-infectious pneumonitis and interstitial lung disease, recognised class effects of rapamycin derivatives, were observed, and the authors state only that they can be managed according to existing guidelines.</w:t>
            </w:r>
          </w:p>
          <w:p>
            <w:pPr>
              <w:pStyle w:val="ListParagraph"/>
              <w:numPr>
                <w:ilvl w:val="0"/>
                <w:numId w:val="2"/>
              </w:numPr>
              <w:spacing w:after="45"/>
            </w:pPr>
            <w:r>
              <w:rPr>
                <w:sz w:val="15"/>
                <w:szCs w:val="15"/>
              </w:rPr>
              <w:t xml:space="preserve">Atypical infections including pulmonary tuberculosis, bronchopulmonary aspergillosis and reactivation of hepatitis B each occurred in one patient in association with everolimus.</w:t>
            </w:r>
          </w:p>
          <w:p>
            <w:pPr>
              <w:pStyle w:val="ListParagraph"/>
              <w:numPr>
                <w:ilvl w:val="0"/>
                <w:numId w:val="2"/>
              </w:numPr>
              <w:spacing w:after="45"/>
            </w:pPr>
            <w:r>
              <w:rPr>
                <w:sz w:val="15"/>
                <w:szCs w:val="15"/>
              </w:rPr>
              <w:t xml:space="preserve">Whether everolimus and sunitinib can be combined, and whether that would increase antitumour activity, is explicitly left unresolved.</w:t>
            </w:r>
          </w:p>
          <w:p>
            <w:pPr>
              <w:pStyle w:val="ListParagraph"/>
              <w:numPr>
                <w:ilvl w:val="0"/>
                <w:numId w:val="2"/>
              </w:numPr>
              <w:spacing w:after="45"/>
            </w:pPr>
            <w:r>
              <w:rPr>
                <w:sz w:val="15"/>
                <w:szCs w:val="15"/>
              </w:rPr>
              <w:t xml:space="preserve">The molecular pathogenesis of sporadic pancreatic neuroendocrine tumours is unknown, so the mTOR rationale rests on indirect evidence from genetic syndromes and from paired-biopsy proliferation data.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trial can never answer the survival question, by design. Seventy-three per cent of the placebo arm crossed over to open-label everolimus, the observed hazard ratio for death is 1.05 (95% CI 0.71-1.55), and no amount of further follow-up will recover an interpretable comparison.</w:t>
            </w:r>
          </w:p>
          <w:p>
            <w:pPr>
              <w:pStyle w:val="ListParagraph"/>
              <w:numPr>
                <w:ilvl w:val="0"/>
                <w:numId w:val="2"/>
              </w:numPr>
              <w:spacing w:after="45"/>
            </w:pPr>
            <w:r>
              <w:rPr>
                <w:sz w:val="15"/>
                <w:szCs w:val="15"/>
              </w:rPr>
              <w:t xml:space="preserve">The primary endpoint was investigator-assessed, in a trial whose entry criterion was progression judged locally as an unequivocal increase in tumour size within 12 months. Central adjudicated review agreed closely, which is reassuring, but it was a supportive analysis rather than the registrational endpoint.</w:t>
            </w:r>
          </w:p>
          <w:p>
            <w:pPr>
              <w:pStyle w:val="ListParagraph"/>
              <w:numPr>
                <w:ilvl w:val="0"/>
                <w:numId w:val="2"/>
              </w:numPr>
              <w:spacing w:after="45"/>
            </w:pPr>
            <w:r>
              <w:rPr>
                <w:sz w:val="15"/>
                <w:szCs w:val="15"/>
              </w:rPr>
              <w:t xml:space="preserve">Five per cent of patients had a confirmed partial response and none had a complete response. The drug prevents measurable growth; it does not shrink tumours, so it cannot be used to convert unresectable hepatic disease.</w:t>
            </w:r>
          </w:p>
          <w:p>
            <w:pPr>
              <w:pStyle w:val="ListParagraph"/>
              <w:numPr>
                <w:ilvl w:val="0"/>
                <w:numId w:val="2"/>
              </w:numPr>
              <w:spacing w:after="45"/>
            </w:pPr>
            <w:r>
              <w:rPr>
                <w:sz w:val="15"/>
                <w:szCs w:val="15"/>
              </w:rPr>
              <w:t xml:space="preserve">Censoring was markedly asymmetric, with progression-free survival data censored in 47% of the everolimus arm against 19% of the placebo arm, while exposure differed by a factor of 2.3 (38 against 16 weeks). The first flatters the progression-free survival curve and the second understates everolimus toxicity per unit of time at risk.</w:t>
            </w:r>
          </w:p>
          <w:p>
            <w:pPr>
              <w:pStyle w:val="ListParagraph"/>
              <w:numPr>
                <w:ilvl w:val="0"/>
                <w:numId w:val="2"/>
              </w:numPr>
              <w:spacing w:after="45"/>
            </w:pPr>
            <w:r>
              <w:rPr>
                <w:sz w:val="15"/>
                <w:szCs w:val="15"/>
              </w:rPr>
              <w:t xml:space="preserve">The control arm is placebo with best supportive care in which a somatostatin analogue was given to only about 40% of patients. The trial ran in parallel with PROMID and predates CLARINET, so by any current standard the comparator is undertreated.</w:t>
            </w:r>
          </w:p>
          <w:p>
            <w:pPr>
              <w:pStyle w:val="ListParagraph"/>
              <w:numPr>
                <w:ilvl w:val="0"/>
                <w:numId w:val="2"/>
              </w:numPr>
              <w:spacing w:after="45"/>
            </w:pPr>
            <w:r>
              <w:rPr>
                <w:sz w:val="15"/>
                <w:szCs w:val="15"/>
              </w:rPr>
              <w:t xml:space="preserve">There is no comparison with any active agent: not streptozocin-based chemotherapy, which was the established cytotoxic option at the time, and not capecitabine-temozolomide or PRRT, which have since become the real competitors. The trial establishes activity, not position in a sequence.</w:t>
            </w:r>
          </w:p>
          <w:p>
            <w:pPr>
              <w:pStyle w:val="ListParagraph"/>
              <w:numPr>
                <w:ilvl w:val="0"/>
                <w:numId w:val="2"/>
              </w:numPr>
              <w:spacing w:after="45"/>
            </w:pPr>
            <w:r>
              <w:rPr>
                <w:sz w:val="15"/>
                <w:szCs w:val="15"/>
              </w:rPr>
              <w:t xml:space="preserve">Patients embolised within 6 months, or ablated or cryoablated within 2 months, were excluded, and over 90% of the cohort had liver metastases. The trial therefore says nothing about everolimus in patients who have had or are being considered for liver-directed therapy, and reports no hepatic tumour burden at all.</w:t>
            </w:r>
          </w:p>
          <w:p>
            <w:pPr>
              <w:pStyle w:val="ListParagraph"/>
              <w:numPr>
                <w:ilvl w:val="0"/>
                <w:numId w:val="2"/>
              </w:numPr>
              <w:spacing w:after="45"/>
            </w:pPr>
            <w:r>
              <w:rPr>
                <w:sz w:val="15"/>
                <w:szCs w:val="15"/>
              </w:rPr>
              <w:t xml:space="preserve">Toxicity is presented as mild because most events were grade 1 or 2, while 13% of patients discontinued for drug-related adverse events against 2% on placebo, dose adjustment was needed for stomatitis in 10%, pneumonitis in 7% and thrombocytopenia in 7%, and one patient died of treatment-related acute respiratory distress syndrome.</w:t>
            </w:r>
          </w:p>
          <w:p>
            <w:pPr>
              <w:pStyle w:val="ListParagraph"/>
              <w:numPr>
                <w:ilvl w:val="0"/>
                <w:numId w:val="2"/>
              </w:numPr>
              <w:spacing w:after="45"/>
            </w:pPr>
            <w:r>
              <w:rPr>
                <w:sz w:val="15"/>
                <w:szCs w:val="15"/>
              </w:rPr>
              <w:t xml:space="preserve">The pneumonitis signal is reported in pieces. Pneumonitis occurred in 12% and interstitial lung disease in 2% against 0% on placebo, glucocorticoids were given to six of the seven patients with grade 3 or 4 events, and the discussion records that only 5 of those events (2%) were considered drug-related, which reclassifies most of the severe cases away from the drug.</w:t>
            </w:r>
          </w:p>
          <w:p>
            <w:pPr>
              <w:pStyle w:val="ListParagraph"/>
              <w:numPr>
                <w:ilvl w:val="0"/>
                <w:numId w:val="2"/>
              </w:numPr>
              <w:spacing w:after="45"/>
            </w:pPr>
            <w:r>
              <w:rPr>
                <w:sz w:val="15"/>
                <w:szCs w:val="15"/>
              </w:rPr>
              <w:t xml:space="preserve">Twenty-four per cent of patients had a functioning tumour and no hormonal symptom outcome is reported, nor any quality-of-life result, in a disease where symptom control is often the reason to treat.</w:t>
            </w:r>
          </w:p>
          <w:p>
            <w:pPr>
              <w:pStyle w:val="ListParagraph"/>
              <w:numPr>
                <w:ilvl w:val="0"/>
                <w:numId w:val="2"/>
              </w:numPr>
              <w:spacing w:after="45"/>
            </w:pPr>
            <w:r>
              <w:rPr>
                <w:sz w:val="15"/>
                <w:szCs w:val="15"/>
              </w:rPr>
              <w:t xml:space="preserve">Grade was determined locally by low or intermediate category rather than by central Ki-67, so the grade subgroup consistency the paper reports is consistency across locally assigned labels.</w:t>
            </w:r>
          </w:p>
          <w:p>
            <w:pPr>
              <w:pStyle w:val="ListParagraph"/>
              <w:numPr>
                <w:ilvl w:val="0"/>
                <w:numId w:val="2"/>
              </w:numPr>
              <w:spacing w:after="45"/>
            </w:pPr>
            <w:r>
              <w:rPr>
                <w:sz w:val="15"/>
                <w:szCs w:val="15"/>
              </w:rPr>
              <w:t xml:space="preserve">The sponsor built and analysed the trial: Novartis Oncology co-designed it with the academic investigators, the data were collected on the sponsor's data management systems and analysed by the sponsor's statistical team, and the first draft was written by the first author together with a Novartis Oncology medical writer, with further manuscript assistance from a communications agency.</w:t>
            </w:r>
          </w:p>
          <w:p>
            <w:pPr>
              <w:pStyle w:val="ListParagraph"/>
              <w:numPr>
                <w:ilvl w:val="0"/>
                <w:numId w:val="2"/>
              </w:numPr>
              <w:spacing w:after="45"/>
            </w:pPr>
            <w:r>
              <w:rPr>
                <w:sz w:val="15"/>
                <w:szCs w:val="15"/>
              </w:rPr>
              <w:t xml:space="preserve">A linked editorial (Jensen and Delle Fave, N Engl J Med 2011;364:564-565, PMID 21306243) and correspondence covering this trial and the companion sunitinib trial (PMID 21561355 and the letters at NEJMc1102746) accompany the paper. None of those texts was obtained, so no position is attributed to them here.</w:t>
            </w:r>
          </w:p>
        </w:tc>
      </w:tr>
    </w:tbl>
    <w:p>
      <w:pPr>
        <w:spacing w:after="0" w:line="276"/>
      </w:pPr>
      <w:r>
        <w:rPr>
          <w:color w:val="5A6069"/>
          <w:sz w:val="14"/>
          <w:szCs w:val="14"/>
        </w:rPr>
        <w:t xml:space="preserve">Funding: Supported by Novartis Oncology. The study was designed by the academic investigators together with representatives of the sponsor; the data were collected using the sponsor's data management systems and analysed by the sponsor's statistical team; the first draft was prepared by the first author with a medical writer employed by Novartis Oncology, with further manuscript assistance acknowledged from ApotheCom. One co-author is affiliated to Novartis Oncology.</w:t>
      </w:r>
    </w:p>
    <w:p>
      <w:pPr>
        <w:keepNext/>
        <w:spacing w:after="50" w:before="260"/>
      </w:pPr>
      <w:r>
        <w:rPr>
          <w:rFonts w:ascii="Cambria" w:cs="Cambria" w:eastAsia="Cambria" w:hAnsi="Cambria"/>
          <w:b/>
          <w:bCs/>
          <w:color w:val="17365D"/>
          <w:sz w:val="20"/>
          <w:szCs w:val="20"/>
        </w:rPr>
        <w:t xml:space="preserve">RADIANT-4</w:t>
      </w:r>
      <w:r>
        <w:rPr>
          <w:b/>
          <w:bCs/>
          <w:color w:val="176A87"/>
          <w:sz w:val="15"/>
          <w:szCs w:val="15"/>
        </w:rPr>
        <w:t xml:space="preserve">   Randomised trial</w:t>
      </w:r>
      <w:r>
        <w:rPr>
          <w:color w:val="5A6069"/>
          <w:sz w:val="15"/>
          <w:szCs w:val="15"/>
        </w:rPr>
        <w:t xml:space="preserve">   PMID 26703889</w:t>
      </w:r>
    </w:p>
    <w:p>
      <w:pPr>
        <w:spacing w:after="50" w:line="276"/>
      </w:pPr>
      <w:r>
        <w:rPr>
          <w:color w:val="5A6069"/>
          <w:sz w:val="17"/>
          <w:szCs w:val="17"/>
        </w:rPr>
        <w:t xml:space="preserve">Everolimus for the treatment of advanced, non-functional neuroendocrine tumours of the lung or gastrointestinal tract (RADIANT-4): a randomised, placebo-controlled, phase 3 study</w:t>
      </w:r>
    </w:p>
    <w:p>
      <w:pPr>
        <w:spacing w:after="50"/>
      </w:pPr>
      <w:r>
        <w:rPr>
          <w:b/>
          <w:bCs/>
          <w:color w:val="176A87"/>
          <w:sz w:val="16"/>
          <w:szCs w:val="16"/>
        </w:rPr>
        <w:t xml:space="preserve">Population. </w:t>
      </w:r>
      <w:r>
        <w:rPr>
          <w:sz w:val="16"/>
          <w:szCs w:val="16"/>
        </w:rPr>
        <w:t xml:space="preserve">302 patients with advanced, progressive, non-functional, well-differentiated grade 1 or 2 neuroendocrine tumours of lung or gastrointestinal origin, randomised 2:1 at 97 centres in 25 countries between April 2012 and August 2013: 205 to everolimus 10 mg daily and 97 to placebo. Eighty per cent had liver metastases, most with 10% or less hepatic tumour burden, and crossover was not permitted.</w:t>
      </w:r>
    </w:p>
    <w:p>
      <w:pPr>
        <w:spacing w:after="70"/>
      </w:pPr>
      <w:r>
        <w:rPr>
          <w:b/>
          <w:bCs/>
          <w:color w:val="17365D"/>
          <w:sz w:val="16"/>
          <w:szCs w:val="16"/>
        </w:rPr>
        <w:t xml:space="preserve">Bottom line. </w:t>
      </w:r>
      <w:r>
        <w:rPr>
          <w:sz w:val="16"/>
          <w:szCs w:val="16"/>
        </w:rPr>
        <w:t xml:space="preserve">RADIANT-4 is the basis for using everolimus in advanced, progressive, non-functional lung and gastrointestinal neuroendocrine tumours, almost tripling median progression-free survival from 3.9 to 11.0 months by blinded central review, in a population that had virtually no proven systemic option. The gain is stabilisation and not shrinkage, with a 2% response rate, no mature survival data, and two thirds of patients needing dose reduction or interruption, 12% stopping for toxicity and pneumonitis in 16%. The consistency across subgroups that the paper asserts does not hold for men (HR 0.78, 95% CI 0.51-1.22) or for the better-prognosis stratum containing the ileal and jejunal primaries (0.63, 0.40-1.02), and with 80% of patients carrying 10% or less hepatic burden and recent embolisation or ablation excluded, the trial says nothing about the heavily liver-burdened patient.</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in the discussion.</w:t>
            </w:r>
          </w:p>
          <w:p>
            <w:pPr>
              <w:pStyle w:val="ListParagraph"/>
              <w:numPr>
                <w:ilvl w:val="0"/>
                <w:numId w:val="2"/>
              </w:numPr>
              <w:spacing w:after="45"/>
            </w:pPr>
            <w:r>
              <w:rPr>
                <w:sz w:val="15"/>
                <w:szCs w:val="15"/>
              </w:rPr>
              <w:t xml:space="preserve">Overall survival data are immature: the first interim analysis suggested only a trend in favour of everolimus and was not statistically significant, and up to two further survival analyses were planned as the data matured.</w:t>
            </w:r>
          </w:p>
          <w:p>
            <w:pPr>
              <w:pStyle w:val="ListParagraph"/>
              <w:numPr>
                <w:ilvl w:val="0"/>
                <w:numId w:val="2"/>
              </w:numPr>
              <w:spacing w:after="45"/>
            </w:pPr>
            <w:r>
              <w:rPr>
                <w:sz w:val="15"/>
                <w:szCs w:val="15"/>
              </w:rPr>
              <w:t xml:space="preserve">The authors characterise the effect as a durable benefit in delaying tumour growth rather than as tumour shrinkage.</w:t>
            </w:r>
          </w:p>
          <w:p>
            <w:pPr>
              <w:pStyle w:val="ListParagraph"/>
              <w:numPr>
                <w:ilvl w:val="0"/>
                <w:numId w:val="2"/>
              </w:numPr>
              <w:spacing w:after="45"/>
            </w:pPr>
            <w:r>
              <w:rPr>
                <w:sz w:val="15"/>
                <w:szCs w:val="15"/>
              </w:rPr>
              <w:t xml:space="preserve">Most everolimus-related adverse events required dose modification or interruption to manage.</w:t>
            </w:r>
          </w:p>
          <w:p>
            <w:pPr>
              <w:pStyle w:val="ListParagraph"/>
              <w:numPr>
                <w:ilvl w:val="0"/>
                <w:numId w:val="2"/>
              </w:numPr>
              <w:spacing w:after="45"/>
            </w:pPr>
            <w:r>
              <w:rPr>
                <w:sz w:val="15"/>
                <w:szCs w:val="15"/>
              </w:rPr>
              <w:t xml:space="preserve">The mTOR rationale rests on indirect evidence, decreased S6 phosphorylation and reduced Ki-67 labelling in earlier translational work, rather than on any biomarker measured in this trial.</w:t>
            </w:r>
          </w:p>
          <w:p>
            <w:pPr>
              <w:pStyle w:val="ListParagraph"/>
              <w:numPr>
                <w:ilvl w:val="0"/>
                <w:numId w:val="2"/>
              </w:numPr>
              <w:spacing w:after="45"/>
            </w:pPr>
            <w:r>
              <w:rPr>
                <w:sz w:val="15"/>
                <w:szCs w:val="15"/>
              </w:rPr>
              <w:t xml:space="preserve">The authors present the absence of crossover as the reason their survival estimate is less biased than RADIANT-2's, implicitly conceding that the earlier trial's survival analysis was not interpretable.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central and local radiology readings disagree by months in both arms: placebo 3.9 against 5.5 months and everolimus 11.0 against 14.0. The authors blame exactly this kind of reader discordance for RADIANT-2's failure, so the size of the effect reported here depends on which read is used, and the stratified central estimate (HR 0.48) differs materially from the unstratified all-patients figure in the forest plot (0.56, 95% CI 0.41-0.77).</w:t>
            </w:r>
          </w:p>
          <w:p>
            <w:pPr>
              <w:pStyle w:val="ListParagraph"/>
              <w:numPr>
                <w:ilvl w:val="0"/>
                <w:numId w:val="2"/>
              </w:numPr>
              <w:spacing w:after="45"/>
            </w:pPr>
            <w:r>
              <w:rPr>
                <w:sz w:val="15"/>
                <w:szCs w:val="15"/>
              </w:rPr>
              <w:t xml:space="preserve">The claim of consistency across subgroups is not what the forest plots show. In men the hazard ratio is 0.78 (95% CI 0.51-1.22) against 0.39 (0.25-0.60) in women, and in the better-prognosis stratum A it is 0.63 (0.40-1.02) against 0.43 (0.28-0.66) in stratum B. Two of the trial's own prespecified subgroups therefore fail to exclude no effect, and neither is mentioned in the text.</w:t>
            </w:r>
          </w:p>
          <w:p>
            <w:pPr>
              <w:pStyle w:val="ListParagraph"/>
              <w:numPr>
                <w:ilvl w:val="0"/>
                <w:numId w:val="2"/>
              </w:numPr>
              <w:spacing w:after="45"/>
            </w:pPr>
            <w:r>
              <w:rPr>
                <w:sz w:val="15"/>
                <w:szCs w:val="15"/>
              </w:rPr>
              <w:t xml:space="preserve">Stratum A is the stratum that contains the appendiceal, caecal, jejunal, ileal and duodenal primaries, that is the midgut patient a surgeon sees with liver metastases, and that is the stratum in which the confidence interval crosses 1.</w:t>
            </w:r>
          </w:p>
          <w:p>
            <w:pPr>
              <w:pStyle w:val="ListParagraph"/>
              <w:numPr>
                <w:ilvl w:val="0"/>
                <w:numId w:val="2"/>
              </w:numPr>
              <w:spacing w:after="45"/>
            </w:pPr>
            <w:r>
              <w:rPr>
                <w:sz w:val="15"/>
                <w:szCs w:val="15"/>
              </w:rPr>
              <w:t xml:space="preserve">The analysis by primary tumour origin that supports the lung and gastrointestinal labels is a retrospective post hoc grouping using unstratified Cox models, with one patient of thymic origin excluded from it, among roughly eighteen subgroup estimates reported without multiplicity adjustment or interaction testing.</w:t>
            </w:r>
          </w:p>
          <w:p>
            <w:pPr>
              <w:pStyle w:val="ListParagraph"/>
              <w:numPr>
                <w:ilvl w:val="0"/>
                <w:numId w:val="2"/>
              </w:numPr>
              <w:spacing w:after="45"/>
            </w:pPr>
            <w:r>
              <w:rPr>
                <w:sz w:val="15"/>
                <w:szCs w:val="15"/>
              </w:rPr>
              <w:t xml:space="preserve">Overall survival was tested at its first interim look with 70 deaths against a boundary of 0.0002 and returned a one-sided p of 0.037. Presenting that as a possible trend towards benefit is a description of a result three orders of magnitude from its own threshold, and no mature survival analysis appears in this report.</w:t>
            </w:r>
          </w:p>
          <w:p>
            <w:pPr>
              <w:pStyle w:val="ListParagraph"/>
              <w:numPr>
                <w:ilvl w:val="0"/>
                <w:numId w:val="2"/>
              </w:numPr>
              <w:spacing w:after="45"/>
            </w:pPr>
            <w:r>
              <w:rPr>
                <w:sz w:val="15"/>
                <w:szCs w:val="15"/>
              </w:rPr>
              <w:t xml:space="preserve">A 2% confirmed response rate means essentially nobody's tumour shrank by RECIST criteria, so the entire gain is the absence of documented growth over a placebo median of 3.9 months in a disease whose natural history is highly variable.</w:t>
            </w:r>
          </w:p>
          <w:p>
            <w:pPr>
              <w:pStyle w:val="ListParagraph"/>
              <w:numPr>
                <w:ilvl w:val="0"/>
                <w:numId w:val="2"/>
              </w:numPr>
              <w:spacing w:after="45"/>
            </w:pPr>
            <w:r>
              <w:rPr>
                <w:sz w:val="15"/>
                <w:szCs w:val="15"/>
              </w:rPr>
              <w:t xml:space="preserve">Best supportive care explicitly excluded somatostatin analogues for tumour control, although 53 to 56% of patients had received one before entry and PROMID and CLARINET had already established them. The comparator is therefore less than the standard of care that existed when the trial reported.</w:t>
            </w:r>
          </w:p>
          <w:p>
            <w:pPr>
              <w:pStyle w:val="ListParagraph"/>
              <w:numPr>
                <w:ilvl w:val="0"/>
                <w:numId w:val="2"/>
              </w:numPr>
              <w:spacing w:after="45"/>
            </w:pPr>
            <w:r>
              <w:rPr>
                <w:sz w:val="15"/>
                <w:szCs w:val="15"/>
              </w:rPr>
              <w:t xml:space="preserve">Carcinoid syndrome and all pancreatic primaries were excluded by protocol, and only 23% had an ileal and 8% a jejunal primary, so the trial does not cover the functional small-bowel patient who most often arrives with neuroendocrine liver metastases.</w:t>
            </w:r>
          </w:p>
          <w:p>
            <w:pPr>
              <w:pStyle w:val="ListParagraph"/>
              <w:numPr>
                <w:ilvl w:val="0"/>
                <w:numId w:val="2"/>
              </w:numPr>
              <w:spacing w:after="45"/>
            </w:pPr>
            <w:r>
              <w:rPr>
                <w:sz w:val="15"/>
                <w:szCs w:val="15"/>
              </w:rPr>
              <w:t xml:space="preserve">The claim that benefit is independent of the extent of liver metastasis is made in a cohort selected to have very little: 80% had liver metastases and most had 10% or less hepatic tumour burden. The high-burden patient for whom a liver-directed option is in question is barely represented.</w:t>
            </w:r>
          </w:p>
          <w:p>
            <w:pPr>
              <w:pStyle w:val="ListParagraph"/>
              <w:numPr>
                <w:ilvl w:val="0"/>
                <w:numId w:val="2"/>
              </w:numPr>
              <w:spacing w:after="45"/>
            </w:pPr>
            <w:r>
              <w:rPr>
                <w:sz w:val="15"/>
                <w:szCs w:val="15"/>
              </w:rPr>
              <w:t xml:space="preserve">Patients embolised within 6 months, or ablated or cryoablated within 2 months, were excluded, so nothing here informs the combination or sequencing of everolimus with liver-directed therapy.</w:t>
            </w:r>
          </w:p>
          <w:p>
            <w:pPr>
              <w:pStyle w:val="ListParagraph"/>
              <w:numPr>
                <w:ilvl w:val="0"/>
                <w:numId w:val="2"/>
              </w:numPr>
              <w:spacing w:after="45"/>
            </w:pPr>
            <w:r>
              <w:rPr>
                <w:sz w:val="15"/>
                <w:szCs w:val="15"/>
              </w:rPr>
              <w:t xml:space="preserve">Tolerability is the real counterweight to a 7.1-month median gain: two thirds of patients needed dose reduction or interruption, 12% discontinued for grade 3 or 4 drug-related events, and non-infectious pneumonitis occurred in 16%. No quality-of-life result is reported in this paper at all.</w:t>
            </w:r>
          </w:p>
          <w:p>
            <w:pPr>
              <w:pStyle w:val="ListParagraph"/>
              <w:numPr>
                <w:ilvl w:val="0"/>
                <w:numId w:val="2"/>
              </w:numPr>
              <w:spacing w:after="45"/>
            </w:pPr>
            <w:r>
              <w:rPr>
                <w:sz w:val="15"/>
                <w:szCs w:val="15"/>
              </w:rPr>
              <w:t xml:space="preserve">The 2:1 allocation leaves only 97 patients on placebo, so every subgroup comparison divides a control arm of under a hundred patients.</w:t>
            </w:r>
          </w:p>
          <w:p>
            <w:pPr>
              <w:pStyle w:val="ListParagraph"/>
              <w:numPr>
                <w:ilvl w:val="0"/>
                <w:numId w:val="2"/>
              </w:numPr>
              <w:spacing w:after="45"/>
            </w:pPr>
            <w:r>
              <w:rPr>
                <w:sz w:val="15"/>
                <w:szCs w:val="15"/>
              </w:rPr>
              <w:t xml:space="preserve">Response and progression were assessed by modified RECIST version 1.0 in a trial enrolling in 2012 and 2013, when RECIST 1.1 was the established standard.</w:t>
            </w:r>
          </w:p>
          <w:p>
            <w:pPr>
              <w:pStyle w:val="ListParagraph"/>
              <w:numPr>
                <w:ilvl w:val="0"/>
                <w:numId w:val="2"/>
              </w:numPr>
              <w:spacing w:after="45"/>
            </w:pPr>
            <w:r>
              <w:rPr>
                <w:sz w:val="15"/>
                <w:szCs w:val="15"/>
              </w:rPr>
              <w:t xml:space="preserve">The funder co-designed the trial, a funder-designated contract research organisation collected the data, the funder's statistical team performed the analysis, and the first draft was written by the first author with a medical writer employed by the funder; two co-authors are affiliated to Novartis.</w:t>
            </w:r>
          </w:p>
          <w:p>
            <w:pPr>
              <w:pStyle w:val="ListParagraph"/>
              <w:numPr>
                <w:ilvl w:val="0"/>
                <w:numId w:val="2"/>
              </w:numPr>
              <w:spacing w:after="45"/>
            </w:pPr>
            <w:r>
              <w:rPr>
                <w:sz w:val="15"/>
                <w:szCs w:val="15"/>
              </w:rPr>
              <w:t xml:space="preserve">A linked comment (Oberg, 'Universal everolimus for malignant neuroendocrine tumours?', Lancet 2016;387:924-926, PMID 26703890) and correspondence specifically about ileal tumours (Walter and Lombard-Bohas, Lancet 2016;388:236, PMID 27479567, with authors' reply PMID 27479568) accompany this paper. None of those texts was accessible, so no position is attributed to them here, though the correspondence title indicates the ileal subgroup was contested at the time.</w:t>
            </w:r>
          </w:p>
        </w:tc>
      </w:tr>
    </w:tbl>
    <w:p>
      <w:pPr>
        <w:spacing w:after="0" w:line="276"/>
      </w:pPr>
      <w:r>
        <w:rPr>
          <w:color w:val="5A6069"/>
          <w:sz w:val="14"/>
          <w:szCs w:val="14"/>
        </w:rPr>
        <w:t xml:space="preserve">Funding: Novartis Pharmaceuticals Corporation. The study was designed by academic investigators together with representatives of the funder; data were collected electronically through a contract research organisation designated by the funder (PPD Global Ltd) and analysed by the funder's statistical team; the first draft was prepared by the first author with a medical writer employed by the funder. Two co-authors are affiliated to Novartis. The declaration of interests records honoraria, consulting or advisory fees and research funding from Novartis for the first author and most senior co-authors, alongside Ipsen, Lexicon and Italfarmaco.</w:t>
      </w:r>
    </w:p>
    <w:p>
      <w:pPr>
        <w:keepNext/>
        <w:spacing w:after="50" w:before="260"/>
      </w:pPr>
      <w:r>
        <w:rPr>
          <w:rFonts w:ascii="Cambria" w:cs="Cambria" w:eastAsia="Cambria" w:hAnsi="Cambria"/>
          <w:b/>
          <w:bCs/>
          <w:color w:val="17365D"/>
          <w:sz w:val="20"/>
          <w:szCs w:val="20"/>
        </w:rPr>
        <w:t xml:space="preserve">Resection vs transplant</w:t>
      </w:r>
      <w:r>
        <w:rPr>
          <w:b/>
          <w:bCs/>
          <w:color w:val="176A87"/>
          <w:sz w:val="15"/>
          <w:szCs w:val="15"/>
        </w:rPr>
        <w:t xml:space="preserve">   cohort</w:t>
      </w:r>
      <w:r>
        <w:rPr>
          <w:color w:val="5A6069"/>
          <w:sz w:val="15"/>
          <w:szCs w:val="15"/>
        </w:rPr>
        <w:t xml:space="preserve">   PMID 35869798</w:t>
      </w:r>
    </w:p>
    <w:p>
      <w:pPr>
        <w:spacing w:after="50" w:line="276"/>
      </w:pPr>
      <w:r>
        <w:rPr>
          <w:color w:val="5A6069"/>
          <w:sz w:val="17"/>
          <w:szCs w:val="17"/>
        </w:rPr>
        <w:t xml:space="preserve">Long-term outcomes of resection versus transplantation for neuroendocrine liver metastases meeting the Milan criteria</w:t>
      </w:r>
    </w:p>
    <w:p>
      <w:pPr>
        <w:spacing w:after="50"/>
      </w:pPr>
      <w:r>
        <w:rPr>
          <w:b/>
          <w:bCs/>
          <w:color w:val="176A87"/>
          <w:sz w:val="16"/>
          <w:szCs w:val="16"/>
        </w:rPr>
        <w:t xml:space="preserve">Population. </w:t>
      </w:r>
      <w:r>
        <w:rPr>
          <w:sz w:val="16"/>
          <w:szCs w:val="16"/>
        </w:rPr>
        <w:t xml:space="preserve">104 of 149 patients (70%) operated with curative intent for liver-only neuroendocrine liver metastases at one centre between 1984 and 2019 whose burden met the Milan criteria: 48 of 53 transplanted and 56 of 96 resected.</w:t>
      </w:r>
    </w:p>
    <w:p>
      <w:pPr>
        <w:spacing w:after="70"/>
      </w:pPr>
      <w:r>
        <w:rPr>
          <w:b/>
          <w:bCs/>
          <w:color w:val="17365D"/>
          <w:sz w:val="16"/>
          <w:szCs w:val="16"/>
        </w:rPr>
        <w:t xml:space="preserve">Bottom line. </w:t>
      </w:r>
      <w:r>
        <w:rPr>
          <w:sz w:val="16"/>
          <w:szCs w:val="16"/>
        </w:rPr>
        <w:t xml:space="preserve">Within one centre's Milan-in population, transplantation was followed by 93% ten-year survival and 52% ten-year disease-free survival against 75% and 18% after resection, with recurrence after resection almost always hepatic and after transplantation almost always nodal or multisite. It does not show that transplantation is the better operation for a given patient, because the two arms were separated by resectability itself, nothing is adjusted beyond a single-row univariate table, survival is timed from an operation the transplant group reached three years later, and the primary endpoint counts 6 deaths from transplant sequelae alongside 17 cancer deaths in the resection arm. Post-recurrence survival was identical in the two groups (p=.276), and the paper's own conclusion that resectable patients should be offered upfront transplantation describes a population it never transplanted.</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two cohorts were not perfectly balanced at baseline: the transplant group was younger, had higher Ki-67 at pathology and a higher rate of nodal involvement of the primary tumour.</w:t>
            </w:r>
          </w:p>
          <w:p>
            <w:pPr>
              <w:pStyle w:val="ListParagraph"/>
              <w:numPr>
                <w:ilvl w:val="0"/>
                <w:numId w:val="2"/>
              </w:numPr>
              <w:spacing w:after="45"/>
            </w:pPr>
            <w:r>
              <w:rPr>
                <w:sz w:val="15"/>
                <w:szCs w:val="15"/>
              </w:rPr>
              <w:t xml:space="preserve">There may be a selection bias toward young patients, who because of longer life expectancy are offered transplantation more often despite adverse prognostic factors.</w:t>
            </w:r>
          </w:p>
          <w:p>
            <w:pPr>
              <w:pStyle w:val="ListParagraph"/>
              <w:numPr>
                <w:ilvl w:val="0"/>
                <w:numId w:val="2"/>
              </w:numPr>
              <w:spacing w:after="45"/>
            </w:pPr>
            <w:r>
              <w:rPr>
                <w:sz w:val="15"/>
                <w:szCs w:val="15"/>
              </w:rPr>
              <w:t xml:space="preserve">The interval from resection of the primary to liver surgery was significantly longer in the transplant group, adding a test of time that screens out rapidly progressive disease; whether this selected more favourable biology is difficult to assess.</w:t>
            </w:r>
          </w:p>
          <w:p>
            <w:pPr>
              <w:pStyle w:val="ListParagraph"/>
              <w:numPr>
                <w:ilvl w:val="0"/>
                <w:numId w:val="2"/>
              </w:numPr>
              <w:spacing w:after="45"/>
            </w:pPr>
            <w:r>
              <w:rPr>
                <w:sz w:val="15"/>
                <w:szCs w:val="15"/>
              </w:rPr>
              <w:t xml:space="preserve">The study is a single-centre experience spanning more than three decades, during which indications, classifications and organ-allocation policies all changed and influenced the results.</w:t>
            </w:r>
          </w:p>
          <w:p>
            <w:pPr>
              <w:pStyle w:val="ListParagraph"/>
              <w:numPr>
                <w:ilvl w:val="0"/>
                <w:numId w:val="2"/>
              </w:numPr>
              <w:spacing w:after="45"/>
            </w:pPr>
            <w:r>
              <w:rPr>
                <w:sz w:val="15"/>
                <w:szCs w:val="15"/>
              </w:rPr>
              <w:t xml:space="preserve">No intention-to-treat analysis accounting for drop-out from the transplant waiting list could be performed.</w:t>
            </w:r>
          </w:p>
          <w:p>
            <w:pPr>
              <w:pStyle w:val="ListParagraph"/>
              <w:numPr>
                <w:ilvl w:val="0"/>
                <w:numId w:val="2"/>
              </w:numPr>
              <w:spacing w:after="45"/>
            </w:pPr>
            <w:r>
              <w:rPr>
                <w:sz w:val="15"/>
                <w:szCs w:val="15"/>
              </w:rPr>
              <w:t xml:space="preserve">The two groups were retrospectively selected from historical cohorts and selection bias cannot be excluded; the cohort of a little over a hundred patients is relatively small.</w:t>
            </w:r>
          </w:p>
          <w:p>
            <w:pPr>
              <w:pStyle w:val="ListParagraph"/>
              <w:numPr>
                <w:ilvl w:val="0"/>
                <w:numId w:val="2"/>
              </w:numPr>
              <w:spacing w:after="45"/>
            </w:pPr>
            <w:r>
              <w:rPr>
                <w:sz w:val="15"/>
                <w:szCs w:val="15"/>
              </w:rPr>
              <w:t xml:space="preserve">The authors state the retrospective design prevents practice-changing conclusions because of the high risk of selection bias, and that all conclusions need confirmation.</w:t>
            </w:r>
          </w:p>
          <w:p>
            <w:pPr>
              <w:pStyle w:val="ListParagraph"/>
              <w:numPr>
                <w:ilvl w:val="0"/>
                <w:numId w:val="2"/>
              </w:numPr>
              <w:spacing w:after="45"/>
            </w:pPr>
            <w:r>
              <w:rPr>
                <w:sz w:val="15"/>
                <w:szCs w:val="15"/>
              </w:rPr>
              <w:t xml:space="preserve">Transplantation requires lifelong immunosuppression predisposing to infection, de novo tumours and cardiovascular disease, which the series shows directly: 6 of the 9 deaths after transplantation were not cancer related but likely due to transplant sequelae.</w:t>
            </w:r>
          </w:p>
          <w:p>
            <w:pPr>
              <w:pStyle w:val="ListParagraph"/>
              <w:numPr>
                <w:ilvl w:val="0"/>
                <w:numId w:val="2"/>
              </w:numPr>
              <w:spacing w:after="45"/>
            </w:pPr>
            <w:r>
              <w:rPr>
                <w:sz w:val="15"/>
                <w:szCs w:val="15"/>
              </w:rPr>
              <w:t xml:space="preserve">Liver resection is conceded to be a suboptimal locoregional treatment because tumour is almost always left behind whatever the type of resection.</w:t>
            </w:r>
          </w:p>
          <w:p>
            <w:pPr>
              <w:pStyle w:val="ListParagraph"/>
              <w:numPr>
                <w:ilvl w:val="0"/>
                <w:numId w:val="2"/>
              </w:numPr>
              <w:spacing w:after="45"/>
            </w:pPr>
            <w:r>
              <w:rPr>
                <w:sz w:val="15"/>
                <w:szCs w:val="15"/>
              </w:rPr>
              <w:t xml:space="preserve">Whether the predominance of lymphatic recurrence after transplantation reflects indirect selection of a different tumour biology by the Milan criteria is left open; nodal status of the primary is not part of those criteria.</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two arms were defined by resectability, not allocated. Resection was offered to resectable disease and transplantation only when R0 was technically impossible or the remnant would be insufficient, so meeting the Milan criteria equalises tumour burden while leaving the arms differing on the one feature that determined treatment. The conclusion that clinicians should consider upfront transplantation in resectable patients applies to a group that was never transplanted here.</w:t>
            </w:r>
          </w:p>
          <w:p>
            <w:pPr>
              <w:pStyle w:val="ListParagraph"/>
              <w:numPr>
                <w:ilvl w:val="0"/>
                <w:numId w:val="2"/>
              </w:numPr>
              <w:spacing w:after="45"/>
            </w:pPr>
            <w:r>
              <w:rPr>
                <w:sz w:val="15"/>
                <w:szCs w:val="15"/>
              </w:rPr>
              <w:t xml:space="preserve">Nothing is adjusted. Table 4 is headed 'univariate analysis of factors independently associated with OS and DFS', a contradiction in terms, and contains a single row, liver transplantation. No multivariable model exists, so the 93% versus 75% difference is unadjusted for age, Ki-67, liver involvement, nodal status or era, all of which differ between arms.</w:t>
            </w:r>
          </w:p>
          <w:p>
            <w:pPr>
              <w:pStyle w:val="ListParagraph"/>
              <w:numPr>
                <w:ilvl w:val="0"/>
                <w:numId w:val="2"/>
              </w:numPr>
              <w:spacing w:after="45"/>
            </w:pPr>
            <w:r>
              <w:rPr>
                <w:sz w:val="15"/>
                <w:szCs w:val="15"/>
              </w:rPr>
              <w:t xml:space="preserve">The univariate table reports only the factor that was positive. Which other candidate variables were tested, and how many, is never shown, so the reader cannot judge the selection or the multiplicity.</w:t>
            </w:r>
          </w:p>
          <w:p>
            <w:pPr>
              <w:pStyle w:val="ListParagraph"/>
              <w:numPr>
                <w:ilvl w:val="0"/>
                <w:numId w:val="2"/>
              </w:numPr>
              <w:spacing w:after="45"/>
            </w:pPr>
            <w:r>
              <w:rPr>
                <w:sz w:val="15"/>
                <w:szCs w:val="15"/>
              </w:rPr>
              <w:t xml:space="preserve">The nodal-involvement results inside the transplant group are internally impossible as printed. Disease-free survival is given as HR 2.6 (95% CI 1.1-5.9) with p=.22, a p value incompatible with a confidence interval that excludes 1, and overall survival as HR 5.7 (95% CI 1.3-24) with p=.004, which is also far smaller than that interval width implies.</w:t>
            </w:r>
          </w:p>
          <w:p>
            <w:pPr>
              <w:pStyle w:val="ListParagraph"/>
              <w:numPr>
                <w:ilvl w:val="0"/>
                <w:numId w:val="2"/>
              </w:numPr>
              <w:spacing w:after="45"/>
            </w:pPr>
            <w:r>
              <w:rPr>
                <w:sz w:val="15"/>
                <w:szCs w:val="15"/>
              </w:rPr>
              <w:t xml:space="preserve">Table 2 contradicts the eligibility flow. All 48 transplanted patients are said to meet the Milan criteria, yet 7 of them (15%) have liver involvement above 50% and 2 (4%) are G3, while the flow text says H3 and G3 patients were the ones excluded. Either the criteria were applied inconsistently or the table is wrong, and the central claim of the paper depends on which.</w:t>
            </w:r>
          </w:p>
          <w:p>
            <w:pPr>
              <w:pStyle w:val="ListParagraph"/>
              <w:numPr>
                <w:ilvl w:val="0"/>
                <w:numId w:val="2"/>
              </w:numPr>
              <w:spacing w:after="45"/>
            </w:pPr>
            <w:r>
              <w:rPr>
                <w:sz w:val="15"/>
                <w:szCs w:val="15"/>
              </w:rPr>
              <w:t xml:space="preserve">The resection arm was given a lesser operation on the variable that matters most. No routine lymphadenectomy was performed for resection, while every transplant included hilar clearance of stations 12b, 12p, 12a, 8 and 9, and 33% of transplanted patients had positive hilar nodes. Nodal involvement is then reported as the only predictor of post-transplant outcome, from a staging procedure only one arm received.</w:t>
            </w:r>
          </w:p>
          <w:p>
            <w:pPr>
              <w:pStyle w:val="ListParagraph"/>
              <w:numPr>
                <w:ilvl w:val="0"/>
                <w:numId w:val="2"/>
              </w:numPr>
              <w:spacing w:after="45"/>
            </w:pPr>
            <w:r>
              <w:rPr>
                <w:sz w:val="15"/>
                <w:szCs w:val="15"/>
              </w:rPr>
              <w:t xml:space="preserve">Six of 56 resections (11%) were R1 and are counted inside a cohort defined as surgery with curative intent.</w:t>
            </w:r>
          </w:p>
          <w:p>
            <w:pPr>
              <w:pStyle w:val="ListParagraph"/>
              <w:numPr>
                <w:ilvl w:val="0"/>
                <w:numId w:val="2"/>
              </w:numPr>
              <w:spacing w:after="45"/>
            </w:pPr>
            <w:r>
              <w:rPr>
                <w:sz w:val="15"/>
                <w:szCs w:val="15"/>
              </w:rPr>
              <w:t xml:space="preserve">Survival is measured from liver surgery, and the transplant group reached that point a median of 38.5 months after resection of the primary against 6.5 months for the resection group. Transplanted patients therefore had to survive roughly three extra years of observed metastatic disease to enter the analysis, and unlike the same group's 2016 paper no left truncation or landmark is applied.</w:t>
            </w:r>
          </w:p>
          <w:p>
            <w:pPr>
              <w:pStyle w:val="ListParagraph"/>
              <w:numPr>
                <w:ilvl w:val="0"/>
                <w:numId w:val="2"/>
              </w:numPr>
              <w:spacing w:after="45"/>
            </w:pPr>
            <w:r>
              <w:rPr>
                <w:sz w:val="15"/>
                <w:szCs w:val="15"/>
              </w:rPr>
              <w:t xml:space="preserve">The primary endpoint is the one that flatters transplantation most. Only 3 of 9 deaths after transplantation were cancer related against 17 of 19 after resection, so overall survival mixes cancer deaths with immunosuppression deaths in opposite proportions. A cancer-related survival curve is plotted in Figure 2C and no cancer-specific rate, hazard ratio or p value is given anywhere in the text or tables.</w:t>
            </w:r>
          </w:p>
          <w:p>
            <w:pPr>
              <w:pStyle w:val="ListParagraph"/>
              <w:numPr>
                <w:ilvl w:val="0"/>
                <w:numId w:val="2"/>
              </w:numPr>
              <w:spacing w:after="45"/>
            </w:pPr>
            <w:r>
              <w:rPr>
                <w:sz w:val="15"/>
                <w:szCs w:val="15"/>
              </w:rPr>
              <w:t xml:space="preserve">Disease-free survival compares an organ that was removed with an organ that was not. Eighty-eight per cent of resection recurrences were hepatic and 8% of transplant recurrences were, so most of the 52% versus 18% gap at 10 years is a statement about which organ remained at risk rather than about disease control.</w:t>
            </w:r>
          </w:p>
          <w:p>
            <w:pPr>
              <w:pStyle w:val="ListParagraph"/>
              <w:numPr>
                <w:ilvl w:val="0"/>
                <w:numId w:val="2"/>
              </w:numPr>
              <w:spacing w:after="45"/>
            </w:pPr>
            <w:r>
              <w:rPr>
                <w:sz w:val="15"/>
                <w:szCs w:val="15"/>
              </w:rPr>
              <w:t xml:space="preserve">Post-recurrence survival did not differ between the arms (p=.276, 5-year 72% versus 69%), which argues that once disease returns the two strategies converge. The paper reports the figure and does not weigh it against its conclusion.</w:t>
            </w:r>
          </w:p>
          <w:p>
            <w:pPr>
              <w:pStyle w:val="ListParagraph"/>
              <w:numPr>
                <w:ilvl w:val="0"/>
                <w:numId w:val="2"/>
              </w:numPr>
              <w:spacing w:after="45"/>
            </w:pPr>
            <w:r>
              <w:rPr>
                <w:sz w:val="15"/>
                <w:szCs w:val="15"/>
              </w:rPr>
              <w:t xml:space="preserve">No perioperative harm is reported for either operation: no 90-day mortality, no complication rate, no graft loss or retransplantation figure, in a paper whose own definition of unresectability turns on a predicted perioperative mortality above 3% and whose discussion invokes the technical complexity and morbidity of transplantation.</w:t>
            </w:r>
          </w:p>
          <w:p>
            <w:pPr>
              <w:pStyle w:val="ListParagraph"/>
              <w:numPr>
                <w:ilvl w:val="0"/>
                <w:numId w:val="2"/>
              </w:numPr>
              <w:spacing w:after="45"/>
            </w:pPr>
            <w:r>
              <w:rPr>
                <w:sz w:val="15"/>
                <w:szCs w:val="15"/>
              </w:rPr>
              <w:t xml:space="preserve">The discussion states that donors of marginal or poor quality were used in the large majority of these transplants, and the paper reports no donor age, steatosis, cold ischaemia or donor risk index at all.</w:t>
            </w:r>
          </w:p>
          <w:p>
            <w:pPr>
              <w:pStyle w:val="ListParagraph"/>
              <w:numPr>
                <w:ilvl w:val="0"/>
                <w:numId w:val="2"/>
              </w:numPr>
              <w:spacing w:after="45"/>
            </w:pPr>
            <w:r>
              <w:rPr>
                <w:sz w:val="15"/>
                <w:szCs w:val="15"/>
              </w:rPr>
              <w:t xml:space="preserve">The claim that the transplant group had worse biology, which is the main defence against confounding, rests on incomplete and non-significant data. Primary nodal status is known in only 24 of 48 transplanted and 44 of 56 resected patients, so the 79% versus 18% N+ difference comes from half the transplant arm, while Ki-67 (median 3 versus 2, p=.061) and grading (p=.187) do not differ significantly even though the text asserts higher Ki-67 and more G2-G3 tumours.</w:t>
            </w:r>
          </w:p>
          <w:p>
            <w:pPr>
              <w:pStyle w:val="ListParagraph"/>
              <w:numPr>
                <w:ilvl w:val="0"/>
                <w:numId w:val="2"/>
              </w:numPr>
              <w:spacing w:after="45"/>
            </w:pPr>
            <w:r>
              <w:rPr>
                <w:sz w:val="15"/>
                <w:szCs w:val="15"/>
              </w:rPr>
              <w:t xml:space="preserve">The supporting subgroup analysis adds 33 resection patients over 60 and no transplant patients (48 versus 89), so it compares the same transplant cohort with an older resection cohort and is then presented as confirming the result.</w:t>
            </w:r>
          </w:p>
          <w:p>
            <w:pPr>
              <w:pStyle w:val="ListParagraph"/>
              <w:numPr>
                <w:ilvl w:val="0"/>
                <w:numId w:val="2"/>
              </w:numPr>
              <w:spacing w:after="45"/>
            </w:pPr>
            <w:r>
              <w:rPr>
                <w:sz w:val="15"/>
                <w:szCs w:val="15"/>
              </w:rPr>
              <w:t xml:space="preserve">Thirty-six years of accrual are never analysed by era, although Figure 1 shows the distribution over time and the authors list changing indications, classifications and allocation policy among their limitations. Immunosuppression, Ga-68 PET staging, somatostatin analogues and the WHO grading system all changed inside the study window.</w:t>
            </w:r>
          </w:p>
          <w:p>
            <w:pPr>
              <w:pStyle w:val="ListParagraph"/>
              <w:numPr>
                <w:ilvl w:val="0"/>
                <w:numId w:val="2"/>
              </w:numPr>
              <w:spacing w:after="45"/>
            </w:pPr>
            <w:r>
              <w:rPr>
                <w:sz w:val="15"/>
                <w:szCs w:val="15"/>
              </w:rPr>
              <w:t xml:space="preserve">The Milan-in proportion differs sharply between arms, 91% of transplants against 58% of resections, chiefly because 37 resection patients were older than 60. Age thus both filters the resection arm and separates the two groups, and it is the variable the authors concede drives transplant selection.</w:t>
            </w:r>
          </w:p>
          <w:p>
            <w:pPr>
              <w:pStyle w:val="ListParagraph"/>
              <w:numPr>
                <w:ilvl w:val="0"/>
                <w:numId w:val="2"/>
              </w:numPr>
              <w:spacing w:after="45"/>
            </w:pPr>
            <w:r>
              <w:rPr>
                <w:sz w:val="15"/>
                <w:szCs w:val="15"/>
              </w:rPr>
              <w:t xml:space="preserve">The benchmark the paper measures itself against is its own. The 2016 Milan analysis is cited as 'the only available prospective study on this topic' when that paper describes itself as a retrospective analysis of a prospectively collected cohort, and roughly half the reference list is the same group's work. A PubMed search found no linked editorial or comment on this paper.</w:t>
            </w:r>
          </w:p>
        </w:tc>
      </w:tr>
    </w:tbl>
    <w:p>
      <w:pPr>
        <w:spacing w:after="0" w:line="276"/>
      </w:pPr>
      <w:r>
        <w:rPr>
          <w:color w:val="5A6069"/>
          <w:sz w:val="14"/>
          <w:szCs w:val="14"/>
        </w:rPr>
        <w:t xml:space="preserve">Funding: No specific funding was assigned to the project; open access funding provided by BIBLIOSAN. The authors declare no conflicts of interest.</w:t>
      </w:r>
    </w:p>
    <w:p>
      <w:pPr>
        <w:keepNext/>
        <w:spacing w:after="50" w:before="260"/>
      </w:pPr>
      <w:r>
        <w:rPr>
          <w:rFonts w:ascii="Cambria" w:cs="Cambria" w:eastAsia="Cambria" w:hAnsi="Cambria"/>
          <w:b/>
          <w:bCs/>
          <w:color w:val="17365D"/>
          <w:sz w:val="20"/>
          <w:szCs w:val="20"/>
        </w:rPr>
        <w:t xml:space="preserve">RETNET protocol</w:t>
      </w:r>
      <w:r>
        <w:rPr>
          <w:b/>
          <w:bCs/>
          <w:color w:val="176A87"/>
          <w:sz w:val="15"/>
          <w:szCs w:val="15"/>
        </w:rPr>
        <w:t xml:space="preserve">   Prospective trial</w:t>
      </w:r>
      <w:r>
        <w:rPr>
          <w:color w:val="5A6069"/>
          <w:sz w:val="15"/>
          <w:szCs w:val="15"/>
        </w:rPr>
        <w:t xml:space="preserve">   PMID 30016989</w:t>
      </w:r>
    </w:p>
    <w:p>
      <w:pPr>
        <w:spacing w:after="50" w:line="276"/>
      </w:pPr>
      <w:r>
        <w:rPr>
          <w:color w:val="5A6069"/>
          <w:sz w:val="17"/>
          <w:szCs w:val="17"/>
        </w:rPr>
        <w:t xml:space="preserve">Randomized Embolization Trial for NeuroEndocrine Tumor Metastases to the Liver (RETNET): study protocol for a randomized controlled trial</w:t>
      </w:r>
    </w:p>
    <w:p>
      <w:pPr>
        <w:spacing w:after="50"/>
      </w:pPr>
      <w:r>
        <w:rPr>
          <w:b/>
          <w:bCs/>
          <w:color w:val="176A87"/>
          <w:sz w:val="16"/>
          <w:szCs w:val="16"/>
        </w:rPr>
        <w:t xml:space="preserve">Population. </w:t>
      </w:r>
      <w:r>
        <w:rPr>
          <w:sz w:val="16"/>
          <w:szCs w:val="16"/>
        </w:rPr>
        <w:t xml:space="preserve">No cohort: this is a protocol. 180 patients were planned, 60 per arm, with a target of 194 enrollees assuming 8% dropout, drawn from at least 16 sites over a 24-month accrual period; enrolment opened in March 2017 and was ongoing when the manuscript was submitted.</w:t>
      </w:r>
    </w:p>
    <w:p>
      <w:pPr>
        <w:spacing w:after="70"/>
      </w:pPr>
      <w:r>
        <w:rPr>
          <w:b/>
          <w:bCs/>
          <w:color w:val="17365D"/>
          <w:sz w:val="16"/>
          <w:szCs w:val="16"/>
        </w:rPr>
        <w:t xml:space="preserve">Bottom line. </w:t>
      </w:r>
      <w:r>
        <w:rPr>
          <w:sz w:val="16"/>
          <w:szCs w:val="16"/>
        </w:rPr>
        <w:t xml:space="preserve">This is a protocol and reports no outcome data whatever: it fixes the design of the first randomised comparison of bland embolisation, lipiodol chemoembolisation and drug-eluting-bead chemoembolisation in liver-dominant neuroendocrine metastases, with 60 patients per arm and hepatic progression-free survival by blinded central review as the primary endpoint. Its only numbers are a power calculation assuming 11 months of hepatic progression-free survival after bland embolisation against 20 months after lipiodol chemoembolisation, taken from retrospective single-centre data, with drug-eluting beads simply presumed equivalent to lipiodol. Nothing in it can support a statement about which technique works better, and the trial's actual contribution to practice came from the safety stopping rule that later closed the drug-eluting-bead arm.</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No limitations are stated anywhere in the paper; the authors concede only that decades of experience with embolotherapy have left uncertainty about the optimal modality and a paucity of level I evidence, which is why no guideline recommends a specific technique.</w:t>
            </w:r>
          </w:p>
          <w:p>
            <w:pPr>
              <w:pStyle w:val="ListParagraph"/>
              <w:numPr>
                <w:ilvl w:val="0"/>
                <w:numId w:val="2"/>
              </w:numPr>
              <w:spacing w:after="45"/>
            </w:pPr>
            <w:r>
              <w:rPr>
                <w:sz w:val="15"/>
                <w:szCs w:val="15"/>
              </w:rPr>
              <w:t xml:space="preserve">The sample-size estimate is acknowledged to rest on existing retrospective studies rather than trial data.</w:t>
            </w:r>
          </w:p>
          <w:p>
            <w:pPr>
              <w:pStyle w:val="ListParagraph"/>
              <w:numPr>
                <w:ilvl w:val="0"/>
                <w:numId w:val="2"/>
              </w:numPr>
              <w:spacing w:after="45"/>
            </w:pPr>
            <w:r>
              <w:rPr>
                <w:sz w:val="15"/>
                <w:szCs w:val="15"/>
              </w:rPr>
              <w:t xml:space="preserve">The effect of lipiodol chemoembolisation and drug-eluting-bead chemoembolisation is, in the authors' words, presumed to be equivalent, an assumption made for the power calculation and not tested.</w:t>
            </w:r>
          </w:p>
          <w:p>
            <w:pPr>
              <w:pStyle w:val="ListParagraph"/>
              <w:numPr>
                <w:ilvl w:val="0"/>
                <w:numId w:val="2"/>
              </w:numPr>
              <w:spacing w:after="45"/>
            </w:pPr>
            <w:r>
              <w:rPr>
                <w:sz w:val="15"/>
                <w:szCs w:val="15"/>
              </w:rPr>
              <w:t xml:space="preserve">No formal interim efficacy analysis is planned, which the authors justify on the grounds that all three techniques are already in common clinical use.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This paper contains no outcome data at all, and its only quantitative content is the power calculation: median hepatic progression-free survival of 11 months for bland embolisation against 20 months for lipiodol chemoembolisation, taken from retrospective single-centre data in a single reference. Any claim that RETNET showed something about efficacy is a claim about numbers that appear nowhere in it.</w:t>
            </w:r>
          </w:p>
          <w:p>
            <w:pPr>
              <w:pStyle w:val="ListParagraph"/>
              <w:numPr>
                <w:ilvl w:val="0"/>
                <w:numId w:val="2"/>
              </w:numPr>
              <w:spacing w:after="45"/>
            </w:pPr>
            <w:r>
              <w:rPr>
                <w:sz w:val="15"/>
                <w:szCs w:val="15"/>
              </w:rPr>
              <w:t xml:space="preserve">The design is a phase II selection study dressed as a definitive comparison. The null hypothesis is equivalence without preconceived ranking, the test is a studentised-range procedure for phase II screening, and the type I error is set at 10% two-sided, so each of the three pairwise comparisons carries a one-in-ten false-positive rate by construction.</w:t>
            </w:r>
          </w:p>
          <w:p>
            <w:pPr>
              <w:pStyle w:val="ListParagraph"/>
              <w:numPr>
                <w:ilvl w:val="0"/>
                <w:numId w:val="2"/>
              </w:numPr>
              <w:spacing w:after="45"/>
            </w:pPr>
            <w:r>
              <w:rPr>
                <w:sz w:val="15"/>
                <w:szCs w:val="15"/>
              </w:rPr>
              <w:t xml:space="preserve">The primary endpoint is specified by RECIST 1.0 while eligibility and the secondary progression-free survival endpoint use RECIST 1.1, so the trial's definition of progression differs between the criterion that lets a patient in and the criterion that records an event.</w:t>
            </w:r>
          </w:p>
          <w:p>
            <w:pPr>
              <w:pStyle w:val="ListParagraph"/>
              <w:numPr>
                <w:ilvl w:val="0"/>
                <w:numId w:val="2"/>
              </w:numPr>
              <w:spacing w:after="45"/>
            </w:pPr>
            <w:r>
              <w:rPr>
                <w:sz w:val="15"/>
                <w:szCs w:val="15"/>
              </w:rPr>
              <w:t xml:space="preserve">Blinding of the central image review cannot work for one arm. Ethiodised oil is radiographically dense and persists in treated tumour on follow-up CT, so the lipiodol arm is identifiable on the very images the American College of Radiology core is asked to read blind.</w:t>
            </w:r>
          </w:p>
          <w:p>
            <w:pPr>
              <w:pStyle w:val="ListParagraph"/>
              <w:numPr>
                <w:ilvl w:val="0"/>
                <w:numId w:val="2"/>
              </w:numPr>
              <w:spacing w:after="45"/>
            </w:pPr>
            <w:r>
              <w:rPr>
                <w:sz w:val="15"/>
                <w:szCs w:val="15"/>
              </w:rPr>
              <w:t xml:space="preserve">The arm-closure trigger is set above the thresholds it cites. The protocol quotes Society of Interventional Radiology benchmarks of 6% for major hepatic complications with an 8% performance threshold and 10% for any complication with a 15% threshold, then sets the stopping rule at a 20% serious-adverse-event rate.</w:t>
            </w:r>
          </w:p>
          <w:p>
            <w:pPr>
              <w:pStyle w:val="ListParagraph"/>
              <w:numPr>
                <w:ilvl w:val="0"/>
                <w:numId w:val="2"/>
              </w:numPr>
              <w:spacing w:after="45"/>
            </w:pPr>
            <w:r>
              <w:rPr>
                <w:sz w:val="15"/>
                <w:szCs w:val="15"/>
              </w:rPr>
              <w:t xml:space="preserve">The eligibility criterion is a disjunction that admits patients with no disease activity: uncontrolled symptoms, or RECIST progression, or simply a baseline liver burden above 25%. A patient with 30% burden who is asymptomatic and radiologically stable qualifies, and is then followed for progression-free survival.</w:t>
            </w:r>
          </w:p>
          <w:p>
            <w:pPr>
              <w:pStyle w:val="ListParagraph"/>
              <w:numPr>
                <w:ilvl w:val="0"/>
                <w:numId w:val="2"/>
              </w:numPr>
              <w:spacing w:after="45"/>
            </w:pPr>
            <w:r>
              <w:rPr>
                <w:sz w:val="15"/>
                <w:szCs w:val="15"/>
              </w:rPr>
              <w:t xml:space="preserve">Liver tumour burden, both the 25% threshold that confers eligibility and the 70% ceiling that excludes, is assessed by visual estimate rather than volumetry.</w:t>
            </w:r>
          </w:p>
          <w:p>
            <w:pPr>
              <w:pStyle w:val="ListParagraph"/>
              <w:numPr>
                <w:ilvl w:val="0"/>
                <w:numId w:val="2"/>
              </w:numPr>
              <w:spacing w:after="45"/>
            </w:pPr>
            <w:r>
              <w:rPr>
                <w:sz w:val="15"/>
                <w:szCs w:val="15"/>
              </w:rPr>
              <w:t xml:space="preserve">Randomisation is stratified only by institution. Grade and primary site are not stratification factors even though a secondary endpoint explicitly compares gut against pancreatic primaries and compares tumour grades, so those comparisons are unstratified and unpowered. Patients with symptomatic but non-progressive disease are to be monitored during accrual to keep allocation balanced, with adjustment as necessary, a procedure the protocol never defines.</w:t>
            </w:r>
          </w:p>
          <w:p>
            <w:pPr>
              <w:pStyle w:val="ListParagraph"/>
              <w:numPr>
                <w:ilvl w:val="0"/>
                <w:numId w:val="2"/>
              </w:numPr>
              <w:spacing w:after="45"/>
            </w:pPr>
            <w:r>
              <w:rPr>
                <w:sz w:val="15"/>
                <w:szCs w:val="15"/>
              </w:rPr>
              <w:t xml:space="preserve">Concomitant octreotide is permitted with no protocol control of dose, formulation or timing. Somatostatin analogues have a demonstrated antiproliferative effect on hepatic progression in exactly this population, so an uncontrolled co-intervention acts directly on the primary endpoint.</w:t>
            </w:r>
          </w:p>
          <w:p>
            <w:pPr>
              <w:pStyle w:val="ListParagraph"/>
              <w:numPr>
                <w:ilvl w:val="0"/>
                <w:numId w:val="2"/>
              </w:numPr>
              <w:spacing w:after="45"/>
            </w:pPr>
            <w:r>
              <w:rPr>
                <w:sz w:val="15"/>
                <w:szCs w:val="15"/>
              </w:rPr>
              <w:t xml:space="preserve">The clock starts before treatment is finished. Hepatic progression-free survival runs from initial embolotherapy, while additional vascular territories are embolised every 4 weeks up to four treatments per cycle until the whole tumour burden is covered, so patients with more extensive disease accrue follow-up time during months of continuing therapy.</w:t>
            </w:r>
          </w:p>
          <w:p>
            <w:pPr>
              <w:pStyle w:val="ListParagraph"/>
              <w:numPr>
                <w:ilvl w:val="0"/>
                <w:numId w:val="2"/>
              </w:numPr>
              <w:spacing w:after="45"/>
            </w:pPr>
            <w:r>
              <w:rPr>
                <w:sz w:val="15"/>
                <w:szCs w:val="15"/>
              </w:rPr>
              <w:t xml:space="preserve">The publication clause hands the funder control of the output: no part of the results may be published or passed to a third party without the consent of the study sponsor, and every investigator is obliged to provide the sponsor with complete test results and all derived data. The grant comes from Guerbet LLC, which manufactures the ethiodised oil that defines one of the three arms, and the senior author consults for that company.</w:t>
            </w:r>
          </w:p>
          <w:p>
            <w:pPr>
              <w:pStyle w:val="ListParagraph"/>
              <w:numPr>
                <w:ilvl w:val="0"/>
                <w:numId w:val="2"/>
              </w:numPr>
              <w:spacing w:after="45"/>
            </w:pPr>
            <w:r>
              <w:rPr>
                <w:sz w:val="15"/>
                <w:szCs w:val="15"/>
              </w:rPr>
              <w:t xml:space="preserve">The trial anticipated biliary injury and then selected the particle sizes associated with it. The exclusion list bars choledochoenteric anastomosis, transpapillary stent and papillary sphincterotomy, yet the drug-eluting-bead arm uses 100-300 and 300-500 micrometre beads, the small end implicated in the 54% biloma rate reported in Bhagat's single-centre phase II study, which had already halted its own enrolment.</w:t>
            </w:r>
          </w:p>
          <w:p>
            <w:pPr>
              <w:pStyle w:val="ListParagraph"/>
              <w:numPr>
                <w:ilvl w:val="0"/>
                <w:numId w:val="2"/>
              </w:numPr>
              <w:spacing w:after="45"/>
            </w:pPr>
            <w:r>
              <w:rPr>
                <w:sz w:val="15"/>
                <w:szCs w:val="15"/>
              </w:rPr>
              <w:t xml:space="preserve">The accrual assumption is roughly six participants per site per year from at least 16 sites across five countries for a rare tumour requiring three competing interventional techniques to be available and acceptable at every site; no contingency for slower accrual is described beyond an 8% dropout allowance.</w:t>
            </w:r>
          </w:p>
          <w:p>
            <w:pPr>
              <w:pStyle w:val="ListParagraph"/>
              <w:numPr>
                <w:ilvl w:val="0"/>
                <w:numId w:val="2"/>
              </w:numPr>
              <w:spacing w:after="45"/>
            </w:pPr>
            <w:r>
              <w:rPr>
                <w:sz w:val="15"/>
                <w:szCs w:val="15"/>
              </w:rPr>
              <w:t xml:space="preserve">The drug-eluting-bead arm was subsequently closed for excess severe complications. That outcome is not in this paper; it is stated in the ENETS 2024 small-intestine guidance (Lamarca et al., PMID 38977327), and no primary report of the closure was available to read, so the detail of how many events in how many patients triggered it cannot be checked here.</w:t>
            </w:r>
          </w:p>
        </w:tc>
      </w:tr>
    </w:tbl>
    <w:p>
      <w:pPr>
        <w:spacing w:after="0" w:line="276"/>
      </w:pPr>
      <w:r>
        <w:rPr>
          <w:color w:val="5A6069"/>
          <w:sz w:val="14"/>
          <w:szCs w:val="14"/>
        </w:rPr>
        <w:t xml:space="preserve">Funding: Funded by a grant to the University of Pennsylvania from Guerbet LLC (Princeton, NJ, USA). M.C. Soulen declares research funding from Guerbet LLC and BTG International and consultancy for Guerbet LLC, Merit Medical, Terumo Medical and Bayer/Onyx; the remaining authors declare no competing interests.</w:t>
      </w:r>
    </w:p>
    <w:p>
      <w:pPr>
        <w:keepNext/>
        <w:spacing w:after="50" w:before="260"/>
      </w:pPr>
      <w:r>
        <w:rPr>
          <w:rFonts w:ascii="Cambria" w:cs="Cambria" w:eastAsia="Cambria" w:hAnsi="Cambria"/>
          <w:b/>
          <w:bCs/>
          <w:color w:val="17365D"/>
          <w:sz w:val="20"/>
          <w:szCs w:val="20"/>
        </w:rPr>
        <w:t xml:space="preserve">Sunitinib A6181111</w:t>
      </w:r>
      <w:r>
        <w:rPr>
          <w:b/>
          <w:bCs/>
          <w:color w:val="176A87"/>
          <w:sz w:val="15"/>
          <w:szCs w:val="15"/>
        </w:rPr>
        <w:t xml:space="preserve">   Randomised trial</w:t>
      </w:r>
      <w:r>
        <w:rPr>
          <w:color w:val="5A6069"/>
          <w:sz w:val="15"/>
          <w:szCs w:val="15"/>
        </w:rPr>
        <w:t xml:space="preserve">   PMID 21306237</w:t>
      </w:r>
    </w:p>
    <w:p>
      <w:pPr>
        <w:spacing w:after="50" w:line="276"/>
      </w:pPr>
      <w:r>
        <w:rPr>
          <w:color w:val="5A6069"/>
          <w:sz w:val="17"/>
          <w:szCs w:val="17"/>
        </w:rPr>
        <w:t xml:space="preserve">Sunitinib malate for the treatment of pancreatic neuroendocrine tumors</w:t>
      </w:r>
    </w:p>
    <w:p>
      <w:pPr>
        <w:spacing w:after="50"/>
      </w:pPr>
      <w:r>
        <w:rPr>
          <w:b/>
          <w:bCs/>
          <w:color w:val="176A87"/>
          <w:sz w:val="16"/>
          <w:szCs w:val="16"/>
        </w:rPr>
        <w:t xml:space="preserve">Population. </w:t>
      </w:r>
      <w:r>
        <w:rPr>
          <w:sz w:val="16"/>
          <w:szCs w:val="16"/>
        </w:rPr>
        <w:t xml:space="preserve">171 patients with well-differentiated, advanced or metastatic, inoperable pancreatic neuroendocrine tumours progressing within the previous 12 months, randomised 1:1 at 42 centres in 11 countries between June 2007 and April 2009 against a planned enrolment of 340; the trial closed early at 81 of a planned 260 progression events, with 83 and 82 patients in the safety population.</w:t>
      </w:r>
    </w:p>
    <w:p>
      <w:pPr>
        <w:spacing w:after="70"/>
      </w:pPr>
      <w:r>
        <w:rPr>
          <w:b/>
          <w:bCs/>
          <w:color w:val="17365D"/>
          <w:sz w:val="16"/>
          <w:szCs w:val="16"/>
        </w:rPr>
        <w:t xml:space="preserve">Bottom line. </w:t>
      </w:r>
      <w:r>
        <w:rPr>
          <w:sz w:val="16"/>
          <w:szCs w:val="16"/>
        </w:rPr>
        <w:t xml:space="preserve">This trial established sunitinib 37.5 mg daily as a treatment for progressive, well-differentiated pancreatic neuroendocrine tumours, roughly doubling median progression-free survival from 5.5 to 11.4 months with a hazard ratio of 0.42. The result is weaker than its reputation: the trial was stopped at half its planned size with a test statistic (z=3.85) that did not reach its own efficacy boundary (3.88), progression was judged by unblinded investigators with retrospective central review in only half the patients, and censoring was 65% against 40% between the arms. The response rate was 9.3%, the survival claim rests on 30 deaths with most of the placebo arm crossing over, and the only quality-of-life signal in the paper itself is worse diarrhoea, so this is a drug for delaying progression and not for converting hepatic disease.</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The paper has no limitations section; the concessions below are made within the discussion.</w:t>
            </w:r>
          </w:p>
          <w:p>
            <w:pPr>
              <w:pStyle w:val="ListParagraph"/>
              <w:numPr>
                <w:ilvl w:val="0"/>
                <w:numId w:val="2"/>
              </w:numPr>
              <w:spacing w:after="45"/>
            </w:pPr>
            <w:r>
              <w:rPr>
                <w:sz w:val="15"/>
                <w:szCs w:val="15"/>
              </w:rPr>
              <w:t xml:space="preserve">The authors acknowledge that early termination of clinical trials may result in overestimation of the true treatment effect and in lower-than-anticipated numbers of enrolled patients.</w:t>
            </w:r>
          </w:p>
          <w:p>
            <w:pPr>
              <w:pStyle w:val="ListParagraph"/>
              <w:numPr>
                <w:ilvl w:val="0"/>
                <w:numId w:val="2"/>
              </w:numPr>
              <w:spacing w:after="45"/>
            </w:pPr>
            <w:r>
              <w:rPr>
                <w:sz w:val="15"/>
                <w:szCs w:val="15"/>
              </w:rPr>
              <w:t xml:space="preserve">The trial was terminated early because of the risk of serious adverse events, disease progression and death among patients receiving placebo, that is on the strength of harm in the control arm rather than only on efficacy.</w:t>
            </w:r>
          </w:p>
          <w:p>
            <w:pPr>
              <w:pStyle w:val="ListParagraph"/>
              <w:numPr>
                <w:ilvl w:val="0"/>
                <w:numId w:val="2"/>
              </w:numPr>
              <w:spacing w:after="45"/>
            </w:pPr>
            <w:r>
              <w:rPr>
                <w:sz w:val="15"/>
                <w:szCs w:val="15"/>
              </w:rPr>
              <w:t xml:space="preserve">The blinded independent central review that supports the investigator-assessed primary endpoint was retrospective and covered only 49% of patients (84 of 171).</w:t>
            </w:r>
          </w:p>
          <w:p>
            <w:pPr>
              <w:pStyle w:val="ListParagraph"/>
              <w:numPr>
                <w:ilvl w:val="0"/>
                <w:numId w:val="2"/>
              </w:numPr>
              <w:spacing w:after="45"/>
            </w:pPr>
            <w:r>
              <w:rPr>
                <w:sz w:val="15"/>
                <w:szCs w:val="15"/>
              </w:rPr>
              <w:t xml:space="preserve">The exploratory subgroup analysis contained small numbers of patients in some subgroups.</w:t>
            </w:r>
          </w:p>
          <w:p>
            <w:pPr>
              <w:pStyle w:val="ListParagraph"/>
              <w:numPr>
                <w:ilvl w:val="0"/>
                <w:numId w:val="2"/>
              </w:numPr>
              <w:spacing w:after="45"/>
            </w:pPr>
            <w:r>
              <w:rPr>
                <w:sz w:val="15"/>
                <w:szCs w:val="15"/>
              </w:rPr>
              <w:t xml:space="preserve">Numerical between-group differences in some baseline characteristics were present, which the authors address with post hoc testing rather than adjustment.</w:t>
            </w:r>
          </w:p>
          <w:p>
            <w:pPr>
              <w:pStyle w:val="ListParagraph"/>
              <w:numPr>
                <w:ilvl w:val="0"/>
                <w:numId w:val="2"/>
              </w:numPr>
              <w:spacing w:after="45"/>
            </w:pPr>
            <w:r>
              <w:rPr>
                <w:sz w:val="15"/>
                <w:szCs w:val="15"/>
              </w:rPr>
              <w:t xml:space="preserve">Most sunitinib-related adverse events required dose interruption or modification to manage.</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headline result did not formally cross the trial's own threshold. The observed test statistic for progression-free survival was z = 3.85 against a prespecified Lan-DeMets O'Brien-Fleming boundary of 3.88, and the trial was stopped anyway. The reported P value of less than 0.001 should be read against that boundary, not against 0.05.</w:t>
            </w:r>
          </w:p>
          <w:p>
            <w:pPr>
              <w:pStyle w:val="ListParagraph"/>
              <w:numPr>
                <w:ilvl w:val="0"/>
                <w:numId w:val="2"/>
              </w:numPr>
              <w:spacing w:after="45"/>
            </w:pPr>
            <w:r>
              <w:rPr>
                <w:sz w:val="15"/>
                <w:szCs w:val="15"/>
              </w:rPr>
              <w:t xml:space="preserve">The trial was halted at half its planned size, 171 of 340 patients and 81 of 260 events, so the effect estimate is both the maximum observed and the least precise the protocol contemplated.</w:t>
            </w:r>
          </w:p>
          <w:p>
            <w:pPr>
              <w:pStyle w:val="ListParagraph"/>
              <w:numPr>
                <w:ilvl w:val="0"/>
                <w:numId w:val="2"/>
              </w:numPr>
              <w:spacing w:after="45"/>
            </w:pPr>
            <w:r>
              <w:rPr>
                <w:sz w:val="15"/>
                <w:szCs w:val="15"/>
              </w:rPr>
              <w:t xml:space="preserve">Censoring runs in opposite directions in the two arms. Progression-free survival data were censored in 65% of sunitinib patients against 40% on placebo, and 48% of sunitinib patients left the trial because it was terminated against 19% on placebo. Differential censoring of this size is not neutral with respect to the curve that produced the hazard ratio.</w:t>
            </w:r>
          </w:p>
          <w:p>
            <w:pPr>
              <w:pStyle w:val="ListParagraph"/>
              <w:numPr>
                <w:ilvl w:val="0"/>
                <w:numId w:val="2"/>
              </w:numPr>
              <w:spacing w:after="45"/>
            </w:pPr>
            <w:r>
              <w:rPr>
                <w:sz w:val="15"/>
                <w:szCs w:val="15"/>
              </w:rPr>
              <w:t xml:space="preserve">The reassurance about baseline imbalance is explicitly unreported. The paper states that univariate and multivariate analysis showed the imbalanced factors had no effect on the progression-free survival benefit, followed by 'data not shown'.</w:t>
            </w:r>
          </w:p>
          <w:p>
            <w:pPr>
              <w:pStyle w:val="ListParagraph"/>
              <w:numPr>
                <w:ilvl w:val="0"/>
                <w:numId w:val="2"/>
              </w:numPr>
              <w:spacing w:after="45"/>
            </w:pPr>
            <w:r>
              <w:rPr>
                <w:sz w:val="15"/>
                <w:szCs w:val="15"/>
              </w:rPr>
              <w:t xml:space="preserve">Baseline differences in a randomised trial are handled by adjustment, not by hypothesis testing, and the paper uses post hoc Fisher's exact tests to conclude there were no significant differences in baseline factors. A non-significant p value on a baseline table says nothing about confounding in a 171-patient trial.</w:t>
            </w:r>
          </w:p>
          <w:p>
            <w:pPr>
              <w:pStyle w:val="ListParagraph"/>
              <w:numPr>
                <w:ilvl w:val="0"/>
                <w:numId w:val="2"/>
              </w:numPr>
              <w:spacing w:after="45"/>
            </w:pPr>
            <w:r>
              <w:rPr>
                <w:sz w:val="15"/>
                <w:szCs w:val="15"/>
              </w:rPr>
              <w:t xml:space="preserve">The primary endpoint was assessed by unblinded investigators using RECIST, with central review applied retrospectively to half the cohort, in a trial that was unblinded at closure and whose placebo patients were then offered open-label sunitinib.</w:t>
            </w:r>
          </w:p>
          <w:p>
            <w:pPr>
              <w:pStyle w:val="ListParagraph"/>
              <w:numPr>
                <w:ilvl w:val="0"/>
                <w:numId w:val="2"/>
              </w:numPr>
              <w:spacing w:after="45"/>
            </w:pPr>
            <w:r>
              <w:rPr>
                <w:sz w:val="15"/>
                <w:szCs w:val="15"/>
              </w:rPr>
              <w:t xml:space="preserve">The survival claim in the final sentence rests on 30 deaths with medians not reached in either arm and 59 of 82 placebo patients crossing over to open-label sunitinib. A hazard ratio of 0.41 (95% CI 0.19-0.89) from that configuration cannot support the stated clinically meaningful improvement in overall survival.</w:t>
            </w:r>
          </w:p>
          <w:p>
            <w:pPr>
              <w:pStyle w:val="ListParagraph"/>
              <w:numPr>
                <w:ilvl w:val="0"/>
                <w:numId w:val="2"/>
              </w:numPr>
              <w:spacing w:after="45"/>
            </w:pPr>
            <w:r>
              <w:rPr>
                <w:sz w:val="15"/>
                <w:szCs w:val="15"/>
              </w:rPr>
              <w:t xml:space="preserve">The quality-of-life claim is imported from elsewhere. The discussion cites a recently reported post hoc analysis for a delay in time to deterioration, while this paper's own quality-of-life data show a clinically and statistically significant worsening of diarrhoea by 21.4 points and no difference in global health status.</w:t>
            </w:r>
          </w:p>
          <w:p>
            <w:pPr>
              <w:pStyle w:val="ListParagraph"/>
              <w:numPr>
                <w:ilvl w:val="0"/>
                <w:numId w:val="2"/>
              </w:numPr>
              <w:spacing w:after="45"/>
            </w:pPr>
            <w:r>
              <w:rPr>
                <w:sz w:val="15"/>
                <w:szCs w:val="15"/>
              </w:rPr>
              <w:t xml:space="preserve">The observation that other serious adverse events were less common on sunitinib than placebo (26% against 41%) reflects unchecked disease progression in the control arm, and that same observation was part of the justification for stopping the trial. It is not a safety advantage of the drug.</w:t>
            </w:r>
          </w:p>
          <w:p>
            <w:pPr>
              <w:pStyle w:val="ListParagraph"/>
              <w:numPr>
                <w:ilvl w:val="0"/>
                <w:numId w:val="2"/>
              </w:numPr>
              <w:spacing w:after="45"/>
            </w:pPr>
            <w:r>
              <w:rPr>
                <w:sz w:val="15"/>
                <w:szCs w:val="15"/>
              </w:rPr>
              <w:t xml:space="preserve">A 9.3% response rate with 2 complete and 6 partial responses in 83 patients means the drug stabilises rather than shrinks disease, so nothing here supports sunitinib as a way of converting unresectable hepatic disease to resectable.</w:t>
            </w:r>
          </w:p>
          <w:p>
            <w:pPr>
              <w:pStyle w:val="ListParagraph"/>
              <w:numPr>
                <w:ilvl w:val="0"/>
                <w:numId w:val="2"/>
              </w:numPr>
              <w:spacing w:after="45"/>
            </w:pPr>
            <w:r>
              <w:rPr>
                <w:sz w:val="15"/>
                <w:szCs w:val="15"/>
              </w:rPr>
              <w:t xml:space="preserve">Grading was largely unmeasured. Ki-67 was evaluable in only about 36 of 86 and 36 of 85 patients, the subgroup with Ki-67 above 5% (n = 29) showed only a trend, and no somatostatin receptor imaging was required, so the population cannot be mapped onto current grade-based or receptor-based pathways.</w:t>
            </w:r>
          </w:p>
          <w:p>
            <w:pPr>
              <w:pStyle w:val="ListParagraph"/>
              <w:numPr>
                <w:ilvl w:val="0"/>
                <w:numId w:val="2"/>
              </w:numPr>
              <w:spacing w:after="45"/>
            </w:pPr>
            <w:r>
              <w:rPr>
                <w:sz w:val="15"/>
                <w:szCs w:val="15"/>
              </w:rPr>
              <w:t xml:space="preserve">Somatostatin analogues were permitted at investigator discretion and used in 68 patients, without stratification, in a trial run just before PROMID and CLARINET made them standard. The control arm therefore received an uncontrolled amount of an agent now known to delay progression.</w:t>
            </w:r>
          </w:p>
          <w:p>
            <w:pPr>
              <w:pStyle w:val="ListParagraph"/>
              <w:numPr>
                <w:ilvl w:val="0"/>
                <w:numId w:val="2"/>
              </w:numPr>
              <w:spacing w:after="45"/>
            </w:pPr>
            <w:r>
              <w:rPr>
                <w:sz w:val="15"/>
                <w:szCs w:val="15"/>
              </w:rPr>
              <w:t xml:space="preserve">Tolerability is understated by presentation. Dose reduction to 25 mg was needed in 31% and interruption in 30%, grade 3 or 4 neutropenia occurred in 12% and hypertension in 10%, discontinuation for adverse events doubled, and one patient died of treatment-related cardiac failure, all for a median gain of 5.9 months in radiographic progression.</w:t>
            </w:r>
          </w:p>
          <w:p>
            <w:pPr>
              <w:pStyle w:val="ListParagraph"/>
              <w:numPr>
                <w:ilvl w:val="0"/>
                <w:numId w:val="2"/>
              </w:numPr>
              <w:spacing w:after="45"/>
            </w:pPr>
            <w:r>
              <w:rPr>
                <w:sz w:val="15"/>
                <w:szCs w:val="15"/>
              </w:rPr>
              <w:t xml:space="preserve">Ninety-five per cent of patients had distant metastases, mostly hepatic, and the paper reports no hepatic tumour burden, no liver-specific endpoint and no information about prior or subsequent liver-directed therapy, so it cannot be used to position sunitinib relative to embolisation or resection.</w:t>
            </w:r>
          </w:p>
          <w:p>
            <w:pPr>
              <w:pStyle w:val="ListParagraph"/>
              <w:numPr>
                <w:ilvl w:val="0"/>
                <w:numId w:val="2"/>
              </w:numPr>
              <w:spacing w:after="45"/>
            </w:pPr>
            <w:r>
              <w:rPr>
                <w:sz w:val="15"/>
                <w:szCs w:val="15"/>
              </w:rPr>
              <w:t xml:space="preserve">The sponsor ran the trial. Pfizer designed it in conjunction with the investigators, collected the data, performed the statistical analyses and paid the professional medical writers who helped prepare the first draft, and two co-authors are Pfizer Oncology employees.</w:t>
            </w:r>
          </w:p>
          <w:p>
            <w:pPr>
              <w:pStyle w:val="ListParagraph"/>
              <w:numPr>
                <w:ilvl w:val="0"/>
                <w:numId w:val="2"/>
              </w:numPr>
              <w:spacing w:after="45"/>
            </w:pPr>
            <w:r>
              <w:rPr>
                <w:sz w:val="15"/>
                <w:szCs w:val="15"/>
              </w:rPr>
              <w:t xml:space="preserve">Three correspondence items are linked to this paper in PubMed (PMIDs 21561356, 21561357, 21561358). None of their full texts was obtained, so whatever objections they raise are not represented here.</w:t>
            </w:r>
          </w:p>
        </w:tc>
      </w:tr>
    </w:tbl>
    <w:p>
      <w:pPr>
        <w:spacing w:after="0" w:line="276"/>
      </w:pPr>
      <w:r>
        <w:rPr>
          <w:color w:val="5A6069"/>
          <w:sz w:val="14"/>
          <w:szCs w:val="14"/>
        </w:rPr>
        <w:t xml:space="preserve">Funding: Supported by Pfizer, which designed the trial in conjunction with the investigators, collected the data, performed the statistical analyses and paid the professional medical writers who collaborated on the first draft; two co-authors are Pfizer Oncology employees. Declared interests include board membership, grant support and payment for educational presentations from Pfizer and Novartis for the first author, and consulting or travel fees from Pfizer for several co-authors.</w:t>
      </w:r>
    </w:p>
    <w:p>
      <w:pPr>
        <w:keepNext/>
        <w:spacing w:after="50" w:before="260"/>
      </w:pPr>
      <w:r>
        <w:rPr>
          <w:rFonts w:ascii="Cambria" w:cs="Cambria" w:eastAsia="Cambria" w:hAnsi="Cambria"/>
          <w:b/>
          <w:bCs/>
          <w:color w:val="17365D"/>
          <w:sz w:val="20"/>
          <w:szCs w:val="20"/>
        </w:rPr>
        <w:t xml:space="preserve">Y-90 late toxicity</w:t>
      </w:r>
      <w:r>
        <w:rPr>
          <w:b/>
          <w:bCs/>
          <w:color w:val="176A87"/>
          <w:sz w:val="15"/>
          <w:szCs w:val="15"/>
        </w:rPr>
        <w:t xml:space="preserve">   cohort</w:t>
      </w:r>
      <w:r>
        <w:rPr>
          <w:color w:val="5A6069"/>
          <w:sz w:val="15"/>
          <w:szCs w:val="15"/>
        </w:rPr>
        <w:t xml:space="preserve">   PMID 29724520</w:t>
      </w:r>
    </w:p>
    <w:p>
      <w:pPr>
        <w:spacing w:after="50" w:line="276"/>
      </w:pPr>
      <w:r>
        <w:rPr>
          <w:color w:val="5A6069"/>
          <w:sz w:val="17"/>
          <w:szCs w:val="17"/>
        </w:rPr>
        <w:t xml:space="preserve">Long-Term Toxicity after Transarterial Radioembolization with Yttrium-90 Using Resin Microspheres for Neuroendocrine Tumor Liver Metastases</w:t>
      </w:r>
    </w:p>
    <w:p>
      <w:pPr>
        <w:spacing w:after="50"/>
      </w:pPr>
      <w:r>
        <w:rPr>
          <w:b/>
          <w:bCs/>
          <w:color w:val="176A87"/>
          <w:sz w:val="16"/>
          <w:szCs w:val="16"/>
        </w:rPr>
        <w:t xml:space="preserve">Population. </w:t>
      </w:r>
      <w:r>
        <w:rPr>
          <w:sz w:val="16"/>
          <w:szCs w:val="16"/>
        </w:rPr>
        <w:t xml:space="preserve">93 patients (47 women, 46 men, mean age 59) with unresectable NET liver metastases treated with resin yttrium-90 microspheres at one centre between February 2007 and November 2015 across 168 treatments, 48 unilobar and 45 staged bilobar; 52 patients had more than 1 year and only 11 more than 4 years of follow-up.</w:t>
      </w:r>
    </w:p>
    <w:p>
      <w:pPr>
        <w:spacing w:after="70"/>
      </w:pPr>
      <w:r>
        <w:rPr>
          <w:b/>
          <w:bCs/>
          <w:color w:val="17365D"/>
          <w:sz w:val="16"/>
          <w:szCs w:val="16"/>
        </w:rPr>
        <w:t xml:space="preserve">Bottom line. </w:t>
      </w:r>
      <w:r>
        <w:rPr>
          <w:sz w:val="16"/>
          <w:szCs w:val="16"/>
        </w:rPr>
        <w:t xml:space="preserve">This is the best available long-term safety picture for resin yttrium-90 in neuroendocrine liver metastases: alkaline phosphatase and transaminases rise over the first year and are still elevated beyond four, imaging features of cirrhosis-like morphology or portal hypertension appear in 29% at one year, and yet grade 3 serologic toxicity occurred in only 4 of 52 patients and no liver failure was observed. The long-term signal rests on a survivor-selected denominator of 52 patients at one year and 11 at four, with no dosimetry, no adjustment for the seven patients on everolimus, and cause of death unknown in most of the 42 who died. Its most usable finding is prognostic rather than toxicologic: baseline ascites (median survival 7.3 months) or extrahepatic metastases (21.1 months) change the conversation entirely, while patients with neither lived a median of about 5 years.</w:t>
      </w:r>
    </w:p>
    <w:tbl>
      <w:tblPr>
        <w:tblW w:type="dxa" w:w="9360"/>
        <w:tblBorders>
          <w:top w:val="single" w:color="D3DCE4" w:sz="4"/>
          <w:left w:val="single" w:color="D3DCE4" w:sz="4"/>
          <w:bottom w:val="single" w:color="D3DCE4" w:sz="4"/>
          <w:right w:val="single" w:color="D3DCE4" w:sz="4"/>
          <w:insideH w:val="single" w:color="D3DCE4" w:sz="4"/>
          <w:insideV w:val="single" w:color="D3DCE4" w:sz="4"/>
        </w:tblBorders>
      </w:tblPr>
      <w:tblGrid>
        <w:gridCol w:w="4600"/>
        <w:gridCol w:w="4760"/>
      </w:tblGrid>
      <w:tr>
        <w:tc>
          <w:tcPr>
            <w:tcW w:type="dxa" w:w="4600"/>
            <w:shd w:fill="F1F4F8" w:color="auto" w:val="clear"/>
            <w:tcMar>
              <w:top w:type="dxa" w:w="70"/>
              <w:left w:type="dxa" w:w="110"/>
              <w:bottom w:type="dxa" w:w="70"/>
              <w:right w:type="dxa" w:w="110"/>
            </w:tcMar>
            <w:vAlign w:val="top"/>
          </w:tcPr>
          <w:p>
            <w:pPr>
              <w:spacing w:after="50"/>
            </w:pPr>
            <w:r>
              <w:rPr>
                <w:b/>
                <w:bCs/>
                <w:color w:val="8E5008"/>
                <w:spacing w:val="12"/>
                <w:sz w:val="14"/>
                <w:szCs w:val="14"/>
              </w:rPr>
              <w:t xml:space="preserve">LIMITATIONS THE AUTHORS STATE</w:t>
            </w:r>
          </w:p>
          <w:p>
            <w:pPr>
              <w:pStyle w:val="ListParagraph"/>
              <w:numPr>
                <w:ilvl w:val="0"/>
                <w:numId w:val="2"/>
              </w:numPr>
              <w:spacing w:after="45"/>
            </w:pPr>
            <w:r>
              <w:rPr>
                <w:sz w:val="15"/>
                <w:szCs w:val="15"/>
              </w:rPr>
              <w:t xml:space="preserve">Retrospective single-centre design, so inherent selection bias must be considered.</w:t>
            </w:r>
          </w:p>
          <w:p>
            <w:pPr>
              <w:pStyle w:val="ListParagraph"/>
              <w:numPr>
                <w:ilvl w:val="0"/>
                <w:numId w:val="2"/>
              </w:numPr>
              <w:spacing w:after="45"/>
            </w:pPr>
            <w:r>
              <w:rPr>
                <w:sz w:val="15"/>
                <w:szCs w:val="15"/>
              </w:rPr>
              <w:t xml:space="preserve">The influence of tumour progression on the serologic toxicities was not taken into account; the authors argue it was likely low because only 4 patients had progressive disease.</w:t>
            </w:r>
          </w:p>
          <w:p>
            <w:pPr>
              <w:pStyle w:val="ListParagraph"/>
              <w:numPr>
                <w:ilvl w:val="0"/>
                <w:numId w:val="2"/>
              </w:numPr>
              <w:spacing w:after="45"/>
            </w:pPr>
            <w:r>
              <w:rPr>
                <w:sz w:val="15"/>
                <w:szCs w:val="15"/>
              </w:rPr>
              <w:t xml:space="preserve">Therapies received before or after radioembolisation may have contributed to the long-term toxicities, and assessing their precise contribution remains challenging.</w:t>
            </w:r>
          </w:p>
          <w:p>
            <w:pPr>
              <w:pStyle w:val="ListParagraph"/>
              <w:numPr>
                <w:ilvl w:val="0"/>
                <w:numId w:val="2"/>
              </w:numPr>
              <w:spacing w:after="45"/>
            </w:pPr>
            <w:r>
              <w:rPr>
                <w:sz w:val="15"/>
                <w:szCs w:val="15"/>
              </w:rPr>
              <w:t xml:space="preserve">Information on the 42 patients who died was incomplete because most died at outside hospitals, and cause of death could not be definitively determined for all of them.</w:t>
            </w:r>
          </w:p>
          <w:p>
            <w:pPr>
              <w:pStyle w:val="ListParagraph"/>
              <w:numPr>
                <w:ilvl w:val="0"/>
                <w:numId w:val="2"/>
              </w:numPr>
              <w:spacing w:after="45"/>
            </w:pPr>
            <w:r>
              <w:rPr>
                <w:sz w:val="15"/>
                <w:szCs w:val="15"/>
              </w:rPr>
              <w:t xml:space="preserve">It is challenging to differentiate the normal radiographic changes that follow radioembolisation from true cirrhosis.</w:t>
            </w:r>
          </w:p>
          <w:p>
            <w:pPr>
              <w:pStyle w:val="ListParagraph"/>
              <w:numPr>
                <w:ilvl w:val="0"/>
                <w:numId w:val="2"/>
              </w:numPr>
              <w:spacing w:after="45"/>
            </w:pPr>
            <w:r>
              <w:rPr>
                <w:sz w:val="15"/>
                <w:szCs w:val="15"/>
              </w:rPr>
              <w:t xml:space="preserve">The authors state that further research is needed on risk factors for cirrhosis and portal hypertension in this setting, including baseline characteristics, prior therapy and absorbed liver doses in tumour and non-tumour tissue, none of which this study provides.</w:t>
            </w:r>
          </w:p>
          <w:p>
            <w:pPr>
              <w:pStyle w:val="ListParagraph"/>
              <w:numPr>
                <w:ilvl w:val="0"/>
                <w:numId w:val="2"/>
              </w:numPr>
              <w:spacing w:after="45"/>
            </w:pPr>
            <w:r>
              <w:rPr>
                <w:sz w:val="15"/>
                <w:szCs w:val="15"/>
              </w:rPr>
              <w:t xml:space="preserve">Prospective investigation is acknowledged to be difficult given the rarity of the disease and the heterogeneity of these patients.</w:t>
            </w:r>
          </w:p>
        </w:tc>
        <w:tc>
          <w:tcPr>
            <w:tcW w:type="dxa" w:w="4760"/>
            <w:shd w:fill="F1F4F8" w:color="auto" w:val="clear"/>
            <w:tcMar>
              <w:top w:type="dxa" w:w="70"/>
              <w:left w:type="dxa" w:w="110"/>
              <w:bottom w:type="dxa" w:w="70"/>
              <w:right w:type="dxa" w:w="110"/>
            </w:tcMar>
            <w:vAlign w:val="top"/>
          </w:tcPr>
          <w:p>
            <w:pPr>
              <w:spacing w:after="50"/>
            </w:pPr>
            <w:r>
              <w:rPr>
                <w:b/>
                <w:bCs/>
                <w:color w:val="8C2F26"/>
                <w:spacing w:val="12"/>
                <w:sz w:val="14"/>
                <w:szCs w:val="14"/>
              </w:rPr>
              <w:t xml:space="preserve">WHAT THEY DO NOT SAY</w:t>
            </w:r>
          </w:p>
          <w:p>
            <w:pPr>
              <w:pStyle w:val="ListParagraph"/>
              <w:numPr>
                <w:ilvl w:val="0"/>
                <w:numId w:val="2"/>
              </w:numPr>
              <w:spacing w:after="45"/>
            </w:pPr>
            <w:r>
              <w:rPr>
                <w:sz w:val="15"/>
                <w:szCs w:val="15"/>
              </w:rPr>
              <w:t xml:space="preserve">The argument that dismisses tumour progression as a cause of the liver enzyme rises uses the wrong denominator. The four patients with progressive disease are the four scored at one year among the 52 still being followed; 42 of the 93 patients died and median survival was 28.0 months, so progression in this cohort was common and the stated reason for not adjusting for it does not hold.</w:t>
            </w:r>
          </w:p>
          <w:p>
            <w:pPr>
              <w:pStyle w:val="ListParagraph"/>
              <w:numPr>
                <w:ilvl w:val="0"/>
                <w:numId w:val="2"/>
              </w:numPr>
              <w:spacing w:after="45"/>
            </w:pPr>
            <w:r>
              <w:rPr>
                <w:sz w:val="15"/>
                <w:szCs w:val="15"/>
              </w:rPr>
              <w:t xml:space="preserve">The long-term toxicity finding is measured in exactly the patients least damaged by treatment. Of 93 patients, 18 died and 23 were lost before one year, leaving 52 at one year and 11 at four. Sustained ALP and AST elevation beyond four years is therefore a statement about 11 survivors, and the patients whose livers failed fastest are absent from the denominator.</w:t>
            </w:r>
          </w:p>
          <w:p>
            <w:pPr>
              <w:pStyle w:val="ListParagraph"/>
              <w:numPr>
                <w:ilvl w:val="0"/>
                <w:numId w:val="2"/>
              </w:numPr>
              <w:spacing w:after="45"/>
            </w:pPr>
            <w:r>
              <w:rPr>
                <w:sz w:val="15"/>
                <w:szCs w:val="15"/>
              </w:rPr>
              <w:t xml:space="preserve">The four-year analysis is a repeated-measures ANOVA over five time points in 11 patients across a panel of serologic tests, with no correction for multiple outcomes, and the significant values are driven by extreme observations: the four-year mean ALP is 224.6 IU/L with a standard deviation of 195.1.</w:t>
            </w:r>
          </w:p>
          <w:p>
            <w:pPr>
              <w:pStyle w:val="ListParagraph"/>
              <w:numPr>
                <w:ilvl w:val="0"/>
                <w:numId w:val="2"/>
              </w:numPr>
              <w:spacing w:after="45"/>
            </w:pPr>
            <w:r>
              <w:rPr>
                <w:sz w:val="15"/>
                <w:szCs w:val="15"/>
              </w:rPr>
              <w:t xml:space="preserve">The conclusion that bilobar treatment carries a trend toward treatment-related portal hypertension rests on comparisons that reach significance nowhere: cirrhosis-like morphology 6 of 29 versus 1 of 23 (p=0.093), ascites 5 versus 1, splenomegaly 6 versus 3. The imaging features were also scored without blinding to which lobes had been treated, which is visible on the same scans.</w:t>
            </w:r>
          </w:p>
          <w:p>
            <w:pPr>
              <w:pStyle w:val="ListParagraph"/>
              <w:numPr>
                <w:ilvl w:val="0"/>
                <w:numId w:val="2"/>
              </w:numPr>
              <w:spacing w:after="45"/>
            </w:pPr>
            <w:r>
              <w:rPr>
                <w:sz w:val="15"/>
                <w:szCs w:val="15"/>
              </w:rPr>
              <w:t xml:space="preserve">Unilobar and bilobar treatment are not comparable exposures. Bilobar treatment was given because the disease was bilobar, so the group with more enzyme change, more imaging signs of portal hypertension and falling platelets is also the group with more tumour and more total activity.</w:t>
            </w:r>
          </w:p>
          <w:p>
            <w:pPr>
              <w:pStyle w:val="ListParagraph"/>
              <w:numPr>
                <w:ilvl w:val="0"/>
                <w:numId w:val="2"/>
              </w:numPr>
              <w:spacing w:after="45"/>
            </w:pPr>
            <w:r>
              <w:rPr>
                <w:sz w:val="15"/>
                <w:szCs w:val="15"/>
              </w:rPr>
              <w:t xml:space="preserve">No dosimetry is reported. Absorbed dose to tumour and to uninvolved liver is absent, which the authors themselves identify as needed, and the null result for total administered activity (HR 1.03, p=0.926) therefore cannot distinguish absence of a dose-response from absence of dose data.</w:t>
            </w:r>
          </w:p>
          <w:p>
            <w:pPr>
              <w:pStyle w:val="ListParagraph"/>
              <w:numPr>
                <w:ilvl w:val="0"/>
                <w:numId w:val="2"/>
              </w:numPr>
              <w:spacing w:after="45"/>
            </w:pPr>
            <w:r>
              <w:rPr>
                <w:sz w:val="15"/>
                <w:szCs w:val="15"/>
              </w:rPr>
              <w:t xml:space="preserve">The nine patients who received systemic therapy during the first year included seven on everolimus, a drug that itself raises transaminases and alkaline phosphatase. The toxicity endpoint of this paper is exactly that, and no adjustment or sensitivity analysis excludes them.</w:t>
            </w:r>
          </w:p>
          <w:p>
            <w:pPr>
              <w:pStyle w:val="ListParagraph"/>
              <w:numPr>
                <w:ilvl w:val="0"/>
                <w:numId w:val="2"/>
              </w:numPr>
              <w:spacing w:after="45"/>
            </w:pPr>
            <w:r>
              <w:rPr>
                <w:sz w:val="15"/>
                <w:szCs w:val="15"/>
              </w:rPr>
              <w:t xml:space="preserve">A safety study cannot say whether any patient died of liver injury, because cause of death was undeterminable for most of the 42 deaths. 'No radioembolisation-induced liver failure' is a statement about events the authors could observe, in a cohort whose deaths mostly occurred elsewhere.</w:t>
            </w:r>
          </w:p>
          <w:p>
            <w:pPr>
              <w:pStyle w:val="ListParagraph"/>
              <w:numPr>
                <w:ilvl w:val="0"/>
                <w:numId w:val="2"/>
              </w:numPr>
              <w:spacing w:after="45"/>
            </w:pPr>
            <w:r>
              <w:rPr>
                <w:sz w:val="15"/>
                <w:szCs w:val="15"/>
              </w:rPr>
              <w:t xml:space="preserve">Median follow-up of 15.0 months is about half the median survival of 28.0 months, whose confidence interval runs from 16.2 to 39.8 months, so the survival estimate spans two years of uncertainty and the prognostic subgroup medians (58.0 and 53.8 months) lie far beyond the observation period.</w:t>
            </w:r>
          </w:p>
          <w:p>
            <w:pPr>
              <w:pStyle w:val="ListParagraph"/>
              <w:numPr>
                <w:ilvl w:val="0"/>
                <w:numId w:val="2"/>
              </w:numPr>
              <w:spacing w:after="45"/>
            </w:pPr>
            <w:r>
              <w:rPr>
                <w:sz w:val="15"/>
                <w:szCs w:val="15"/>
              </w:rPr>
              <w:t xml:space="preserve">The multivariable model is over-specified for its event count. On 42 deaths it fits ascites, extrahepatic metastases and an interaction term between them, yielding a hazard ratio of 5.25 with a confidence interval from 1.85 to 14.96 from a small number of patients with baseline ascites.</w:t>
            </w:r>
          </w:p>
          <w:p>
            <w:pPr>
              <w:pStyle w:val="ListParagraph"/>
              <w:numPr>
                <w:ilvl w:val="0"/>
                <w:numId w:val="2"/>
              </w:numPr>
              <w:spacing w:after="45"/>
            </w:pPr>
            <w:r>
              <w:rPr>
                <w:sz w:val="15"/>
                <w:szCs w:val="15"/>
              </w:rPr>
              <w:t xml:space="preserve">Baseline ascites is a near-universal contraindication to radioembolisation elsewhere, and those patients had a median survival of 7.3 months (95% CI 3.8-10.2). The paper treats this as a prognostic observation and never asks whether they should have been treated.</w:t>
            </w:r>
          </w:p>
          <w:p>
            <w:pPr>
              <w:pStyle w:val="ListParagraph"/>
              <w:numPr>
                <w:ilvl w:val="0"/>
                <w:numId w:val="2"/>
              </w:numPr>
              <w:spacing w:after="45"/>
            </w:pPr>
            <w:r>
              <w:rPr>
                <w:sz w:val="15"/>
                <w:szCs w:val="15"/>
              </w:rPr>
              <w:t xml:space="preserve">The efficacy figure is reported without criteria. The 25% partial response rate at one year names no RECIST or mRECIST version, no central or blinded read, and is computed only in the 52 survivors.</w:t>
            </w:r>
          </w:p>
          <w:p>
            <w:pPr>
              <w:pStyle w:val="ListParagraph"/>
              <w:numPr>
                <w:ilvl w:val="0"/>
                <w:numId w:val="2"/>
              </w:numPr>
              <w:spacing w:after="45"/>
            </w:pPr>
            <w:r>
              <w:rPr>
                <w:sz w:val="15"/>
                <w:szCs w:val="15"/>
              </w:rPr>
              <w:t xml:space="preserve">Tumour differentiation was unknown in 22 patients (24%), the cohort is split by the obsolete carcinoid versus islet cell distinction, and no Ki-67 or WHO grade appears anywhere, so nothing here can be stratified by the variable that now drives treatment selection.</w:t>
            </w:r>
          </w:p>
          <w:p>
            <w:pPr>
              <w:pStyle w:val="ListParagraph"/>
              <w:numPr>
                <w:ilvl w:val="0"/>
                <w:numId w:val="2"/>
              </w:numPr>
              <w:spacing w:after="45"/>
            </w:pPr>
            <w:r>
              <w:rPr>
                <w:sz w:val="15"/>
                <w:szCs w:val="15"/>
              </w:rPr>
              <w:t xml:space="preserve">The comparison with the glass-microsphere literature is informal and self-serving: the paper notes that rates of cirrhosis-like morphology and portal hypertension were higher in the published TheraSphere cohort, concedes that device, dosimetry or follow-up duration could explain it, and still concludes that its own data support the relative long-term safety of resin microspheres.</w:t>
            </w:r>
          </w:p>
          <w:p>
            <w:pPr>
              <w:pStyle w:val="ListParagraph"/>
              <w:numPr>
                <w:ilvl w:val="0"/>
                <w:numId w:val="2"/>
              </w:numPr>
              <w:spacing w:after="45"/>
            </w:pPr>
            <w:r>
              <w:rPr>
                <w:sz w:val="15"/>
                <w:szCs w:val="15"/>
              </w:rPr>
              <w:t xml:space="preserve">Eight segmental and 160 lobar treatments are pooled throughout, although segmental treatment spares far more parenchyma and is the exposure least likely to cause the late changes under study.</w:t>
            </w:r>
          </w:p>
          <w:p>
            <w:pPr>
              <w:pStyle w:val="ListParagraph"/>
              <w:numPr>
                <w:ilvl w:val="0"/>
                <w:numId w:val="2"/>
              </w:numPr>
              <w:spacing w:after="45"/>
            </w:pPr>
            <w:r>
              <w:rPr>
                <w:sz w:val="15"/>
                <w:szCs w:val="15"/>
              </w:rPr>
              <w:t xml:space="preserve">No study funding statement appears. The disclosure block lists extensive industry relationships for three authors, including personal fees from Guerbet and Bayer and grants from Terumo and Guerbet to the corresponding author, and none with the manufacturer of the resin microspheres under study. A PubMed search found no linked editorial or comment on this paper.</w:t>
            </w:r>
          </w:p>
        </w:tc>
      </w:tr>
    </w:tbl>
    <w:p>
      <w:pPr>
        <w:spacing w:after="0" w:line="276"/>
      </w:pPr>
      <w:r>
        <w:rPr>
          <w:color w:val="5A6069"/>
          <w:sz w:val="14"/>
          <w:szCs w:val="14"/>
        </w:rPr>
        <w:t xml:space="preserve">Funding: No study funding statement. Disclosures: K.J.K. receives personal fees from Guerbet and Bayer; J.A.K. declares grants from the NIH, W.L. Gore, Guerbet and Cook, personal fees from Guerbet, Covidien, Delcath and Biomet, royalties from Elsevier, an editorial stipend, and ownership or stock in Hatch Medical, Vu Medi, Endoshape, VENITI, Javelin Medical, AV Medical Technologies and Bio2 Medical; K.F. receives personal fees from Cook, Neuwave and Bayer and grants from Terumo and Guerbet. No author declares a relationship with the resin microsphere manufacturer.</w:t>
      </w:r>
    </w:p>
    <w:p>
      <w:pPr>
        <w:pStyle w:val="Heading2"/>
        <w:keepNext/>
        <w:spacing w:after="110" w:before="320"/>
      </w:pPr>
      <w:r>
        <w:rPr>
          <w:rFonts w:ascii="Cambria" w:cs="Cambria" w:eastAsia="Cambria" w:hAnsi="Cambria"/>
          <w:b/>
          <w:bCs/>
          <w:color w:val="17365D"/>
          <w:sz w:val="26"/>
          <w:szCs w:val="26"/>
        </w:rPr>
        <w:t xml:space="preserve">Sources not abstracted in full</w:t>
      </w:r>
    </w:p>
    <w:p>
      <w:pPr>
        <w:spacing w:after="120" w:line="276"/>
      </w:pPr>
      <w:r>
        <w:rPr>
          <w:i/>
          <w:iCs/>
          <w:color w:val="5A6069"/>
          <w:sz w:val="20"/>
          <w:szCs w:val="20"/>
        </w:rPr>
        <w:t xml:space="preserve">These carry no entry above. A guideline or policy document is cited for what it states rather than for a result, and a paper listed here without a PMID could not be retrieved — in either case the roadmap's claim rests on the source as quoted, not on a full-text read of it.</w:t>
      </w:r>
    </w:p>
    <w:p>
      <w:pPr>
        <w:pStyle w:val="ListParagraph"/>
        <w:numPr>
          <w:ilvl w:val="0"/>
          <w:numId w:val="2"/>
        </w:numPr>
        <w:spacing w:after="60" w:line="268"/>
      </w:pPr>
      <w:r>
        <w:rPr>
          <w:color w:val="15181F"/>
          <w:sz w:val="16"/>
          <w:szCs w:val="16"/>
        </w:rPr>
        <w:t xml:space="preserve">ASCO 2025 symptom management — Perez K, Del Rivero J, Kennedy EB, et al. Symptom management for well-differentiated gastroenteropancreatic neuroendocrine tumors: ASCO guideline. JCO Oncol Pract. 2026;22(1):19-35. Published online 9 May 2025.</w:t>
      </w:r>
    </w:p>
    <w:p>
      <w:pPr>
        <w:pStyle w:val="ListParagraph"/>
        <w:numPr>
          <w:ilvl w:val="0"/>
          <w:numId w:val="2"/>
        </w:numPr>
        <w:spacing w:after="60" w:line="268"/>
      </w:pPr>
      <w:r>
        <w:rPr>
          <w:color w:val="15181F"/>
          <w:sz w:val="16"/>
          <w:szCs w:val="16"/>
        </w:rPr>
        <w:t xml:space="preserve">HOPE4LIVER — Ziemlewicz TJ, et al. HOPE4LIVER one-year update. Ann Surg 2025. 47 patients, 52 tumours; local control 63.4% on the primary assessment versus 90% post hoc.</w:t>
      </w:r>
    </w:p>
    <w:p>
      <w:pPr>
        <w:pStyle w:val="ListParagraph"/>
        <w:numPr>
          <w:ilvl w:val="0"/>
          <w:numId w:val="2"/>
        </w:numPr>
        <w:spacing w:after="60" w:line="268"/>
      </w:pPr>
      <w:r>
        <w:rPr>
          <w:color w:val="15181F"/>
          <w:sz w:val="16"/>
          <w:szCs w:val="16"/>
        </w:rPr>
        <w:t xml:space="preserve">MH NELM alignment worksheet — Guideline alignment worksheet — adult neuroendocrine liver metastasis. Memorial Hermann Neuroendocrine Liver Metastasis System Roadmap, Draft v0.6, 4 October 2026. Sixteen areas where the published guidelines can disagre</w:t>
      </w:r>
    </w:p>
    <w:p>
      <w:pPr>
        <w:pStyle w:val="ListParagraph"/>
        <w:numPr>
          <w:ilvl w:val="0"/>
          <w:numId w:val="2"/>
        </w:numPr>
        <w:spacing w:after="60" w:line="268"/>
      </w:pPr>
      <w:r>
        <w:rPr>
          <w:color w:val="15181F"/>
          <w:sz w:val="16"/>
          <w:szCs w:val="16"/>
        </w:rPr>
        <w:t xml:space="preserve">MH NELM roadmap v0.6 — Memorial Hermann Neuroendocrine Liver Metastasis System Roadmap. Multidisciplinary practice guideline and operating pathway, Draft v0.6, 4 October 2026 (liver-directed therapy section revised 3 October 2026). Systemwide </w:t>
      </w:r>
    </w:p>
    <w:p>
      <w:pPr>
        <w:pStyle w:val="ListParagraph"/>
        <w:numPr>
          <w:ilvl w:val="0"/>
          <w:numId w:val="2"/>
        </w:numPr>
        <w:spacing w:after="60" w:line="268"/>
      </w:pPr>
      <w:r>
        <w:rPr>
          <w:color w:val="15181F"/>
          <w:sz w:val="16"/>
          <w:szCs w:val="16"/>
        </w:rPr>
        <w:t xml:space="preserve">NCCN NE v1.2026 — National Comprehensive Cancer Network. NCCN Clinical Practice Guidelines in Oncology: Neuroendocrine and Adrenal Tumors. Version 1.2026, 21 April 2026. Original PDF p. 72 (imaging), p. 85 (NE-D, surgery and carcinoid cri</w:t>
      </w:r>
    </w:p>
    <w:p>
      <w:pPr>
        <w:pStyle w:val="ListParagraph"/>
        <w:numPr>
          <w:ilvl w:val="0"/>
          <w:numId w:val="2"/>
        </w:numPr>
        <w:spacing w:after="60" w:line="268"/>
      </w:pPr>
      <w:r>
        <w:rPr>
          <w:color w:val="15181F"/>
          <w:sz w:val="16"/>
          <w:szCs w:val="16"/>
        </w:rPr>
        <w:t xml:space="preserve">OPTN NLRB guidance 2025 — Organ Procurement and Transplantation Network, Liver and Intestinal Organ Transplantation Committee. Guidance to Liver Transplant Programs and the National Liver Review Board for: Adult MELD Exceptions for Transplant Onc</w:t>
      </w:r>
    </w:p>
    <w:p>
      <w:pPr>
        <w:pStyle w:val="ListParagraph"/>
        <w:numPr>
          <w:ilvl w:val="0"/>
          <w:numId w:val="2"/>
        </w:numPr>
        <w:spacing w:after="60" w:line="268"/>
      </w:pPr>
      <w:r>
        <w:rPr>
          <w:color w:val="15181F"/>
          <w:sz w:val="16"/>
          <w:szCs w:val="16"/>
        </w:rPr>
        <w:t xml:space="preserve">OPTN Policy 9 — Organ Procurement and Transplantation Network. Policy 9: Allocation of Livers and Liver-Intestines. U.S. Department of Health and Human Services, HRSA. Policy 9.4.C–E, 9.5.A and 9.5.I; official policy PDF retrieved 1 Oct</w:t>
      </w:r>
    </w:p>
    <w:p>
      <w:pPr>
        <w:pStyle w:val="Heading1"/>
        <w:widowControl/>
        <w:keepNext/>
      </w:pPr>
      <w:r>
        <w:t xml:space="preserve">References: previously treated extrahepatic disease</w:t>
      </w:r>
    </w:p>
    <w:p>
      <w:pPr>
        <w:pStyle w:val="Normal"/>
        <w:widowControl/>
        <w:spacing w:after="120"/>
      </w:pPr>
      <w:r>
        <w:t xml:space="preserve"/>
      </w:r>
      <w:r>
        <w:fldChar w:fldCharType="begin"/>
      </w:r>
      <w:r>
        <w:instrText xml:space="preserve"> ADDIN EN.REFLIST </w:instrText>
      </w:r>
      <w:r>
        <w:fldChar w:fldCharType="separate"/>
      </w:r>
      <w:r>
        <w:t xml:space="preserve">[V16-1] Howe, James R; Cardona, Kenneth; Fraker, Douglas L; et al. The Surgical Management of Small Bowel Neuroendocrine Tumors: Consensus Guidelines of the North American Neuroendocrine Tumor Society. Pancreas. 2017; 46(6):715-731. </w:t>
      </w:r>
      <w:hyperlink r:id="rId17">
        <w:r>
          <w:rPr>
            <w:color w:val="0563C1"/>
            <w:u w:val="single"/>
          </w:rPr>
          <w:t>Source</w:t>
        </w:r>
      </w:hyperlink>
      <w:r>
        <w:t xml:space="preserve"> | </w:t>
      </w:r>
      <w:hyperlink r:id="rId18">
        <w:r>
          <w:rPr>
            <w:color w:val="0563C1"/>
            <w:u w:val="single"/>
          </w:rPr>
          <w:t>Full-text access</w:t>
        </w:r>
      </w:hyperlink>
    </w:p>
    <w:p>
      <w:pPr>
        <w:pStyle w:val="Normal"/>
        <w:widowControl/>
        <w:spacing w:after="120"/>
      </w:pPr>
      <w:r>
        <w:t xml:space="preserve"/>
      </w:r>
      <w:r>
        <w:t xml:space="preserve">[V16-2] Gudmundsdottir, Hallbera; Habermann, Elizabeth B; Vierkant, Robert A; et al. Survival and Symptomatic Relief After Cytoreductive Hepatectomy for Neuroendocrine Tumor Liver Metastases: Long-Term Follow-up Evaluation of More Than 500 Patients. Annals of surgical oncology. 2023; 30(8):4840-4851. </w:t>
      </w:r>
      <w:hyperlink r:id="rId19">
        <w:r>
          <w:rPr>
            <w:color w:val="0563C1"/>
            <w:u w:val="single"/>
          </w:rPr>
          <w:t>Source</w:t>
        </w:r>
      </w:hyperlink>
      <w:r>
        <w:t xml:space="preserve"> | Local PDF not available in this update</w:t>
      </w:r>
    </w:p>
    <w:p>
      <w:pPr>
        <w:pStyle w:val="Normal"/>
        <w:widowControl/>
        <w:spacing w:after="120"/>
      </w:pPr>
      <w:r>
        <w:t xml:space="preserve"/>
      </w:r>
      <w:r>
        <w:t xml:space="preserve">[V16-3] Mahuron, Kelly M; Limbach, Kristen E; Hernandez, Matthew C; et al. Liver Resection for Gastroenteropancreatic Neuroendocrine Tumors with Extrahepatic Disease. Journal of clinical medicine. 2024; 13(17). </w:t>
      </w:r>
      <w:hyperlink r:id="rId20">
        <w:r>
          <w:rPr>
            <w:color w:val="0563C1"/>
            <w:u w:val="single"/>
          </w:rPr>
          <w:t>Source</w:t>
        </w:r>
      </w:hyperlink>
      <w:r>
        <w:t xml:space="preserve"> | Local PDF not available in this update</w:t>
      </w:r>
    </w:p>
    <w:p>
      <w:pPr>
        <w:pStyle w:val="Normal"/>
        <w:widowControl/>
        <w:spacing w:after="120"/>
      </w:pPr>
      <w:r>
        <w:t xml:space="preserve"/>
      </w:r>
      <w:r>
        <w:t xml:space="preserve">[V16-4] Wedin, Maria; Janson, Eva Tiensuu; Wallin, Göran; et al. Impact on symptoms and survival of bone metastases in patients with small-intestinal neuroendocrine tumours. Journal of neuroendocrinology. 2025; 37(10):e70073. </w:t>
      </w:r>
      <w:hyperlink r:id="rId21">
        <w:r>
          <w:rPr>
            <w:color w:val="0563C1"/>
            <w:u w:val="single"/>
          </w:rPr>
          <w:t>Source</w:t>
        </w:r>
      </w:hyperlink>
      <w:r>
        <w:t xml:space="preserve"> | Local PDF not available in this update</w:t>
      </w:r>
    </w:p>
    <w:p>
      <w:pPr>
        <w:pStyle w:val="Normal"/>
        <w:widowControl/>
        <w:spacing w:after="120"/>
      </w:pPr>
      <w:r>
        <w:t xml:space="preserve"/>
      </w:r>
      <w:r>
        <w:t xml:space="preserve">[V16-5] Xiang, Jun-Xi; Zhang, Xu-Feng; Beal, Eliza W; et al. Hepatic Resection for Non-functional Neuroendocrine Liver Metastasis: Does the Presence of Unresected Primary Tumor or Extrahepatic Metastatic Disease Matter?. Annals of surgical oncology. 2018; 25(13):3928-3935. </w:t>
      </w:r>
      <w:hyperlink r:id="rId22">
        <w:r>
          <w:rPr>
            <w:color w:val="0563C1"/>
            <w:u w:val="single"/>
          </w:rPr>
          <w:t>Source</w:t>
        </w:r>
      </w:hyperlink>
      <w:r>
        <w:t xml:space="preserve"> | Local PDF not available in this update</w:t>
      </w:r>
    </w:p>
    <w:p>
      <w:pPr>
        <w:pStyle w:val="Normal"/>
        <w:widowControl/>
        <w:spacing w:after="120"/>
      </w:pPr>
      <w:r>
        <w:t xml:space="preserve"/>
      </w:r>
      <w:r>
        <w:t xml:space="preserve">[V16-6] Spolverato, Gaya; Bagante, Fabio; Aldrighetti, Luca; et al. Management and outcomes of patients with recurrent neuroendocrine liver metastasis after curative surgery: An international multi-institutional analysis. Journal of surgical oncology. 2017; 116(3):298-306. </w:t>
      </w:r>
      <w:hyperlink r:id="rId23">
        <w:r>
          <w:rPr>
            <w:color w:val="0563C1"/>
            <w:u w:val="single"/>
          </w:rPr>
          <w:t>Source</w:t>
        </w:r>
      </w:hyperlink>
      <w:r>
        <w:t xml:space="preserve"> | Local PDF not available in this update</w:t>
      </w:r>
    </w:p>
    <w:p>
      <w:pPr>
        <w:pStyle w:val="Normal"/>
        <w:widowControl/>
        <w:spacing w:after="120"/>
      </w:pPr>
      <w:r>
        <w:t xml:space="preserve"/>
      </w:r>
      <w:r>
        <w:t xml:space="preserve">[V16-7] Chan, David L; Dixon, Matthew; Law, Calvin H L; et al. Outcomes of Cytoreductive Surgery for Metastatic Low-Grade Neuroendocrine Tumors in the Setting of Extrahepatic Metastases. Annals of surgical oncology. 2018; 25(6):1768-1774. </w:t>
      </w:r>
      <w:hyperlink r:id="rId24">
        <w:r>
          <w:rPr>
            <w:color w:val="0563C1"/>
            <w:u w:val="single"/>
          </w:rPr>
          <w:t>Source</w:t>
        </w:r>
      </w:hyperlink>
      <w:r>
        <w:t xml:space="preserve"> | Local PDF not available in this update</w:t>
      </w:r>
      <w:r>
        <w:fldChar w:fldCharType="end"/>
      </w:r>
    </w:p>
    <w:p>
      <w:pPr>
        <w:pStyle w:val="Heading1"/>
        <w:widowControl/>
        <w:keepNext/>
      </w:pPr>
      <w:r>
        <w:t xml:space="preserve">V16 revision note</w:t>
      </w:r>
    </w:p>
    <w:p>
      <w:pPr>
        <w:pStyle w:val="Normal"/>
        <w:widowControl/>
        <w:spacing w:after="120"/>
      </w:pPr>
      <w:r>
        <w:t xml:space="preserve">2026-10-29 09:21 CDT. Problem: no dedicated position on previously treated, responded extrahepatic disease. Correction: added NELM-R1 with a proposed position, rules, evidence and OPEN decision fields. No eligibility rule, allocation route, MELD-exception request or study is activated; existing clinical content is retained.</w:t>
      </w:r>
    </w:p>
    <w:p>
      <w:pPr>
        <w:pStyle w:val="Normal"/>
        <w:widowControl/>
        <w:spacing w:after="120"/>
      </w:pPr>
      <w:r>
        <w:t xml:space="preserve">Review scope: 4 cited study lines rest on full-text reading (complete main text; relevant complete sections of long guidelines) and 3 on verified PubMed abstracts whose full texts are pending TMC download. Positions will be revised after those full texts are read. Analyst B (Claude.ai) for Hao Liu; no external-analyst consensus or institutional approval is implied. Live EndNote field structures and document-specific XML/RIS exports are included; native Word/EndNote CWYW refresh has not been tested.</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Memorial Hermann NELM system roadmap V16 · Extrahepatic-disease update, 29 October 2026 · draft, not ratified</w:t>
    </w:r>
    <w:r>
      <w:rPr>
        <w:sz w:val="15"/>
        <w:szCs w:val="15"/>
      </w:rPr>
      <w:t xml:space="preserve">	</w:t>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yperlink" Target="https://doi.org/10.1097/MPA.0000000000000846" TargetMode="External"/><Relationship Id="rId10" Type="http://schemas.openxmlformats.org/officeDocument/2006/relationships/hyperlink" Target="https://drliuhao.github.io/mh-liver-pathways/evidence-libraries/" TargetMode="External"/><Relationship Id="rId11" Type="http://schemas.openxmlformats.org/officeDocument/2006/relationships/hyperlink" Target="https://doi.org/10.1245/s10434-023-13372-z" TargetMode="External"/><Relationship Id="rId12" Type="http://schemas.openxmlformats.org/officeDocument/2006/relationships/hyperlink" Target="https://doi.org/10.3390/jcm13174983" TargetMode="External"/><Relationship Id="rId13" Type="http://schemas.openxmlformats.org/officeDocument/2006/relationships/hyperlink" Target="https://doi.org/10.1111/jne.70073" TargetMode="External"/><Relationship Id="rId14" Type="http://schemas.openxmlformats.org/officeDocument/2006/relationships/hyperlink" Target="https://doi.org/10.1245/s10434-018-6751-8" TargetMode="External"/><Relationship Id="rId15" Type="http://schemas.openxmlformats.org/officeDocument/2006/relationships/hyperlink" Target="https://doi.org/10.1002/jso.24670" TargetMode="External"/><Relationship Id="rId16" Type="http://schemas.openxmlformats.org/officeDocument/2006/relationships/hyperlink" Target="https://doi.org/10.1245/s10434-018-6433-6" TargetMode="External"/><Relationship Id="rId17" Type="http://schemas.openxmlformats.org/officeDocument/2006/relationships/hyperlink" Target="https://doi.org/10.1097/MPA.0000000000000846" TargetMode="External"/><Relationship Id="rId18" Type="http://schemas.openxmlformats.org/officeDocument/2006/relationships/hyperlink" Target="https://drliuhao.github.io/mh-liver-pathways/evidence-libraries/" TargetMode="External"/><Relationship Id="rId19" Type="http://schemas.openxmlformats.org/officeDocument/2006/relationships/hyperlink" Target="https://doi.org/10.1245/s10434-023-13372-z" TargetMode="External"/><Relationship Id="rId20" Type="http://schemas.openxmlformats.org/officeDocument/2006/relationships/hyperlink" Target="https://doi.org/10.3390/jcm13174983" TargetMode="External"/><Relationship Id="rId21" Type="http://schemas.openxmlformats.org/officeDocument/2006/relationships/hyperlink" Target="https://doi.org/10.1111/jne.70073" TargetMode="External"/><Relationship Id="rId22" Type="http://schemas.openxmlformats.org/officeDocument/2006/relationships/hyperlink" Target="https://doi.org/10.1245/s10434-018-6751-8" TargetMode="External"/><Relationship Id="rId23" Type="http://schemas.openxmlformats.org/officeDocument/2006/relationships/hyperlink" Target="https://doi.org/10.1002/jso.24670" TargetMode="External"/><Relationship Id="rId24" Type="http://schemas.openxmlformats.org/officeDocument/2006/relationships/hyperlink" Target="https://doi.org/10.1245/s10434-018-6433-6"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NELM system roadmap v0.7</dc:title>
  <dc:subject>Neuroendocrine liver metastases</dc:subject>
  <dc:creator>Memorial Hermann / UTHealth Houston tumour roadmap programme</dc:creator>
  <dc:description>Draft under development. Not ratified clinical policy.</dc:description>
  <cp:lastModifiedBy>Un-named</cp:lastModifiedBy>
  <cp:revision>1</cp:revision>
  <dcterms:created xsi:type="dcterms:W3CDTF">2026-10-10T04:29:17.169Z</dcterms:created>
  <dcterms:modified xsi:type="dcterms:W3CDTF">2026-10-29T14:21:31Z</dcterms:modified>
</cp:coreProperties>
</file>

<file path=docProps/custom.xml><?xml version="1.0" encoding="utf-8"?>
<Properties xmlns="http://schemas.openxmlformats.org/officeDocument/2006/custom-properties" xmlns:vt="http://schemas.openxmlformats.org/officeDocument/2006/docPropsVTypes"/>
</file>