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widowControl/>
      </w:pPr>
      <w:r>
        <w:t xml:space="preserve">UTHealth Houston / Memorial Hermann — Neuroendocrine liver metastases Standard / Guidance-Aligned Transplant Protocol V16</w:t>
      </w:r>
    </w:p>
    <w:p>
      <w:pPr>
        <w:pStyle w:val="Normal"/>
        <w:widowControl/>
      </w:pPr>
      <w:r>
        <w:t xml:space="preserve">Complete clinical-operational draft. Standard policy and nonstandard guidance categories are identified separately; local changes require institutional ratification. No experimental pathway is activated by this update.</w:t>
      </w:r>
    </w:p>
    <w:p>
      <w:pPr>
        <w:spacing w:after="120"/>
      </w:pPr>
      <w:r>
        <w:rPr>
          <w:i/>
          <w:sz w:val="18"/>
        </w:rPr>
        <w:t xml:space="preserve">Standardized document set, 29 October 2026: this is the full-content document for the standard transplant pathway. Questions for consensus: NELM_4_Standard_Transplant_Questions.docx. Decision discussion for all settings: NELM_7_Decision_Discussion.docx. Web page: https://drliuhao.github.io/mh-liver-pathways/transplant/nelm/</w:t>
      </w:r>
    </w:p>
    <w:p>
      <w:pPr>
        <w:pStyle w:val="Normal"/>
        <w:widowControl/>
      </w:pPr>
      <w:r>
        <w:t xml:space="preserve">Version 16  |  Revised 2026-10-29 09:21 CDT  |  Institutional approval pending</w:t>
      </w:r>
    </w:p>
    <w:p>
      <w:pPr>
        <w:pStyle w:val="Heading2"/>
        <w:keepNext/>
        <w:widowControl/>
      </w:pPr>
      <w:r>
        <w:t xml:space="preserve">Policy and allocation status</w:t>
      </w:r>
    </w:p>
    <w:p>
      <w:pPr>
        <w:pStyle w:val="Normal"/>
        <w:widowControl/>
      </w:pPr>
      <w:r>
        <w:t xml:space="preserve">Analyst A structured critical review through 24 October 2026. All 27 B decisions remain OPEN. Primary evidence, selected-recipient outcomes, pathway-level outcomes, guideline wording and local safeguards are distinguished. This is not a PRISMA-complete systematic review, meta-analysis, fresh external-analyst consensus or institutional approval.</w:t>
      </w:r>
    </w:p>
    <w:p>
      <w:pPr>
        <w:pStyle w:val="Normal"/>
        <w:widowControl/>
      </w:pPr>
      <w:r>
        <w:t xml:space="preserve">Policy posting checked 24 October 2026: OPTN effective 1 October 2026; oncology guidance December 2025. Clinical suitability, allocation access, donor protection and research authorization remain separate. Recheck before any application.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1YWM5NTk2NS04ZWI5LTVmODMtOGU2Ni03Y2JkNGE1NjAyOWI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Use the adjacent study tables before interpreting a proposed cutoff. Abstract-only extraction and missing full PDFs are labeled; missing outcome estimates are not inferred from graphs or from one minus disease-free survival. Linked full text is in this document’s own PDF depot when available.</w:t>
      </w:r>
    </w:p>
    <w:p>
      <w:pPr>
        <w:pStyle w:val="Heading2"/>
        <w:keepNext/>
        <w:widowControl/>
      </w:pPr>
      <w:r>
        <w:t xml:space="preserve">Clinical pathway and allocation requirements</w:t>
      </w:r>
    </w:p>
    <w:p>
      <w:pPr>
        <w:pStyle w:val="Normal"/>
        <w:widowControl/>
      </w:pPr>
      <w:r>
        <w:t xml:space="preserve">GUIDANCE-ALIGNED NON-STANDARD EXCEPTION. NET liver metastases are not a standardized diagnosis in OPTN Policy 9.5. The December 2025 guidance supports NLRB consideration for selected unresectable GEP-NET liver metastases after resection of the primary and extrahepatic disease, at least 6 months without recurrence, G1/G2 well-differentiated biology, and negative metastatic workup within 3 months. Recommended score: MMaT-3.</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1YWM5NTk2NS04ZWI5LTVmODMtOGU2Ni03Y2JkNGE1NjAyOWI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Policy posting checked 24 October 2026: OPTN policy effective 1 October 2026 and transplant-oncology NLRB guidance December 2025. HCC and qualifying pCCA have standardized policy routes; iCCA, CRLM, NET, HEHE and HCA use nonstandard review. NLRB guidance is not OPTN policy or a clinical standard. Clinical candidacy, exception approval, donor clearance and research authorization are separate. Recheck the live source before submission.</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1YWM5NTk2NS04ZWI5LTVmODMtOGU2Ni03Y2JkNGE1NjAyOWI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Extrahepatic solid-organ metastasis is a permanent exclusion from the guidance-supported exception pathway; eradicated nodal disease may be reconsidered only after at least 6 months without recurrence. All drug selection, dose, washout, immunosuppression, surveillance, donor-source, and stopping-rule decisions require current multidisciplinary review and applicable pharmacy, IRB, DSMB, institutional, and regulatory approval before clinical use.</w:t>
      </w:r>
    </w:p>
    <w:p>
      <w:pPr>
        <w:pStyle w:val="Heading2"/>
        <w:keepNext/>
        <w:widowControl/>
      </w:pPr>
      <w:r>
        <w:t xml:space="preserve">PROTOCOL A: STANDARD LIVER TRANSPLANT PROTOCOL FOR NEUROENDOCRINE TUMOR LIVER METASTASES (NETLM)</w:t>
      </w:r>
    </w:p>
    <w:p>
      <w:pPr>
        <w:pStyle w:val="Heading3"/>
        <w:keepNext/>
        <w:widowControl/>
      </w:pPr>
      <w:r>
        <w:t xml:space="preserve">1. Purpose and Scope</w:t>
      </w:r>
    </w:p>
    <w:p>
      <w:pPr>
        <w:pStyle w:val="Normal"/>
        <w:widowControl/>
        <w:numPr>
          <w:ilvl w:val="0"/>
          <w:numId w:val="3"/>
        </w:numPr>
      </w:pPr>
      <w:r>
        <w:t xml:space="preserve">Guideline comparison: selective transplant-centre and NLRB pathways exist for carefully staged well-differentiated NET liver metastases, but the locally reviewed NCCN Neuroendocrine and Adrenal Tumors v1.2026 (21 April 2026) categorizes LT as investigational rather than routine care. This protocol therefore describes a selective, multidisciplinary pathway and must not imply unanimous guideline endorsement. Record the anticipated incremental benefit over available nontransplant therapy and the local governance decision. The investigational wording is a retained discussion statement on MS-34, whose update is marked as in progress; it is not newly revised transplant evidence.</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pPr>
      <w:r>
        <w:t xml:space="preserve">This protocol establishes the standard criteria and management pathway for liver transplantation (LT) in patients with unresectable neuroendocrine tumor liver metastases (NETLM) at UTHealth Houston. It is based on the Milan-NET criteria, UNOS/OPTN guidance, and AASLD/AST Practice Guidelines.</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WFjOTU5NjUtOGViOS01ZjgzLThlNjYtN2NiZDRhNTYwMjliIiB0aW1lc3RhbXA9IjE3OTMyODM2ODY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VhYzk1OTY1LThlYjktNWY4My04ZTY2LTdjYmQ0YTU2MDI5YiIgdGltZXN0YW1wPSIxNzkzMjgzNj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Heading3"/>
        <w:keepNext/>
        <w:widowControl/>
      </w:pPr>
      <w:r>
        <w:t xml:space="preserve">2. Patient Selection Criteria (Milan-NET Criteria)</w:t>
      </w:r>
    </w:p>
    <w:p>
      <w:pPr>
        <w:pStyle w:val="Normal"/>
        <w:widowControl/>
      </w:pPr>
      <w:r>
        <w:t xml:space="preserve">All of the following must be met:</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VhYzk1OTY1LThlYjktNWY4My04ZTY2LTdjYmQ0YTU2MDI5YiIgdGltZXN0YW1wPSIxNzkzMjgzNj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Fc2htdW1pbm92PC9BdXRob3I+PFllYXI+MjAyMzwvWWVhcj48UmVjTnVtPjc8L1JlY051bT48RGlzcGxheVRleHQ+W1YxNi03XTwvRGlzcGxheVRleHQ+PHJlY29yZD48cmVjLW51bWJlcj43PC9yZWMtbnVtYmVyPjxmb3JlaWduLWtleXM+PGtleSBhcHA9IkVOIiBkYi1pZD0iNWFjOTU5NjUtOGViOS01ZjgzLThlNjYtN2NiZDRhNTYwMjliIiB0aW1lc3RhbXA9IjE3OTMyODM2ODYiPjc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pPr>
      <w:r>
        <w:t xml:space="preserve">A. Tumor Biology</w:t>
      </w:r>
    </w:p>
    <w:p>
      <w:pPr>
        <w:pStyle w:val="Normal"/>
        <w:widowControl/>
        <w:numPr>
          <w:ilvl w:val="0"/>
          <w:numId w:val="3"/>
        </w:numPr>
      </w:pPr>
      <w:r>
        <w:t xml:space="preserve">Well-differentiated G1 or G2 NET, mitotic rate &lt;20 per 10 HPF and Ki-67 index &lt;20%, based on the primary tumor or liver metastasis</w:t>
      </w:r>
    </w:p>
    <w:p>
      <w:pPr>
        <w:pStyle w:val="Normal"/>
        <w:widowControl/>
        <w:numPr>
          <w:ilvl w:val="0"/>
          <w:numId w:val="3"/>
        </w:numPr>
      </w:pPr>
      <w:r>
        <w:t xml:space="preserve">Poorly differentiated neuroendocrine carcinoma and G3 disease are outside the guidance-supported exception pathway</w:t>
      </w:r>
    </w:p>
    <w:p>
      <w:pPr>
        <w:pStyle w:val="Normal"/>
        <w:widowControl/>
      </w:pPr>
      <w:r>
        <w:t xml:space="preserve">B. Primary Tumor</w:t>
      </w:r>
    </w:p>
    <w:p>
      <w:pPr>
        <w:pStyle w:val="Normal"/>
        <w:widowControl/>
        <w:numPr>
          <w:ilvl w:val="0"/>
          <w:numId w:val="3"/>
        </w:numPr>
      </w:pPr>
      <w:r>
        <w:t xml:space="preserve">Gastro-entero-pancreatic primary with portal-system drainage; lower rectal, esophageal, pulmonary, adrenal, and thyroid primaries are excluded by the December 2025 guidance</w:t>
      </w:r>
    </w:p>
    <w:p>
      <w:pPr>
        <w:pStyle w:val="Normal"/>
        <w:widowControl/>
        <w:numPr>
          <w:ilvl w:val="0"/>
          <w:numId w:val="3"/>
        </w:numPr>
      </w:pPr>
      <w:r>
        <w:t xml:space="preserve">Primary malignancy and any extrahepatic disease must be resected with no recurrence for at least 6 months before the MELD exception request; synchronous primary resection is not guidance-concordant</w:t>
      </w:r>
    </w:p>
    <w:p>
      <w:pPr>
        <w:pStyle w:val="Normal"/>
        <w:widowControl/>
      </w:pPr>
      <w:r>
        <w:t xml:space="preserve">C. Disease Burden and Stability</w:t>
      </w:r>
    </w:p>
    <w:p>
      <w:pPr>
        <w:pStyle w:val="Normal"/>
        <w:widowControl/>
        <w:numPr>
          <w:ilvl w:val="0"/>
          <w:numId w:val="3"/>
        </w:numPr>
      </w:pPr>
      <w:r>
        <w:t xml:space="preserve">Proposed local initial-cohort reference: hepatic tumor involvement &lt;50% of total liver volume, measured with a recorded method and uncertainty. Exactly 50% requires explicit OPEN committee adjudication; no national numerical burden requirement is implied.</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g8L1JlY051bT48RGlzcGxheVRleHQ+W1YxNi04XTwvRGlzcGxheVRleHQ+PHJlY29yZD48cmVjLW51bWJlcj44PC9yZWMtbnVtYmVyPjxmb3JlaWduLWtleXM+PGtleSBhcHA9IkVOIiBkYi1pZD0iNWFjOTU5NjUtOGViOS01ZjgzLThlNjYtN2NiZDRhNTYwMjliIiB0aW1lc3RhbXA9IjE3OTMyODM2ODYiPjg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p>
    <w:p>
      <w:pPr>
        <w:pStyle w:val="Normal"/>
        <w:widowControl/>
        <w:numPr>
          <w:ilvl w:val="0"/>
          <w:numId w:val="3"/>
        </w:numPr>
      </w:pPr>
      <w:r>
        <w:t xml:space="preserve">Evidence provenance: &lt;50% is the Milan-derived preoperative selection reference used in the comparative series, not a validated biological cliff. Exactly 50% and any broader burden policy require an explicit institutional decision and current guidance check. Postoperative occult burden &gt;50% or G3 pathology does not validate knowingly selecting such patients.</w:t>
      </w:r>
      <w:r>
        <w:t xml:space="preserve"> </w:t>
      </w:r>
      <w:r>
        <w:t xml:space="preserve"> </w:t>
      </w:r>
      <w:r>
        <w:fldChar w:fldCharType="begin"/>
      </w:r>
      <w:r>
        <w:instrText xml:space="preserve"> ADDIN EN.CITE </w:instrText>
      </w:r>
      <w:r>
        <w:fldChar w:fldCharType="begin">
          <w:fldData>PEVuZE5vdGU+PENpdGU+PEF1dGhvcj5NYXNwZXJvPC9BdXRob3I+PFllYXI+MjAyMjwvWWVhcj48UmVjTnVtPjk8L1JlY051bT48RGlzcGxheVRleHQ+W1YxNi05XTwvRGlzcGxheVRleHQ+PHJlY29yZD48cmVjLW51bWJlcj45PC9yZWMtbnVtYmVyPjxmb3JlaWduLWtleXM+PGtleSBhcHA9IkVOIiBkYi1pZD0iNWFjOTU5NjUtOGViOS01ZjgzLThlNjYtN2NiZDRhNTYwMjliIiB0aW1lc3RhbXA9IjE3OTMyODM2ODYiPjk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MZSBUcmV1dDwvQXV0aG9yPjxZZWFyPjIwMTM8L1llYXI+PFJlY051bT4xMDwvUmVjTnVtPjxEaXNwbGF5VGV4dD5bVjE2LTEwXTwvRGlzcGxheVRleHQ+PHJlY29yZD48cmVjLW51bWJlcj4xMDwvcmVjLW51bWJlcj48Zm9yZWlnbi1rZXlzPjxrZXkgYXBwPSJFTiIgZGItaWQ9IjVhYzk1OTY1LThlYjktNWY4My04ZTY2LTdjYmQ0YTU2MDI5YiIgdGltZXN0YW1wPSIxNzkzMjgzNjg2Ij4xMD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pPr>
      <w:r>
        <w:t xml:space="preserve">Liver metastases must be unresectable after documented expert HPB review of complete clearance with acceptable functional remnant, including parenchyma-sparing, staged and ablation-assisted options. Record distribution and reasons for unresectability. If bilobar disease is retained as an institutional restriction, label it explicitly; do not assert that it is verbatim current NLRB language without checking the controlling document.</w:t>
      </w:r>
      <w:r>
        <w:t xml:space="preserve"> </w:t>
      </w:r>
      <w:r>
        <w:t xml:space="preserve"> </w:t>
      </w:r>
      <w:r>
        <w:fldChar w:fldCharType="begin"/>
      </w:r>
      <w:r>
        <w:instrText xml:space="preserve"> ADDIN EN.CITE </w:instrText>
      </w:r>
      <w:r>
        <w:fldChar w:fldCharType="begin">
          <w:fldData>PEVuZE5vdGU+PENpdGU+PEF1dGhvcj5Fc2htdW1pbm92PC9BdXRob3I+PFllYXI+MjAyMzwvWWVhcj48UmVjTnVtPjc8L1JlY051bT48RGlzcGxheVRleHQ+W1YxNi03XTwvRGlzcGxheVRleHQ+PHJlY29yZD48cmVjLW51bWJlcj43PC9yZWMtbnVtYmVyPjxmb3JlaWduLWtleXM+PGtleSBhcHA9IkVOIiBkYi1pZD0iNWFjOTU5NjUtOGViOS01ZjgzLThlNjYtN2NiZDRhNTYwMjliIiB0aW1lc3RhbXA9IjE3OTMyODM2ODYiPjc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NYXNwZXJvPC9BdXRob3I+PFllYXI+MjAyMjwvWWVhcj48UmVjTnVtPjk8L1JlY051bT48RGlzcGxheVRleHQ+W1YxNi05XTwvRGlzcGxheVRleHQ+PHJlY29yZD48cmVjLW51bWJlcj45PC9yZWMtbnVtYmVyPjxmb3JlaWduLWtleXM+PGtleSBhcHA9IkVOIiBkYi1pZD0iNWFjOTU5NjUtOGViOS01ZjgzLThlNjYtN2NiZDRhNTYwMjliIiB0aW1lc3RhbXA9IjE3OTMyODM2ODYiPjk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p>
    <w:p>
      <w:pPr>
        <w:pStyle w:val="Normal"/>
        <w:widowControl/>
        <w:numPr>
          <w:ilvl w:val="0"/>
          <w:numId w:val="3"/>
        </w:numPr>
      </w:pPr>
      <w:r>
        <w:t xml:space="preserve">Grade evidence boundary: use the verified guidance/local gate consistently as Ki-67 &lt;20%; exactly 20%, rounding or discordant differentiation requires expert pathology and allocation adjudication. Upper-G2 evidence is less secure than low-grade Milan-selected outcomes, but no universal Ki-67 &lt;10% exclusion is validated. Record the highest representative confirmed grade, differentiation, mitoses per 2 mm2 and the guidance-required mitotic expression. CLARINET's Ki-67 &lt;10% population and historical NEC survivors do not define LT eligibility.</w:t>
      </w:r>
      <w:r>
        <w:t xml:space="preserve"> </w:t>
      </w:r>
      <w:r>
        <w:t xml:space="preserve"> </w:t>
      </w:r>
      <w:r>
        <w:fldChar w:fldCharType="begin"/>
      </w:r>
      <w:r>
        <w:instrText xml:space="preserve"> ADDIN EN.CITE </w:instrText>
      </w:r>
      <w:r>
        <w:fldChar w:fldCharType="begin">
          <w:fldData>PEVuZE5vdGU+PENpdGU+PEF1dGhvcj5Fc2htdW1pbm92PC9BdXRob3I+PFllYXI+MjAyMzwvWWVhcj48UmVjTnVtPjc8L1JlY051bT48RGlzcGxheVRleHQ+W1YxNi03XTwvRGlzcGxheVRleHQ+PHJlY29yZD48cmVjLW51bWJlcj43PC9yZWMtbnVtYmVyPjxmb3JlaWduLWtleXM+PGtleSBhcHA9IkVOIiBkYi1pZD0iNWFjOTU5NjUtOGViOS01ZjgzLThlNjYtN2NiZDRhNTYwMjliIiB0aW1lc3RhbXA9IjE3OTMyODM2ODYiPjc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MZSBUcmV1dDwvQXV0aG9yPjxZZWFyPjIwMTM8L1llYXI+PFJlY051bT4xMDwvUmVjTnVtPjxEaXNwbGF5VGV4dD5bVjE2LTEwXTwvRGlzcGxheVRleHQ+PHJlY29yZD48cmVjLW51bWJlcj4xMDwvcmVjLW51bWJlcj48Zm9yZWlnbi1rZXlzPjxrZXkgYXBwPSJFTiIgZGItaWQ9IjVhYzk1OTY1LThlYjktNWY4My04ZTY2LTdjYmQ0YTU2MDI5YiIgdGltZXN0YW1wPSIxNzkzMjgzNjg2Ij4xMD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t xml:space="preserve"> </w:t>
      </w:r>
      <w:r>
        <w:t xml:space="preserve"> </w:t>
      </w:r>
      <w:r>
        <w:fldChar w:fldCharType="begin"/>
      </w:r>
      <w:r>
        <w:instrText xml:space="preserve"> ADDIN EN.CITE </w:instrText>
      </w:r>
      <w:r>
        <w:fldChar w:fldCharType="begin">
          <w:fldData>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EzMTYxNTg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numPr>
          <w:ilvl w:val="0"/>
          <w:numId w:val="3"/>
        </w:numPr>
      </w:pPr>
      <w:r>
        <w:t xml:space="preserve">No active extrahepatic disease. A history of resected regional/perihilar nodal disease is not an automatic exemption: require documented complete clearance, the current guidance-specified recurrence-free observation interval and multidisciplinary confirmation. Do not use historical consensus wording to waive current allocation exclusions for extrahepatic solid-organ metastasis.</w:t>
      </w:r>
      <w:r>
        <w:t xml:space="preserve"> </w:t>
      </w:r>
      <w:r>
        <w:t xml:space="preserve"> </w:t>
      </w:r>
      <w:r>
        <w:fldChar w:fldCharType="begin"/>
      </w:r>
      <w:r>
        <w:instrText xml:space="preserve"> ADDIN EN.CITE </w:instrText>
      </w:r>
      <w:r>
        <w:fldChar w:fldCharType="begin">
          <w:fldData>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Documented stable disease or response to therapy for ≥6 months prior to listing</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VhYzk1OTY1LThlYjktNWY4My04ZTY2LTdjYmQ0YTU2MDI5YiIgdGltZXN0YW1wPSIxNzkzMjgzNj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pPr>
      <w:r>
        <w:t xml:space="preserve">D. Patient Factors</w:t>
      </w:r>
    </w:p>
    <w:p>
      <w:pPr>
        <w:pStyle w:val="Normal"/>
        <w:widowControl/>
        <w:numPr>
          <w:ilvl w:val="0"/>
          <w:numId w:val="3"/>
        </w:numPr>
      </w:pPr>
      <w:r>
        <w:t xml:space="preserve">Age is a physiological-reserve and incremental-benefit review variable, not a proven absolute biological cutoff. The Milan criteria used in the 2022 comparative series specify age &lt;60 as a relative criterion; do not describe that version as age ≤55. Locally, age ≥60 triggers documented enhanced fitness, competing-risk and benefit assessment. This proposed local review trigger is distinct from OPTN allocation requirements.</w:t>
      </w:r>
      <w:r>
        <w:t xml:space="preserve"> </w:t>
      </w:r>
      <w:r>
        <w:t xml:space="preserve"> </w:t>
      </w:r>
      <w:r>
        <w:fldChar w:fldCharType="begin"/>
      </w:r>
      <w:r>
        <w:instrText xml:space="preserve"> ADDIN EN.CITE </w:instrText>
      </w:r>
      <w:r>
        <w:fldChar w:fldCharType="begin">
          <w:fldData>PEVuZE5vdGU+PENpdGU+PEF1dGhvcj5NYXNwZXJvPC9BdXRob3I+PFllYXI+MjAyMjwvWWVhcj48UmVjTnVtPjk8L1JlY051bT48RGlzcGxheVRleHQ+W1YxNi05XTwvRGlzcGxheVRleHQ+PHJlY29yZD48cmVjLW51bWJlcj45PC9yZWMtbnVtYmVyPjxmb3JlaWduLWtleXM+PGtleSBhcHA9IkVOIiBkYi1pZD0iNWFjOTU5NjUtOGViOS01ZjgzLThlNjYtN2NiZDRhNTYwMjliIiB0aW1lc3RhbXA9IjE3OTMyODM2ODYiPjk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r>
        <w:t xml:space="preserve"> </w:t>
      </w:r>
      <w:r>
        <w:t xml:space="preserve"> </w:t>
      </w:r>
      <w:r>
        <w:fldChar w:fldCharType="begin"/>
      </w:r>
      <w:r>
        <w:instrText xml:space="preserve"> ADDIN EN.CITE </w:instrText>
      </w:r>
      <w:r>
        <w:fldChar w:fldCharType="begin">
          <w:fldData>PEVuZE5vdGU+PENpdGU+PEF1dGhvcj5MZSBUcmV1dDwvQXV0aG9yPjxZZWFyPjIwMTM8L1llYXI+PFJlY051bT4xMDwvUmVjTnVtPjxEaXNwbGF5VGV4dD5bVjE2LTEwXTwvRGlzcGxheVRleHQ+PHJlY29yZD48cmVjLW51bWJlcj4xMDwvcmVjLW51bWJlcj48Zm9yZWlnbi1rZXlzPjxrZXkgYXBwPSJFTiIgZGItaWQ9IjVhYzk1OTY1LThlYjktNWY4My04ZTY2LTdjYmQ0YTU2MDI5YiIgdGltZXN0YW1wPSIxNzkzMjgzNjg2Ij4xMD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p>
    <w:p>
      <w:pPr>
        <w:pStyle w:val="Normal"/>
        <w:widowControl/>
        <w:numPr>
          <w:ilvl w:val="0"/>
          <w:numId w:val="3"/>
        </w:numPr>
      </w:pPr>
      <w:r>
        <w:t xml:space="preserve">ECOG performance status 0–1</w:t>
      </w:r>
    </w:p>
    <w:p>
      <w:pPr>
        <w:pStyle w:val="Normal"/>
        <w:widowControl/>
        <w:numPr>
          <w:ilvl w:val="0"/>
          <w:numId w:val="3"/>
        </w:numPr>
      </w:pPr>
      <w:r>
        <w:t xml:space="preserve">Evaluate carcinoid heart disease with echocardiography and specialist cardiology review. Severe or haemodynamically important uncontrolled disease is a HOLD pending cardiac optimization and an acceptable operative-risk plan. Valve intervention should follow cardiac indications and multidisciplinary sequencing; mild/asymptomatic CHD is not by itself a universal mandate for pre-LT valve replacement.</w:t>
      </w:r>
      <w:r>
        <w:t xml:space="preserve"> </w:t>
      </w:r>
      <w:r>
        <w:t xml:space="preserve"> </w:t>
      </w:r>
      <w:r>
        <w:fldChar w:fldCharType="begin"/>
      </w:r>
      <w:r>
        <w:instrText xml:space="preserve"> ADDIN EN.CITE </w:instrText>
      </w:r>
      <w:r>
        <w:fldChar w:fldCharType="begin">
          <w:fldData>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Standard liver transplant medical and psychosocial evaluation per AASLD/AST guidelines</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WFjOTU5NjUtOGViOS01ZjgzLThlNjYtN2NiZDRhNTYwMjliIiB0aW1lc3RhbXA9IjE3OTMyODM2ODY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Heading3"/>
        <w:keepNext/>
        <w:widowControl/>
      </w:pPr>
      <w:r>
        <w:t xml:space="preserve">3. Pre-Transplant Workup</w:t>
      </w:r>
    </w:p>
    <w:p>
      <w:pPr>
        <w:pStyle w:val="Normal"/>
        <w:widowControl/>
      </w:pPr>
      <w:r>
        <w:t xml:space="preserve">A. Oncologic Evaluation</w:t>
      </w:r>
    </w:p>
    <w:p>
      <w:pPr>
        <w:pStyle w:val="Normal"/>
        <w:widowControl/>
        <w:numPr>
          <w:ilvl w:val="0"/>
          <w:numId w:val="3"/>
        </w:numPr>
      </w:pPr>
      <w:r>
        <w:t xml:space="preserve">Histopathologic confirmation: biopsy with Ki-67 index, mitotic rate, synaptophysin, chromogranin A, and grading per WHO 2022 classification</w:t>
      </w:r>
    </w:p>
    <w:p>
      <w:pPr>
        <w:pStyle w:val="Normal"/>
        <w:widowControl/>
        <w:numPr>
          <w:ilvl w:val="0"/>
          <w:numId w:val="3"/>
        </w:numPr>
      </w:pPr>
      <w:r>
        <w:t xml:space="preserve">SSTR-PET/CT (⁶⁸Ga-DOTATATE or ⁶⁴Cu-DOTATATE) within 3 months of listing</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VhYzk1OTY1LThlYjktNWY4My04ZTY2LTdjYmQ0YTU2MDI5YiIgdGltZXN0YW1wPSIxNzkzMjgzNj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Consider FDG-PET/CT when G2/higher grade, rapid progression, discordant lesions or other findings suggest aggressive/SSTR-negative biology; document how the result will affect biopsy or selection. Baseline SSTR imaging plus high-quality anatomic staging remain essential. A blanket FDG-PET within 3 months for every candidate is a proposed local requirement only, not an NCCN recommendation verified in the available source.</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Multiphasic CT or MRI of the abdomen/pelvis (arterial and portal venous phases)</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Chest CT with or without contrast</w:t>
      </w:r>
    </w:p>
    <w:p>
      <w:pPr>
        <w:pStyle w:val="Normal"/>
        <w:widowControl/>
        <w:numPr>
          <w:ilvl w:val="0"/>
          <w:numId w:val="3"/>
        </w:numPr>
      </w:pPr>
      <w:r>
        <w:t xml:space="preserve">Select biochemical testing by primary site, functional syndrome and interpretability. Obtain urine or plasma 5-HIAA for symptomatic ileal/jejunal/cecal NET and consider it in asymptomatic metastatic midgut disease, with preparation/confounder review. Obtain other hormones when indicated; do not require a uniform chromogranin A/NSE/pancreatic-polypeptide panel. Biomarkers supplement imaging and pathology.</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Echocardiogram to evaluate for carcinoid heart disease</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pPr>
      <w:r>
        <w:t xml:space="preserve">B. Transplant Evaluation</w:t>
      </w:r>
    </w:p>
    <w:p>
      <w:pPr>
        <w:pStyle w:val="Normal"/>
        <w:widowControl/>
        <w:numPr>
          <w:ilvl w:val="0"/>
          <w:numId w:val="3"/>
        </w:numPr>
      </w:pPr>
      <w:r>
        <w:t xml:space="preserve">Standard liver transplant evaluation per institutional protocol and AASLD/AST guidelines</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WFjOTU5NjUtOGViOS01ZjgzLThlNjYtN2NiZDRhNTYwMjliIiB0aW1lc3RhbXA9IjE3OTMyODM2ODY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current calculated MELD score calculation</w:t>
      </w:r>
    </w:p>
    <w:p>
      <w:pPr>
        <w:pStyle w:val="Normal"/>
        <w:widowControl/>
        <w:numPr>
          <w:ilvl w:val="0"/>
          <w:numId w:val="3"/>
        </w:numPr>
      </w:pPr>
      <w:r>
        <w:t xml:space="preserve">Obtain cardiopulmonary assessment, including echocardiographic right-heart and valve evaluation with specialist cardiology review. Order right-heart catheterization for a specific hemodynamic indication identified by the transplant/cardiology team; carcinoid syndrome alone is not a universal indication for invasive catheterization.</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WFjOTU5NjUtOGViOS01ZjgzLThlNjYtN2NiZDRhNTYwMjliIiB0aW1lc3RhbXA9IjE3OTMyODM2ODY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numPr>
          <w:ilvl w:val="0"/>
          <w:numId w:val="3"/>
        </w:numPr>
      </w:pPr>
      <w:r>
        <w:t xml:space="preserve">Psychosocial evaluation</w:t>
      </w:r>
    </w:p>
    <w:p>
      <w:pPr>
        <w:pStyle w:val="Normal"/>
        <w:widowControl/>
        <w:numPr>
          <w:ilvl w:val="0"/>
          <w:numId w:val="3"/>
        </w:numPr>
      </w:pPr>
      <w:r>
        <w:t xml:space="preserve">Infectious disease screening</w:t>
      </w:r>
    </w:p>
    <w:p>
      <w:pPr>
        <w:pStyle w:val="Heading3"/>
        <w:keepNext/>
        <w:widowControl/>
      </w:pPr>
      <w:r>
        <w:t xml:space="preserve">4. Observation Period and Waitlist Management</w:t>
      </w:r>
    </w:p>
    <w:p>
      <w:pPr>
        <w:pStyle w:val="Normal"/>
        <w:widowControl/>
        <w:numPr>
          <w:ilvl w:val="0"/>
          <w:numId w:val="3"/>
        </w:numPr>
      </w:pPr>
      <w:r>
        <w:t xml:space="preserve">Submit a non-standard NLRB exception request. For candidates meeting the December 2025 guidance criteria, the recommended score is MMaT-3; approval is not automatic.</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</w:fldData>
        </w:fldChar>
      </w:r>
      <w:r>
        <w:instrText xml:space="preserve"> ADDIN EN.CITE.DATA </w:instrText>
      </w:r>
      <w:r>
        <w:fldChar w:fldCharType="end"/>
      </w:r>
      <w:r>
        <w:fldChar w:fldCharType="separate"/>
      </w:r>
      <w:r>
        <w:t xml:space="preserve">[V16-1]</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Minimum 6-month observation period with documented stable disease or response prior to activation on the waitlist</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VhYzk1OTY1LThlYjktNWY4My04ZTY2LTdjYmQ0YTU2MDI5YiIgdGltZXN0YW1wPSIxNzkzMjgzNj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r>
        <w:t xml:space="preserve"> </w:t>
      </w:r>
      <w:r>
        <w:t xml:space="preserve"> </w:t>
      </w:r>
      <w:r>
        <w:fldChar w:fldCharType="begin"/>
      </w:r>
      <w:r>
        <w:instrText xml:space="preserve"> ADDIN EN.CITE </w:instrText>
      </w:r>
      <w:r>
        <w:fldChar w:fldCharType="begin">
          <w:fldData>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r>
        <w:t xml:space="preserve"> </w:t>
      </w:r>
      <w:r>
        <w:t xml:space="preserve"> </w:t>
      </w:r>
      <w:r>
        <w:fldChar w:fldCharType="begin"/>
      </w:r>
      <w:r>
        <w:instrText xml:space="preserve"> ADDIN EN.CITE </w:instrText>
      </w:r>
      <w:r>
        <w:fldChar w:fldCharType="begin">
          <w:fldData>PEVuZE5vdGU+PENpdGU+PEF1dGhvcj5Fc2htdW1pbm92PC9BdXRob3I+PFllYXI+MjAyMzwvWWVhcj48UmVjTnVtPjc8L1JlY051bT48RGlzcGxheVRleHQ+W1YxNi03XTwvRGlzcGxheVRleHQ+PHJlY29yZD48cmVjLW51bWJlcj43PC9yZWMtbnVtYmVyPjxmb3JlaWduLWtleXM+PGtleSBhcHA9IkVOIiBkYi1pZD0iNWFjOTU5NjUtOGViOS01ZjgzLThlNjYtN2NiZDRhNTYwMjliIiB0aW1lc3RhbXA9IjE3OTMyODM2ODYiPjc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numPr>
          <w:ilvl w:val="0"/>
          <w:numId w:val="3"/>
        </w:numPr>
      </w:pPr>
      <w:r>
        <w:t xml:space="preserve">Imaging surveillance every 3 months during the observation period:</w:t>
      </w:r>
    </w:p>
    <w:p>
      <w:pPr>
        <w:pStyle w:val="Normal"/>
        <w:widowControl/>
        <w:numPr>
          <w:ilvl w:val="0"/>
          <w:numId w:val="3"/>
        </w:numPr>
      </w:pPr>
      <w:r>
        <w:t xml:space="preserve">Multiphasic abdomen/pelvis CT or MRI</w:t>
      </w:r>
    </w:p>
    <w:p>
      <w:pPr>
        <w:pStyle w:val="Normal"/>
        <w:widowControl/>
        <w:numPr>
          <w:ilvl w:val="0"/>
          <w:numId w:val="3"/>
        </w:numPr>
      </w:pPr>
      <w:r>
        <w:t xml:space="preserve">Use FDG-PET/CT when grade, growth, suspected dedifferentiation, SSTR discordance or indeterminate lesions make the result clinically useful. There is no evidence-based universal six- or twelve-month FDG-PET schedule; any local calendar requires explicit agreement.</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g8L1JlY051bT48RGlzcGxheVRleHQ+W1YxNi04XTwvRGlzcGxheVRleHQ+PHJlY29yZD48cmVjLW51bWJlcj44PC9yZWMtbnVtYmVyPjxmb3JlaWduLWtleXM+PGtleSBhcHA9IkVOIiBkYi1pZD0iNWFjOTU5NjUtOGViOS01ZjgzLThlNjYtN2NiZDRhNTYwMjliIiB0aW1lc3RhbXA9IjE3OTMyODM2ODYiPjg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p>
    <w:p>
      <w:pPr>
        <w:pStyle w:val="Normal"/>
        <w:widowControl/>
        <w:numPr>
          <w:ilvl w:val="0"/>
          <w:numId w:val="3"/>
        </w:numPr>
      </w:pPr>
      <w:r>
        <w:t xml:space="preserve">Repeat SSTR-PET/CT for a new clinical or imaging concern, equivocal conventional staging, relevant treatment planning, or the current allocation submission requirement. Do not impose an automatic six-month PET calendar on every waiting patient. Document the indication and whether conventional staging is adequate.</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Somatostatin analog therapy (octreotide LAR 20–30 mg IM or lanreotide 120 mg SC every 4 weeks) should be continued during the waitlist period for functional tumors and may be continued for antiproliferative effect in nonfunctional tumors</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Liver-directed therapies (TAE, TACE, TARE, or ablation) may be used as bridging therapy during the waitlist period</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pPr>
      <w:r>
        <w:t xml:space="preserve">Waitlist HOLD, reassessment and delisting:</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p>
    <w:p>
      <w:pPr>
        <w:pStyle w:val="Normal"/>
        <w:widowControl/>
        <w:numPr>
          <w:ilvl w:val="0"/>
          <w:numId w:val="3"/>
        </w:numPr>
      </w:pPr>
      <w:r>
        <w:t xml:space="preserve">Development of extrahepatic solid organ metastases → permanent delisting</w:t>
      </w:r>
    </w:p>
    <w:p>
      <w:pPr>
        <w:pStyle w:val="Normal"/>
        <w:widowControl/>
        <w:numPr>
          <w:ilvl w:val="0"/>
          <w:numId w:val="3"/>
        </w:numPr>
      </w:pPr>
      <w:r>
        <w:t xml:space="preserve">New suspicious lymph-node uptake or imaging findings: HOLD progression to LT and resolve with expert imaging/pathology review, including sampling when indicated. PET uptake alone does not prove nodal metastasis. Confirmed active extrahepatic disease is outside this pathway.</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Confirmed hepatic progression requires HOLD and multidisciplinary reassessment of disease control, tumor burden, alternatives and expected transplant benefit. A burden above 50% is outside the proposed local standard initial cohort, not an independently established national delisting rule. Exactly 50% and any expansion require an explicit OPEN committee decision; do not reactivate solely because a numerical burden threshold is met.</w:t>
      </w:r>
      <w:r>
        <w:t xml:space="preserve"> </w:t>
      </w:r>
      <w:r>
        <w:t xml:space="preserve"> </w:t>
      </w:r>
      <w:r>
        <w:fldChar w:fldCharType="begin"/>
      </w:r>
      <w:r>
        <w:instrText xml:space="preserve"> ADDIN EN.CITE </w:instrText>
      </w:r>
      <w:r>
        <w:fldChar w:fldCharType="begin">
          <w:fldData>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</w:fldData>
        </w:fldChar>
      </w:r>
      <w:r>
        <w:instrText xml:space="preserve"> ADDIN EN.CITE.DATA </w:instrText>
      </w:r>
      <w:r>
        <w:fldChar w:fldCharType="end"/>
      </w:r>
      <w:r>
        <w:fldChar w:fldCharType="separate"/>
      </w:r>
      <w:r>
        <w:t xml:space="preserve">[V16-2]</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g8L1JlY051bT48RGlzcGxheVRleHQ+W1YxNi04XTwvRGlzcGxheVRleHQ+PHJlY29yZD48cmVjLW51bWJlcj44PC9yZWMtbnVtYmVyPjxmb3JlaWduLWtleXM+PGtleSBhcHA9IkVOIiBkYi1pZD0iNWFjOTU5NjUtOGViOS01ZjgzLThlNjYtN2NiZDRhNTYwMjliIiB0aW1lc3RhbXA9IjE3OTMyODM2ODYiPjg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Tumor grade upgrade to G3 or poorly differentiated histology on repeat biopsy</w:t>
      </w:r>
    </w:p>
    <w:p>
      <w:pPr>
        <w:pStyle w:val="Heading3"/>
        <w:keepNext/>
        <w:widowControl/>
      </w:pPr>
      <w:r>
        <w:t xml:space="preserve">5. Surgical Procedure</w:t>
      </w:r>
    </w:p>
    <w:p>
      <w:pPr>
        <w:pStyle w:val="Normal"/>
        <w:widowControl/>
        <w:numPr>
          <w:ilvl w:val="0"/>
          <w:numId w:val="3"/>
        </w:numPr>
      </w:pPr>
      <w:r>
        <w:t xml:space="preserve">Deceased-donor whole-liver transplantation is the default. Living-donor transplantation may be considered in selected candidates after independent donor evaluation and donor-advocate review. The supporting evidence is limited to observational reports; conference-abstract sources are not sufficient support for donor-source selection.</w:t>
      </w:r>
      <w:r>
        <w:t xml:space="preserve"> </w:t>
      </w:r>
      <w:r>
        <w:t xml:space="preserve"> </w:t>
      </w:r>
      <w:r>
        <w:fldChar w:fldCharType="begin"/>
      </w:r>
      <w:r>
        <w:instrText xml:space="preserve"> ADDIN EN.CITE </w:instrText>
      </w:r>
      <w:r>
        <w:fldChar w:fldCharType="begin">
          <w:fldData>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numPr>
          <w:ilvl w:val="0"/>
          <w:numId w:val="3"/>
        </w:numPr>
      </w:pPr>
      <w:r>
        <w:t xml:space="preserve">Cholecystectomy of the native liver at the time of hepatectomy</w:t>
      </w:r>
    </w:p>
    <w:p>
      <w:pPr>
        <w:pStyle w:val="Normal"/>
        <w:widowControl/>
        <w:numPr>
          <w:ilvl w:val="0"/>
          <w:numId w:val="3"/>
        </w:numPr>
      </w:pPr>
      <w:r>
        <w:t xml:space="preserve">Intraoperative octreotide infusion should be available for management of carcinoid crisis; prophylactic octreotide is likely ineffective in preventing intraoperative carcinoid crisis, and its use should not delay vasopressor and fluid administration</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Explant pathology: complete assessment of tumor burden, grade, margins, and vascular invasion</w:t>
      </w:r>
    </w:p>
    <w:p>
      <w:pPr>
        <w:pStyle w:val="Heading3"/>
        <w:keepNext/>
        <w:widowControl/>
      </w:pPr>
      <w:r>
        <w:t xml:space="preserve">6. Post-Transplant Immunosuppression</w:t>
      </w:r>
    </w:p>
    <w:p>
      <w:pPr>
        <w:pStyle w:val="Normal"/>
        <w:widowControl/>
      </w:pPr>
      <w:r>
        <w:t xml:space="preserve">Induction:</w:t>
      </w:r>
    </w:p>
    <w:p>
      <w:pPr>
        <w:pStyle w:val="Normal"/>
        <w:widowControl/>
        <w:numPr>
          <w:ilvl w:val="0"/>
          <w:numId w:val="3"/>
        </w:numPr>
      </w:pPr>
      <w:r>
        <w:t xml:space="preserve">Methylprednisolone 500 mg IV intraoperatively, taper per institutional protocol</w:t>
      </w:r>
    </w:p>
    <w:p>
      <w:pPr>
        <w:pStyle w:val="Normal"/>
        <w:widowControl/>
        <w:numPr>
          <w:ilvl w:val="0"/>
          <w:numId w:val="3"/>
        </w:numPr>
      </w:pPr>
      <w:r>
        <w:t xml:space="preserve">Induction should follow the current institutional LT protocol. The AASLD/AST guideline supports considering basiliximab to permit delayed CNI initiation in selected patients requiring renal recovery; no NET-specific preferred induction agent is established. Induction choice is not anticancer prophylaxis.</w:t>
      </w:r>
      <w:r>
        <w:t xml:space="preserve"> </w:t>
      </w:r>
      <w:r>
        <w:t xml:space="preserve"> </w:t>
      </w:r>
      <w:r>
        <w:fldChar w:fldCharType="begin"/>
      </w:r>
      <w:r>
        <w:instrText xml:space="preserve"> ADDIN EN.CITE </w:instrText>
      </w:r>
      <w:r>
        <w:fldChar w:fldCharType="begin">
          <w:fldData>PEVuZE5vdGU+PENpdGU+PEF1dGhvcj5UZTwvQXV0aG9yPjxZZWFyPjIwMjU8L1llYXI+PFJlY051bT4xMzwvUmVjTnVtPjxEaXNwbGF5VGV4dD5bVjE2LTEzXTwvRGlzcGxheVRleHQ+PHJlY29yZD48cmVjLW51bWJlcj4xMzwvcmVjLW51bWJlcj48Zm9yZWlnbi1rZXlzPjxrZXkgYXBwPSJFTiIgZGItaWQ9IjVhYzk1OTY1LThlYjktNWY4My04ZTY2LTdjYmQ0YTU2MDI5YiIgdGltZXN0YW1wPSIxNzkzMjgzNjg2Ij4x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pPr>
      <w:r>
        <w:t xml:space="preserve">Maintenance (individualized institutional regimen; no NET-specific recurrence-prevention standard):</w:t>
      </w:r>
    </w:p>
    <w:p>
      <w:pPr>
        <w:pStyle w:val="Normal"/>
        <w:widowControl/>
        <w:numPr>
          <w:ilvl w:val="0"/>
          <w:numId w:val="3"/>
        </w:numPr>
      </w:pPr>
      <w:r>
        <w:t xml:space="preserve">Tacrolimus-based maintenance with targets set by the transplant team and transplant pharmacy according to rejection risk, renal function and infection status — not by this document. No NET-specific induction or maintenance regimen has been shown to reduce post-transplant recurrence. Regimens from trials in other tumour types are not transferable and must not be cited as NET-specific evidence.</w:t>
      </w:r>
    </w:p>
    <w:p>
      <w:pPr>
        <w:pStyle w:val="Normal"/>
        <w:widowControl/>
        <w:numPr>
          <w:ilvl w:val="0"/>
          <w:numId w:val="3"/>
        </w:numPr>
      </w:pPr>
      <w:r>
        <w:t xml:space="preserve">Everolimus may be considered after adequate wound healing and vascular stability, not before postoperative day 30 under the US adult-LT label, with timing and targets set by transplant pharmacy and the LT team.</w:t>
      </w:r>
      <w:r>
        <w:t xml:space="preserve"> </w:t>
      </w:r>
      <w:r>
        <w:t xml:space="preserve"> </w:t>
      </w:r>
      <w:r>
        <w:fldChar w:fldCharType="begin"/>
      </w:r>
      <w:r>
        <w:instrText xml:space="preserve"> ADDIN EN.CITE </w:instrText>
      </w:r>
      <w:r>
        <w:fldChar w:fldCharType="begin">
          <w:fldData>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</w:fldData>
        </w:fldChar>
      </w:r>
      <w:r>
        <w:instrText xml:space="preserve"> ADDIN EN.CITE.DATA </w:instrText>
      </w:r>
      <w:r>
        <w:fldChar w:fldCharType="end"/>
      </w:r>
      <w:r>
        <w:fldChar w:fldCharType="separate"/>
      </w:r>
      <w:r>
        <w:t xml:space="preserve">[V16-14]</w:t>
      </w:r>
      <w:r>
        <w:fldChar w:fldCharType="end"/>
      </w:r>
      <w:r>
        <w:t xml:space="preserve"> </w:t>
      </w:r>
      <w:r>
        <w:t xml:space="preserve"> </w:t>
      </w:r>
      <w:r>
        <w:fldChar w:fldCharType="begin"/>
      </w:r>
      <w:r>
        <w:instrText xml:space="preserve"> ADDIN EN.CITE </w:instrText>
      </w:r>
      <w:r>
        <w:fldChar w:fldCharType="begin">
          <w:fldData>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TY8L1JlY051bT48RGlzcGxheVRleHQ+W1YxNi0xNl08L0Rpc3BsYXlUZXh0PjxyZWNvcmQ+PHJlYy1udW1iZXI+MTY8L3JlYy1udW1iZXI+PGZvcmVpZ24ta2V5cz48a2V5IGFwcD0iRU4iIGRiLWlkPSI1YWM5NTk2NS04ZWI5LTVmODMtOGU2Ni03Y2JkNGE1NjAyOWIiIHRpbWVzdGFtcD0iMTc5MzI4MzY4NiI+MTY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p>
    <w:p>
      <w:pPr>
        <w:pStyle w:val="Normal"/>
        <w:widowControl/>
        <w:numPr>
          <w:ilvl w:val="0"/>
          <w:numId w:val="3"/>
        </w:numPr>
      </w:pPr>
      <w:r>
        <w:t xml:space="preserve">Tacrolimus, adjunctive mycophenolate, mTOR conversion and steroid taper doses/timing are set by the current institutional LT protocol and transplant pharmacy. No NET-specific recurrence benefit or PRRT-compatible trough target is established. Do not carry TransMet-derived drug targets into this NET protocol as validated NET evidence.</w:t>
      </w:r>
      <w:r>
        <w:t xml:space="preserve"> </w:t>
      </w:r>
      <w:r>
        <w:t xml:space="preserve"> </w:t>
      </w:r>
      <w:r>
        <w:fldChar w:fldCharType="begin"/>
      </w:r>
      <w:r>
        <w:instrText xml:space="preserve"> ADDIN EN.CITE </w:instrText>
      </w:r>
      <w:r>
        <w:fldChar w:fldCharType="begin">
          <w:fldData>PEVuZE5vdGU+PENpdGU+PEF1dGhvcj5Fc2htdW1pbm92PC9BdXRob3I+PFllYXI+MjAyMzwvWWVhcj48UmVjTnVtPjc8L1JlY051bT48RGlzcGxheVRleHQ+W1YxNi03XTwvRGlzcGxheVRleHQ+PHJlY29yZD48cmVjLW51bWJlcj43PC9yZWMtbnVtYmVyPjxmb3JlaWduLWtleXM+PGtleSBhcHA9IkVOIiBkYi1pZD0iNWFjOTU5NjUtOGViOS01ZjgzLThlNjYtN2NiZDRhNTYwMjliIiB0aW1lc3RhbXA9IjE3OTMyODM2ODYiPjc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r>
        <w:t xml:space="preserve"> </w:t>
      </w:r>
      <w:r>
        <w:t xml:space="preserve"> </w:t>
      </w:r>
      <w:r>
        <w:fldChar w:fldCharType="begin"/>
      </w:r>
      <w:r>
        <w:instrText xml:space="preserve"> ADDIN EN.CITE </w:instrText>
      </w:r>
      <w:r>
        <w:fldChar w:fldCharType="begin">
          <w:fldData>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Normal"/>
        <w:widowControl/>
      </w:pPr>
      <w:r>
        <w:t xml:space="preserve">Rationale: mTOR inhibitors can reduce calcineurin-inhibitor exposure and have antitumor activity in other settings, but a NET-specific post-LT recurrence benefit is unproven. Use should not be described as mandatory oncologic prophylaxis.</w:t>
      </w:r>
      <w:r>
        <w:t xml:space="preserve"> </w:t>
      </w:r>
      <w:r>
        <w:t xml:space="preserve"> </w:t>
      </w:r>
      <w:r>
        <w:fldChar w:fldCharType="begin"/>
      </w:r>
      <w:r>
        <w:instrText xml:space="preserve"> ADDIN EN.CITE </w:instrText>
      </w:r>
      <w:r>
        <w:fldChar w:fldCharType="begin">
          <w:fldData>PEVuZE5vdGU+PENpdGU+PEF1dGhvcj5UZTwvQXV0aG9yPjxZZWFyPjIwMjU8L1llYXI+PFJlY051bT4xMzwvUmVjTnVtPjxEaXNwbGF5VGV4dD5bVjE2LTEzXTwvRGlzcGxheVRleHQ+PHJlY29yZD48cmVjLW51bWJlcj4xMzwvcmVjLW51bWJlcj48Zm9yZWlnbi1rZXlzPjxrZXkgYXBwPSJFTiIgZGItaWQ9IjVhYzk1OTY1LThlYjktNWY4My04ZTY2LTdjYmQ0YTU2MDI5YiIgdGltZXN0YW1wPSIxNzkzMjgzNjg2Ij4x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r>
        <w:t xml:space="preserve"> </w:t>
      </w:r>
      <w:r>
        <w:t xml:space="preserve"> </w:t>
      </w:r>
      <w:r>
        <w:fldChar w:fldCharType="begin"/>
      </w:r>
      <w:r>
        <w:instrText xml:space="preserve"> ADDIN EN.CITE </w:instrText>
      </w:r>
      <w:r>
        <w:fldChar w:fldCharType="begin">
          <w:fldData>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p>
    <w:p>
      <w:pPr>
        <w:pStyle w:val="Heading3"/>
        <w:keepNext/>
        <w:widowControl/>
      </w:pPr>
      <w:r>
        <w:t xml:space="preserve">7. Post-Transplant Surveillance</w:t>
      </w:r>
    </w:p>
    <w:p>
      <w:pPr>
        <w:pStyle w:val="Normal"/>
        <w:widowControl/>
      </w:pPr>
      <w:r>
        <w:t xml:space="preserve">Oncologic Surveillance:</w:t>
      </w:r>
    </w:p>
    <w:p>
      <w:pPr>
        <w:pStyle w:val="Normal"/>
        <w:widowControl/>
        <w:numPr>
          <w:ilvl w:val="0"/>
          <w:numId w:val="3"/>
        </w:numPr>
      </w:pPr>
      <w:r>
        <w:t xml:space="preserve">Months 1–24: Every 3 months</w:t>
      </w:r>
    </w:p>
    <w:p>
      <w:pPr>
        <w:pStyle w:val="Normal"/>
        <w:widowControl/>
        <w:numPr>
          <w:ilvl w:val="0"/>
          <w:numId w:val="3"/>
        </w:numPr>
      </w:pPr>
      <w:r>
        <w:t xml:space="preserve">H&amp;P with symptom assessment</w:t>
      </w:r>
    </w:p>
    <w:p>
      <w:pPr>
        <w:pStyle w:val="Normal"/>
        <w:widowControl/>
        <w:numPr>
          <w:ilvl w:val="0"/>
          <w:numId w:val="3"/>
        </w:numPr>
      </w:pPr>
      <w:r>
        <w:t xml:space="preserve">Multiphasic abdomen/pelvis CT or MRI</w:t>
      </w:r>
    </w:p>
    <w:p>
      <w:pPr>
        <w:pStyle w:val="Normal"/>
        <w:widowControl/>
        <w:numPr>
          <w:ilvl w:val="0"/>
          <w:numId w:val="3"/>
        </w:numPr>
      </w:pPr>
      <w:r>
        <w:t xml:space="preserve">Chest CT as clinically indicated</w:t>
      </w:r>
    </w:p>
    <w:p>
      <w:pPr>
        <w:pStyle w:val="Normal"/>
        <w:widowControl/>
        <w:numPr>
          <w:ilvl w:val="0"/>
          <w:numId w:val="3"/>
        </w:numPr>
      </w:pPr>
      <w:r>
        <w:t xml:space="preserve">Biochemical markers (chromogranin A, 5-HIAA as indicated)</w:t>
      </w:r>
    </w:p>
    <w:p>
      <w:pPr>
        <w:pStyle w:val="Normal"/>
        <w:widowControl/>
        <w:numPr>
          <w:ilvl w:val="0"/>
          <w:numId w:val="3"/>
        </w:numPr>
      </w:pPr>
      <w:r>
        <w:t xml:space="preserve">Use anatomic CT/MRI-based surveillance with clinical and functional-marker review under an explicitly agreed post-LT schedule. Obtain SSTR-PET/CT when recurrence is suspected, anatomic findings are equivocal or receptor-directed treatment planning requires it; consider selected additional indications through the NET MDT. Routine SSTR-PET at 6 months, 12 months and annually for 5 years is not established by the reviewed NCCN source or by a NET-LT trial. Any intensified local calendar must be labelled as institutional consensus with its rationale.</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pPr>
      <w:r>
        <w:t xml:space="preserve">Use FDG-PET/CT when grade, growth, suspected dedifferentiation, SSTR discordance or indeterminate lesions make the result clinically useful. There is no evidence-based universal six- or twelve-month FDG-PET schedule; any local calendar requires explicit agreement.</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r>
        <w:t xml:space="preserve"> </w:t>
      </w:r>
      <w:r>
        <w:t xml:space="preserve"> </w:t>
      </w:r>
      <w:r>
        <w:fldChar w:fldCharType="begin"/>
      </w:r>
      <w:r>
        <w:instrText xml:space="preserve"> ADDIN EN.CITE </w:instrText>
      </w:r>
      <w:r>
        <w:fldChar w:fldCharType="begin">
          <w:fldData>PEVuZE5vdGU+PENpdGU+PEF1dGhvcj5TdCYjMjI5O2xiZXJnPC9BdXRob3I+PFllYXI+MjAyNjwvWWVhcj48UmVjTnVtPjg8L1JlY051bT48RGlzcGxheVRleHQ+W1YxNi04XTwvRGlzcGxheVRleHQ+PHJlY29yZD48cmVjLW51bWJlcj44PC9yZWMtbnVtYmVyPjxmb3JlaWduLWtleXM+PGtleSBhcHA9IkVOIiBkYi1pZD0iNWFjOTU5NjUtOGViOS01ZjgzLThlNjYtN2NiZDRhNTYwMjliIiB0aW1lc3RhbXA9IjE3OTMyODM2ODYiPjg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p>
    <w:p>
      <w:pPr>
        <w:pStyle w:val="Normal"/>
        <w:widowControl/>
        <w:numPr>
          <w:ilvl w:val="0"/>
          <w:numId w:val="3"/>
        </w:numPr>
      </w:pPr>
      <w:r>
        <w:t xml:space="preserve">Years 3–5: Every 6 months with the same imaging and laboratory panel</w:t>
      </w:r>
    </w:p>
    <w:p>
      <w:pPr>
        <w:pStyle w:val="Normal"/>
        <w:widowControl/>
        <w:numPr>
          <w:ilvl w:val="0"/>
          <w:numId w:val="3"/>
        </w:numPr>
      </w:pPr>
      <w:r>
        <w:t xml:space="preserve">Continue individualized long-term oncologic surveillance beyond year 10 when clinically appropriate; there is no validated safe stopping point. The Milan-selected comparative series documented recurrence as late as 204 months after LT. Imaging modality/frequency should be agreed by NET oncology and transplantation according to disease biology, prior recurrence and competing risks.</w:t>
      </w:r>
      <w:r>
        <w:t xml:space="preserve"> </w:t>
      </w:r>
      <w:r>
        <w:t xml:space="preserve"> </w:t>
      </w:r>
      <w:r>
        <w:fldChar w:fldCharType="begin"/>
      </w:r>
      <w:r>
        <w:instrText xml:space="preserve"> ADDIN EN.CITE </w:instrText>
      </w:r>
      <w:r>
        <w:fldChar w:fldCharType="begin">
          <w:fldData>PEVuZE5vdGU+PENpdGU+PEF1dGhvcj5NYXNwZXJvPC9BdXRob3I+PFllYXI+MjAyMjwvWWVhcj48UmVjTnVtPjk8L1JlY051bT48RGlzcGxheVRleHQ+W1YxNi05XTwvRGlzcGxheVRleHQ+PHJlY29yZD48cmVjLW51bWJlcj45PC9yZWMtbnVtYmVyPjxmb3JlaWduLWtleXM+PGtleSBhcHA9IkVOIiBkYi1pZD0iNWFjOTU5NjUtOGViOS01ZjgzLThlNjYtN2NiZDRhNTYwMjliIiB0aW1lc3RhbXA9IjE3OTMyODM2ODYiPjk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p>
    <w:p>
      <w:pPr>
        <w:pStyle w:val="Normal"/>
        <w:widowControl/>
      </w:pPr>
      <w:r>
        <w:t xml:space="preserve">Transplant Surveillance:</w:t>
      </w:r>
    </w:p>
    <w:p>
      <w:pPr>
        <w:pStyle w:val="Normal"/>
        <w:widowControl/>
        <w:numPr>
          <w:ilvl w:val="0"/>
          <w:numId w:val="3"/>
        </w:numPr>
      </w:pPr>
      <w:r>
        <w:t xml:space="preserve">Standard post-LT monitoring per institutional protocol (liver function tests, tacrolimus/everolimus levels, renal function, metabolic panel)</w:t>
      </w:r>
    </w:p>
    <w:p>
      <w:pPr>
        <w:pStyle w:val="Normal"/>
        <w:widowControl/>
        <w:numPr>
          <w:ilvl w:val="0"/>
          <w:numId w:val="3"/>
        </w:numPr>
      </w:pPr>
      <w:r>
        <w:t xml:space="preserve">Protocol liver biopsies as clinically indicated</w:t>
      </w:r>
    </w:p>
    <w:p>
      <w:pPr>
        <w:pStyle w:val="Heading3"/>
        <w:keepNext/>
        <w:widowControl/>
      </w:pPr>
      <w:r>
        <w:t xml:space="preserve">8. Management of Post-Transplant Recurrence</w:t>
      </w:r>
    </w:p>
    <w:p>
      <w:pPr>
        <w:pStyle w:val="Normal"/>
        <w:widowControl/>
      </w:pPr>
      <w:r>
        <w:t xml:space="preserve">Post-LT NET recurrence can be late and requires long-term follow-up. In Sposito et al., 32 patients with recurrence and at least 6 months of postrecurrence follow-up had median recurrence latency 82.9 months and 5-/10-year survival from recurrence of 76.3%/45.5%. These estimates describe the whole selected recurrent cohort, not only the late/resectable subgroup, and are not an expected individual outcome or a causal treatment effect. Selection, late-recurrence biology and resectability materially confound the results.</w:t>
      </w:r>
      <w:r>
        <w:t xml:space="preserve"> </w:t>
      </w:r>
      <w:r>
        <w:t xml:space="preserve"> </w:t>
      </w:r>
      <w:r>
        <w:fldChar w:fldCharType="begin"/>
      </w:r>
      <w:r>
        <w:instrText xml:space="preserve"> ADDIN EN.CITE </w:instrText>
      </w:r>
      <w:r>
        <w:fldChar w:fldCharType="begin">
          <w:fldData>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pPr>
      <w:r>
        <w:t xml:space="preserve">Multidisciplinary tumor board review for all recurrences</w:t>
      </w:r>
    </w:p>
    <w:p>
      <w:pPr>
        <w:pStyle w:val="Normal"/>
        <w:widowControl/>
        <w:numPr>
          <w:ilvl w:val="0"/>
          <w:numId w:val="3"/>
        </w:numPr>
      </w:pPr>
      <w:r>
        <w:t xml:space="preserve">Consider complete salvage resection for technically resectable, biologically favourable recurrence after multidisciplinary review. In the 32-patient Sposito cohort, surgery versus other treatment was associated with 5-year postrecurrence survival of 90.9% versus 64.5% (P=.062), an unadjusted, non-significant overall comparison. Recurrence within 24 months is a risk marker, not a validated absolute prohibition on salvage.</w:t>
      </w:r>
      <w:r>
        <w:t xml:space="preserve"> </w:t>
      </w:r>
      <w:r>
        <w:t xml:space="preserve"> </w:t>
      </w:r>
      <w:r>
        <w:fldChar w:fldCharType="begin"/>
      </w:r>
      <w:r>
        <w:instrText xml:space="preserve"> ADDIN EN.CITE </w:instrText>
      </w:r>
      <w:r>
        <w:fldChar w:fldCharType="begin">
          <w:fldData>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Normal"/>
        <w:widowControl/>
        <w:numPr>
          <w:ilvl w:val="0"/>
          <w:numId w:val="3"/>
        </w:numPr>
      </w:pPr>
      <w:r>
        <w:t xml:space="preserve">Peptide receptor radionuclide therapy after liver transplantation is INVESTIGATIONAL. It may be considered only for somatostatin-receptor-positive recurrence, case by case, after joint transplant-oncology, nuclear-medicine, hepatology and transplant-pharmacy review, and preferably within a prospective protocol or registry.</w:t>
      </w:r>
    </w:p>
    <w:p>
      <w:pPr>
        <w:pStyle w:val="Normal"/>
        <w:widowControl/>
        <w:numPr>
          <w:ilvl w:val="0"/>
          <w:numId w:val="3"/>
        </w:numPr>
      </w:pPr>
      <w:r>
        <w:t xml:space="preserve">Before investigational PRRT: confirm SSTR-positive disease; document marrow reserve, renal function, prior radionuclide/chemotherapy exposure and allograft status; agree serial monitoring and withholding/stopping rules with nuclear medicine, transplant and pharmacy teams. Consent must include potentially prolonged severe cytopenia, renal toxicity and uncertain graft safety. In the seven-case post-LT series, one patient had persistent platelets &lt;10×10^9/L after one cycle despite supportive treatment; no controlled survival benefit or validated transplant-specific dose/monitoring schedule was established.</w:t>
      </w:r>
      <w:r>
        <w:t xml:space="preserve"> </w:t>
      </w:r>
      <w:r>
        <w:t xml:space="preserve"> </w:t>
      </w:r>
      <w:r>
        <w:fldChar w:fldCharType="begin"/>
      </w:r>
      <w:r>
        <w:instrText xml:space="preserve"> ADDIN EN.CITE </w:instrText>
      </w:r>
      <w:r>
        <w:fldChar w:fldCharType="begin">
          <w:fldData>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Normal"/>
        <w:widowControl/>
        <w:numPr>
          <w:ilvl w:val="0"/>
          <w:numId w:val="3"/>
        </w:numPr>
      </w:pPr>
      <w:r>
        <w:t xml:space="preserve">No immunosuppression regimen or trough target is established for concurrent use with PRRT. Continue the recipient's institutional regimen with individualized adjustment; do not specify a trough window for concurrent use. Response figures from small uncontrolled case series must not be used for counselling or entered as an expected outcome.</w:t>
      </w:r>
    </w:p>
    <w:p>
      <w:pPr>
        <w:pStyle w:val="Normal"/>
        <w:widowControl/>
        <w:numPr>
          <w:ilvl w:val="0"/>
          <w:numId w:val="3"/>
        </w:numPr>
      </w:pPr>
      <w:r>
        <w:t xml:space="preserve">Somatostatin analogs for functional tumors and/or antiproliferative effect</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Liver-directed therapies for graft-confined recurrence</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numPr>
          <w:ilvl w:val="0"/>
          <w:numId w:val="3"/>
        </w:numPr>
      </w:pPr>
      <w:r>
        <w:t xml:space="preserve">For post-LT recurrence, systemic options require individualized NET-oncology/transplant-pharmacy review of biology, prior therapy, organ function and interactions. Trials such as CABINET demonstrate activity in nontransplant progressive NET but do not establish post-LT safety, efficacy or dosing. Neither cabozantinib nor another drug is a mandatory pre-LT failure requirement.</w:t>
      </w:r>
      <w:r>
        <w:t xml:space="preserve"> </w:t>
      </w:r>
      <w:r>
        <w:t xml:space="preserve"> </w:t>
      </w:r>
      <w:r>
        <w:fldChar w:fldCharType="begin"/>
      </w:r>
      <w:r>
        <w:instrText xml:space="preserve"> ADDIN EN.CITE </w:instrText>
      </w:r>
      <w:r>
        <w:fldChar w:fldCharType="begin">
          <w:fldData>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1Ni9ORUpNb2EyNDAzOTkx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r>
        <w:t xml:space="preserve"> </w:t>
      </w:r>
      <w:r>
        <w:t xml:space="preserve"> </w:t>
      </w:r>
      <w:r>
        <w:fldChar w:fldCharType="begin"/>
      </w:r>
      <w:r>
        <w:instrText xml:space="preserve"> ADDIN EN.CITE </w:instrText>
      </w:r>
      <w:r>
        <w:fldChar w:fldCharType="begin">
          <w:fldData>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EzMTYxNTg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r>
        <w:t xml:space="preserve"> </w:t>
      </w:r>
      <w:r>
        <w:t xml:space="preserve"> </w:t>
      </w:r>
      <w:r>
        <w:fldChar w:fldCharType="begin"/>
      </w:r>
      <w:r>
        <w:instrText xml:space="preserve"> ADDIN EN.CITE </w:instrText>
      </w:r>
      <w:r>
        <w:fldChar w:fldCharType="begin">
          <w:fldData>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</w:fldData>
        </w:fldChar>
      </w:r>
      <w:r>
        <w:instrText xml:space="preserve"> ADDIN EN.CITE.DATA </w:instrText>
      </w:r>
      <w:r>
        <w:fldChar w:fldCharType="end"/>
      </w:r>
      <w:r>
        <w:fldChar w:fldCharType="separate"/>
      </w:r>
      <w:r>
        <w:t xml:space="preserve">[V16-20]</w:t>
      </w:r>
      <w:r>
        <w:fldChar w:fldCharType="end"/>
      </w:r>
    </w:p>
    <w:p>
      <w:pPr>
        <w:pStyle w:val="Normal"/>
        <w:widowControl/>
      </w:pPr>
      <w:r>
        <w:t xml:space="preserve">Everolimus safety and evidence boundary: if selected under the current transplant-pharmacy protocol, adult liver-transplant use must not begin before postoperative day 30 under the US label. This is a drug-specific safety floor, not a mandatory conversion date, and does not establish cancer-recurrence benefit. Dose, trough target and CNI co-therapy require individualized graft, renal, vascular, wound, infection and interaction review.</w:t>
      </w:r>
      <w:r>
        <w:t xml:space="preserve"> </w:t>
      </w:r>
      <w:r>
        <w:t xml:space="preserve"> </w:t>
      </w:r>
      <w:r>
        <w:fldChar w:fldCharType="begin"/>
      </w:r>
      <w:r>
        <w:instrText xml:space="preserve"> ADDIN EN.CITE </w:instrText>
      </w:r>
      <w:r>
        <w:fldChar w:fldCharType="begin">
          <w:fldData>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</w:fldData>
        </w:fldChar>
      </w:r>
      <w:r>
        <w:instrText xml:space="preserve"> ADDIN EN.CITE.DATA </w:instrText>
      </w:r>
      <w:r>
        <w:fldChar w:fldCharType="end"/>
      </w:r>
      <w:r>
        <w:fldChar w:fldCharType="separate"/>
      </w:r>
      <w:r>
        <w:t xml:space="preserve">[V16-16]</w:t>
      </w:r>
      <w:r>
        <w:fldChar w:fldCharType="end"/>
      </w:r>
      <w:r>
        <w:t xml:space="preserve"> </w:t>
      </w:r>
      <w:r>
        <w:t xml:space="preserve"> </w:t>
      </w:r>
      <w:r>
        <w:fldChar w:fldCharType="begin"/>
      </w:r>
      <w:r>
        <w:instrText xml:space="preserve"> ADDIN EN.CITE </w:instrText>
      </w:r>
      <w:r>
        <w:fldChar w:fldCharType="begin">
          <w:fldData>PEVuZE5vdGU+PENpdGU+PEF1dGhvcj5UZTwvQXV0aG9yPjxZZWFyPjIwMjU8L1llYXI+PFJlY051bT4xMzwvUmVjTnVtPjxEaXNwbGF5VGV4dD5bVjE2LTEzXTwvRGlzcGxheVRleHQ+PHJlY29yZD48cmVjLW51bWJlcj4xMzwvcmVjLW51bWJlcj48Zm9yZWlnbi1rZXlzPjxrZXkgYXBwPSJFTiIgZGItaWQ9IjVhYzk1OTY1LThlYjktNWY4My04ZTY2LTdjYmQ0YTU2MDI5YiIgdGltZXN0YW1wPSIxNzkzMjgzNjg2Ij4x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Heading2"/>
        <w:keepNext/>
        <w:widowControl/>
      </w:pPr>
      <w:r>
        <w:t xml:space="preserve">Full-text evidence update — interpret within the standard boundary</w:t>
      </w:r>
    </w:p>
    <w:p>
      <w:pPr>
        <w:pStyle w:val="Normal"/>
        <w:widowControl/>
      </w:pPr>
      <w:r>
        <w:t xml:space="preserve">The following new full-text findings qualify outcome counseling and operational decisions. Evidence from expanded or experimental cohorts does not enlarge this standard pathway. For proposed boundary changes, use the separately linked OPEN meeting record.</w:t>
      </w:r>
    </w:p>
    <w:tbl>
      <w:tblPr>
        <w:tblW w:w="9000" w:type="dxa"/>
        <w:tblLayout w:type="fixed"/>
        <w:tblBorders>
          <w:top w:val="single" w:sz="4" w:color="C8C8C8"/>
          <w:left w:val="single" w:sz="4" w:color="C8C8C8"/>
          <w:bottom w:val="single" w:sz="4" w:color="C8C8C8"/>
          <w:right w:val="single" w:sz="4" w:color="C8C8C8"/>
          <w:insideH w:val="single" w:sz="4" w:color="C8C8C8"/>
          <w:insideV w:val="single" w:sz="4" w:color="C8C8C8"/>
        </w:tblBorders>
      </w:tblPr>
      <w:tblGrid>
        <w:gridCol w:w="3400"/>
        <w:gridCol w:w="5600"/>
      </w:tblGrid>
      <w:tr>
        <w:trPr>
          <w:cantSplit/>
          <w:tblHeader/>
        </w:trPr>
        <w:tc>
          <w:tcPr>
            <w:tcW w:w="3400" w:type="dxa"/>
            <w:tcMar>
              <w:top w:w="90" w:type="dxa"/>
              <w:left w:w="90" w:type="dxa"/>
              <w:bottom w:w="90" w:type="dxa"/>
              <w:right w:w="90" w:type="dxa"/>
            </w:tcMar>
            <w:shd w:fill="C1E4F5"/>
          </w:tcPr>
          <w:p>
            <w:pPr>
              <w:pStyle w:val="Normal"/>
              <w:widowControl/>
              <w:spacing w:before="60" w:after="20"/>
            </w:pPr>
            <w:r>
              <w:rPr>
                <w:b/>
              </w:rPr>
              <w:t xml:space="preserve">Study • population • source</w:t>
            </w:r>
          </w:p>
        </w:tc>
        <w:tc>
          <w:tcPr>
            <w:tcW w:w="5600" w:type="dxa"/>
            <w:tcMar>
              <w:top w:w="90" w:type="dxa"/>
              <w:left w:w="90" w:type="dxa"/>
              <w:bottom w:w="90" w:type="dxa"/>
              <w:right w:w="90" w:type="dxa"/>
            </w:tcMar>
            <w:shd w:fill="C1E4F5"/>
          </w:tcPr>
          <w:p>
            <w:pPr>
              <w:pStyle w:val="Normal"/>
              <w:widowControl/>
              <w:spacing w:before="60" w:after="20"/>
            </w:pPr>
            <w:r>
              <w:rPr>
                <w:b/>
              </w:rPr>
              <w:t xml:space="preserve">Results • interpretation boundary</w:t>
            </w:r>
          </w:p>
        </w:tc>
      </w:tr>
      <w:tr>
        <w:trPr/>
        <w:tc>
          <w:tcPr>
            <w:tcW w:w="3400" w:type="dxa"/>
            <w:tcMar>
              <w:top w:w="90" w:type="dxa"/>
              <w:left w:w="90" w:type="dxa"/>
              <w:bottom w:w="90" w:type="dxa"/>
              <w:right w:w="90" w:type="dxa"/>
            </w:tcMar>
          </w:tcPr>
          <w:p>
            <w:pPr>
              <w:pStyle w:val="Normal"/>
              <w:widowControl/>
              <w:spacing w:before="60" w:after="20"/>
            </w:pPr>
            <w:r>
              <w:rPr>
                <w:b/>
              </w:rPr>
              <w:t xml:space="preserve">Chan 2025 · CABINET</w:t>
            </w:r>
            <w:r>
              <w:t xml:space="preserve"> </w:t>
            </w:r>
            <w:r>
              <w:t xml:space="preserve"> </w:t>
            </w:r>
            <w:r>
              <w:fldChar w:fldCharType="begin"/>
            </w:r>
            <w:r>
              <w:instrText xml:space="preserve"> ADDIN EN.CITE </w:instrText>
            </w:r>
            <w:r>
              <w:fldChar w:fldCharType="begin">
                <w:fldData>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</w:fldData>
              </w:fldChar>
            </w:r>
            <w:r>
              <w:instrText xml:space="preserve"> ADDIN EN.CITE.DATA </w:instrText>
            </w:r>
            <w:r>
              <w:fldChar w:fldCharType="end"/>
            </w:r>
            <w:r>
              <w:fldChar w:fldCharType="separate"/>
            </w:r>
            <w:r>
              <w:t xml:space="preserve">[V16-19]</w:t>
            </w:r>
            <w:r>
              <w:fldChar w:fldCharType="end"/>
            </w:r>
          </w:p>
          <w:p>
            <w:pPr>
              <w:pStyle w:val="Normal"/>
              <w:widowControl/>
              <w:spacing w:before="60" w:after="20"/>
            </w:pPr>
            <w:r>
              <w:t xml:space="preserve">Double-blind phase III trial at 62 US sites, 298 previously treated progressive well-/moderately differentiated advanced NET patients. Two independent randomised cohorts: extrapancreatic n=203 (134 cabozantinib/69 placebo), pancreatic n=95 (64/31). Required prior relevant PRRT/targeted therapy; grades 1–3 and ECOG 0–2 eligible; poorly differentiated NEC excluded. Twenty-four G3 patients overall. This is not a liver-only transplant-eligible population.</w:t>
            </w:r>
          </w:p>
          <w:p>
            <w:pPr>
              <w:pStyle w:val="Normal"/>
              <w:widowControl/>
              <w:spacing w:before="60" w:after="20"/>
            </w:pPr>
            <w:hyperlink r:id="rId23">
              <w:r>
                <w:rPr>
                  <w:color w:val="77230C"/>
                  <w:sz w:val="20"/>
                  <w:u w:val="single"/>
                </w:rPr>
                <w:t>Primary source</w:t>
              </w:r>
            </w:hyperlink>
            <w:r>
              <w:t xml:space="preserve"> | </w:t>
            </w:r>
            <w:hyperlink r:id="rId24">
              <w:r>
                <w:rPr>
                  <w:color w:val="77230C"/>
                  <w:sz w:val="20"/>
                  <w:u w:val="single"/>
                </w:rPr>
                <w:t>Full-text PDF</w:t>
              </w:r>
            </w:hyperlink>
          </w:p>
          <w:p>
            <w:pPr>
              <w:pStyle w:val="Normal"/>
              <w:widowControl/>
              <w:spacing w:before="60" w:after="20"/>
            </w:pPr>
            <w:r>
              <w:t xml:space="preserve">Locator: Eligibility/design pp 654–656; PFS and OS pp 657–661; safety/Table 3 pp 661–663; limitations p 663.</w:t>
            </w:r>
          </w:p>
          <w:p>
            <w:pPr>
              <w:pStyle w:val="Normal"/>
              <w:widowControl/>
              <w:spacing w:before="60" w:after="20"/>
            </w:pPr>
            <w:r>
              <w:t xml:space="preserve">Review depth: All 13 pages of complete NEJM main article read, including Methods, Figures 1–2, Tables 1–3,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ITT by randomised cohort despite ten site misallocations (seven pancreatic enrolled as extra-pancreatic, three reverse); sensitivity analyses consistent. Time zero randomisation. Early stopping/unblinding August 2023; PFS median follow-up 10.2 and 13.8 months; OS follow-up 24.2 and 23.1 months. Safety populations 132/67 and 63/31. Extrapancreatic PFS 8.4 versus 3.9 months, HR 0.38 (95% CI 0.25–0.59), P&lt;0.001; pancreatic PFS 13.8 versus 4.4 months, HR 0.23 (0.12–0.42), P&lt;0.001. Confirmed partial response 7/134 (5%) versus 0/69; pancreatic 12/64 (19%) versus 0/31. No complete responses. No OS benefit established: extra-pancreatic median OS 21.9 versus 19.7 months, HR 0.86 (0.56–1.31); pancreatic 40.0 versus 31.1, HR 0.95 (0.45–2.00). Immature OS, crossover and later therapies complicate interpretation. Treatment-related grade ≥3 adverse events 82/132 (62%) versus 18/67 (27%) and 41/63 (65%) versus 7/31 (23%). Dose reduction in 66%/68% cabozantinib arms; average daily dose around 38 mg despite 60 mg starting dose. Four extra-pancreatic cabozantinib recipients had deaths at least possibly treatment-related (gastric haemorrhage, cardiac arrest, two unspecified). Hypertension, fatigue, diarrhoea and thromboembolic events important. No grade 5 event in pancreatic cohort.</w:t>
            </w:r>
          </w:p>
          <w:p>
            <w:pPr>
              <w:pStyle w:val="Normal"/>
              <w:widowControl/>
              <w:spacing w:before="60" w:after="20"/>
            </w:pPr>
            <w:r>
              <w:rPr>
                <w:b/>
              </w:rPr>
              <w:t xml:space="preserve">Do not infer: </w:t>
            </w:r>
            <w:r>
              <w:t xml:space="preserve">High-quality randomised evidence for PFS in this late-line setting, but placebo comparator, early stopping and no proven OS advantage. Small G3 subgroup does not establish LT eligibility, nor does response to cabozantinib validate transplant downstaging. Not a comparison of LT against contemporary multimodal treatment in liver-only selected NET; post-LT safety was not studied. Quality-of-life results preliminary among questionnaire completers; no proven long-term QOL superiority. Supplement access: Supplementary Appendix, trial protocol, disclosure and data-sharing files not supplied in this PDF.</w:t>
            </w:r>
          </w:p>
        </w:tc>
      </w:tr>
      <w:tr>
        <w:trPr/>
        <w:tc>
          <w:tcPr>
            <w:tcW w:w="3400" w:type="dxa"/>
            <w:tcMar>
              <w:top w:w="90" w:type="dxa"/>
              <w:left w:w="90" w:type="dxa"/>
              <w:bottom w:w="90" w:type="dxa"/>
              <w:right w:w="90" w:type="dxa"/>
            </w:tcMar>
          </w:tcPr>
          <w:p>
            <w:pPr>
              <w:pStyle w:val="Normal"/>
              <w:widowControl/>
              <w:spacing w:before="60" w:after="20"/>
            </w:pPr>
            <w:r>
              <w:rPr>
                <w:b/>
              </w:rPr>
              <w:t xml:space="preserve">AASLD/AST candidate evaluation</w:t>
            </w:r>
            <w:r>
              <w:t xml:space="preserve"> </w:t>
            </w:r>
            <w:r>
              <w:t xml:space="preserve"> </w:t>
            </w:r>
            <w:r>
              <w:fldChar w:fldCharType="begin"/>
            </w:r>
            <w:r>
              <w:instrText xml:space="preserve"> ADDIN EN.CITE </w:instrText>
            </w:r>
            <w:r>
              <w:fldChar w:fldCharType="begin">
                <w:fldData>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</w:fldData>
              </w:fldChar>
            </w:r>
            <w:r>
              <w:instrText xml:space="preserve"> ADDIN EN.CITE.DATA </w:instrText>
            </w:r>
            <w:r>
              <w:fldChar w:fldCharType="end"/>
            </w:r>
            <w:r>
              <w:fldChar w:fldCharType="separate"/>
            </w:r>
            <w:r>
              <w:t xml:space="preserve">[V16-4]</w:t>
            </w:r>
            <w:r>
              <w:fldChar w:fldCharType="end"/>
            </w:r>
          </w:p>
          <w:p>
            <w:pPr>
              <w:pStyle w:val="Normal"/>
              <w:widowControl/>
              <w:spacing w:before="60" w:after="20"/>
            </w:pPr>
            <w:r>
              <w:t xml:space="preserve">AASLD/AST practice guideline, not an original patient cohort. Multidisciplinary evidence review with Oxford evidence levels; searches included a January 23, 2025 refresher. Recommendations combine evidence quality, benefit–risk assessment and patient preferences.</w:t>
            </w:r>
          </w:p>
          <w:p>
            <w:pPr>
              <w:pStyle w:val="Normal"/>
              <w:widowControl/>
              <w:spacing w:before="60" w:after="20"/>
            </w:pPr>
            <w:r>
              <w:t xml:space="preserve">Selection: pCCA statement 9: unresectable disease with radial diameter &lt;3 cm (Strong, Level 3). Statement 10: neoadjuvant radiation plus chemotherapy and operative staging (Strong, Level 3). iCCA/mixed HCC–CCA statement 11: biopsy-proven unresectable tumor, maximum diameter &lt;3 cm, no extrahepatic disease (Weak, Level 4); the explanatory paragraph adds solitary disease and underlying cirrhosis.</w:t>
            </w:r>
          </w:p>
          <w:p>
            <w:pPr>
              <w:pStyle w:val="Normal"/>
              <w:widowControl/>
              <w:spacing w:before="60" w:after="20"/>
            </w:pPr>
            <w:hyperlink r:id="rId25">
              <w:r>
                <w:rPr>
                  <w:color w:val="77230C"/>
                  <w:sz w:val="20"/>
                  <w:u w:val="single"/>
                </w:rPr>
                <w:t>Primary source</w:t>
              </w:r>
            </w:hyperlink>
            <w:r>
              <w:t xml:space="preserve"> | </w:t>
            </w:r>
            <w:hyperlink r:id="rId26">
              <w:r>
                <w:rPr>
                  <w:color w:val="77230C"/>
                  <w:sz w:val="20"/>
                  <w:u w:val="single"/>
                </w:rPr>
                <w:t>Full-text PDF</w:t>
              </w:r>
            </w:hyperlink>
          </w:p>
          <w:p>
            <w:pPr>
              <w:pStyle w:val="Normal"/>
              <w:widowControl/>
              <w:spacing w:before="60" w:after="20"/>
            </w:pPr>
            <w:r>
              <w:t xml:space="preserve">Locator: 60-page local author manuscript: pp1–3 publication identity, scope and methods; pp6–8 HCC/CCA statements; pp8–9 CCA rationale and multidisciplinary evaluation; pp25–27 LDLT statements 50–53 and safety/ethical considerations; pp27–28 selected nonhepatic malignancy guidance.</w:t>
            </w:r>
          </w:p>
          <w:p>
            <w:pPr>
              <w:pStyle w:val="Normal"/>
              <w:widowControl/>
              <w:spacing w:before="60" w:after="20"/>
            </w:pPr>
            <w:r>
              <w:t xml:space="preserve">Review depth: Complete 60-page author-manuscript PDF is present. Fresh targeted full-page reading of pp1–3, 6–9 and 25–28; the remaining guideline sections and complete reference list were not reread in this bounded supplemental review. This is a relevant-section review, not a claim of fresh cover-to-cover review.</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No new treatment-effect denominator or original survival endpoint. The guidance supports narrowly selected CCA candidacy rather than a validated advanced-iCCA expansion. It recommends multidisciplinary assessment of expected benefit, medical/psychosocial feasibility and patient wishes; for LDLT, donor safety and expected recipient outcome must be assessed together.</w:t>
            </w:r>
          </w:p>
          <w:p>
            <w:pPr>
              <w:pStyle w:val="Normal"/>
              <w:widowControl/>
              <w:spacing w:before="60" w:after="20"/>
            </w:pPr>
            <w:r>
              <w:rPr>
                <w:b/>
              </w:rPr>
              <w:t xml:space="preserve">Do not infer: </w:t>
            </w:r>
            <w:r>
              <w:t xml:space="preserve">Clinical guidance is distinct from binding OPTN policy and current NLRB recommendations. The manuscript links an older February 2025 NLRB posting. Its &lt;3 cm iCCA wording should not be silently changed to ≤3 cm to match another source; exact-boundary discrepancies require explicit source comparison. The broad pCCA-background list concerning prior chemotherapy/radiation must not be generalized to exclude all protocol-directed NAT, which statement 10 expressly recommends. Time origin: The iCCA rationale describes six months of imaging stability after locoregional or systemic therapy and cross-sectional imaging every three months while listed. This is the guideline's formulation, not a resolution of differently worded current allocation clock language. No new study survival clock exists for this guideline card.</w:t>
            </w:r>
          </w:p>
        </w:tc>
      </w:tr>
      <w:tr>
        <w:trPr/>
        <w:tc>
          <w:tcPr>
            <w:tcW w:w="3400" w:type="dxa"/>
            <w:tcMar>
              <w:top w:w="90" w:type="dxa"/>
              <w:left w:w="90" w:type="dxa"/>
              <w:bottom w:w="90" w:type="dxa"/>
              <w:right w:w="90" w:type="dxa"/>
            </w:tcMar>
          </w:tcPr>
          <w:p>
            <w:pPr>
              <w:pStyle w:val="Normal"/>
              <w:widowControl/>
              <w:spacing w:before="60" w:after="20"/>
            </w:pPr>
            <w:r>
              <w:rPr>
                <w:b/>
              </w:rPr>
              <w:t xml:space="preserve">Caplin 2014 · CLARINET</w:t>
            </w:r>
            <w:r>
              <w:t xml:space="preserve"> </w:t>
            </w:r>
            <w:r>
              <w:t xml:space="preserve"> </w:t>
            </w:r>
            <w:r>
              <w:fldChar w:fldCharType="begin"/>
            </w:r>
            <w:r>
              <w:instrText xml:space="preserve"> ADDIN EN.CITE </w:instrText>
            </w:r>
            <w:r>
              <w:fldChar w:fldCharType="begin">
                <w:fldData>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</w:fldData>
              </w:fldChar>
            </w:r>
            <w:r>
              <w:instrText xml:space="preserve"> ADDIN EN.CITE.DATA </w:instrText>
            </w:r>
            <w:r>
              <w:fldChar w:fldCharType="end"/>
            </w:r>
            <w:r>
              <w:fldChar w:fldCharType="separate"/>
            </w:r>
            <w:r>
              <w:t xml:space="preserve">[V16-11]</w:t>
            </w:r>
            <w:r>
              <w:fldChar w:fldCharType="end"/>
            </w:r>
          </w:p>
          <w:p>
            <w:pPr>
              <w:pStyle w:val="Normal"/>
              <w:widowControl/>
              <w:spacing w:before="60" w:after="20"/>
            </w:pPr>
            <w:r>
              <w:t xml:space="preserve">Randomised double-blind phase III multinational trial, 204 patients: lanreotide 120 mg every 28 days n=101 versus placebo n=103 for 96 weeks. Nonfunctioning (controlled gastrinoma allowed), SSTR-positive advanced enteropancreatic NET, well/moderately differentiated with stated Ki-67 &lt;10%; most treatment-naïve (84%) and stable in prior 3–6 months (96%). Thirty-three percent had &gt;25% hepatic tumour volume. Not a refractory, liver-only LT-eligible cohort.</w:t>
            </w:r>
          </w:p>
          <w:p>
            <w:pPr>
              <w:pStyle w:val="Normal"/>
              <w:widowControl/>
              <w:spacing w:before="60" w:after="20"/>
            </w:pPr>
            <w:hyperlink r:id="rId27">
              <w:r>
                <w:rPr>
                  <w:color w:val="77230C"/>
                  <w:sz w:val="20"/>
                  <w:u w:val="single"/>
                </w:rPr>
                <w:t>Primary source</w:t>
              </w:r>
            </w:hyperlink>
            <w:r>
              <w:t xml:space="preserve"> | </w:t>
            </w:r>
            <w:hyperlink r:id="rId28">
              <w:r>
                <w:rPr>
                  <w:color w:val="77230C"/>
                  <w:sz w:val="20"/>
                  <w:u w:val="single"/>
                </w:rPr>
                <w:t>Full-text PDF</w:t>
              </w:r>
            </w:hyperlink>
          </w:p>
          <w:p>
            <w:pPr>
              <w:pStyle w:val="Normal"/>
              <w:widowControl/>
              <w:spacing w:before="60" w:after="20"/>
            </w:pPr>
            <w:r>
              <w:t xml:space="preserve">Locator: Eligibility pp 225–226; endpoint/time origin p 227; outcomes pp 228–230; toxicity Table 3 p 231; limitations p 232.</w:t>
            </w:r>
          </w:p>
          <w:p>
            <w:pPr>
              <w:pStyle w:val="Normal"/>
              <w:widowControl/>
              <w:spacing w:before="60" w:after="20"/>
            </w:pPr>
            <w:r>
              <w:t xml:space="preserve">Review depth: Complete ten-page NEJM main article read, including tables,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204 ITT and safety. Primary PFS time starts at first injection; OS from randomisation. Thirty-two PFS events (30 progressions, two deaths) versus 60 (58 progressions, two deaths). Median exposure 24 months versus 15 months. Median PFS not reached versus 18.0 months; HR 0.47 (95% CI 0.30–0.73), P&lt;0.001. Kaplan–Meier 24-month PFS 65.1% versus 33.0%. No significant OS or quality-of-life difference demonstrated; follow-up/crossover constrain OS interpretation. Treatment-related diarrhoea 26/101 versus 9/103; cholelithiasis 10/101 versus 3/103; hyperglycaemia 5/101 versus 0. Serious treatment-related adverse events affected three versus one patient; withdrawal for any AE three in each arm. The discrete week-96 treatment-success measure 53/101 versus 26/103 differs from KM 24-month PFS because withdrawals were counted as failures; do not mix these estimates.</w:t>
            </w:r>
          </w:p>
          <w:p>
            <w:pPr>
              <w:pStyle w:val="Normal"/>
              <w:widowControl/>
              <w:spacing w:before="60" w:after="20"/>
            </w:pPr>
            <w:r>
              <w:rPr>
                <w:b/>
              </w:rPr>
              <w:t xml:space="preserve">Do not infer: </w:t>
            </w:r>
            <w:r>
              <w:t xml:space="preserve">Strong PFS evidence for indolent low-grade SSTR-positive disease, not validation for Ki-67 10–20%, rapidly progressive disease or NET transplantation. No direct LT comparator, curative claim, high-burden transplant threshold or mandate to fail SSA before considering LT. Hepatic-volume dichotomy &gt;25% versus ≤25% was a posthoc simplification of predefined strata; no LT-specific 25% decision cutoff follows. Supplement access: Supplementary Appendix and separate protocol/statistical analysis plan not included.</w:t>
            </w:r>
          </w:p>
        </w:tc>
      </w:tr>
      <w:tr>
        <w:trPr/>
        <w:tc>
          <w:tcPr>
            <w:tcW w:w="3400" w:type="dxa"/>
            <w:tcMar>
              <w:top w:w="90" w:type="dxa"/>
              <w:left w:w="90" w:type="dxa"/>
              <w:bottom w:w="90" w:type="dxa"/>
              <w:right w:w="90" w:type="dxa"/>
            </w:tcMar>
          </w:tcPr>
          <w:p>
            <w:pPr>
              <w:pStyle w:val="Normal"/>
              <w:widowControl/>
              <w:spacing w:before="60" w:after="20"/>
            </w:pPr>
            <w:r>
              <w:rPr>
                <w:b/>
              </w:rPr>
              <w:t xml:space="preserve">Abecassis 2012</w:t>
            </w:r>
            <w:r>
              <w:t xml:space="preserve"> </w:t>
            </w:r>
            <w:r>
              <w:t xml:space="preserve"> </w:t>
            </w:r>
            <w:r>
              <w:fldChar w:fldCharType="begin"/>
            </w:r>
            <w:r>
              <w:instrText xml:space="preserve"> ADDIN EN.CITE </w:instrText>
            </w:r>
            <w:r>
              <w:fldChar w:fldCharType="begin">
                <w:fldData>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</w:fldData>
              </w:fldChar>
            </w:r>
            <w:r>
              <w:instrText xml:space="preserve"> ADDIN EN.CITE.DATA </w:instrText>
            </w:r>
            <w:r>
              <w:fldChar w:fldCharType="end"/>
            </w:r>
            <w:r>
              <w:fldChar w:fldCharType="separate"/>
            </w:r>
            <w:r>
              <w:t xml:space="preserve">[V16-21]</w:t>
            </w:r>
            <w:r>
              <w:fldChar w:fldCharType="end"/>
            </w:r>
          </w:p>
          <w:p>
            <w:pPr>
              <w:pStyle w:val="Normal"/>
              <w:widowControl/>
              <w:spacing w:before="60" w:after="20"/>
            </w:pPr>
            <w:r>
              <w:t xml:space="preserve">A2ALL cohort: 760 donor operations begun; 740 completed, mostly right lobes.</w:t>
            </w:r>
          </w:p>
          <w:p>
            <w:pPr>
              <w:pStyle w:val="Normal"/>
              <w:widowControl/>
              <w:spacing w:before="60" w:after="20"/>
            </w:pPr>
            <w:r>
              <w:t xml:space="preserve">Selection: Multicenter selected donors, older era; standardized complication ascertainment.</w:t>
            </w:r>
          </w:p>
          <w:p>
            <w:pPr>
              <w:pStyle w:val="Normal"/>
              <w:widowControl/>
              <w:spacing w:before="60" w:after="20"/>
            </w:pPr>
            <w:hyperlink r:id="rId29">
              <w:r>
                <w:rPr>
                  <w:color w:val="77230C"/>
                  <w:sz w:val="20"/>
                  <w:u w:val="single"/>
                </w:rPr>
                <w:t>Primary source</w:t>
              </w:r>
            </w:hyperlink>
            <w:r>
              <w:t xml:space="preserve"> | </w:t>
            </w:r>
            <w:hyperlink r:id="rId30">
              <w:r>
                <w:rPr>
                  <w:color w:val="77230C"/>
                  <w:sz w:val="20"/>
                  <w:u w:val="single"/>
                </w:rPr>
                <w:t>Full-text PDF</w:t>
              </w:r>
            </w:hyperlink>
          </w:p>
          <w:p>
            <w:pPr>
              <w:pStyle w:val="Normal"/>
              <w:widowControl/>
              <w:spacing w:before="60" w:after="20"/>
            </w:pPr>
            <w:r>
              <w:t xml:space="preserve">Locator: PDF pp2–8; Methods, donor flow, complications and late-events Discussion.</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A2ALL: 760 operations initiated, 20 aborted and 740 donations completed. Among completed donations, 296/740 (40%) had at least one complication (557 events); 140 had multiple events. Historical four-tier Clavien grade 3 residual disability occurred in 5 and grade 4 death in 3; one death was perioperative and two were late psychological deaths. An aborted donor also suffered bile leak/infection/abscess and was outside the 740-completion analysis.</w:t>
            </w:r>
          </w:p>
          <w:p>
            <w:pPr>
              <w:pStyle w:val="Normal"/>
              <w:widowControl/>
              <w:spacing w:before="60" w:after="20"/>
            </w:pPr>
            <w:r>
              <w:rPr>
                <w:b/>
              </w:rPr>
              <w:t xml:space="preserve">Do not infer: </w:t>
            </w:r>
            <w:r>
              <w:t xml:space="preserve">Historical classification is NOT modern Clavien–Dindo ≥III; 8/740 cannot be labeled a contemporary major-complication rate. Older expert-center cohort and mixed follow-up; late hernia/psychological events occurred years later. Use contemporary local donor outcomes as well as published estimates; never promise zero risk.</w:t>
            </w:r>
          </w:p>
        </w:tc>
      </w:tr>
      <w:tr>
        <w:trPr/>
        <w:tc>
          <w:tcPr>
            <w:tcW w:w="3400" w:type="dxa"/>
            <w:tcMar>
              <w:top w:w="90" w:type="dxa"/>
              <w:left w:w="90" w:type="dxa"/>
              <w:bottom w:w="90" w:type="dxa"/>
              <w:right w:w="90" w:type="dxa"/>
            </w:tcMar>
          </w:tcPr>
          <w:p>
            <w:pPr>
              <w:pStyle w:val="Normal"/>
              <w:widowControl/>
              <w:spacing w:before="60" w:after="20"/>
            </w:pPr>
            <w:r>
              <w:rPr>
                <w:b/>
              </w:rPr>
              <w:t xml:space="preserve">DiMartini 2017</w:t>
            </w:r>
            <w:r>
              <w:t xml:space="preserve"> </w:t>
            </w:r>
            <w:r>
              <w:t xml:space="preserve"> </w:t>
            </w:r>
            <w:r>
              <w:fldChar w:fldCharType="begin"/>
            </w:r>
            <w:r>
              <w:instrText xml:space="preserve"> ADDIN EN.CITE </w:instrText>
            </w:r>
            <w:r>
              <w:fldChar w:fldCharType="begin">
                <w:fldData>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TExL2FqdC4xNDA1NTwvdXJsPjwvcmVsYXRlZC11cmxzPjxwZGYtdXJscy8+PC91cmxzPjwvcmVjb3JkPjwvQ2l0ZT48L0VuZE5vdGU+</w:fldData>
              </w:fldChar>
            </w:r>
            <w:r>
              <w:instrText xml:space="preserve"> ADDIN EN.CITE.DATA </w:instrText>
            </w:r>
            <w:r>
              <w:fldChar w:fldCharType="end"/>
            </w:r>
            <w:r>
              <w:fldChar w:fldCharType="separate"/>
            </w:r>
            <w:r>
              <w:t xml:space="preserve">[V16-22]</w:t>
            </w:r>
            <w:r>
              <w:fldChar w:fldCharType="end"/>
            </w:r>
          </w:p>
          <w:p>
            <w:pPr>
              <w:pStyle w:val="Normal"/>
              <w:widowControl/>
              <w:spacing w:before="60" w:after="20"/>
            </w:pPr>
            <w:r>
              <w:t xml:space="preserve">Prospective A2ALL-2 interviews: 271/297 eligible donors, before and through 24 months after donation.</w:t>
            </w:r>
          </w:p>
          <w:p>
            <w:pPr>
              <w:pStyle w:val="Normal"/>
              <w:widowControl/>
              <w:spacing w:before="60" w:after="20"/>
            </w:pPr>
            <w:r>
              <w:t xml:space="preserve">Selection: Costs and social recovery reported by participants, not randomized financial support.</w:t>
            </w:r>
          </w:p>
          <w:p>
            <w:pPr>
              <w:pStyle w:val="Normal"/>
              <w:widowControl/>
              <w:spacing w:before="60" w:after="20"/>
            </w:pPr>
            <w:hyperlink r:id="rId31">
              <w:r>
                <w:rPr>
                  <w:color w:val="77230C"/>
                  <w:sz w:val="20"/>
                  <w:u w:val="single"/>
                </w:rPr>
                <w:t>Primary source</w:t>
              </w:r>
            </w:hyperlink>
            <w:r>
              <w:t xml:space="preserve"> | </w:t>
            </w:r>
            <w:hyperlink r:id="rId32">
              <w:r>
                <w:rPr>
                  <w:color w:val="77230C"/>
                  <w:sz w:val="20"/>
                  <w:u w:val="single"/>
                </w:rPr>
                <w:t>Full-text PDF</w:t>
              </w:r>
            </w:hyperlink>
          </w:p>
          <w:p>
            <w:pPr>
              <w:pStyle w:val="Normal"/>
              <w:widowControl/>
              <w:spacing w:before="60" w:after="20"/>
            </w:pPr>
            <w:r>
              <w:t xml:space="preserve">Locator: PDF pp2–14; Figure 1, Tables 3–4 and 7,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Prospective A2ALL-2 surveys: 271 donors with ≥1 survey, 263 with postdonation data and 245 with both pre/post data; 139 interviews at two years. Cumulatively 75% reported nonmedical out-of-pocket expenses, 45% lost wages, 37% uncovered medical expenses and 44% burdensome costs at ≥1 assessment. Burden was 39.6% at three months (99/250) and 19.4% at two years (27/139). Among 196 employed before donation, 40% ever modified work/jobs.</w:t>
            </w:r>
          </w:p>
          <w:p>
            <w:pPr>
              <w:pStyle w:val="Normal"/>
              <w:widowControl/>
              <w:spacing w:before="60" w:after="20"/>
            </w:pPr>
            <w:r>
              <w:rPr>
                <w:b/>
              </w:rPr>
              <w:t xml:space="preserve">Do not infer: </w:t>
            </w:r>
            <w:r>
              <w:t xml:space="preserve">Self-report, variable denominators, administrative censoring/attrition, English-only selected donors and two-year horizon. These are not all 271 donors reporting each endpoint at a single time. Positive relationships do not offset financial harms. Historical 2017 insurance/assistance descriptions must not be presented as current law or current benefit eligibility.</w:t>
            </w:r>
          </w:p>
        </w:tc>
      </w:tr>
      <w:tr>
        <w:trPr/>
        <w:tc>
          <w:tcPr>
            <w:tcW w:w="3400" w:type="dxa"/>
            <w:tcMar>
              <w:top w:w="90" w:type="dxa"/>
              <w:left w:w="90" w:type="dxa"/>
              <w:bottom w:w="90" w:type="dxa"/>
              <w:right w:w="90" w:type="dxa"/>
            </w:tcMar>
          </w:tcPr>
          <w:p>
            <w:pPr>
              <w:pStyle w:val="Normal"/>
              <w:widowControl/>
              <w:spacing w:before="60" w:after="20"/>
            </w:pPr>
            <w:r>
              <w:rPr>
                <w:b/>
              </w:rPr>
              <w:t xml:space="preserve">Xiao 2024</w:t>
            </w:r>
            <w:r>
              <w:t xml:space="preserve"> </w:t>
            </w:r>
            <w:r>
              <w:t xml:space="preserve"> </w:t>
            </w:r>
            <w:r>
              <w:fldChar w:fldCharType="begin"/>
            </w:r>
            <w:r>
              <w:instrText xml:space="preserve"> ADDIN EN.CITE </w:instrText>
            </w:r>
            <w:r>
              <w:fldChar w:fldCharType="begin">
                <w:fldData>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</w:fldData>
              </w:fldChar>
            </w:r>
            <w:r>
              <w:instrText xml:space="preserve"> ADDIN EN.CITE.DATA </w:instrText>
            </w:r>
            <w:r>
              <w:fldChar w:fldCharType="end"/>
            </w:r>
            <w:r>
              <w:fldChar w:fldCharType="separate"/>
            </w:r>
            <w:r>
              <w:t xml:space="preserve">[V16-23]</w:t>
            </w:r>
            <w:r>
              <w:fldChar w:fldCharType="end"/>
            </w:r>
          </w:p>
          <w:p>
            <w:pPr>
              <w:pStyle w:val="Normal"/>
              <w:widowControl/>
              <w:spacing w:before="60" w:after="20"/>
            </w:pPr>
            <w:r>
              <w:t xml:space="preserve">Published meta-analysis of 60,829 donors; primary abstract reports 87 articles.</w:t>
            </w:r>
          </w:p>
          <w:p>
            <w:pPr>
              <w:pStyle w:val="Normal"/>
              <w:widowControl/>
              <w:spacing w:before="60" w:after="20"/>
            </w:pPr>
            <w:r>
              <w:t xml:space="preserve">Selection: Heterogeneous centers, eras and complication definitions; full overlap audit pending.</w:t>
            </w:r>
          </w:p>
          <w:p>
            <w:pPr>
              <w:pStyle w:val="Normal"/>
              <w:widowControl/>
              <w:spacing w:before="60" w:after="20"/>
            </w:pPr>
            <w:hyperlink r:id="rId33">
              <w:r>
                <w:rPr>
                  <w:color w:val="77230C"/>
                  <w:sz w:val="20"/>
                  <w:u w:val="single"/>
                </w:rPr>
                <w:t>Primary source</w:t>
              </w:r>
            </w:hyperlink>
            <w:r>
              <w:t xml:space="preserve"> | </w:t>
            </w:r>
            <w:hyperlink r:id="rId34">
              <w:r>
                <w:rPr>
                  <w:color w:val="77230C"/>
                  <w:sz w:val="20"/>
                  <w:u w:val="single"/>
                </w:rPr>
                <w:t>Full-text PDF</w:t>
              </w:r>
            </w:hyperlink>
          </w:p>
          <w:p>
            <w:pPr>
              <w:pStyle w:val="Normal"/>
              <w:widowControl/>
              <w:spacing w:before="60" w:after="20"/>
            </w:pPr>
            <w:r>
              <w:t xml:space="preserve">Locator: PDF pp3–10; Methods, Tables 1–3, Results and limitations.</w:t>
            </w:r>
          </w:p>
          <w:p>
            <w:pPr>
              <w:pStyle w:val="Normal"/>
              <w:widowControl/>
              <w:spacing w:before="60" w:after="20"/>
            </w:pPr>
            <w:r>
              <w:t xml:space="preserve">Review depth: Full article clinical text, methods, results, limitations and tables reviewed; external supplements only if included in supplied PDF.</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Meta-analysis reports 187 articles/60,829 donors in full-text Results (abstract says 87). Endpoint denominators differ: any complication 24.7% (95% CI 21.6–28.1; 163 studies/34,317 donors), major Clavien–Dindo III–V 5.5% (4.5–6.7; 105/27,571), mortality 0.06% (0.0–0.1; 111/49,027). Psychological complications 7.6% (4.9–11.5; 35/17,171).</w:t>
            </w:r>
          </w:p>
          <w:p>
            <w:pPr>
              <w:pStyle w:val="Normal"/>
              <w:widowControl/>
              <w:spacing w:before="60" w:after="20"/>
            </w:pPr>
            <w:r>
              <w:rPr>
                <w:b/>
              </w:rPr>
              <w:t xml:space="preserve">Do not infer: </w:t>
            </w:r>
            <w:r>
              <w:t xml:space="preserve">Heterogeneous observational reports, variable follow-up, duplicate-cohort sensitivity analysis, underreporting and limited new-vs-preexisting psychiatric detail. No common 60,829-person denominator for every endpoint. Right/left graft comparisons are selected, not causal. Several textual inconsistencies (study count and operation duration) require Table-specific reporting.</w:t>
            </w:r>
          </w:p>
        </w:tc>
      </w:tr>
      <w:tr>
        <w:trPr/>
        <w:tc>
          <w:tcPr>
            <w:tcW w:w="3400" w:type="dxa"/>
            <w:tcMar>
              <w:top w:w="90" w:type="dxa"/>
              <w:left w:w="90" w:type="dxa"/>
              <w:bottom w:w="90" w:type="dxa"/>
              <w:right w:w="90" w:type="dxa"/>
            </w:tcMar>
          </w:tcPr>
          <w:p>
            <w:pPr>
              <w:pStyle w:val="Normal"/>
              <w:widowControl/>
              <w:spacing w:before="60" w:after="20"/>
            </w:pPr>
            <w:r>
              <w:rPr>
                <w:b/>
              </w:rPr>
              <w:t xml:space="preserve">Le Treut 2013 · ELTR</w:t>
            </w:r>
            <w:r>
              <w:t xml:space="preserve"> </w:t>
            </w:r>
            <w:r>
              <w:t xml:space="preserve"> </w:t>
            </w:r>
            <w:r>
              <w:fldChar w:fldCharType="begin"/>
            </w:r>
            <w:r>
              <w:instrText xml:space="preserve"> ADDIN EN.CITE </w:instrText>
            </w:r>
            <w:r>
              <w:fldChar w:fldCharType="begin">
                <w:fldData>PEVuZE5vdGU+PENpdGU+PEF1dGhvcj5MZSBUcmV1dDwvQXV0aG9yPjxZZWFyPjIwMTM8L1llYXI+PFJlY051bT4xMDwvUmVjTnVtPjxEaXNwbGF5VGV4dD5bVjE2LTEwXTwvRGlzcGxheVRleHQ+PHJlY29yZD48cmVjLW51bWJlcj4xMDwvcmVjLW51bWJlcj48Zm9yZWlnbi1rZXlzPjxrZXkgYXBwPSJFTiIgZGItaWQ9IjVhYzk1OTY1LThlYjktNWY4My04ZTY2LTdjYmQ0YTU2MDI5YiIgdGltZXN0YW1wPSIxNzkzMjgzNjg2Ij4xMD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p>
          <w:p>
            <w:pPr>
              <w:pStyle w:val="Normal"/>
              <w:widowControl/>
              <w:spacing w:before="60" w:after="20"/>
            </w:pPr>
            <w:r>
              <w:t xml:space="preserve">Retrospective 35-centre/11-country ELTR case collection, 213 LT recipients 1982–2009 (approximately half the European NET transplants in that period). Mixed primary sites including bronchial, unknown and pancreas; 29 primary sites unknown before LT, 17 never found; 22 poorly differentiated cases. Baseline Ki-67 and treatment-response/stability data were too sparse for analysis. Eligibility differs fundamentally from current NLRB selection.</w:t>
            </w:r>
          </w:p>
          <w:p>
            <w:pPr>
              <w:pStyle w:val="Normal"/>
              <w:widowControl/>
              <w:spacing w:before="60" w:after="20"/>
            </w:pPr>
            <w:hyperlink r:id="rId35">
              <w:r>
                <w:rPr>
                  <w:color w:val="77230C"/>
                  <w:sz w:val="20"/>
                  <w:u w:val="single"/>
                </w:rPr>
                <w:t>Primary source</w:t>
              </w:r>
            </w:hyperlink>
            <w:r>
              <w:t xml:space="preserve"> | </w:t>
            </w:r>
            <w:hyperlink r:id="rId36">
              <w:r>
                <w:rPr>
                  <w:color w:val="77230C"/>
                  <w:sz w:val="20"/>
                  <w:u w:val="single"/>
                </w:rPr>
                <w:t>Full-text PDF</w:t>
              </w:r>
            </w:hyperlink>
          </w:p>
          <w:p>
            <w:pPr>
              <w:pStyle w:val="Normal"/>
              <w:widowControl/>
              <w:spacing w:before="60" w:after="20"/>
            </w:pPr>
            <w:r>
              <w:t xml:space="preserve">Locator: Methods p 808; primary/burden/indication p 809; perioperative harms p 810; adjusted models p 811; Table 6 p 812; historical selection discussion pp 813–815.</w:t>
            </w:r>
          </w:p>
          <w:p>
            <w:pPr>
              <w:pStyle w:val="Normal"/>
              <w:widowControl/>
              <w:spacing w:before="60" w:after="20"/>
            </w:pPr>
            <w:r>
              <w:t xml:space="preserve">Review depth: Complete nine-page published paper read, including all eight tables, methods, outcome curves,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107 before 2000 and 106 during 2000–2009. Median liver-metastasis diagnosis-to-LT 25 months. Follow-up to December 2010; mean follow-up 56 months. Survival must be labelled by time zero: five-year OS 52% from LT versus 73% from liver-metastasis diagnosis; the latter contains pretransplant survivor selection. Five-year OS/DFS 52%/30%; median OS/DFS 67/24 months. In 2000–2009 subgroup, five-year OS/DFS 59%/39%. Three-month mortality 21/213 (10%). Retransplantation 24/213 (11%), including 16 early; early retransplant deaths 6/16. Thirty-seven (17%) died from early/late transplant complications without recurrence over follow-up. Whole-cohort multivariable adverse associations: major concurrent resection HR 3.1 (95% CI 1.9–5.3), poor differentiation HR 2.7 (1.5–4.7), hepatomegaly HR 2.3 (1.5–3.7). Hepatomegaly was retrospectively explant size ≥125% predicted liver volume, not simply tumour replacement &gt;50%. Post-2000 model: hepatomegaly HR 2.6 (1.3–5.1), P=0.006; age &gt;45 HR 2.0 (0.9–4.3), P=0.073; any concurrent resection HR 1.9 (1.0–3.7), P=0.058. The latter two are not conventionally statistically significant despite abstract language. Univariate five-year OS ≤50% burden 61% (109 patients) versus &gt;50% 42% (91); estimated &gt;80% group 42% (31). These are historical unadjusted outcomes, not a validated safe upper boundary. Node-positive 66 had five-year OS 41% versus 62% in 91 node-negative; location/clearance detail inadequate for a current eligibility rule. Poorly differentiated 22 had five-year OS 27%, not evidence for modern WD-G3. Nine LT indications followed severe TACE complications (four liver failure, five ischaemic cholangitis); historical rescue experience does not justify deliberate treatment injury.</w:t>
            </w:r>
          </w:p>
          <w:p>
            <w:pPr>
              <w:pStyle w:val="Normal"/>
              <w:widowControl/>
              <w:spacing w:before="60" w:after="20"/>
            </w:pPr>
            <w:r>
              <w:rPr>
                <w:b/>
              </w:rPr>
              <w:t xml:space="preserve">Do not infer: </w:t>
            </w:r>
            <w:r>
              <w:t xml:space="preserve">Strong era, centre and recipient selection, no non-LT comparator, incomplete data and extensive overlap with earlier European/French cohorts. No stable-versus-progressive or Ki-67 threshold validation. Historical poorly differentiated NEC should not be conflated with well-differentiated G3. Abstract says 30 minor concurrent resections, whereas Methods/Table 4 show 60 minor and 24 major (84 total). Histological category counts also have transcription discrepancies; prefer internally supported Table 6 whole-cohort categories. The post-2000 age threshold is exploratory, not an absolute age ban; authors explicitly warn against denying LT solely to older patients with hepatomegaly. Supplement access: No separate supplemental file cited.</w:t>
            </w:r>
          </w:p>
        </w:tc>
      </w:tr>
      <w:tr>
        <w:trPr/>
        <w:tc>
          <w:tcPr>
            <w:tcW w:w="3400" w:type="dxa"/>
            <w:tcMar>
              <w:top w:w="90" w:type="dxa"/>
              <w:left w:w="90" w:type="dxa"/>
              <w:bottom w:w="90" w:type="dxa"/>
              <w:right w:w="90" w:type="dxa"/>
            </w:tcMar>
          </w:tcPr>
          <w:p>
            <w:pPr>
              <w:pStyle w:val="Normal"/>
              <w:widowControl/>
              <w:spacing w:before="60" w:after="20"/>
            </w:pPr>
            <w:r>
              <w:rPr>
                <w:b/>
              </w:rPr>
              <w:t xml:space="preserve">Kjaer 2023 · eligible non-LT panNET</w:t>
            </w:r>
            <w:r>
              <w:t xml:space="preserve"> </w:t>
            </w:r>
            <w:r>
              <w:t xml:space="preserve"> </w:t>
            </w:r>
            <w:r>
              <w:fldChar w:fldCharType="begin"/>
            </w:r>
            <w:r>
              <w:instrText xml:space="preserve"> ADDIN EN.CITE </w:instrText>
            </w:r>
            <w:r>
              <w:fldChar w:fldCharType="begin">
                <w:fldData>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</w:fldData>
              </w:fldChar>
            </w:r>
            <w:r>
              <w:instrText xml:space="preserve"> ADDIN EN.CITE.DATA </w:instrText>
            </w:r>
            <w:r>
              <w:fldChar w:fldCharType="end"/>
            </w:r>
            <w:r>
              <w:fldChar w:fldCharType="separate"/>
            </w:r>
            <w:r>
              <w:t xml:space="preserve">[V16-24]</w:t>
            </w:r>
            <w:r>
              <w:fldChar w:fldCharType="end"/>
            </w:r>
          </w:p>
          <w:p>
            <w:pPr>
              <w:pStyle w:val="Normal"/>
              <w:widowControl/>
              <w:spacing w:before="60" w:after="20"/>
            </w:pPr>
            <w:r>
              <w:t xml:space="preserve">Retrospective Swedish tertiary-centre pan-NET cohort, 519 screened (2000–2021), 41 with resected primary, G1/G2, liver metastases and no extra-abdominal disease included. Sixteen satisfied one or more study-adapted LT definitions: Milan 11, ENETS 8, UNOS 13 (overlapping). These were not literal current allocation criteria: Milan age extended to &lt;65; two patients with suspicious persistent but stable regional nodes were counted UNOS-eligible after three-month follow-up.</w:t>
            </w:r>
          </w:p>
          <w:p>
            <w:pPr>
              <w:pStyle w:val="Normal"/>
              <w:widowControl/>
              <w:spacing w:before="60" w:after="20"/>
            </w:pPr>
            <w:hyperlink r:id="rId37">
              <w:r>
                <w:rPr>
                  <w:color w:val="77230C"/>
                  <w:sz w:val="20"/>
                  <w:u w:val="single"/>
                </w:rPr>
                <w:t>Primary source</w:t>
              </w:r>
            </w:hyperlink>
            <w:r>
              <w:t xml:space="preserve"> | </w:t>
            </w:r>
            <w:hyperlink r:id="rId38">
              <w:r>
                <w:rPr>
                  <w:color w:val="77230C"/>
                  <w:sz w:val="20"/>
                  <w:u w:val="single"/>
                </w:rPr>
                <w:t>Full-text PDF</w:t>
              </w:r>
            </w:hyperlink>
          </w:p>
          <w:p>
            <w:pPr>
              <w:pStyle w:val="Normal"/>
              <w:widowControl/>
              <w:spacing w:before="60" w:after="20"/>
            </w:pPr>
            <w:r>
              <w:t xml:space="preserve">Locator: Methods/time zero p 341; modified eligibility definitions p 342; baseline/treatments/outcomes pp 343–344; interpretation/limitations pp 345–346.</w:t>
            </w:r>
          </w:p>
          <w:p>
            <w:pPr>
              <w:pStyle w:val="Normal"/>
              <w:widowControl/>
              <w:spacing w:before="60" w:after="20"/>
            </w:pPr>
            <w:r>
              <w:t xml:space="preserve">Review depth: Complete eight-page published main paper read, including all methods, tables, figures,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Time zero set at eligibility for each LT-criteria group; otherwise after first centre visit, primary resection and liver metastasis presence. Mean follow-up 5.4 years; 23 deaths. No actual LT comparator. Eligibility time zero reduces one form of immortal-time bias but retrospective selection remains. All 41: median OS 9.3 years (95% CI 6.8–11.7); five-year OS 64.7% (48.2–81.2). Milan-adapted n=11 five-year OS 64.9% (32.2–97.6); ENETS n=8 85.7% (59.8–100); UNOS-adapted n=13 55.4% (26.0–84.8). Treatment was multimodal, not medical therapy alone: five hepatic resections, 15 ablations, six embolizations, systemic therapy in 40 and later-line PRRT. No standardised toxicity or quality-of-life comparison reported. Most patients had small maximum lesions (overall median 1.5 cm); eligibility/low-burden biology differs from refractory high-burden transplant candidates.</w:t>
            </w:r>
          </w:p>
          <w:p>
            <w:pPr>
              <w:pStyle w:val="Normal"/>
              <w:widowControl/>
              <w:spacing w:before="60" w:after="20"/>
            </w:pPr>
            <w:r>
              <w:rPr>
                <w:b/>
              </w:rPr>
              <w:t xml:space="preserve">Do not infer: </w:t>
            </w:r>
            <w:r>
              <w:t xml:space="preserve">Very small overlapping subgroups, broad CIs, nonrandom historical comparisons; cannot conclude non-LT superiority or that LT is ineffective. Study-adapted UNOS/Milan rules and old ENETS 2012 definitions should not be relabelled as current guidance. A stable suspicious node is not proof of cleared extrahepatic disease. Some percentages/table entries are internally inconsistent; use counts and survival estimates rather than erroneous derived percentages. Source authors' strong anti-LT conclusion exceeds what this uncontrolled non-LT series can establish. Supplement access: No supplementary file cited.</w:t>
            </w:r>
          </w:p>
        </w:tc>
      </w:tr>
      <w:tr>
        <w:trPr/>
        <w:tc>
          <w:tcPr>
            <w:tcW w:w="3400" w:type="dxa"/>
            <w:tcMar>
              <w:top w:w="90" w:type="dxa"/>
              <w:left w:w="90" w:type="dxa"/>
              <w:bottom w:w="90" w:type="dxa"/>
              <w:right w:w="90" w:type="dxa"/>
            </w:tcMar>
          </w:tcPr>
          <w:p>
            <w:pPr>
              <w:pStyle w:val="Normal"/>
              <w:widowControl/>
              <w:spacing w:before="60" w:after="20"/>
            </w:pPr>
            <w:r>
              <w:rPr>
                <w:b/>
              </w:rPr>
              <w:t xml:space="preserve">Maspero 2022 · Milan long-term</w:t>
            </w:r>
            <w:r>
              <w:t xml:space="preserve"> </w:t>
            </w:r>
            <w:r>
              <w:t xml:space="preserve"> </w:t>
            </w:r>
            <w:r>
              <w:fldChar w:fldCharType="begin"/>
            </w:r>
            <w:r>
              <w:instrText xml:space="preserve"> ADDIN EN.CITE </w:instrText>
            </w:r>
            <w:r>
              <w:fldChar w:fldCharType="begin">
                <w:fldData>PEVuZE5vdGU+PENpdGU+PEF1dGhvcj5NYXNwZXJvPC9BdXRob3I+PFllYXI+MjAyMjwvWWVhcj48UmVjTnVtPjk8L1JlY051bT48RGlzcGxheVRleHQ+W1YxNi05XTwvRGlzcGxheVRleHQ+PHJlY29yZD48cmVjLW51bWJlcj45PC9yZWMtbnVtYmVyPjxmb3JlaWduLWtleXM+PGtleSBhcHA9IkVOIiBkYi1pZD0iNWFjOTU5NjUtOGViOS01ZjgzLThlNjYtN2NiZDRhNTYwMjliIiB0aW1lc3RhbXA9IjE3OTMyODM2ODYiPjk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p>
          <w:p>
            <w:pPr>
              <w:pStyle w:val="Normal"/>
              <w:widowControl/>
              <w:spacing w:before="60" w:after="20"/>
            </w:pPr>
            <w:r>
              <w:t xml:space="preserve">Single-centre retrospective analysis of consecutive prospective surgical series 1984–2019: 53 LT and 96 LR; 48 LT/56 LR met Milan criteria on preoperative staging. Criteria: portal-drained resected primary, G1/G2, &lt;50% burden, no extrahepatic disease, ≥6-month stability, age &lt;60 relative. Required ≥6 months postoperative follow-up. Resection versus LT chosen for technical feasibility; estimated &gt;3% perioperative mortality for complex regenerative resection was this centre's definition, not a validated universal threshold.</w:t>
            </w:r>
          </w:p>
          <w:p>
            <w:pPr>
              <w:pStyle w:val="Normal"/>
              <w:widowControl/>
              <w:spacing w:before="60" w:after="20"/>
            </w:pPr>
            <w:hyperlink r:id="rId39">
              <w:r>
                <w:rPr>
                  <w:color w:val="77230C"/>
                  <w:sz w:val="20"/>
                  <w:u w:val="single"/>
                </w:rPr>
                <w:t>Primary source</w:t>
              </w:r>
            </w:hyperlink>
            <w:r>
              <w:t xml:space="preserve"> | </w:t>
            </w:r>
            <w:hyperlink r:id="rId40">
              <w:r>
                <w:rPr>
                  <w:color w:val="77230C"/>
                  <w:sz w:val="20"/>
                  <w:u w:val="single"/>
                </w:rPr>
                <w:t>Full-text PDF</w:t>
              </w:r>
            </w:hyperlink>
          </w:p>
          <w:p>
            <w:pPr>
              <w:pStyle w:val="Normal"/>
              <w:widowControl/>
              <w:spacing w:before="60" w:after="20"/>
            </w:pPr>
            <w:r>
              <w:t xml:space="preserve">Locator: Methods/Milan definitions p 2599; outcomes p 2600; nodal analysis p 2601; Tables 2–3 p 2602; limitations pp 2605–2606.</w:t>
            </w:r>
          </w:p>
          <w:p>
            <w:pPr>
              <w:pStyle w:val="Normal"/>
              <w:widowControl/>
              <w:spacing w:before="60" w:after="20"/>
            </w:pPr>
            <w:r>
              <w:t xml:space="preserve">Review depth: Complete ten-page main paper read. All numerical results were taken from the labelled text/tables rather than estimating plotted curves.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OS/DFS from surgery, not listing or primary diagnosis. Median follow-up 158 months LT and 126 LR. Time primary resection-to-liver surgery 38.5 versus 6.5 months, introducing major test-of-time selection. Five-/ten-year OS 95.5%/93% LT versus 90%/75% LR; ten-year DFS 52% versus 18%. LT-associated univariate HR for OS 0.35 (0.16–0.78), not an adjusted causal effect. Recurrence 25/48 LT versus 42/56 LR; median time to recurrence among recurrence cases 78 versus 24 months, not median DFS for the entire group. LT recurrence range 13–204 months demonstrates very late risk. LT recurrence more often multisite (12/25 versus 5/42), nodal/bone; LR mostly involved liver (37/42 versus 2/25). Postrecurrence five-year survival 72% versus 69%. Nine deaths after LT: three NET-related and six other causes (three new solid cancers, sepsis, lymphoproliferative disease, cardiovascular event). Perioperative risk cannot be assessed reliably from a cohort requiring six-month follow-up. Despite preoperative Milan selection, postoperative Table 2 includes seven &gt;50% burden, two G3 and 16 hilar node-positive LT recipients. This is pathological upstaging/occult findings, not prospective validation of knowingly transplanting these categories. Hilar node positivity was associated with worse OS in a univariate LT analysis, HR 5.7 (1.3–24), P=0.004. DFS HR 2.6 (1.1–5.9) is printed with P=0.22, an internal inconsistency; do not silently correct to 0.022.</w:t>
            </w:r>
          </w:p>
          <w:p>
            <w:pPr>
              <w:pStyle w:val="Normal"/>
              <w:widowControl/>
              <w:spacing w:before="60" w:after="20"/>
            </w:pPr>
            <w:r>
              <w:rPr>
                <w:b/>
              </w:rPr>
              <w:t xml:space="preserve">Do not infer: </w:t>
            </w:r>
            <w:r>
              <w:t xml:space="preserve">Historical single-centre nonrandom selection, no ITT or wait-list dropout data, imbalanced ages/burden/timing; overlap with Milan 2016 and later multicentre series. At least six-month postoperative follow-up criterion risks under-representing early harms. Univariate analyses cannot establish independent risk-adjusted benefit. Only four excluded high-burden cases and one excluded G3 at preoperative selection; failure to find associations in tiny posthoc groups does not validate expanded eligibility. No LT patient &gt;60 was added in the age-expanded comparison (LT remained 48, LR increased to 89), so this is not direct evidence for LT above 60. Supplement access: No separate supplemental file cited; figures and all tables included.</w:t>
            </w:r>
          </w:p>
        </w:tc>
      </w:tr>
      <w:tr>
        <w:trPr/>
        <w:tc>
          <w:tcPr>
            <w:tcW w:w="3400" w:type="dxa"/>
            <w:tcMar>
              <w:top w:w="90" w:type="dxa"/>
              <w:left w:w="90" w:type="dxa"/>
              <w:bottom w:w="90" w:type="dxa"/>
              <w:right w:w="90" w:type="dxa"/>
            </w:tcMar>
          </w:tcPr>
          <w:p>
            <w:pPr>
              <w:pStyle w:val="Normal"/>
              <w:widowControl/>
              <w:spacing w:before="60" w:after="20"/>
            </w:pPr>
            <w:r>
              <w:rPr>
                <w:b/>
              </w:rPr>
              <w:t xml:space="preserve">Eshmuminov 2023 · LT versus resection</w:t>
            </w:r>
            <w:r>
              <w:t xml:space="preserve"> </w:t>
            </w:r>
            <w:r>
              <w:t xml:space="preserve"> </w:t>
            </w:r>
            <w:r>
              <w:fldChar w:fldCharType="begin"/>
            </w:r>
            <w:r>
              <w:instrText xml:space="preserve"> ADDIN EN.CITE </w:instrText>
            </w:r>
            <w:r>
              <w:fldChar w:fldCharType="begin">
                <w:fldData>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</w:fldData>
              </w:fldChar>
            </w:r>
            <w:r>
              <w:instrText xml:space="preserve"> ADDIN EN.CITE.DATA </w:instrText>
            </w:r>
            <w:r>
              <w:fldChar w:fldCharType="end"/>
            </w:r>
            <w:r>
              <w:fldChar w:fldCharType="separate"/>
            </w:r>
            <w:r>
              <w:t xml:space="preserve">[V16-7]</w:t>
            </w:r>
            <w:r>
              <w:fldChar w:fldCharType="end"/>
            </w:r>
          </w:p>
          <w:p>
            <w:pPr>
              <w:pStyle w:val="Normal"/>
              <w:widowControl/>
              <w:spacing w:before="60" w:after="20"/>
            </w:pPr>
            <w:r>
              <w:t xml:space="preserve">Retrospective 15-centre study 1988–2021, 455 surgically treated patients (225 LT, 230 LR). Centre-specific selection varied. Propensity matching on age, grade and primary location yielded 96 LT and 96 R0-resected LR patients, with persistent marked lesion-number imbalance. Prior systemic treatment details were unavailable. Twenty-seven percent of LT patients lacked grade; only 10 overall LT recipients had G3, without modern WD-G3 versus NEC discrimination.</w:t>
            </w:r>
          </w:p>
          <w:p>
            <w:pPr>
              <w:pStyle w:val="Normal"/>
              <w:widowControl/>
              <w:spacing w:before="60" w:after="20"/>
            </w:pPr>
            <w:hyperlink r:id="rId41">
              <w:r>
                <w:rPr>
                  <w:color w:val="77230C"/>
                  <w:sz w:val="20"/>
                  <w:u w:val="single"/>
                </w:rPr>
                <w:t>Primary source</w:t>
              </w:r>
            </w:hyperlink>
            <w:r>
              <w:t xml:space="preserve"> | </w:t>
            </w:r>
            <w:hyperlink r:id="rId42">
              <w:r>
                <w:rPr>
                  <w:color w:val="77230C"/>
                  <w:sz w:val="20"/>
                  <w:u w:val="single"/>
                </w:rPr>
                <w:t>Full-text PDF</w:t>
              </w:r>
            </w:hyperlink>
          </w:p>
          <w:p>
            <w:pPr>
              <w:pStyle w:val="Normal"/>
              <w:widowControl/>
              <w:spacing w:before="60" w:after="20"/>
            </w:pPr>
            <w:r>
              <w:t xml:space="preserve">Locator: Methods e1064; unmatched outcomes/Table 1 e1065; grading e1066; matched Results/Table 4 e1067 and Figure 3 e1068; limitations e1069.</w:t>
            </w:r>
          </w:p>
          <w:p>
            <w:pPr>
              <w:pStyle w:val="Normal"/>
              <w:widowControl/>
              <w:spacing w:before="60" w:after="20"/>
            </w:pPr>
            <w:r>
              <w:t xml:space="preserve">Review depth: All nine pages of the complete published main paper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OS/PFS start at operation, not diagnosis, eligibility or treatment assignment; median follow-up 97 months overall, 93 LT and 102 LR. No all-screened or wait-list comparison. Matched analysis n=192. Use main Results/Figure 3, not contradictory abstract: matched five-year OS 75% LT versus 68.3% LR; median OS 205 versus 120 months; HR 0.56 (95% CI 0.35–0.90), P=0.015. Matched five-year PFS 64.2% versus 14.2%; median 107 versus 18 months; HR 0.25 (0.16–0.39). Matched outside-Milan comparison HR 0.64 (0.31–1.33), P=0.24: uncertain benefit, not proof of no benefit. Matched within-Milan HR 0.18 (0.06–0.52). Among LT recipients, G2 versus G1 adjusted OS HR 2.52 (1.15–5.52); five-year OS 70.0% versus 92.9%. Median-derived Ki-67 split 5% is exploratory, not a validated new exclusion threshold. 90-day mortality 13/225 (5.8%) LT versus 3/230 (1.3%) LR overall; matched 7/96 (7.3%) versus 2/96 (2.1%).</w:t>
            </w:r>
          </w:p>
          <w:p>
            <w:pPr>
              <w:pStyle w:val="Normal"/>
              <w:widowControl/>
              <w:spacing w:before="60" w:after="20"/>
            </w:pPr>
            <w:r>
              <w:rPr>
                <w:b/>
              </w:rPr>
              <w:t xml:space="preserve">Do not infer: </w:t>
            </w:r>
            <w:r>
              <w:t xml:space="preserve">Abstract's matched five-year OS 73% versus 52.8%, median 197 versus 119 and HR 0.59 differ from the labelled main Results/Figure 3. Do not blend them. Retrospective selection, substantial missing grade/stage, broad historical era, residual confounding and surgery-time origin; cannot infer causal superiority over resection or modern nonoperative therapy for an individual. Main tables contain other transcription inconsistencies (e.g. grade count/percent, primary-site labels); use internally concordant main outcomes and state reporting limitations. Milan-centre patients overlap other Milan reports. G3 subset insufficient to support expansion. Post-LT mTOR discussion is extrapolative, not a comparative NET regimen trial. Supplement access: Supplementary Material 1, http://links.lww.com/SLA/E183, not included in this download.</w:t>
            </w:r>
          </w:p>
        </w:tc>
      </w:tr>
      <w:tr>
        <w:trPr/>
        <w:tc>
          <w:tcPr>
            <w:tcW w:w="3400" w:type="dxa"/>
            <w:tcMar>
              <w:top w:w="90" w:type="dxa"/>
              <w:left w:w="90" w:type="dxa"/>
              <w:bottom w:w="90" w:type="dxa"/>
              <w:right w:w="90" w:type="dxa"/>
            </w:tcMar>
          </w:tcPr>
          <w:p>
            <w:pPr>
              <w:pStyle w:val="Normal"/>
              <w:widowControl/>
              <w:spacing w:before="60" w:after="20"/>
            </w:pPr>
            <w:r>
              <w:rPr>
                <w:b/>
              </w:rPr>
              <w:t xml:space="preserve">Strosberg 2021 · NETTER-1 final OS</w:t>
            </w:r>
            <w:r>
              <w:t xml:space="preserve"> </w:t>
            </w:r>
            <w:r>
              <w:t xml:space="preserve"> </w:t>
            </w:r>
            <w:r>
              <w:fldChar w:fldCharType="begin"/>
            </w:r>
            <w:r>
              <w:instrText xml:space="preserve"> ADDIN EN.CITE </w:instrText>
            </w:r>
            <w:r>
              <w:fldChar w:fldCharType="begin">
                <w:fldData>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</w:fldData>
              </w:fldChar>
            </w:r>
            <w:r>
              <w:instrText xml:space="preserve"> ADDIN EN.CITE.DATA </w:instrText>
            </w:r>
            <w:r>
              <w:fldChar w:fldCharType="end"/>
            </w:r>
            <w:r>
              <w:fldChar w:fldCharType="separate"/>
            </w:r>
            <w:r>
              <w:t xml:space="preserve">[V16-20]</w:t>
            </w:r>
            <w:r>
              <w:fldChar w:fldCharType="end"/>
            </w:r>
          </w:p>
          <w:p>
            <w:pPr>
              <w:pStyle w:val="Normal"/>
              <w:widowControl/>
              <w:spacing w:before="60" w:after="20"/>
            </w:pPr>
            <w:r>
              <w:t xml:space="preserve">Open-label phase III trial, 231 randomised (117 Lu-177 DOTATATE plus octreotide/114 high-dose octreotide), 41 sites. Progressive advanced/inoperable SSTR-positive well-differentiated midgut NET, Ki-67 ≤20%, Karnofsky ≥60, progression on fixed-dose octreotide. No prior PRRT; marrow/renal/hepatic eligibility restrictions. Not a liver-only transplant population and not G3/NEC.</w:t>
            </w:r>
          </w:p>
          <w:p>
            <w:pPr>
              <w:pStyle w:val="Normal"/>
              <w:widowControl/>
              <w:spacing w:before="60" w:after="20"/>
            </w:pPr>
            <w:hyperlink r:id="rId43">
              <w:r>
                <w:rPr>
                  <w:color w:val="77230C"/>
                  <w:sz w:val="20"/>
                  <w:u w:val="single"/>
                </w:rPr>
                <w:t>Primary source</w:t>
              </w:r>
            </w:hyperlink>
            <w:r>
              <w:t xml:space="preserve"> | </w:t>
            </w:r>
            <w:hyperlink r:id="rId44">
              <w:r>
                <w:rPr>
                  <w:color w:val="77230C"/>
                  <w:sz w:val="20"/>
                  <w:u w:val="single"/>
                </w:rPr>
                <w:t>Full-text PDF</w:t>
              </w:r>
            </w:hyperlink>
          </w:p>
          <w:p>
            <w:pPr>
              <w:pStyle w:val="Normal"/>
              <w:widowControl/>
              <w:spacing w:before="60" w:after="20"/>
            </w:pPr>
            <w:r>
              <w:t xml:space="preserve">Locator: Eligibility pp 1754–1755; statistical methods/time zero pp 1755–1756; trial flow p 1756; OS/crossover p 1757; RMST and safety p 1759; limitations pp 1760–1761.</w:t>
            </w:r>
          </w:p>
          <w:p>
            <w:pPr>
              <w:pStyle w:val="Normal"/>
              <w:widowControl/>
              <w:spacing w:before="60" w:after="20"/>
            </w:pPr>
            <w:r>
              <w:t xml:space="preserve">Review depth: Complete 12-page corrected main article read; first page explicitly states corrected version appeared 31 January 2022.</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360 assessed, 231 randomised; separate dosimetry 22 not randomised. ITT OS from randomisation. Safety 223: 111 Lu-177, 112 control because one misallocated patient received control. Median follow-up 76.3/76.5 months; final analysis January 2021 at five years after final enrolment, 142 rather than planned 158 deaths. Final OS 48.0 versus 36.3 months; HR 0.84 (95% CI 0.60–1.17), P=0.30. Five-year OS 37.1% versus 35.4%. OS superiority not established; the observed 11.7-month median difference is not proven treatment-attributable life extension. Control crossover to any PRRT 41/114 (36%); model-adjusted HR 0.73 (0.40–1.34) remains uncertain. Proportional-hazards assumption failed (P=0.03); five-year RMST difference 5.1 months (95% CI −0.5 to 10.7). Prior PFS benefit was maintained as context: regulatory baseline reanalysis HR 0.18 (0.11–0.29), versus original publication HR 0.21; these are reanalyses of the same early cutoff, not independent studies. Two of 111 developed MDS, one treatment-related death. No AML reported. Grade ≥3 nephrotoxicity regardless of causality six of 111 versus four of 112; late renal comparison has small surviving evaluable groups. Long-term adverse-event collection was asymmetric: treatment-related serious/special-interest AEs principally collected in Lu-177 group, not all AEs in both arms. Do not infer equal comprehensive late toxicity.</w:t>
            </w:r>
          </w:p>
          <w:p>
            <w:pPr>
              <w:pStyle w:val="Normal"/>
              <w:widowControl/>
              <w:spacing w:before="60" w:after="20"/>
            </w:pPr>
            <w:r>
              <w:rPr>
                <w:b/>
              </w:rPr>
              <w:t xml:space="preserve">Do not infer: </w:t>
            </w:r>
            <w:r>
              <w:t xml:space="preserve">Crossover, subsequent treatments, 20% missing due to withdrawal/loss and nonproportional hazards complicate OS inference. Failure to show OS superiority is not proof of no clinical benefit: PFS/QOL findings from earlier reports support treatment in the studied setting. No evidence about LT eligibility after PRRT response, post-LT PRRT safety or liver-only cure; these require separate evidence. Supplement access: Separate online appendix and earlier trial protocol not included; corrected main article is complete.</w:t>
            </w:r>
          </w:p>
        </w:tc>
      </w:tr>
      <w:tr>
        <w:trPr/>
        <w:tc>
          <w:tcPr>
            <w:tcW w:w="3400" w:type="dxa"/>
            <w:tcMar>
              <w:top w:w="90" w:type="dxa"/>
              <w:left w:w="90" w:type="dxa"/>
              <w:bottom w:w="90" w:type="dxa"/>
              <w:right w:w="90" w:type="dxa"/>
            </w:tcMar>
          </w:tcPr>
          <w:p>
            <w:pPr>
              <w:pStyle w:val="Normal"/>
              <w:widowControl/>
              <w:spacing w:before="60" w:after="20"/>
            </w:pPr>
            <w:r>
              <w:rPr>
                <w:b/>
              </w:rPr>
              <w:t xml:space="preserve">Chen 2026 · PRRT after LT</w:t>
            </w:r>
            <w:r>
              <w:t xml:space="preserve"> </w:t>
            </w:r>
            <w:r>
              <w:t xml:space="preserve"> </w:t>
            </w:r>
            <w:r>
              <w:fldChar w:fldCharType="begin"/>
            </w:r>
            <w:r>
              <w:instrText xml:space="preserve"> ADDIN EN.CITE </w:instrText>
            </w:r>
            <w:r>
              <w:fldChar w:fldCharType="begin">
                <w:fldData>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</w:fldData>
              </w:fldChar>
            </w:r>
            <w:r>
              <w:instrText xml:space="preserve"> ADDIN EN.CITE.DATA </w:instrText>
            </w:r>
            <w:r>
              <w:fldChar w:fldCharType="end"/>
            </w:r>
            <w:r>
              <w:fldChar w:fldCharType="separate"/>
            </w:r>
            <w:r>
              <w:t xml:space="preserve">[V16-17]</w:t>
            </w:r>
            <w:r>
              <w:fldChar w:fldCharType="end"/>
            </w:r>
          </w:p>
          <w:p>
            <w:pPr>
              <w:pStyle w:val="Normal"/>
              <w:widowControl/>
              <w:spacing w:before="60" w:after="20"/>
            </w:pPr>
            <w:r>
              <w:t xml:space="preserve">Single-centre retrospective series. Of 859 liver transplants (November 2019–November 2024), 27 were for GEP-NET; all had &gt;50% hepatic tumour burden. The centre permitted resection of the primary during LT or within three months afterward, so its stated NET-Milan label is not Milan-concordant. Seven patients with post-LT recurrence received PRRT April 2023–June 2025: three pancreatic and four rectal primaries, all actual Ki-67 values 4–15% (G2), age 30–57, tumour replacement 55–95% (median 80%). Rectal level was not specified.</w:t>
            </w:r>
          </w:p>
          <w:p>
            <w:pPr>
              <w:pStyle w:val="Normal"/>
              <w:widowControl/>
              <w:spacing w:before="60" w:after="20"/>
            </w:pPr>
            <w:hyperlink r:id="rId45">
              <w:r>
                <w:rPr>
                  <w:color w:val="77230C"/>
                  <w:sz w:val="20"/>
                  <w:u w:val="single"/>
                </w:rPr>
                <w:t>Primary source</w:t>
              </w:r>
            </w:hyperlink>
            <w:r>
              <w:t xml:space="preserve"> | </w:t>
            </w:r>
            <w:hyperlink r:id="rId46">
              <w:r>
                <w:rPr>
                  <w:color w:val="77230C"/>
                  <w:sz w:val="20"/>
                  <w:u w:val="single"/>
                </w:rPr>
                <w:t>Full-text PDF</w:t>
              </w:r>
            </w:hyperlink>
          </w:p>
          <w:p>
            <w:pPr>
              <w:pStyle w:val="Normal"/>
              <w:widowControl/>
              <w:spacing w:before="60" w:after="20"/>
            </w:pPr>
            <w:r>
              <w:t xml:space="preserve">Locator: PDF pp 1–6; printed pp 526–531. Methods pp 527–528; Tables 1–2 pp 528–529; toxicity and limitations pp 529–530.</w:t>
            </w:r>
          </w:p>
          <w:p>
            <w:pPr>
              <w:pStyle w:val="Normal"/>
              <w:widowControl/>
              <w:spacing w:before="60" w:after="20"/>
            </w:pPr>
            <w:r>
              <w:t xml:space="preserve">Review depth: Complete six-page main article read, including all tables, methods, results, discussion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All 27 NET recipients: 15 recurrences by December 2025 and three deaths. The PRRT subset comprised seven selected patients; recurrence 3–9 months after LT and PRRT 6–42 months after LT. Response was assessed three months after completing PRRT; no cohort median follow-up, OS or PFS was reported. Seven PRRT recipients: one partial response, five stable disease, one progression; this is not an efficacy estimate suitable for counselling or comparison. All seven had nodal and bone disease, sometimes also graft, brain or renal involvement. One to four cycles, total 175–709 mCi. Two grade III, four grade II and one grade I myelosuppression were reported. One patient had persistent platelets &lt;10 ×10^9/L after a single 175 mCi cycle despite supportive treatment and never resumed PRRT; the severe platelet count and reported grade III label are discordant. Four patients had low-grade proteinuria. No acute rejection or severe hepatic/renal toxicity was observed in this selected, incompletely timed short follow-up; absence of observed events does not establish safety.</w:t>
            </w:r>
          </w:p>
          <w:p>
            <w:pPr>
              <w:pStyle w:val="Normal"/>
              <w:widowControl/>
              <w:spacing w:before="60" w:after="20"/>
            </w:pPr>
            <w:r>
              <w:rPr>
                <w:b/>
              </w:rPr>
              <w:t xml:space="preserve">Do not infer: </w:t>
            </w:r>
            <w:r>
              <w:t xml:space="preserve">Very small, uncontrolled, survivor-selected salvage series; no comparative OS, PFS or quality-of-life data. Extremely high pre-LT burden and primary surgery around/after LT preclude inference to guideline-concordant candidates. Table 1 is wrongly captioned as three aGVHD patients and donors despite presenting seven NET cases. Several citations do not support the linked PRRT/mTOR or toxicity claims. The stated rituximab induction should not be copied into an institutional regimen without independent verification. The platelet toxicity grading is internally discordant; do not relabel it definitively without individual data. Supplement access: No separate supplementary file was cited or supplied.</w:t>
            </w:r>
          </w:p>
        </w:tc>
      </w:tr>
      <w:tr>
        <w:trPr/>
        <w:tc>
          <w:tcPr>
            <w:tcW w:w="3400" w:type="dxa"/>
            <w:tcMar>
              <w:top w:w="90" w:type="dxa"/>
              <w:left w:w="90" w:type="dxa"/>
              <w:bottom w:w="90" w:type="dxa"/>
              <w:right w:w="90" w:type="dxa"/>
            </w:tcMar>
          </w:tcPr>
          <w:p>
            <w:pPr>
              <w:pStyle w:val="Normal"/>
              <w:widowControl/>
              <w:spacing w:before="60" w:after="20"/>
            </w:pPr>
            <w:r>
              <w:rPr>
                <w:b/>
              </w:rPr>
              <w:t xml:space="preserve">Frilling 2014</w:t>
            </w:r>
            <w:r>
              <w:t xml:space="preserve"> </w:t>
            </w:r>
            <w:r>
              <w:t xml:space="preserve"> </w:t>
            </w:r>
            <w:r>
              <w:fldChar w:fldCharType="begin"/>
            </w:r>
            <w:r>
              <w:instrText xml:space="preserve"> ADDIN EN.CITE </w:instrText>
            </w:r>
            <w:r>
              <w:fldChar w:fldCharType="begin">
                <w:fldData>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</w:fldData>
              </w:fldChar>
            </w:r>
            <w:r>
              <w:instrText xml:space="preserve"> ADDIN EN.CITE.DATA </w:instrText>
            </w:r>
            <w:r>
              <w:fldChar w:fldCharType="end"/>
            </w:r>
            <w:r>
              <w:fldChar w:fldCharType="separate"/>
            </w:r>
            <w:r>
              <w:t xml:space="preserve">[V16-12]</w:t>
            </w:r>
            <w:r>
              <w:fldChar w:fldCharType="end"/>
            </w:r>
          </w:p>
          <w:p>
            <w:pPr>
              <w:pStyle w:val="Normal"/>
              <w:widowControl/>
              <w:spacing w:before="60" w:after="20"/>
            </w:pPr>
            <w:r>
              <w:t xml:space="preserve">2012 London multidisciplinary consensus with systematic searches through October 2012, published 2014; not a new LT cohort.</w:t>
            </w:r>
          </w:p>
          <w:p>
            <w:pPr>
              <w:pStyle w:val="Normal"/>
              <w:widowControl/>
              <w:spacing w:before="60" w:after="20"/>
            </w:pPr>
            <w:hyperlink r:id="rId47">
              <w:r>
                <w:rPr>
                  <w:color w:val="77230C"/>
                  <w:sz w:val="20"/>
                  <w:u w:val="single"/>
                </w:rPr>
                <w:t>Primary source</w:t>
              </w:r>
            </w:hyperlink>
            <w:r>
              <w:t xml:space="preserve"> | </w:t>
            </w:r>
            <w:hyperlink r:id="rId48">
              <w:r>
                <w:rPr>
                  <w:color w:val="77230C"/>
                  <w:sz w:val="20"/>
                  <w:u w:val="single"/>
                </w:rPr>
                <w:t>Full-text PDF</w:t>
              </w:r>
            </w:hyperlink>
          </w:p>
          <w:p>
            <w:pPr>
              <w:pStyle w:val="Normal"/>
              <w:widowControl/>
              <w:spacing w:before="60" w:after="20"/>
            </w:pPr>
            <w:r>
              <w:t xml:space="preserve">Locator: PDF pp 1–3 recommendations; pp 5–7 diagnosis/resection; p 8 (printed e15) LT section; pp 10–11 research priorities/search limitations.</w:t>
            </w:r>
          </w:p>
          <w:p>
            <w:pPr>
              <w:pStyle w:val="Normal"/>
              <w:widowControl/>
              <w:spacing w:before="60" w:after="20"/>
            </w:pPr>
            <w:r>
              <w:t xml:space="preserve">Review depth: Complete 14-page main consensus review read, including panels, figures, methods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LT recommendations rest on low-quality observational evidence. The paper explicitly says proposed NET selection criteria were not prospectively validated; downstaging had not been assessed.; Historical LT section lists poor differentiation, non-portal primary, extrahepatic disease except perihilar nodes, and severe carcinoid heart disease among exclusions. The wording varies between panel and narrative and must not overrule modern NLRB node clearance and observation requirements.; Carcinoid cardiac contraindication refers to severe disease, not every echocardiographic abnormality. It does not establish mandatory valve replacement for all CHD.; Molecular/anatomic staging and representative pathology are useful principles, but therapeutic discussion predates CLARINET, NETTER-1, CABINET and modern WD G3/NEC differentiation.</w:t>
            </w:r>
          </w:p>
          <w:p>
            <w:pPr>
              <w:pStyle w:val="Normal"/>
              <w:widowControl/>
              <w:spacing w:before="60" w:after="20"/>
            </w:pPr>
            <w:r>
              <w:rPr>
                <w:b/>
              </w:rPr>
              <w:t xml:space="preserve">Do not infer: </w:t>
            </w:r>
            <w:r>
              <w:t xml:space="preserve">Consensus/low-certainty evidence; older grading, imaging and systemic-treatment context. No new comparative LT outcomes.; Absence of unresectable extrahepatic disease in older wording is not permission for known active nodes in a current standard pathway.; Generic liver-resection FLR language is not a validated LT benefit criterion.</w:t>
            </w:r>
          </w:p>
        </w:tc>
      </w:tr>
      <w:tr>
        <w:trPr/>
        <w:tc>
          <w:tcPr>
            <w:tcW w:w="3400" w:type="dxa"/>
            <w:tcMar>
              <w:top w:w="90" w:type="dxa"/>
              <w:left w:w="90" w:type="dxa"/>
              <w:bottom w:w="90" w:type="dxa"/>
              <w:right w:w="90" w:type="dxa"/>
            </w:tcMar>
          </w:tcPr>
          <w:p>
            <w:pPr>
              <w:pStyle w:val="Normal"/>
              <w:widowControl/>
              <w:spacing w:before="60" w:after="20"/>
            </w:pPr>
            <w:r>
              <w:rPr>
                <w:b/>
              </w:rPr>
              <w:t xml:space="preserve">Gorji 2024</w:t>
            </w:r>
            <w:r>
              <w:t xml:space="preserve"> </w:t>
            </w:r>
            <w:r>
              <w:t xml:space="preserve"> </w:t>
            </w:r>
            <w:r>
              <w:fldChar w:fldCharType="begin"/>
            </w:r>
            <w:r>
              <w:instrText xml:space="preserve"> ADDIN EN.CITE </w:instrText>
            </w:r>
            <w:r>
              <w:fldChar w:fldCharType="begin">
                <w:fldData>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</w:fldData>
              </w:fldChar>
            </w:r>
            <w:r>
              <w:instrText xml:space="preserve"> ADDIN EN.CITE.DATA </w:instrText>
            </w:r>
            <w:r>
              <w:fldChar w:fldCharType="end"/>
            </w:r>
            <w:r>
              <w:fldChar w:fldCharType="separate"/>
            </w:r>
            <w:r>
              <w:t xml:space="preserve">[V16-5]</w:t>
            </w:r>
            <w:r>
              <w:fldChar w:fldCharType="end"/>
            </w:r>
          </w:p>
          <w:p>
            <w:pPr>
              <w:pStyle w:val="Normal"/>
              <w:widowControl/>
              <w:spacing w:before="60" w:after="20"/>
            </w:pPr>
            <w:r>
              <w:t xml:space="preserve">Narrative review; no new patient cohort or meta-analysis.</w:t>
            </w:r>
          </w:p>
          <w:p>
            <w:pPr>
              <w:pStyle w:val="Normal"/>
              <w:widowControl/>
              <w:spacing w:before="60" w:after="20"/>
            </w:pPr>
            <w:hyperlink r:id="rId49">
              <w:r>
                <w:rPr>
                  <w:color w:val="77230C"/>
                  <w:sz w:val="20"/>
                  <w:u w:val="single"/>
                </w:rPr>
                <w:t>Primary source</w:t>
              </w:r>
            </w:hyperlink>
            <w:r>
              <w:t xml:space="preserve"> | </w:t>
            </w:r>
            <w:hyperlink r:id="rId50">
              <w:r>
                <w:rPr>
                  <w:color w:val="77230C"/>
                  <w:sz w:val="20"/>
                  <w:u w:val="single"/>
                </w:rPr>
                <w:t>Full-text PDF</w:t>
              </w:r>
            </w:hyperlink>
          </w:p>
          <w:p>
            <w:pPr>
              <w:pStyle w:val="Normal"/>
              <w:widowControl/>
              <w:spacing w:before="60" w:after="20"/>
            </w:pPr>
            <w:r>
              <w:t xml:space="preserve">Locator: pp 213–216 Tables 2–3, Figure 2, CRLM/NET and allocation sections; references pp 217–218.</w:t>
            </w:r>
          </w:p>
          <w:p>
            <w:pPr>
              <w:pStyle w:val="Normal"/>
              <w:widowControl/>
              <w:spacing w:before="60" w:after="20"/>
            </w:pPr>
            <w:r>
              <w:t xml:space="preserve">Review depth: Complete eight-page narrative review read, including tables, figures/captions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Useful historical synthesis, not a substitute for current allocation guidance or primary trial denominators.; Table 2 p 213 distinguishes Milan NET age &lt;60 (relative), &lt;50% burden and &gt;6-month stability from other guidance; Figure 2 p 215 imports older risk flags (Ki-67 &gt;10%, observation &lt;12 months), which are not proven universal gates.; CRLM p 214 uses IHPBA BRAF V600E and historical CEA/PET language; these are not interchangeable with current NLRB all-BRAF and CEA rules.</w:t>
            </w:r>
          </w:p>
          <w:p>
            <w:pPr>
              <w:pStyle w:val="Normal"/>
              <w:widowControl/>
              <w:spacing w:before="60" w:after="20"/>
            </w:pPr>
            <w:r>
              <w:rPr>
                <w:b/>
              </w:rPr>
              <w:t xml:space="preserve">Do not infer: </w:t>
            </w:r>
            <w:r>
              <w:t xml:space="preserve">The paper says no iCCA/CRLM MELD exceptions and uses older allocation sources: outdated for 2026.; NET ELTR sentence p 216 reverses pre-/post-2000 five-year OS (46% versus 59%); primary ELTR shows better post-2000 outcome.; SECA-II DFS labels p 215 use 1/3/5 years although the primary paper reports 1/2/3 years for 53/44/35%.; Do not count review citations as independent outcome data or adopt Figure 2 Ki-67/observation cutoffs over current evidence.</w:t>
            </w:r>
          </w:p>
        </w:tc>
      </w:tr>
      <w:tr>
        <w:trPr/>
        <w:tc>
          <w:tcPr>
            <w:tcW w:w="3400" w:type="dxa"/>
            <w:tcMar>
              <w:top w:w="90" w:type="dxa"/>
              <w:left w:w="90" w:type="dxa"/>
              <w:bottom w:w="90" w:type="dxa"/>
              <w:right w:w="90" w:type="dxa"/>
            </w:tcMar>
          </w:tcPr>
          <w:p>
            <w:pPr>
              <w:pStyle w:val="Normal"/>
              <w:widowControl/>
              <w:spacing w:before="60" w:after="20"/>
            </w:pPr>
            <w:r>
              <w:rPr>
                <w:b/>
              </w:rPr>
              <w:t xml:space="preserve">NCCN Neuroendocrine and Adrenal Tumors v1.2026</w:t>
            </w:r>
            <w:r>
              <w:t xml:space="preserve"> </w:t>
            </w:r>
            <w:r>
              <w:t xml:space="preserve"> </w:t>
            </w:r>
            <w:r>
              <w:fldChar w:fldCharType="begin"/>
            </w:r>
            <w:r>
              <w:instrText xml:space="preserve"> ADDIN EN.CITE </w:instrText>
            </w:r>
            <w:r>
              <w:fldChar w:fldCharType="begin">
                <w:fldData>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</w:fldData>
              </w:fldChar>
            </w:r>
            <w:r>
              <w:instrText xml:space="preserve"> ADDIN EN.CITE.DATA </w:instrText>
            </w:r>
            <w:r>
              <w:fldChar w:fldCharType="end"/>
            </w:r>
            <w:r>
              <w:fldChar w:fldCharType="separate"/>
            </w:r>
            <w:r>
              <w:t xml:space="preserve">[V16-3]</w:t>
            </w:r>
            <w:r>
              <w:fldChar w:fldCharType="end"/>
            </w:r>
          </w:p>
          <w:p>
            <w:pPr>
              <w:pStyle w:val="Normal"/>
              <w:widowControl/>
              <w:spacing w:before="60" w:after="20"/>
            </w:pPr>
            <w:r>
              <w:t xml:space="preserve">NCCN clinical practice guideline, verified local 2026 edition; relevant complete sections reviewed, not a patient cohort.</w:t>
            </w:r>
          </w:p>
          <w:p>
            <w:pPr>
              <w:pStyle w:val="Normal"/>
              <w:widowControl/>
              <w:spacing w:before="60" w:after="20"/>
            </w:pPr>
            <w:r>
              <w:t xml:space="preserve">Selection: Clinical guidance and allocation criteria are separate; no new independent transplant outcomes.</w:t>
            </w:r>
          </w:p>
          <w:p>
            <w:pPr>
              <w:pStyle w:val="Normal"/>
              <w:widowControl/>
              <w:spacing w:before="60" w:after="20"/>
            </w:pPr>
            <w:hyperlink r:id="rId51">
              <w:r>
                <w:rPr>
                  <w:color w:val="77230C"/>
                  <w:sz w:val="20"/>
                  <w:u w:val="single"/>
                </w:rPr>
                <w:t>Primary source</w:t>
              </w:r>
            </w:hyperlink>
            <w:r>
              <w:t xml:space="preserve"> | </w:t>
            </w:r>
            <w:hyperlink r:id="rId52">
              <w:r>
                <w:rPr>
                  <w:color w:val="77230C"/>
                  <w:sz w:val="20"/>
                  <w:u w:val="single"/>
                </w:rPr>
                <w:t>Full-text PDF</w:t>
              </w:r>
            </w:hyperlink>
          </w:p>
          <w:p>
            <w:pPr>
              <w:pStyle w:val="Normal"/>
              <w:widowControl/>
              <w:spacing w:before="60" w:after="20"/>
            </w:pPr>
            <w:r>
              <w:t xml:space="preserve">Locator: MS-34, PDF 178; NET-8 PDF 26; PanNET-11 PDF 43; MS-12 PDF 156; NE-B2 PDF 73; NE-B1 PDF 72; MS-13 PDF 157; NE-B2 PDF 73; NE-D2 PDF 85; NE-K2 PDF 123; MS-13 PDF 157; NE-D2 PDF 85; NE-K1 PDF 122; change log PDF 11 and 16; NET-9 PDF 27; update log PDF 5; MS-12/13 PDF 156–157</w:t>
            </w:r>
          </w:p>
          <w:p>
            <w:pPr>
              <w:pStyle w:val="Normal"/>
              <w:widowControl/>
              <w:spacing w:before="60" w:after="20"/>
            </w:pPr>
            <w:r>
              <w:t xml:space="preserve">Review depth: Relevant entire sections read in local complete PDF. Cover and LT page visually inspected. Not a whole-237-page review; no claim this is the latest edition available anywhere.</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NCCN retains the discussion position categorizing LT for liver-limited well-differentiated G1/G2 GI/pancreatic NET metastases as investigational and not routine care. Visual inspection shows a watermark indicating that discussion updating is in progress. Identify this as a retained discussion statement, not newly revised 2026 transplant evidence. Keep it explicit beside selective NLRB exception eligibility and centre selection criteria; allocation eligibility is not unanimous clinical endorsement. Routine SSTR-based or FDG PET is not recommended for postresection surveillance. Long-term anatomic surveillance is supported, but these are non-LT schedules and do not establish a validated post-LT calendar. Use multiphasic anatomic imaging alongside SSTR PET to detect receptor-negative as well as receptor-positive disease; FDG PET remains selective for G2/higher or concerning biology. The 2026 page adds consistency of modality/contrast for follow-up and modified Krenning scoring. A high-uptake lesion score does not eliminate discordant SSTR-negative lesions. Cardiac evaluation includes valves and right-heart function with specialist review. Prehepatic-surgery valve replacement language concerns significant CHD, while hormone-control guidance indicates replacement for symptomatic disease. This does not require valve replacement for every mild/asymptomatic CHD abnormality. The 2026 revision states that prophylactic octreotide is probably ineffective for preventing intraoperative crisis and that its administration should not delay vasopressor/fluid treatment. NE-K1 also allows selective prophylactic use while questioning routine use, so do not recast this as an absolute prohibition. For ileal/jejunal/cecal NETs, obtain 5-HIAA in symptomatic patients and consider it in asymptomatic metastatic disease. This is more specific than symptom-only testing, but still does not validate a universal broad marker panel or biochemical clearance as a transplant gate.</w:t>
            </w:r>
          </w:p>
          <w:p>
            <w:pPr>
              <w:pStyle w:val="Normal"/>
              <w:widowControl/>
              <w:spacing w:before="60" w:after="20"/>
            </w:pPr>
            <w:r>
              <w:rPr>
                <w:b/>
              </w:rPr>
              <w:t xml:space="preserve">Do not infer: </w:t>
            </w:r>
            <w:r>
              <w:t xml:space="preserve">Targeted relevant-section review, not a whole-guideline audit. Version verified from the PDF; no claim that no newer portal version exists. NET discussion retains an update-in-progress notice. Time origin: Not an outcomes cohort.</w:t>
            </w:r>
          </w:p>
        </w:tc>
      </w:tr>
      <w:tr>
        <w:trPr/>
        <w:tc>
          <w:tcPr>
            <w:tcW w:w="3400" w:type="dxa"/>
            <w:tcMar>
              <w:top w:w="90" w:type="dxa"/>
              <w:left w:w="90" w:type="dxa"/>
              <w:bottom w:w="90" w:type="dxa"/>
              <w:right w:w="90" w:type="dxa"/>
            </w:tcMar>
          </w:tcPr>
          <w:p>
            <w:pPr>
              <w:pStyle w:val="Normal"/>
              <w:widowControl/>
              <w:spacing w:before="60" w:after="20"/>
            </w:pPr>
            <w:r>
              <w:rPr>
                <w:b/>
              </w:rPr>
              <w:t xml:space="preserve">Te 2025</w:t>
            </w:r>
            <w:r>
              <w:t xml:space="preserve"> </w:t>
            </w:r>
            <w:r>
              <w:t xml:space="preserve"> </w:t>
            </w:r>
            <w:r>
              <w:fldChar w:fldCharType="begin"/>
            </w:r>
            <w:r>
              <w:instrText xml:space="preserve"> ADDIN EN.CITE </w:instrText>
            </w:r>
            <w:r>
              <w:fldChar w:fldCharType="begin">
                <w:fldData>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</w:fldData>
              </w:fldChar>
            </w:r>
            <w:r>
              <w:instrText xml:space="preserve"> ADDIN EN.CITE.DATA </w:instrText>
            </w:r>
            <w:r>
              <w:fldChar w:fldCharType="end"/>
            </w:r>
            <w:r>
              <w:fldChar w:fldCharType="separate"/>
            </w:r>
            <w:r>
              <w:t xml:space="preserve">[V16-13]</w:t>
            </w:r>
            <w:r>
              <w:fldChar w:fldCharType="end"/>
            </w:r>
          </w:p>
          <w:p>
            <w:pPr>
              <w:pStyle w:val="Normal"/>
              <w:widowControl/>
              <w:spacing w:before="60" w:after="20"/>
            </w:pPr>
            <w:r>
              <w:t xml:space="preserve">AASLD/AST clinical practice guideline, published online 2025 / volume 2026; systematic search updated through 12 September 2024.</w:t>
            </w:r>
          </w:p>
          <w:p>
            <w:pPr>
              <w:pStyle w:val="Normal"/>
              <w:widowControl/>
              <w:spacing w:before="60" w:after="20"/>
            </w:pPr>
            <w:hyperlink r:id="rId53">
              <w:r>
                <w:rPr>
                  <w:color w:val="77230C"/>
                  <w:sz w:val="20"/>
                  <w:u w:val="single"/>
                </w:rPr>
                <w:t>Primary source</w:t>
              </w:r>
            </w:hyperlink>
            <w:r>
              <w:t xml:space="preserve"> | </w:t>
            </w:r>
            <w:hyperlink r:id="rId54">
              <w:r>
                <w:rPr>
                  <w:color w:val="77230C"/>
                  <w:sz w:val="20"/>
                  <w:u w:val="single"/>
                </w:rPr>
                <w:t>Full-text PDF</w:t>
              </w:r>
            </w:hyperlink>
          </w:p>
          <w:p>
            <w:pPr>
              <w:pStyle w:val="Normal"/>
              <w:widowControl/>
              <w:spacing w:before="60" w:after="20"/>
            </w:pPr>
            <w:r>
              <w:t xml:space="preserve">Locator: PDF pp 13–18, statements 25–33 and Tables 3–5; pp 19–21 statements 34–40/Table 6; printed 456–464.</w:t>
            </w:r>
          </w:p>
          <w:p>
            <w:pPr>
              <w:pStyle w:val="Normal"/>
              <w:widowControl/>
              <w:spacing w:before="60" w:after="20"/>
            </w:pPr>
            <w:r>
              <w:t xml:space="preserve">Review depth: Targeted full-section review of 47-page guideline: PDF pp 1–2 (scope/methods) and pp 12–21 (printed 455–464; immunosuppression, minimization and rejection statements/tables). Other graft/recurrent-disease chapters were not fully reviewed.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Statement 25: basiliximab may permit delayed CNI initiation for renal recovery (Weak, Level 2); statement 26 advises against ATG induction (Strong, Level 2). These are general LT recommendations, not NET/CRLM-specific anticancer induction.; Statements 28–31 support individualized tacrolimus-based therapy, selective combination/CNI minimization and caution against routine steroid-free therapy. Table 4 explicitly notes dose/trough targets vary with transplant-professional judgment.; Statement 32 only suggests mTOR use for HCC WITHIN Milan to improve RFS up to three years (Weak, Level 3). It does not establish NET/CRLM recurrence reduction or a general preferred oncologic regimen.; Statement 33 supports early mTOR consideration for CKD, a renal indication. Statement 36 does not recommend routine complete immunosuppression withdrawal.; Search excluded conference abstracts and unpublished reports from the systematic evidence review; this provides a better current general-immunosuppression source than an unretrieved older review.</w:t>
            </w:r>
          </w:p>
          <w:p>
            <w:pPr>
              <w:pStyle w:val="Normal"/>
              <w:widowControl/>
              <w:spacing w:before="60" w:after="20"/>
            </w:pPr>
            <w:r>
              <w:rPr>
                <w:b/>
              </w:rPr>
              <w:t xml:space="preserve">Do not infer: </w:t>
            </w:r>
            <w:r>
              <w:t xml:space="preserve">Most immunosuppression and cancer evidence is indication-specific; do not extrapolate HCC benefit causally to NET/CRLM.; Not a 2026 literature search: substantive search update ended September 2024.; Dosing examples are not local standing orders. Supplementary methods/flowchart referenced at links.lww.com/LVT/B9 were not reviewed.</w:t>
            </w:r>
          </w:p>
        </w:tc>
      </w:tr>
      <w:tr>
        <w:trPr/>
        <w:tc>
          <w:tcPr>
            <w:tcW w:w="3400" w:type="dxa"/>
            <w:tcMar>
              <w:top w:w="90" w:type="dxa"/>
              <w:left w:w="90" w:type="dxa"/>
              <w:bottom w:w="90" w:type="dxa"/>
              <w:right w:w="90" w:type="dxa"/>
            </w:tcMar>
          </w:tcPr>
          <w:p>
            <w:pPr>
              <w:pStyle w:val="Normal"/>
              <w:widowControl/>
              <w:spacing w:before="60" w:after="20"/>
            </w:pPr>
            <w:r>
              <w:rPr>
                <w:b/>
              </w:rPr>
              <w:t xml:space="preserve">Kasai 2024</w:t>
            </w:r>
            <w:r>
              <w:t xml:space="preserve"> </w:t>
            </w:r>
            <w:r>
              <w:t xml:space="preserve"> </w:t>
            </w:r>
            <w:r>
              <w:fldChar w:fldCharType="begin"/>
            </w:r>
            <w:r>
              <w:instrText xml:space="preserve"> ADDIN EN.CITE </w:instrText>
            </w:r>
            <w:r>
              <w:fldChar w:fldCharType="begin">
                <w:fldData>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</w:fldData>
              </w:fldChar>
            </w:r>
            <w:r>
              <w:instrText xml:space="preserve"> ADDIN EN.CITE.DATA </w:instrText>
            </w:r>
            <w:r>
              <w:fldChar w:fldCharType="end"/>
            </w:r>
            <w:r>
              <w:fldChar w:fldCharType="separate"/>
            </w:r>
            <w:r>
              <w:t xml:space="preserve">[V16-6]</w:t>
            </w:r>
            <w:r>
              <w:fldChar w:fldCharType="end"/>
            </w:r>
          </w:p>
          <w:p>
            <w:pPr>
              <w:pStyle w:val="Normal"/>
              <w:widowControl/>
              <w:spacing w:before="60" w:after="20"/>
            </w:pPr>
            <w:r>
              <w:t xml:space="preserve">Narrative review with descriptive JLTS LDLT registry data; 16 NET recipients, 14 transplanted in/before 2007, none after 2012.</w:t>
            </w:r>
          </w:p>
          <w:p>
            <w:pPr>
              <w:pStyle w:val="Normal"/>
              <w:widowControl/>
              <w:spacing w:before="60" w:after="20"/>
            </w:pPr>
            <w:hyperlink r:id="rId55">
              <w:r>
                <w:rPr>
                  <w:color w:val="77230C"/>
                  <w:sz w:val="20"/>
                  <w:u w:val="single"/>
                </w:rPr>
                <w:t>Primary source</w:t>
              </w:r>
            </w:hyperlink>
            <w:r>
              <w:t xml:space="preserve"> | </w:t>
            </w:r>
            <w:hyperlink r:id="rId56">
              <w:r>
                <w:rPr>
                  <w:color w:val="77230C"/>
                  <w:sz w:val="20"/>
                  <w:u w:val="single"/>
                </w:rPr>
                <w:t>Full-text PDF</w:t>
              </w:r>
            </w:hyperlink>
          </w:p>
          <w:p>
            <w:pPr>
              <w:pStyle w:val="Normal"/>
              <w:widowControl/>
              <w:spacing w:before="60" w:after="20"/>
            </w:pPr>
            <w:r>
              <w:t xml:space="preserve">Locator: Registry pp 2–4 and Table 2 p 4; selection pp 5–6; immunosuppression/recurrence p 7.</w:t>
            </w:r>
          </w:p>
          <w:p>
            <w:pPr>
              <w:pStyle w:val="Normal"/>
              <w:widowControl/>
              <w:spacing w:before="60" w:after="20"/>
            </w:pPr>
            <w:r>
              <w:t xml:space="preserve">Review depth: Complete nine-page review plus original 16-patient Japanese registry summary read.</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Registry median age 30.5; 12 pancreatic, three rectal, one gastric primary; four of 16 died within 90 days; median OS 58.4 months, five-year OS 50%. Causes of intermediate/late deaths are hypothesized because detailed recurrence/course data were unavailable.; Uses historical 2007 Milan age ≤55 and burden ≤50%; contemporary comparative studies use different labelled versions. The review recognizes age as relative, not an absolute cutoff.; Primary-versus-metastatic grade discordance supports representative rebiopsy when clinically discordant, not mandatory biopsy of every lesion.; p 7 explicitly states no study has established everolimus recurrence-prevention after NET LT and distinguishes oncologic dose from transplant dose.</w:t>
            </w:r>
          </w:p>
          <w:p>
            <w:pPr>
              <w:pStyle w:val="Normal"/>
              <w:widowControl/>
              <w:spacing w:before="60" w:after="20"/>
            </w:pPr>
            <w:r>
              <w:rPr>
                <w:b/>
              </w:rPr>
              <w:t xml:space="preserve">Do not infer: </w:t>
            </w:r>
            <w:r>
              <w:t xml:space="preserve">Historical Japanese series does not prove current LDLT safety or superiority; do not use four early deaths as a present-day expected rate.; Proposed bridging algorithm and 'plan LT while controlled by PRRT' are expert suggestions, not randomized LT timing evidence.; Review-wide claimed improvement in modern Japanese outcomes is anticipated, not observed in the 16 cases.; Known active extrahepatic disease and G3 remain different from occult upstaging in retrospective comparator studies.</w:t>
            </w:r>
          </w:p>
        </w:tc>
      </w:tr>
      <w:tr>
        <w:trPr/>
        <w:tc>
          <w:tcPr>
            <w:tcW w:w="3400" w:type="dxa"/>
            <w:tcMar>
              <w:top w:w="90" w:type="dxa"/>
              <w:left w:w="90" w:type="dxa"/>
              <w:bottom w:w="90" w:type="dxa"/>
              <w:right w:w="90" w:type="dxa"/>
            </w:tcMar>
          </w:tcPr>
          <w:p>
            <w:pPr>
              <w:pStyle w:val="Normal"/>
              <w:widowControl/>
              <w:spacing w:before="60" w:after="20"/>
            </w:pPr>
            <w:r>
              <w:rPr>
                <w:b/>
              </w:rPr>
              <w:t xml:space="preserve">Sposito 2021</w:t>
            </w:r>
            <w:r>
              <w:t xml:space="preserve"> </w:t>
            </w:r>
            <w:r>
              <w:t xml:space="preserve"> </w:t>
            </w:r>
            <w:r>
              <w:fldChar w:fldCharType="begin"/>
            </w:r>
            <w:r>
              <w:instrText xml:space="preserve"> ADDIN EN.CITE </w:instrText>
            </w:r>
            <w:r>
              <w:fldChar w:fldCharType="begin">
                <w:fldData>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</w:fldData>
              </w:fldChar>
            </w:r>
            <w:r>
              <w:instrText xml:space="preserve"> ADDIN EN.CITE.DATA </w:instrText>
            </w:r>
            <w:r>
              <w:fldChar w:fldCharType="end"/>
            </w:r>
            <w:r>
              <w:fldChar w:fldCharType="separate"/>
            </w:r>
            <w:r>
              <w:t xml:space="preserve">[V16-18]</w:t>
            </w:r>
            <w:r>
              <w:fldChar w:fldCharType="end"/>
            </w:r>
          </w:p>
          <w:p>
            <w:pPr>
              <w:pStyle w:val="Normal"/>
              <w:widowControl/>
              <w:spacing w:before="60" w:after="20"/>
            </w:pPr>
            <w:r>
              <w:t xml:space="preserve">Single-centre retrospective analysis of post-LT NET recurrence among prospectively followed recipients: 53 total LT recipients, 32 recurrent cases meeting ≥6 months of postrecurrence follow-up, 2004–2018.</w:t>
            </w:r>
          </w:p>
          <w:p>
            <w:pPr>
              <w:pStyle w:val="Normal"/>
              <w:widowControl/>
              <w:spacing w:before="60" w:after="20"/>
            </w:pPr>
            <w:hyperlink r:id="rId57">
              <w:r>
                <w:rPr>
                  <w:color w:val="77230C"/>
                  <w:sz w:val="20"/>
                  <w:u w:val="single"/>
                </w:rPr>
                <w:t>Primary source</w:t>
              </w:r>
            </w:hyperlink>
            <w:r>
              <w:t xml:space="preserve"> | </w:t>
            </w:r>
            <w:hyperlink r:id="rId58">
              <w:r>
                <w:rPr>
                  <w:color w:val="77230C"/>
                  <w:sz w:val="20"/>
                  <w:u w:val="single"/>
                </w:rPr>
                <w:t>Full-text PDF</w:t>
              </w:r>
            </w:hyperlink>
          </w:p>
          <w:p>
            <w:pPr>
              <w:pStyle w:val="Normal"/>
              <w:widowControl/>
              <w:spacing w:before="60" w:after="20"/>
            </w:pPr>
            <w:r>
              <w:t xml:space="preserve">Locator: PDF pp 3–14 main text; Tables 1–3 pp 19–22; Figures 1–3 pp 23–25, especially Fig 3D P=.062. Published pp 2579–2586.</w:t>
            </w:r>
          </w:p>
          <w:p>
            <w:pPr>
              <w:pStyle w:val="Normal"/>
              <w:widowControl/>
              <w:spacing w:before="60" w:after="20"/>
            </w:pPr>
            <w:r>
              <w:t xml:space="preserve">Review depth: Complete 25-page accepted manuscript read, including all main text, tables, figure legends, references and visual inspection of Figures 1–3 on PDF pages 23–25.</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Twenty-five of 32 were within Milan criteria at listing. Primary sites were intestinal 20, pancreatic 11, unknown one. All received deceased-donor grafts; 21/32 had positive hilar nodes at LT, which does not establish acceptability of known active nodes before selection.; Median time to recurrence was 82.9 months. Overall survival here starts at RECURRENCE, not LT: median 81 months, five-/ten-year OS 76.3%/45.5%, with median postrecurrence follow-up 73.7 months.; Fourteen underwent surgery; complete resection at initial salvage in 13. Surgery versus other therapy five-year OS 90.9% versus 64.5%, P=.062; the overall comparison did not reach statistical significance.; The seven early-recurrence cases (within 24 months) had five-year postrecurrence OS 0% versus 89.5% in 25 later recurrences; this very small nonrandomized subgroup is prognostic, not a validated 24-month prohibition on salvage.; At last follow-up four were disease-free, 17 alive with disease and 11 deceased (seven NET-related, four other causes). Rising proliferation across primary, LT and recurrence biopsies supports reassessing heterogeneous biology.; All were switched to an mTOR inhibitor upon recurrence. No non-switch comparator exists to establish antitumour benefit. Two received PRRT; this is descriptive post-LT experience, not controlled safety/efficacy evidence.</w:t>
            </w:r>
          </w:p>
          <w:p>
            <w:pPr>
              <w:pStyle w:val="Normal"/>
              <w:widowControl/>
              <w:spacing w:before="60" w:after="20"/>
            </w:pPr>
            <w:r>
              <w:rPr>
                <w:b/>
              </w:rPr>
              <w:t xml:space="preserve">Do not infer: </w:t>
            </w:r>
            <w:r>
              <w:t xml:space="preserve">Selection requires survival/follow-up for at least six months after recurrence, potentially underrepresenting very early deaths; only 32 recurrent patients and no adjusted causal comparison.; Treatment selection, late-recurrence biology and resectability confound surgical comparisons. Overlap with other Milan reports means outcomes are not independent replication.; Abstract and body have slightly different recurrence-time IQRs. The abstract's 59.4% nodal figure combines abdominal and thoracic single-site nodal recurrences; do not label all 19 as abdominal.; The &lt; versus ≤24-month boundary differs between text/table; use 'within 24 months' descriptively without creating a precise validated gate.; Study protocol's three-month observation before salvage surgery and systematic NET lymphadenectomy are centre practices, not mandatory CRLM or universal NET standards.</w:t>
            </w:r>
          </w:p>
        </w:tc>
      </w:tr>
      <w:tr>
        <w:trPr/>
        <w:tc>
          <w:tcPr>
            <w:tcW w:w="3400" w:type="dxa"/>
            <w:tcMar>
              <w:top w:w="90" w:type="dxa"/>
              <w:left w:w="90" w:type="dxa"/>
              <w:bottom w:w="90" w:type="dxa"/>
              <w:right w:w="90" w:type="dxa"/>
            </w:tcMar>
          </w:tcPr>
          <w:p>
            <w:pPr>
              <w:pStyle w:val="Normal"/>
              <w:widowControl/>
              <w:spacing w:before="60" w:after="20"/>
            </w:pPr>
            <w:r>
              <w:rPr>
                <w:b/>
              </w:rPr>
              <w:t xml:space="preserve">Nashan 2018</w:t>
            </w:r>
            <w:r>
              <w:t xml:space="preserve"> </w:t>
            </w:r>
            <w:r>
              <w:t xml:space="preserve"> </w:t>
            </w:r>
            <w:r>
              <w:fldChar w:fldCharType="begin"/>
            </w:r>
            <w:r>
              <w:instrText xml:space="preserve"> ADDIN EN.CITE </w:instrText>
            </w:r>
            <w:r>
              <w:fldChar w:fldCharType="begin">
                <w:fldData>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</w:fldData>
              </w:fldChar>
            </w:r>
            <w:r>
              <w:instrText xml:space="preserve"> ADDIN EN.CITE.DATA </w:instrText>
            </w:r>
            <w:r>
              <w:fldChar w:fldCharType="end"/>
            </w:r>
            <w:r>
              <w:fldChar w:fldCharType="separate"/>
            </w:r>
            <w:r>
              <w:t xml:space="preserve">[V16-15]</w:t>
            </w:r>
            <w:r>
              <w:fldChar w:fldCharType="end"/>
            </w:r>
          </w:p>
          <w:p>
            <w:pPr>
              <w:pStyle w:val="Normal"/>
              <w:widowControl/>
              <w:spacing w:before="60" w:after="20"/>
            </w:pPr>
            <w:r>
              <w:t xml:space="preserve">2018 narrative review of general LT mTOR immunosuppression; not a NET/CRLM antirecurrence trial.</w:t>
            </w:r>
          </w:p>
          <w:p>
            <w:pPr>
              <w:pStyle w:val="Normal"/>
              <w:widowControl/>
              <w:spacing w:before="60" w:after="20"/>
            </w:pPr>
            <w:hyperlink r:id="rId59">
              <w:r>
                <w:rPr>
                  <w:color w:val="77230C"/>
                  <w:sz w:val="20"/>
                  <w:u w:val="single"/>
                </w:rPr>
                <w:t>Primary source</w:t>
              </w:r>
            </w:hyperlink>
            <w:r>
              <w:t xml:space="preserve"> | </w:t>
            </w:r>
            <w:hyperlink r:id="rId60">
              <w:r>
                <w:rPr>
                  <w:color w:val="77230C"/>
                  <w:sz w:val="20"/>
                  <w:u w:val="single"/>
                </w:rPr>
                <w:t>Full-text PDF</w:t>
              </w:r>
            </w:hyperlink>
          </w:p>
          <w:p>
            <w:pPr>
              <w:pStyle w:val="Normal"/>
              <w:widowControl/>
              <w:spacing w:before="60" w:after="20"/>
            </w:pPr>
            <w:r>
              <w:t xml:space="preserve">Locator: ppS20–S22 H2304/table; pS23 SiLVER; ppS24–S25 safety and conclusions.</w:t>
            </w:r>
          </w:p>
          <w:p>
            <w:pPr>
              <w:pStyle w:val="Normal"/>
              <w:widowControl/>
              <w:spacing w:before="60" w:after="20"/>
            </w:pPr>
            <w:r>
              <w:t xml:space="preserve">Review depth: Complete eight-page review read, including trial table, safety sections and references.</w:t>
            </w:r>
          </w:p>
        </w:tc>
        <w:tc>
          <w:tcPr>
            <w:tcW w:w="5600" w:type="dxa"/>
            <w:tcMar>
              <w:top w:w="90" w:type="dxa"/>
              <w:left w:w="90" w:type="dxa"/>
              <w:bottom w:w="90" w:type="dxa"/>
              <w:right w:w="90" w:type="dxa"/>
            </w:tcMar>
          </w:tcPr>
          <w:p>
            <w:pPr>
              <w:pStyle w:val="Normal"/>
              <w:widowControl/>
              <w:spacing w:before="60" w:after="20"/>
            </w:pPr>
            <w:r>
              <w:rPr>
                <w:b/>
              </w:rPr>
              <w:t xml:space="preserve">Reported result: </w:t>
            </w:r>
            <w:r>
              <w:t xml:space="preserve">H2304 randomized 719 general LT recipients; everolimus plus reduced tacrolimus from day 30 improved estimated renal function versus standard tacrolimus. Review reports 80.9 versus 70.3 mL/min/1.73m2 at one year and discontinuation 25.7% versus 14.1%.; CNI-elimination arm was stopped for more acute rejection; combination/minimization and complete withdrawal are not interchangeable.; Review describes SiLVER HCC primary endpoint as negative: RFS 70.2% versus 64.5%, HR .84 (95% CI .62–1.15), P=.280.; Proteinuria, cytopenias, stomatitis, edema, dyslipidemia, wound and vascular concerns require individualized monitoring. Renal advantage is not proof of NET/CRLM recurrence prevention.</w:t>
            </w:r>
          </w:p>
          <w:p>
            <w:pPr>
              <w:pStyle w:val="Normal"/>
              <w:widowControl/>
              <w:spacing w:before="60" w:after="20"/>
            </w:pPr>
            <w:r>
              <w:rPr>
                <w:b/>
              </w:rPr>
              <w:t xml:space="preserve">Do not infer: </w:t>
            </w:r>
            <w:r>
              <w:t xml:space="preserve">No NET/CRLM-specific recurrence or PRRT-concurrent regimen validation.; Several cited results were conference abstracts; no new independent trial data.; Old regulatory/timing summaries require current institutional pharmacy standards; do not use the review to prescribe an automatic trough target.</w:t>
            </w:r>
          </w:p>
        </w:tc>
      </w:tr>
    </w:tbl>
    <w:p>
      <w:pPr>
        <w:pStyle w:val="Normal"/>
        <w:widowControl/>
      </w:pPr>
      <w:hyperlink r:id="rId61">
        <w:r>
          <w:rPr>
            <w:color w:val="77230C"/>
            <w:sz w:val="20"/>
            <w:u w:val="single"/>
          </w:rPr>
          <w:t>Separate evidence/alignment meeting record — OPEN boundary decisions</w:t>
        </w:r>
      </w:hyperlink>
    </w:p>
    <w:p>
      <w:pPr>
        <w:pStyle w:val="Normal"/>
        <w:widowControl/>
      </w:pPr>
      <w:r>
        <w:t xml:space="preserve">Evidence review record: </w:t>
      </w:r>
      <w:hyperlink r:id="rId62">
        <w:r>
          <w:rPr>
            <w:color w:val="77230C"/>
            <w:sz w:val="20"/>
            <w:u w:val="single"/>
          </w:rPr>
          <w:t>Five analyst comments and reconciliation</w:t>
        </w:r>
      </w:hyperlink>
      <w:r>
        <w:t xml:space="preserve">  |  </w:t>
      </w:r>
      <w:hyperlink r:id="rId63">
        <w:r>
          <w:rPr>
            <w:color w:val="77230C"/>
            <w:sz w:val="20"/>
            <w:u w:val="single"/>
          </w:rPr>
          <w:t>Prospective outcomes dataset</w:t>
        </w:r>
      </w:hyperlink>
    </w:p>
    <w:p>
      <w:pPr>
        <w:pStyle w:val="Heading1"/>
        <w:widowControl/>
        <w:keepNext/>
      </w:pPr>
      <w:bookmarkStart w:id="16000" w:name="previously_treated_EHD"/>
      <w:r>
        <w:t xml:space="preserve">Previously treated extrahepatic disease</w:t>
      </w:r>
      <w:bookmarkEnd w:id="16000"/>
    </w:p>
    <w:p>
      <w:pPr>
        <w:pStyle w:val="Normal"/>
        <w:widowControl/>
        <w:spacing w:after="120"/>
      </w:pPr>
      <w:r>
        <w:t xml:space="preserve">Standard-route clarification. The standardized pathway requires no extrahepatic disease. This section states how previously treated, responded extrahepatic disease is handled, and records the program position proposed for review.</w:t>
      </w:r>
    </w:p>
    <w:p>
      <w:pPr>
        <w:pStyle w:val="Heading2"/>
        <w:widowControl/>
        <w:keepNext/>
      </w:pPr>
      <w:bookmarkStart w:id="16010" w:name="NET_B4"/>
      <w:r>
        <w:t xml:space="preserve">NET-B4 — Previously treated extrahepatic disease</w:t>
      </w:r>
      <w:bookmarkEnd w:id="16010"/>
    </w:p>
    <w:p>
      <w:pPr>
        <w:pStyle w:val="Normal"/>
        <w:widowControl/>
        <w:spacing w:after="120"/>
      </w:pPr>
      <w:r>
        <w:t xml:space="preserve">Status: Resected regional nodes only, after clearance. OPEN proposal for multidisciplinary review; not activated.</w:t>
      </w:r>
    </w:p>
    <w:p>
      <w:pPr>
        <w:pStyle w:val="Normal"/>
        <w:widowControl/>
        <w:spacing w:after="120"/>
      </w:pPr>
      <w:r>
        <w:t xml:space="preserve">Question: Which previously treated extrahepatic NET sites may enter the transplant route: resected regional nodes only, or also distant nodes and a solitary treated bone lesion as ENETS 2026 suggests?</w:t>
      </w:r>
    </w:p>
    <w:p>
      <w:pPr>
        <w:pStyle w:val="Normal"/>
        <w:widowControl/>
        <w:spacing w:after="120"/>
      </w:pPr>
      <w:r>
        <w:t xml:space="preserve">Proposed position (OPEN): Previously resected regional nodal disease is already within Milan-NET when the primary and all extrahepatic deposits were removed in a separate curative operation and restaging at least 6 months later shows no disease. Previously resected distant nodes need individual review. Previous lung, bone or other solid-organ metastasis stays closed, including after complete treatment; ENETS 2026 would accept a solitary locally treated bone lesion as expert opinion, recorded as a disagreement.</w:t>
      </w:r>
    </w:p>
    <w:p>
      <w:pPr>
        <w:pStyle w:val="Heading3"/>
        <w:widowControl/>
        <w:keepNext/>
      </w:pPr>
      <w:r>
        <w:t xml:space="preserve">Proposed rules</w:t>
      </w:r>
    </w:p>
    <w:p>
      <w:pPr>
        <w:pStyle w:val="Normal"/>
        <w:widowControl/>
        <w:spacing w:after="120"/>
        <w:numPr>
          <w:ilvl w:val="0"/>
          <w:numId w:val="4"/>
        </w:numPr>
      </w:pPr>
      <w:r>
        <w:t xml:space="preserve">Regional (mesenteric, peripancreatic) nodes resected with the primary in a separate operation: eligible after ≥6 months without recurrence and negative SSTR-PET with CT/MRI within 3 months of transplant consideration.</w:t>
      </w:r>
    </w:p>
    <w:p>
      <w:pPr>
        <w:pStyle w:val="Normal"/>
        <w:widowControl/>
        <w:spacing w:after="120"/>
        <w:numPr>
          <w:ilvl w:val="0"/>
          <w:numId w:val="4"/>
        </w:numPr>
      </w:pPr>
      <w:r>
        <w:t xml:space="preserve">Distant nodes previously resected, or nodal disease cleared only by PRRT, ablation or radiotherapy: individual review only, with SSTR-PET-negative status for ≥6 months.</w:t>
      </w:r>
    </w:p>
    <w:p>
      <w:pPr>
        <w:pStyle w:val="Normal"/>
        <w:widowControl/>
        <w:spacing w:after="120"/>
        <w:numPr>
          <w:ilvl w:val="0"/>
          <w:numId w:val="4"/>
        </w:numPr>
      </w:pPr>
      <w:r>
        <w:t xml:space="preserve">Lung, bone (including a solitary treated lesion), peritoneal or other organ metastasis: closed. Spinal or brain metastases and unresectable mesenteric root disease: closed in every framework.</w:t>
      </w:r>
    </w:p>
    <w:p>
      <w:pPr>
        <w:pStyle w:val="Normal"/>
        <w:widowControl/>
        <w:spacing w:after="120"/>
        <w:numPr>
          <w:ilvl w:val="0"/>
          <w:numId w:val="4"/>
        </w:numPr>
      </w:pPr>
      <w:r>
        <w:t xml:space="preserve">Stage the primary and any major organ resection before transplantation, not at it. Plan hilar lymphadenectomy; counsel that nodal involvement on final pathology is associated with worse survival.</w:t>
      </w:r>
    </w:p>
    <w:p>
      <w:pPr>
        <w:pStyle w:val="Normal"/>
        <w:widowControl/>
        <w:spacing w:after="120"/>
      </w:pPr>
      <w:r>
        <w:t xml:space="preserve">Why: Milan-NET itself requires all extrahepatic deposits removed before transplant consideration, and 81% of the Milan recipients had resected node-positive primaries. No series in this evidence set reports outcomes after previously treated distant disease; the registry series did not record pre-transplant extrahepatic status. Bone metastases are independently adverse and rarely cleared.</w:t>
      </w:r>
    </w:p>
    <w:p>
      <w:pPr>
        <w:pStyle w:val="Heading3"/>
        <w:widowControl/>
        <w:keepNext/>
      </w:pPr>
      <w:r>
        <w:t xml:space="preserve">Evidence</w:t>
      </w:r>
    </w:p>
    <w:tbl>
      <w:tblPr>
        <w:tblW w:w="9026" w:type="dxa"/>
        <w:tblLayout w:type="fixed"/>
        <w:tblBorders>
          <w:top w:val="single" w:sz="4" w:color="CCD6DF"/>
          <w:left w:val="single" w:sz="4" w:color="CCD6DF"/>
          <w:bottom w:val="single" w:sz="4" w:color="CCD6DF"/>
          <w:right w:val="single" w:sz="4" w:color="CCD6DF"/>
          <w:insideH w:val="single" w:sz="4" w:color="CCD6DF"/>
          <w:insideV w:val="single" w:sz="4" w:color="CCD6DF"/>
        </w:tblBorders>
        <w:tblCellMar>
          <w:top w:w="110" w:type="dxa"/>
          <w:left w:w="110" w:type="dxa"/>
          <w:bottom w:w="110" w:type="dxa"/>
          <w:right w:w="110" w:type="dxa"/>
        </w:tblCellMar>
      </w:tblPr>
      <w:tblGrid>
        <w:gridCol w:w="1701"/>
        <w:gridCol w:w="3582"/>
        <w:gridCol w:w="3743"/>
      </w:tblGrid>
      <w:tr>
        <w:trPr>
          <w:cantSplit/>
          <w:tblHeader/>
        </w:trPr>
        <w:tc>
          <w:tcPr>
            <w:tcW w:w="1701" w:type="dxa"/>
            <w:vAlign w:val="top"/>
            <w:shd w:fill="17365D"/>
          </w:tcPr>
          <w:p>
            <w:pPr>
              <w:pStyle w:val="Normal"/>
              <w:widowControl/>
              <w:spacing w:after="55" w:line="240" w:lineRule="auto"/>
              <w:keepNext w:val="0"/>
              <w:keepLines/>
            </w:pPr>
            <w:r>
              <w:rPr>
                <w:sz w:val="21"/>
                <w:szCs w:val="21"/>
                <w:b/>
                <w:color w:val="FFFFFF"/>
              </w:rPr>
              <w:t xml:space="preserve">Source</w:t>
            </w:r>
          </w:p>
        </w:tc>
        <w:tc>
          <w:tcPr>
            <w:tcW w:w="3582" w:type="dxa"/>
            <w:vAlign w:val="top"/>
            <w:shd w:fill="17365D"/>
          </w:tcPr>
          <w:p>
            <w:pPr>
              <w:pStyle w:val="Normal"/>
              <w:widowControl/>
              <w:spacing w:after="55" w:line="240" w:lineRule="auto"/>
              <w:keepNext w:val="0"/>
              <w:keepLines/>
            </w:pPr>
            <w:r>
              <w:rPr>
                <w:sz w:val="21"/>
                <w:szCs w:val="21"/>
                <w:b/>
                <w:color w:val="FFFFFF"/>
              </w:rPr>
              <w:t xml:space="preserve">Population and selection</w:t>
            </w:r>
          </w:p>
        </w:tc>
        <w:tc>
          <w:tcPr>
            <w:tcW w:w="3743" w:type="dxa"/>
            <w:vAlign w:val="top"/>
            <w:shd w:fill="17365D"/>
          </w:tcPr>
          <w:p>
            <w:pPr>
              <w:pStyle w:val="Normal"/>
              <w:widowControl/>
              <w:spacing w:after="55" w:line="240" w:lineRule="auto"/>
              <w:keepNext w:val="0"/>
              <w:keepLines/>
            </w:pPr>
            <w:r>
              <w:rPr>
                <w:sz w:val="21"/>
                <w:szCs w:val="21"/>
                <w:b/>
                <w:color w:val="FFFFFF"/>
              </w:rPr>
              <w:t xml:space="preserve">Results, limits and location</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Mazzaferro 2016 · Milan-NET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Milan prospective cohort, 88 eligible (42 transplanted). Milan-NET: primary removed “with all extrahepatic deposits in a separate curative resection prior to transplant consideration”; restaging 6 months after removal.</w:t>
            </w:r>
          </w:p>
        </w:tc>
        <w:tc>
          <w:tcPr>
            <w:tcW w:w="3743" w:type="dxa"/>
            <w:vAlign w:val="top"/>
            <w:shd w:fill="F1F5F8"/>
          </w:tcPr>
          <w:p>
            <w:pPr>
              <w:pStyle w:val="Normal"/>
              <w:widowControl/>
              <w:spacing w:after="55" w:line="240" w:lineRule="auto"/>
              <w:keepNext w:val="0"/>
              <w:keepLines/>
            </w:pPr>
            <w:r>
              <w:rPr>
                <w:sz w:val="21"/>
                <w:szCs w:val="21"/>
              </w:rPr>
              <w:t xml:space="preserve">Results: 81% of recipients had node-positive primaries and 57% hilar node-positive; 5- and 10-year survival 97.2% and 88.8%.</w:t>
            </w:r>
          </w:p>
          <w:p>
            <w:pPr>
              <w:pStyle w:val="Normal"/>
              <w:widowControl/>
              <w:spacing w:after="55" w:line="240" w:lineRule="auto"/>
              <w:keepNext w:val="0"/>
              <w:keepLines/>
            </w:pPr>
            <w:r>
              <w:rPr>
                <w:sz w:val="21"/>
                <w:szCs w:val="21"/>
              </w:rPr>
              <w:t xml:space="preserve">Limits: Non-randomized; no outcome split by nodal status.</w:t>
            </w:r>
          </w:p>
          <w:p>
            <w:pPr>
              <w:pStyle w:val="Normal"/>
              <w:widowControl/>
              <w:spacing w:after="55" w:line="240" w:lineRule="auto"/>
              <w:keepNext w:val="0"/>
              <w:keepLines/>
            </w:pPr>
            <w:r>
              <w:rPr>
                <w:sz w:val="21"/>
                <w:szCs w:val="21"/>
              </w:rPr>
              <w:t xml:space="preserve">Am J Transplant 2016; Tables 1–3.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</w:fldData>
              </w:fldChar>
            </w:r>
            <w:r>
              <w:instrText xml:space="preserve"> ADDIN EN.CITE.DATA </w:instrText>
            </w:r>
            <w:r>
              <w:fldChar w:fldCharType="end"/>
            </w:r>
            <w:r>
              <w:fldChar w:fldCharType="separate"/>
            </w:r>
            <w:r>
              <w:t xml:space="preserve">[V16-25]</w:t>
            </w:r>
            <w:r>
              <w:fldChar w:fldCharType="end"/>
            </w:r>
            <w:r>
              <w:br/>
            </w:r>
            <w:hyperlink r:id="rId112">
              <w:r>
                <w:rPr>
                  <w:color w:val="0563C1"/>
                  <w:u w:val="single"/>
                </w:rPr>
                <w:t>Source</w:t>
              </w:r>
            </w:hyperlink>
            <w:r>
              <w:t xml:space="preserve"> · </w:t>
            </w:r>
            <w:hyperlink r:id="rId113">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Maspero 2022 · LT vs resection, Milan</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Milan, 48 transplants vs 56 resections. Exclusion of extrahepatic disease; hilar lymphadenectomy at transplant.</w:t>
            </w:r>
          </w:p>
        </w:tc>
        <w:tc>
          <w:tcPr>
            <w:tcW w:w="3743" w:type="dxa"/>
            <w:vAlign w:val="top"/>
            <w:shd w:fill="FFFFFF"/>
          </w:tcPr>
          <w:p>
            <w:pPr>
              <w:pStyle w:val="Normal"/>
              <w:widowControl/>
              <w:spacing w:after="55" w:line="240" w:lineRule="auto"/>
              <w:keepNext w:val="0"/>
              <w:keepLines/>
            </w:pPr>
            <w:r>
              <w:rPr>
                <w:sz w:val="21"/>
                <w:szCs w:val="21"/>
              </w:rPr>
              <w:t xml:space="preserve">Results: Nodal involvement on final pathology: survival HR 5.7 (1.3–24), univariate; after transplantation, first recurrences most often involved distant nodes (16 of 25, 64%) and bone (9 of 25, 36%).</w:t>
            </w:r>
          </w:p>
          <w:p>
            <w:pPr>
              <w:pStyle w:val="Normal"/>
              <w:widowControl/>
              <w:spacing w:after="55" w:line="240" w:lineRule="auto"/>
              <w:keepNext w:val="0"/>
              <w:keepLines/>
            </w:pPr>
            <w:r>
              <w:rPr>
                <w:sz w:val="21"/>
                <w:szCs w:val="21"/>
              </w:rPr>
              <w:t xml:space="preserve">Limits: Univariate only.</w:t>
            </w:r>
          </w:p>
          <w:p>
            <w:pPr>
              <w:pStyle w:val="Normal"/>
              <w:widowControl/>
              <w:spacing w:after="55" w:line="240" w:lineRule="auto"/>
              <w:keepNext w:val="0"/>
              <w:keepLines/>
            </w:pPr>
            <w:r>
              <w:rPr>
                <w:sz w:val="21"/>
                <w:szCs w:val="21"/>
              </w:rPr>
              <w:t xml:space="preserve">Am J Transplant 2022; Tables 2–3.</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</w:fldData>
              </w:fldChar>
            </w:r>
            <w:r>
              <w:instrText xml:space="preserve"> ADDIN EN.CITE.DATA </w:instrText>
            </w:r>
            <w:r>
              <w:fldChar w:fldCharType="end"/>
            </w:r>
            <w:r>
              <w:fldChar w:fldCharType="separate"/>
            </w:r>
            <w:r>
              <w:t xml:space="preserve">[V16-9]</w:t>
            </w:r>
            <w:r>
              <w:fldChar w:fldCharType="end"/>
            </w:r>
            <w:r>
              <w:br/>
            </w:r>
            <w:hyperlink r:id="rId114">
              <w:r>
                <w:rPr>
                  <w:color w:val="0563C1"/>
                  <w:u w:val="single"/>
                </w:rPr>
                <w:t>Source</w:t>
              </w:r>
            </w:hyperlink>
            <w:r>
              <w:t xml:space="preserve"> · </w:t>
            </w:r>
            <w:hyperlink r:id="rId115">
              <w:r>
                <w:rPr>
                  <w:color w:val="0563C1"/>
                  <w:u w:val="single"/>
                </w:rPr>
                <w:t>PDF</w:t>
              </w:r>
            </w:hyperlink>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ENETS 2026 position statement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ENETS 2026 position statement. Replace “no extrahepatic disease” with “no macroscopic, non-targetable” disease; examples: isolated resectable nodes or a solitary bone lesion amenable to local treatment.</w:t>
            </w:r>
          </w:p>
        </w:tc>
        <w:tc>
          <w:tcPr>
            <w:tcW w:w="3743" w:type="dxa"/>
            <w:vAlign w:val="top"/>
            <w:shd w:fill="F1F5F8"/>
          </w:tcPr>
          <w:p>
            <w:pPr>
              <w:pStyle w:val="Normal"/>
              <w:widowControl/>
              <w:spacing w:after="55" w:line="240" w:lineRule="auto"/>
              <w:keepNext w:val="0"/>
              <w:keepLines/>
            </w:pPr>
            <w:r>
              <w:rPr>
                <w:sz w:val="21"/>
                <w:szCs w:val="21"/>
              </w:rPr>
              <w:t xml:space="preserve">Results: Excludes unresectable mesenteric nodes, spinal and brain metastases; sets no interval after extrahepatic treatment.</w:t>
            </w:r>
          </w:p>
          <w:p>
            <w:pPr>
              <w:pStyle w:val="Normal"/>
              <w:widowControl/>
              <w:spacing w:after="55" w:line="240" w:lineRule="auto"/>
              <w:keepNext w:val="0"/>
              <w:keepLines/>
            </w:pPr>
            <w:r>
              <w:rPr>
                <w:sz w:val="21"/>
                <w:szCs w:val="21"/>
              </w:rPr>
              <w:t xml:space="preserve">Limits: Expert opinion; not outcome-validated.</w:t>
            </w:r>
          </w:p>
          <w:p>
            <w:pPr>
              <w:pStyle w:val="Normal"/>
              <w:widowControl/>
              <w:spacing w:after="55" w:line="240" w:lineRule="auto"/>
              <w:keepNext w:val="0"/>
              <w:keepLines/>
            </w:pPr>
            <w:r>
              <w:rPr>
                <w:sz w:val="21"/>
                <w:szCs w:val="21"/>
              </w:rPr>
              <w:t xml:space="preserve">J Neuroendocrinol 2026; Sections 4 and 7.</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</w:fldData>
              </w:fldChar>
            </w:r>
            <w:r>
              <w:instrText xml:space="preserve"> ADDIN EN.CITE.DATA </w:instrText>
            </w:r>
            <w:r>
              <w:fldChar w:fldCharType="end"/>
            </w:r>
            <w:r>
              <w:fldChar w:fldCharType="separate"/>
            </w:r>
            <w:r>
              <w:t xml:space="preserve">[V16-8]</w:t>
            </w:r>
            <w:r>
              <w:fldChar w:fldCharType="end"/>
            </w:r>
            <w:r>
              <w:br/>
            </w:r>
            <w:hyperlink r:id="rId116">
              <w:r>
                <w:rPr>
                  <w:color w:val="0563C1"/>
                  <w:u w:val="single"/>
                </w:rPr>
                <w:t>Source</w:t>
              </w:r>
            </w:hyperlink>
            <w:r>
              <w:t xml:space="preserve"> · </w:t>
            </w:r>
            <w:hyperlink r:id="rId117">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Wedin 2025 · bone metastases in SI-NET</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Two Swedish centres, 138 with bone metastases. Bone metastases on SSTR-PET; rarely biopsied; never curatively treated.</w:t>
            </w:r>
          </w:p>
        </w:tc>
        <w:tc>
          <w:tcPr>
            <w:tcW w:w="3743" w:type="dxa"/>
            <w:vAlign w:val="top"/>
            <w:shd w:fill="FFFFFF"/>
          </w:tcPr>
          <w:p>
            <w:pPr>
              <w:pStyle w:val="Normal"/>
              <w:widowControl/>
              <w:spacing w:after="55" w:line="240" w:lineRule="auto"/>
              <w:keepNext w:val="0"/>
              <w:keepLines/>
            </w:pPr>
            <w:r>
              <w:rPr>
                <w:sz w:val="21"/>
                <w:szCs w:val="21"/>
              </w:rPr>
              <w:t xml:space="preserve">Results: Any bone metastasis HR 1.94; 21% with ≤5 lesions progressed to &gt;5.</w:t>
            </w:r>
          </w:p>
          <w:p>
            <w:pPr>
              <w:pStyle w:val="Normal"/>
              <w:widowControl/>
              <w:spacing w:after="55" w:line="240" w:lineRule="auto"/>
              <w:keepNext w:val="0"/>
              <w:keepLines/>
            </w:pPr>
            <w:r>
              <w:rPr>
                <w:sz w:val="21"/>
                <w:szCs w:val="21"/>
              </w:rPr>
              <w:t xml:space="preserve">Limits: Small-intestine NET only.</w:t>
            </w:r>
          </w:p>
          <w:p>
            <w:pPr>
              <w:pStyle w:val="Normal"/>
              <w:widowControl/>
              <w:spacing w:after="55" w:line="240" w:lineRule="auto"/>
              <w:keepNext w:val="0"/>
              <w:keepLines/>
            </w:pPr>
            <w:r>
              <w:rPr>
                <w:sz w:val="21"/>
                <w:szCs w:val="21"/>
              </w:rPr>
              <w:t xml:space="preserve">J Neuroendocrinol 2025; Results, Table 5.</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</w:fldData>
              </w:fldChar>
            </w:r>
            <w:r>
              <w:instrText xml:space="preserve"> ADDIN EN.CITE.DATA </w:instrText>
            </w:r>
            <w:r>
              <w:fldChar w:fldCharType="end"/>
            </w:r>
            <w:r>
              <w:fldChar w:fldCharType="separate"/>
            </w:r>
            <w:r>
              <w:t xml:space="preserve">[V16-26]</w:t>
            </w:r>
            <w:r>
              <w:fldChar w:fldCharType="end"/>
            </w:r>
            <w:r>
              <w:br/>
            </w:r>
            <w:hyperlink r:id="rId118">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Le Treut 2013 · ELTR NET</w:t>
            </w:r>
          </w:p>
          <w:p>
            <w:pPr>
              <w:pStyle w:val="Normal"/>
              <w:widowControl/>
              <w:spacing w:after="55" w:line="240" w:lineRule="auto"/>
              <w:keepNext w:val="0"/>
              <w:keepLines/>
            </w:pPr>
            <w:r>
              <w:rPr>
                <w:sz w:val="21"/>
                <w:szCs w:val="21"/>
              </w:rPr>
              <w:t xml:space="preserve">Full text read.</w:t>
            </w:r>
          </w:p>
        </w:tc>
        <w:tc>
          <w:tcPr>
            <w:tcW w:w="3582" w:type="dxa"/>
            <w:vAlign w:val="top"/>
            <w:shd w:fill="F1F5F8"/>
          </w:tcPr>
          <w:p>
            <w:pPr>
              <w:pStyle w:val="Normal"/>
              <w:widowControl/>
              <w:spacing w:after="55" w:line="240" w:lineRule="auto"/>
              <w:keepNext w:val="0"/>
              <w:keepLines/>
            </w:pPr>
            <w:r>
              <w:rPr>
                <w:sz w:val="21"/>
                <w:szCs w:val="21"/>
              </w:rPr>
              <w:t xml:space="preserve">European registry, 213 transplants. Concurrent surgery at transplant (84 patients) included extended lymphadenectomy (38), primary resection (29), organ resections and peritonectomy.</w:t>
            </w:r>
          </w:p>
        </w:tc>
        <w:tc>
          <w:tcPr>
            <w:tcW w:w="3743" w:type="dxa"/>
            <w:vAlign w:val="top"/>
            <w:shd w:fill="F1F5F8"/>
          </w:tcPr>
          <w:p>
            <w:pPr>
              <w:pStyle w:val="Normal"/>
              <w:widowControl/>
              <w:spacing w:after="55" w:line="240" w:lineRule="auto"/>
              <w:keepNext w:val="0"/>
              <w:keepLines/>
            </w:pPr>
            <w:r>
              <w:rPr>
                <w:sz w:val="21"/>
                <w:szCs w:val="21"/>
              </w:rPr>
              <w:t xml:space="preserve">Results: Major concurrent resection HR 3.1 (all eras); after 2000, any concurrent resection HR 1.9 (p=0.058).</w:t>
            </w:r>
          </w:p>
          <w:p>
            <w:pPr>
              <w:pStyle w:val="Normal"/>
              <w:widowControl/>
              <w:spacing w:after="55" w:line="240" w:lineRule="auto"/>
              <w:keepNext w:val="0"/>
              <w:keepLines/>
            </w:pPr>
            <w:r>
              <w:rPr>
                <w:sz w:val="21"/>
                <w:szCs w:val="21"/>
              </w:rPr>
              <w:t xml:space="preserve">Limits: Pre-transplant extrahepatic status not recorded.</w:t>
            </w:r>
          </w:p>
          <w:p>
            <w:pPr>
              <w:pStyle w:val="Normal"/>
              <w:widowControl/>
              <w:spacing w:after="55" w:line="240" w:lineRule="auto"/>
              <w:keepNext w:val="0"/>
              <w:keepLines/>
            </w:pPr>
            <w:r>
              <w:rPr>
                <w:sz w:val="21"/>
                <w:szCs w:val="21"/>
              </w:rPr>
              <w:t xml:space="preserve">Ann Surg 2013; Tables 4–6.</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</w:fldData>
              </w:fldChar>
            </w:r>
            <w:r>
              <w:instrText xml:space="preserve"> ADDIN EN.CITE.DATA </w:instrText>
            </w:r>
            <w:r>
              <w:fldChar w:fldCharType="end"/>
            </w:r>
            <w:r>
              <w:fldChar w:fldCharType="separate"/>
            </w:r>
            <w:r>
              <w:t xml:space="preserve">[V16-10]</w:t>
            </w:r>
            <w:r>
              <w:fldChar w:fldCharType="end"/>
            </w:r>
            <w:r>
              <w:br/>
            </w:r>
            <w:hyperlink r:id="rId119">
              <w:r>
                <w:rPr>
                  <w:color w:val="0563C1"/>
                  <w:u w:val="single"/>
                </w:rPr>
                <w:t>Source</w:t>
              </w:r>
            </w:hyperlink>
            <w:r>
              <w:t xml:space="preserve"> · </w:t>
            </w:r>
            <w:hyperlink r:id="rId120">
              <w:r>
                <w:rPr>
                  <w:color w:val="0563C1"/>
                  <w:u w:val="single"/>
                </w:rPr>
                <w:t>PDF</w:t>
              </w:r>
            </w:hyperlink>
          </w:p>
        </w:tc>
      </w:tr>
      <w:tr>
        <w:trPr>
          <w:cantSplit/>
        </w:trPr>
        <w:tc>
          <w:tcPr>
            <w:tcW w:w="1701" w:type="dxa"/>
            <w:vAlign w:val="top"/>
            <w:shd w:fill="FFFFFF"/>
          </w:tcPr>
          <w:p>
            <w:pPr>
              <w:pStyle w:val="Normal"/>
              <w:widowControl/>
              <w:spacing w:after="55" w:line="240" w:lineRule="auto"/>
              <w:keepNext w:val="0"/>
              <w:keepLines/>
            </w:pPr>
            <w:r>
              <w:rPr>
                <w:sz w:val="21"/>
                <w:szCs w:val="21"/>
                <w:b/>
              </w:rPr>
              <w:t xml:space="preserve">Sher 2015 · US multicentre NET LT</w:t>
            </w:r>
          </w:p>
          <w:p>
            <w:pPr>
              <w:pStyle w:val="Normal"/>
              <w:widowControl/>
              <w:spacing w:after="55" w:line="240" w:lineRule="auto"/>
              <w:keepNext w:val="0"/>
              <w:keepLines/>
            </w:pPr>
            <w:r>
              <w:rPr>
                <w:sz w:val="21"/>
                <w:szCs w:val="21"/>
              </w:rPr>
              <w:t xml:space="preserve">Full text read.</w:t>
            </w:r>
          </w:p>
        </w:tc>
        <w:tc>
          <w:tcPr>
            <w:tcW w:w="3582" w:type="dxa"/>
            <w:vAlign w:val="top"/>
            <w:shd w:fill="FFFFFF"/>
          </w:tcPr>
          <w:p>
            <w:pPr>
              <w:pStyle w:val="Normal"/>
              <w:widowControl/>
              <w:spacing w:after="55" w:line="240" w:lineRule="auto"/>
              <w:keepNext w:val="0"/>
              <w:keepLines/>
            </w:pPr>
            <w:r>
              <w:rPr>
                <w:sz w:val="21"/>
                <w:szCs w:val="21"/>
              </w:rPr>
              <w:t xml:space="preserve">28 centres (mostly US, also Canadian and European), 85 transplants. “Extent of resection” = concurrent primary or multivisceral surgery, not metastasis clearance.</w:t>
            </w:r>
          </w:p>
        </w:tc>
        <w:tc>
          <w:tcPr>
            <w:tcW w:w="3743" w:type="dxa"/>
            <w:vAlign w:val="top"/>
            <w:shd w:fill="FFFFFF"/>
          </w:tcPr>
          <w:p>
            <w:pPr>
              <w:pStyle w:val="Normal"/>
              <w:widowControl/>
              <w:spacing w:after="55" w:line="240" w:lineRule="auto"/>
              <w:keepNext w:val="0"/>
              <w:keepLines/>
            </w:pPr>
            <w:r>
              <w:rPr>
                <w:sz w:val="21"/>
                <w:szCs w:val="21"/>
              </w:rPr>
              <w:t xml:space="preserve">Results: Extensive concurrent surgery associated with worse survival (p=0.015).</w:t>
            </w:r>
          </w:p>
          <w:p>
            <w:pPr>
              <w:pStyle w:val="Normal"/>
              <w:widowControl/>
              <w:spacing w:after="55" w:line="240" w:lineRule="auto"/>
              <w:keepNext w:val="0"/>
              <w:keepLines/>
            </w:pPr>
            <w:r>
              <w:rPr>
                <w:sz w:val="21"/>
                <w:szCs w:val="21"/>
              </w:rPr>
              <w:t xml:space="preserve">Limits: No extrahepatic-disease variable.</w:t>
            </w:r>
          </w:p>
          <w:p>
            <w:pPr>
              <w:pStyle w:val="Normal"/>
              <w:widowControl/>
              <w:spacing w:after="55" w:line="240" w:lineRule="auto"/>
              <w:keepNext w:val="0"/>
              <w:keepLines/>
            </w:pPr>
            <w:r>
              <w:rPr>
                <w:sz w:val="21"/>
                <w:szCs w:val="21"/>
              </w:rPr>
              <w:t xml:space="preserve">J Surg Oncol 2015; Methods.</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</w:fldData>
              </w:fldChar>
            </w:r>
            <w:r>
              <w:instrText xml:space="preserve"> ADDIN EN.CITE.DATA </w:instrText>
            </w:r>
            <w:r>
              <w:fldChar w:fldCharType="end"/>
            </w:r>
            <w:r>
              <w:fldChar w:fldCharType="separate"/>
            </w:r>
            <w:r>
              <w:t xml:space="preserve">[V16-27]</w:t>
            </w:r>
            <w:r>
              <w:fldChar w:fldCharType="end"/>
            </w:r>
            <w:r>
              <w:br/>
            </w:r>
            <w:hyperlink r:id="rId121">
              <w:r>
                <w:rPr>
                  <w:color w:val="0563C1"/>
                  <w:u w:val="single"/>
                </w:rPr>
                <w:t>Source</w:t>
              </w:r>
            </w:hyperlink>
            <w:r>
              <w:t xml:space="preserve"> · </w:t>
            </w:r>
            <w:r>
              <w:t xml:space="preserve">full PDF pending</w:t>
            </w:r>
          </w:p>
        </w:tc>
      </w:tr>
      <w:tr>
        <w:trPr>
          <w:cantSplit/>
        </w:trPr>
        <w:tc>
          <w:tcPr>
            <w:tcW w:w="1701" w:type="dxa"/>
            <w:vAlign w:val="top"/>
            <w:shd w:fill="F1F5F8"/>
          </w:tcPr>
          <w:p>
            <w:pPr>
              <w:pStyle w:val="Normal"/>
              <w:widowControl/>
              <w:spacing w:after="55" w:line="240" w:lineRule="auto"/>
              <w:keepNext w:val="0"/>
              <w:keepLines/>
            </w:pPr>
            <w:r>
              <w:rPr>
                <w:sz w:val="21"/>
                <w:szCs w:val="21"/>
                <w:b/>
              </w:rPr>
              <w:t xml:space="preserve">Frilling 2010 · 68Ga-DOTATOC PET before LT</w:t>
            </w:r>
          </w:p>
          <w:p>
            <w:pPr>
              <w:pStyle w:val="Normal"/>
              <w:widowControl/>
              <w:spacing w:after="55" w:line="240" w:lineRule="auto"/>
              <w:keepNext w:val="0"/>
              <w:keepLines/>
            </w:pPr>
            <w:r>
              <w:rPr>
                <w:sz w:val="21"/>
                <w:szCs w:val="21"/>
              </w:rPr>
              <w:t xml:space="preserve">Abstract only; full text pending.</w:t>
            </w:r>
          </w:p>
        </w:tc>
        <w:tc>
          <w:tcPr>
            <w:tcW w:w="3582" w:type="dxa"/>
            <w:vAlign w:val="top"/>
            <w:shd w:fill="F1F5F8"/>
          </w:tcPr>
          <w:p>
            <w:pPr>
              <w:pStyle w:val="Normal"/>
              <w:widowControl/>
              <w:spacing w:after="55" w:line="240" w:lineRule="auto"/>
              <w:keepNext w:val="0"/>
              <w:keepLines/>
            </w:pPr>
            <w:r>
              <w:rPr>
                <w:sz w:val="21"/>
                <w:szCs w:val="21"/>
              </w:rPr>
              <w:t xml:space="preserve">68Ga-DOTATOC PET before transplantation. Transplant candidates.</w:t>
            </w:r>
          </w:p>
        </w:tc>
        <w:tc>
          <w:tcPr>
            <w:tcW w:w="3743" w:type="dxa"/>
            <w:vAlign w:val="top"/>
            <w:shd w:fill="F1F5F8"/>
          </w:tcPr>
          <w:p>
            <w:pPr>
              <w:pStyle w:val="Normal"/>
              <w:widowControl/>
              <w:spacing w:after="55" w:line="240" w:lineRule="auto"/>
              <w:keepNext w:val="0"/>
              <w:keepLines/>
            </w:pPr>
            <w:r>
              <w:rPr>
                <w:sz w:val="21"/>
                <w:szCs w:val="21"/>
              </w:rPr>
              <w:t xml:space="preserve">Results: PET removed 7 of 15 candidates.</w:t>
            </w:r>
          </w:p>
          <w:p>
            <w:pPr>
              <w:pStyle w:val="Normal"/>
              <w:widowControl/>
              <w:spacing w:after="55" w:line="240" w:lineRule="auto"/>
              <w:keepNext w:val="0"/>
              <w:keepLines/>
            </w:pPr>
            <w:r>
              <w:rPr>
                <w:sz w:val="21"/>
                <w:szCs w:val="21"/>
              </w:rPr>
              <w:t xml:space="preserve">Limits: Small.</w:t>
            </w:r>
          </w:p>
          <w:p>
            <w:pPr>
              <w:pStyle w:val="Normal"/>
              <w:widowControl/>
              <w:spacing w:after="55" w:line="240" w:lineRule="auto"/>
              <w:keepNext w:val="0"/>
              <w:keepLines/>
            </w:pPr>
            <w:r>
              <w:rPr>
                <w:sz w:val="21"/>
                <w:szCs w:val="21"/>
              </w:rPr>
              <w:t xml:space="preserve">Ann Surg 2010 (abstract; full text pending).</w:t>
            </w:r>
          </w:p>
          <w:p>
            <w:pPr>
              <w:pStyle w:val="Normal"/>
              <w:widowControl/>
              <w:spacing w:after="120"/>
              <w:keepNext w:val="0"/>
            </w:pPr>
            <w:r>
              <w:t xml:space="preserve"/>
            </w:r>
            <w:r>
              <w:t xml:space="preserve"> </w:t>
            </w:r>
            <w:r>
              <w:fldChar w:fldCharType="begin"/>
            </w:r>
            <w:r>
              <w:instrText xml:space="preserve"> ADDIN EN.CITE </w:instrText>
            </w:r>
            <w:r>
              <w:fldChar w:fldCharType="begin">
                <w:fldData>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</w:fldData>
              </w:fldChar>
            </w:r>
            <w:r>
              <w:instrText xml:space="preserve"> ADDIN EN.CITE.DATA </w:instrText>
            </w:r>
            <w:r>
              <w:fldChar w:fldCharType="end"/>
            </w:r>
            <w:r>
              <w:fldChar w:fldCharType="separate"/>
            </w:r>
            <w:r>
              <w:t xml:space="preserve">[V16-28]</w:t>
            </w:r>
            <w:r>
              <w:fldChar w:fldCharType="end"/>
            </w:r>
            <w:r>
              <w:br/>
            </w:r>
            <w:hyperlink r:id="rId122">
              <w:r>
                <w:rPr>
                  <w:color w:val="0563C1"/>
                  <w:u w:val="single"/>
                </w:rPr>
                <w:t>Source</w:t>
              </w:r>
            </w:hyperlink>
            <w:r>
              <w:t xml:space="preserve"> · </w:t>
            </w:r>
            <w:r>
              <w:t xml:space="preserve">full PDF pending</w:t>
            </w:r>
          </w:p>
        </w:tc>
      </w:tr>
    </w:tbl>
    <w:p>
      <w:pPr>
        <w:pStyle w:val="Normal"/>
        <w:widowControl/>
        <w:spacing w:after="120"/>
      </w:pPr>
      <w:r>
        <w:t xml:space="preserve"/>
      </w:r>
    </w:p>
    <w:p>
      <w:pPr>
        <w:pStyle w:val="Normal"/>
        <w:widowControl/>
        <w:spacing w:after="120"/>
      </w:pPr>
      <w:r>
        <w:t xml:space="preserve">Against, or uncertain: ENETS 2026 and some series suggest limited bone disease may not worsen survival; the bone exclusion is a conservative local choice.</w:t>
      </w:r>
    </w:p>
    <w:p>
      <w:pPr>
        <w:pStyle w:val="Normal"/>
        <w:widowControl/>
        <w:spacing w:after="120"/>
      </w:pPr>
      <w:r>
        <w:t xml:space="preserve">Certainty: Low for resected regional nodes after a recurrence-free interval; very low for distant nodes, PRRT-only clearance and solid-organ metastases.</w:t>
      </w:r>
    </w:p>
    <w:p>
      <w:pPr>
        <w:pStyle w:val="Normal"/>
        <w:widowControl/>
        <w:spacing w:after="120"/>
      </w:pPr>
      <w:r>
        <w:t xml:space="preserve">What would change the answer: Transplant outcomes in recipients with previously treated distant or bone disease.</w:t>
      </w:r>
    </w:p>
    <w:p>
      <w:pPr>
        <w:pStyle w:val="Normal"/>
        <w:widowControl/>
        <w:spacing w:after="120"/>
      </w:pPr>
      <w:r>
        <w:t xml:space="preserve">Meeting question NET-B4, with blank decision fields, is in the corresponding meeting record and the V16 decision worksheet.</w:t>
      </w:r>
    </w:p>
    <w:p>
      <w:pPr>
        <w:pStyle w:val="Heading1"/>
        <w:keepNext/>
        <w:widowControl/>
        <w:keepLines/>
      </w:pPr>
      <w:r>
        <w:t xml:space="preserve">Revision note</w:t>
      </w:r>
    </w:p>
    <w:p>
      <w:pPr>
        <w:pStyle w:val="Normal"/>
        <w:keepNext/>
        <w:widowControl/>
        <w:keepLines/>
      </w:pPr>
      <w:r>
        <w:t xml:space="preserve">Revised 2026-10-24 12:46 CDT. V8 incorporates the matched local full-text PDFs and recorded corrections below. Prior versions and external analyst reviews remain preserved. Institutional decisions remain OPEN.</w:t>
      </w:r>
    </w:p>
    <w:p>
      <w:pPr>
        <w:pStyle w:val="Normal"/>
        <w:keepNext/>
        <w:widowControl/>
        <w:keepLines/>
      </w:pPr>
      <w:r>
        <w:rPr>
          <w:b/>
        </w:rPr>
        <w:t xml:space="preserve">Problem: </w:t>
      </w:r>
      <w:r>
        <w:t xml:space="preserve">Selected or occult postoperative high-risk NET features could be mistaken for validated pre-LT expansion criteria. </w:t>
      </w:r>
      <w:r>
        <w:rPr>
          <w:b/>
        </w:rPr>
        <w:t xml:space="preserve">Correction and reason: </w:t>
      </w:r>
      <w:r>
        <w:t xml:space="preserve">Distinguished preoperative selection from explant upstaging, removed overstated age evidence and added late recurrence and post-LT PRRT hematologic toxicity.</w:t>
      </w:r>
    </w:p>
    <w:p>
      <w:pPr>
        <w:pStyle w:val="Normal"/>
        <w:keepNext/>
        <w:widowControl/>
        <w:keepLines/>
      </w:pPr>
      <w:r>
        <w:rPr>
          <w:b/>
        </w:rPr>
        <w:t xml:space="preserve">Problem: </w:t>
      </w:r>
      <w:r>
        <w:t xml:space="preserve">Nodal, burden and grading exceptions could be read as established expansion criteria. </w:t>
      </w:r>
      <w:r>
        <w:rPr>
          <w:b/>
        </w:rPr>
        <w:t xml:space="preserve">Correction and reason: </w:t>
      </w:r>
      <w:r>
        <w:t xml:space="preserve">Separated prospective eligibility from occult explant findings, preserved extrahepatic clearance requirements and kept broader cutoffs OPEN.</w:t>
      </w:r>
    </w:p>
    <w:p>
      <w:pPr>
        <w:pStyle w:val="Normal"/>
        <w:keepNext/>
        <w:widowControl/>
        <w:keepLines/>
      </w:pPr>
      <w:r>
        <w:rPr>
          <w:b/>
        </w:rPr>
        <w:t xml:space="preserve">Problem: </w:t>
      </w:r>
      <w:r>
        <w:t xml:space="preserve">Routine PET calendars, blanket FDG/biomarker testing and valve replacement were overprescriptive. </w:t>
      </w:r>
      <w:r>
        <w:rPr>
          <w:b/>
        </w:rPr>
        <w:t xml:space="preserve">Correction and reason: </w:t>
      </w:r>
      <w:r>
        <w:t xml:space="preserve">Used indication-specific imaging and functional testing, significant/symptomatic cardiac assessment, and an explicitly agreed post-LT surveillance plan.</w:t>
      </w:r>
    </w:p>
    <w:p>
      <w:pPr>
        <w:pStyle w:val="Normal"/>
        <w:keepNext/>
        <w:widowControl/>
        <w:keepLines/>
      </w:pPr>
      <w:r>
        <w:rPr>
          <w:b/>
        </w:rPr>
        <w:t xml:space="preserve">Problem: </w:t>
      </w:r>
      <w:r>
        <w:t xml:space="preserve">Postrecurrence survival and immunosuppression claims overstated benefit. </w:t>
      </w:r>
      <w:r>
        <w:rPr>
          <w:b/>
        </w:rPr>
        <w:t xml:space="preserve">Correction and reason: </w:t>
      </w:r>
      <w:r>
        <w:t xml:space="preserve">Corrected the 32-patient survival denominator and non-significant surgical comparison; removed unsupported NET-specific drug targets and anticancer prophylaxis claims.</w:t>
      </w:r>
    </w:p>
    <w:p>
      <w:pPr>
        <w:pStyle w:val="Normal"/>
        <w:keepNext/>
        <w:widowControl/>
        <w:keepLines/>
      </w:pPr>
      <w:r>
        <w:rPr>
          <w:b/>
        </w:rPr>
        <w:t xml:space="preserve">Problem: </w:t>
      </w:r>
      <w:r>
        <w:t xml:space="preserve">The new full texts were not linked to an updated evidence appraisal. </w:t>
      </w:r>
      <w:r>
        <w:rPr>
          <w:b/>
        </w:rPr>
        <w:t xml:space="preserve">Correction and reason: </w:t>
      </w:r>
      <w:r>
        <w:t xml:space="preserve">Added study-level outcomes, harms, denominators, source-specific limitations and depot links; the detailed paragraph reconciliation is retained in source/standard_body_reconciliation.json.</w:t>
      </w:r>
    </w:p>
    <w:p>
      <w:pPr>
        <w:pStyle w:val="Normal"/>
        <w:keepNext/>
        <w:widowControl/>
        <w:keepLines/>
      </w:pPr>
      <w:r>
        <w:rPr>
          <w:b/>
        </w:rPr>
        <w:t xml:space="preserve">Problem: </w:t>
      </w:r>
      <w:r>
        <w:t xml:space="preserve">Citation fields and source versions needed a consistent rebuild. </w:t>
      </w:r>
      <w:r>
        <w:rPr>
          <w:b/>
        </w:rPr>
        <w:t xml:space="preserve">Correction and reason: </w:t>
      </w:r>
      <w:r>
        <w:t xml:space="preserve">Populated structured EndNote citations and references, individual XML/RIS libraries and actual DOCX/PDF copies. Native Word/EndNote updating remains untested.</w:t>
      </w:r>
    </w:p>
    <w:p>
      <w:pPr>
        <w:pStyle w:val="Normal"/>
        <w:widowControl/>
        <w:keepLines/>
      </w:pPr>
      <w:r>
        <w:t xml:space="preserve">Approval record  Clinical lead __________  Allocation review __________  Research authorization if required __________  Donor review if applicable __________  Date __________</w:t>
      </w:r>
    </w:p>
    <w:p>
      <w:pPr>
        <w:pStyle w:val="Heading1"/>
        <w:widowControl/>
        <w:keepNext/>
      </w:pPr>
      <w:r>
        <w:t xml:space="preserve">References</w:t>
      </w:r>
    </w:p>
    <w:p>
      <w:pPr>
        <w:pStyle w:val="Normal"/>
        <w:widowControl/>
        <w:spacing w:after="120"/>
      </w:pPr>
      <w:r>
        <w:t xml:space="preserve"/>
      </w:r>
      <w:r>
        <w:fldChar w:fldCharType="begin"/>
      </w:r>
      <w:r>
        <w:instrText xml:space="preserve"> ADDIN EN.REFLIST </w:instrText>
      </w:r>
      <w:r>
        <w:fldChar w:fldCharType="separate"/>
      </w:r>
      <w:r>
        <w:t xml:space="preserve">[V16-1] Organ Procurement and Transplantation Network. OPTN Policies: liver allocation and living donation. HRSA/OPTN. 2026. </w:t>
      </w:r>
      <w:hyperlink r:id="rId123">
        <w:r>
          <w:rPr>
            <w:color w:val="0563C1"/>
            <w:u w:val="single"/>
          </w:rPr>
          <w:t>Source</w:t>
        </w:r>
      </w:hyperlink>
      <w:r>
        <w:t xml:space="preserve"> | </w:t>
      </w:r>
      <w:hyperlink r:id="rId124">
        <w:r>
          <w:rPr>
            <w:color w:val="0563C1"/>
            <w:u w:val="single"/>
          </w:rPr>
          <w:t>Full-text access</w:t>
        </w:r>
      </w:hyperlink>
    </w:p>
    <w:p>
      <w:pPr>
        <w:pStyle w:val="Normal"/>
        <w:widowControl/>
        <w:spacing w:after="120"/>
      </w:pPr>
      <w:r>
        <w:t xml:space="preserve"/>
      </w:r>
      <w:r>
        <w:t xml:space="preserve">[V16-2] Organ Procurement and Transplantation Network. Adult MELD Exceptions for Transplant Oncology. HRSA/OPTN. 2025. </w:t>
      </w:r>
      <w:hyperlink r:id="rId125">
        <w:r>
          <w:rPr>
            <w:color w:val="0563C1"/>
            <w:u w:val="single"/>
          </w:rPr>
          <w:t>Source</w:t>
        </w:r>
      </w:hyperlink>
      <w:r>
        <w:t xml:space="preserve"> | </w:t>
      </w:r>
      <w:hyperlink r:id="rId126">
        <w:r>
          <w:rPr>
            <w:color w:val="0563C1"/>
            <w:u w:val="single"/>
          </w:rPr>
          <w:t>Full-text access</w:t>
        </w:r>
      </w:hyperlink>
    </w:p>
    <w:p>
      <w:pPr>
        <w:pStyle w:val="Normal"/>
        <w:widowControl/>
        <w:spacing w:after="120"/>
      </w:pPr>
      <w:r>
        <w:t xml:space="preserve"/>
      </w:r>
      <w:r>
        <w:t xml:space="preserve">[V16-3] National Comprehensive Cancer Network. NCCN Clinical Practice Guidelines in Oncology: Neuroendocrine and Adrenal Tumors, Version 1.2026 (21 April 2026). . 2026. </w:t>
      </w:r>
      <w:hyperlink r:id="rId127">
        <w:r>
          <w:rPr>
            <w:color w:val="0563C1"/>
            <w:u w:val="single"/>
          </w:rPr>
          <w:t>Source</w:t>
        </w:r>
      </w:hyperlink>
      <w:r>
        <w:t xml:space="preserve"> | </w:t>
      </w:r>
      <w:hyperlink r:id="rId128">
        <w:r>
          <w:rPr>
            <w:color w:val="0563C1"/>
            <w:u w:val="single"/>
          </w:rPr>
          <w:t>Full-text access</w:t>
        </w:r>
      </w:hyperlink>
    </w:p>
    <w:p>
      <w:pPr>
        <w:pStyle w:val="Normal"/>
        <w:widowControl/>
        <w:spacing w:after="120"/>
      </w:pPr>
      <w:r>
        <w:t xml:space="preserve"/>
      </w:r>
      <w:r>
        <w:t xml:space="preserve">[V16-4] Dove, Lorna; Chadha, Ryan M.; Lai, Jennifer C.; et al. AASLD AST Practice Guideline on adult liver transplantation: Candidate evaluation. Hepatology. 2026; 83(6):1609-1645. </w:t>
      </w:r>
      <w:hyperlink r:id="rId129">
        <w:r>
          <w:rPr>
            <w:color w:val="0563C1"/>
            <w:u w:val="single"/>
          </w:rPr>
          <w:t>Source</w:t>
        </w:r>
      </w:hyperlink>
      <w:r>
        <w:t xml:space="preserve"> | </w:t>
      </w:r>
      <w:hyperlink r:id="rId130">
        <w:r>
          <w:rPr>
            <w:color w:val="0563C1"/>
            <w:u w:val="single"/>
          </w:rPr>
          <w:t>Full-text access</w:t>
        </w:r>
      </w:hyperlink>
    </w:p>
    <w:p>
      <w:pPr>
        <w:pStyle w:val="Normal"/>
        <w:widowControl/>
        <w:spacing w:after="120"/>
      </w:pPr>
      <w:r>
        <w:t xml:space="preserve"/>
      </w:r>
      <w:r>
        <w:t xml:space="preserve">[V16-5] Gorji, Leva; Brown, Zachary J.; Limkemann, Ashley; et al. Liver Transplant as a Treatment of Primary and Secondary Liver Neoplasms. JAMA Surgery. 2024; 159(2):211. </w:t>
      </w:r>
      <w:hyperlink r:id="rId131">
        <w:r>
          <w:rPr>
            <w:color w:val="0563C1"/>
            <w:u w:val="single"/>
          </w:rPr>
          <w:t>Source</w:t>
        </w:r>
      </w:hyperlink>
      <w:r>
        <w:t xml:space="preserve"> | </w:t>
      </w:r>
      <w:hyperlink r:id="rId132">
        <w:r>
          <w:rPr>
            <w:color w:val="0563C1"/>
            <w:u w:val="single"/>
          </w:rPr>
          <w:t>Full-text access</w:t>
        </w:r>
      </w:hyperlink>
    </w:p>
    <w:p>
      <w:pPr>
        <w:pStyle w:val="Normal"/>
        <w:widowControl/>
        <w:spacing w:after="120"/>
      </w:pPr>
      <w:r>
        <w:t xml:space="preserve"/>
      </w:r>
      <w:r>
        <w:t xml:space="preserve">[V16-6] Kasai, Yosuke; Ito, Takashi; Masui, Toshihiko; et al. Liver transplantation for gastroenteropancreatic neuroendocrine liver metastasis: optimal patient selection and perioperative management in the era of multimodal treatments. Journal of Gastroenterology. 2024; 60(1):1-9. </w:t>
      </w:r>
      <w:hyperlink r:id="rId133">
        <w:r>
          <w:rPr>
            <w:color w:val="0563C1"/>
            <w:u w:val="single"/>
          </w:rPr>
          <w:t>Source</w:t>
        </w:r>
      </w:hyperlink>
      <w:r>
        <w:t xml:space="preserve"> | </w:t>
      </w:r>
      <w:hyperlink r:id="rId134">
        <w:r>
          <w:rPr>
            <w:color w:val="0563C1"/>
            <w:u w:val="single"/>
          </w:rPr>
          <w:t>Full-text access</w:t>
        </w:r>
      </w:hyperlink>
    </w:p>
    <w:p>
      <w:pPr>
        <w:pStyle w:val="Normal"/>
        <w:widowControl/>
        <w:spacing w:after="120"/>
      </w:pPr>
      <w:r>
        <w:t xml:space="preserve"/>
      </w:r>
      <w:r>
        <w:t xml:space="preserve">[V16-7] Eshmuminov, Dilmurodjon; Studer, Debora J.; Lopez Lopez, Victor; et al. Controversy Over Liver Transplantation or Resection for Neuroendocrine Liver Metastasis: Tumor Biology Cuts the Deal. Annals of Surgery. 2023; 277(5):e1063-e1071. </w:t>
      </w:r>
      <w:hyperlink r:id="rId135">
        <w:r>
          <w:rPr>
            <w:color w:val="0563C1"/>
            <w:u w:val="single"/>
          </w:rPr>
          <w:t>Source</w:t>
        </w:r>
      </w:hyperlink>
      <w:r>
        <w:t xml:space="preserve"> | </w:t>
      </w:r>
      <w:hyperlink r:id="rId136">
        <w:r>
          <w:rPr>
            <w:color w:val="0563C1"/>
            <w:u w:val="single"/>
          </w:rPr>
          <w:t>Full-text access</w:t>
        </w:r>
      </w:hyperlink>
    </w:p>
    <w:p>
      <w:pPr>
        <w:pStyle w:val="Normal"/>
        <w:widowControl/>
        <w:spacing w:after="120"/>
      </w:pPr>
      <w:r>
        <w:t xml:space="preserve"/>
      </w:r>
      <w:r>
        <w:t xml:space="preserve">[V16-8] Stålberg, Peter; McNamara, Mairéad G; Grozinsky-Glasberg, Simona; et al. Controversies in NEN: An ENETS position statement on the role of liver transplantation (LT) in patients with advanced small-intestinal and pancreatic NETs. Journal of neuroendocrinology. 2026; 38(10):e70250. </w:t>
      </w:r>
      <w:hyperlink r:id="rId137">
        <w:r>
          <w:rPr>
            <w:color w:val="0563C1"/>
            <w:u w:val="single"/>
          </w:rPr>
          <w:t>Source</w:t>
        </w:r>
      </w:hyperlink>
      <w:r>
        <w:t xml:space="preserve"> | </w:t>
      </w:r>
      <w:hyperlink r:id="rId138">
        <w:r>
          <w:rPr>
            <w:color w:val="0563C1"/>
            <w:u w:val="single"/>
          </w:rPr>
          <w:t>Full-text access</w:t>
        </w:r>
      </w:hyperlink>
    </w:p>
    <w:p>
      <w:pPr>
        <w:pStyle w:val="Normal"/>
        <w:widowControl/>
        <w:spacing w:after="120"/>
      </w:pPr>
      <w:r>
        <w:t xml:space="preserve"/>
      </w:r>
      <w:r>
        <w:t xml:space="preserve">[V16-9] Maspero, Marianna; Rossi, Roberta Elisa; Sposito, Carlo; et al. Long-term outcomes of resection versus transplantation for neuroendocrine liver metastases meeting the Milan criteria. American Journal of Transplantation. 2022; 22(11):2598-2607. </w:t>
      </w:r>
      <w:hyperlink r:id="rId139">
        <w:r>
          <w:rPr>
            <w:color w:val="0563C1"/>
            <w:u w:val="single"/>
          </w:rPr>
          <w:t>Source</w:t>
        </w:r>
      </w:hyperlink>
      <w:r>
        <w:t xml:space="preserve"> | </w:t>
      </w:r>
      <w:hyperlink r:id="rId140">
        <w:r>
          <w:rPr>
            <w:color w:val="0563C1"/>
            <w:u w:val="single"/>
          </w:rPr>
          <w:t>Full-text access</w:t>
        </w:r>
      </w:hyperlink>
    </w:p>
    <w:p>
      <w:pPr>
        <w:pStyle w:val="Normal"/>
        <w:widowControl/>
        <w:spacing w:after="120"/>
      </w:pPr>
      <w:r>
        <w:t xml:space="preserve"/>
      </w:r>
      <w:r>
        <w:t xml:space="preserve">[V16-10] Le Treut, Yves Patrice; Grégoire, Emilie; Klempnauer, Jürgen; et al. Liver Transplantation for Neuroendocrine Tumors in Europe—Results and Trends in Patient Selection. Annals of Surgery. 2013; 257(5):807-815. </w:t>
      </w:r>
      <w:hyperlink r:id="rId141">
        <w:r>
          <w:rPr>
            <w:color w:val="0563C1"/>
            <w:u w:val="single"/>
          </w:rPr>
          <w:t>Source</w:t>
        </w:r>
      </w:hyperlink>
      <w:r>
        <w:t xml:space="preserve"> | </w:t>
      </w:r>
      <w:hyperlink r:id="rId142">
        <w:r>
          <w:rPr>
            <w:color w:val="0563C1"/>
            <w:u w:val="single"/>
          </w:rPr>
          <w:t>Full-text access</w:t>
        </w:r>
      </w:hyperlink>
    </w:p>
    <w:p>
      <w:pPr>
        <w:pStyle w:val="Normal"/>
        <w:widowControl/>
        <w:spacing w:after="120"/>
      </w:pPr>
      <w:r>
        <w:t xml:space="preserve"/>
      </w:r>
      <w:r>
        <w:t xml:space="preserve">[V16-11] Caplin ME; Pavel M; Ćwikła JB; et al. Lanreotide in metastatic enteropancreatic neuroendocrine tumors.. The New England journal of medicine. 2014; 371(3):224-33. </w:t>
      </w:r>
      <w:hyperlink r:id="rId143">
        <w:r>
          <w:rPr>
            <w:color w:val="0563C1"/>
            <w:u w:val="single"/>
          </w:rPr>
          <w:t>Source</w:t>
        </w:r>
      </w:hyperlink>
      <w:r>
        <w:t xml:space="preserve"> | </w:t>
      </w:r>
      <w:hyperlink r:id="rId144">
        <w:r>
          <w:rPr>
            <w:color w:val="0563C1"/>
            <w:u w:val="single"/>
          </w:rPr>
          <w:t>Full-text access</w:t>
        </w:r>
      </w:hyperlink>
    </w:p>
    <w:p>
      <w:pPr>
        <w:pStyle w:val="Normal"/>
        <w:widowControl/>
        <w:spacing w:after="120"/>
      </w:pPr>
      <w:r>
        <w:t xml:space="preserve"/>
      </w:r>
      <w:r>
        <w:t xml:space="preserve">[V16-12] Frilling, Andrea; Modlin, Irvin M; Kidd, Mark; et al. Recommendations for management of patients with neuroendocrine liver metastases. The Lancet Oncology. 2014; 15(1):e8-e21. </w:t>
      </w:r>
      <w:hyperlink r:id="rId145">
        <w:r>
          <w:rPr>
            <w:color w:val="0563C1"/>
            <w:u w:val="single"/>
          </w:rPr>
          <w:t>Source</w:t>
        </w:r>
      </w:hyperlink>
      <w:r>
        <w:t xml:space="preserve"> | </w:t>
      </w:r>
      <w:hyperlink r:id="rId146">
        <w:r>
          <w:rPr>
            <w:color w:val="0563C1"/>
            <w:u w:val="single"/>
          </w:rPr>
          <w:t>Full-text access</w:t>
        </w:r>
      </w:hyperlink>
    </w:p>
    <w:p>
      <w:pPr>
        <w:pStyle w:val="Normal"/>
        <w:widowControl/>
        <w:spacing w:after="120"/>
      </w:pPr>
      <w:r>
        <w:t xml:space="preserve"/>
      </w:r>
      <w:r>
        <w:t xml:space="preserve">[V16-13] Te, Helen S.; Agopian, Vatche G.; Demetris, Anthony J.; et al. AASLD AST Practice Guideline on adult liver transplantation: Diagnosis and management of graft-related complications. Liver Transplantation. 2025; 32(3):444-490. </w:t>
      </w:r>
      <w:hyperlink r:id="rId147">
        <w:r>
          <w:rPr>
            <w:color w:val="0563C1"/>
            <w:u w:val="single"/>
          </w:rPr>
          <w:t>Source</w:t>
        </w:r>
      </w:hyperlink>
      <w:r>
        <w:t xml:space="preserve"> | </w:t>
      </w:r>
      <w:hyperlink r:id="rId148">
        <w:r>
          <w:rPr>
            <w:color w:val="0563C1"/>
            <w:u w:val="single"/>
          </w:rPr>
          <w:t>Full-text access</w:t>
        </w:r>
      </w:hyperlink>
    </w:p>
    <w:p>
      <w:pPr>
        <w:pStyle w:val="Normal"/>
        <w:widowControl/>
        <w:spacing w:after="120"/>
      </w:pPr>
      <w:r>
        <w:t xml:space="preserve"/>
      </w:r>
      <w:r>
        <w:t xml:space="preserve">[V16-14] Adam, René; Piedvache, Céline; Chiche, Laurence; et al. Liver transplantation plus chemotherapy versus chemotherapy alone in patients with permanently unresectable colorectal liver metastases (TransMet): results from a multicentre, open-label, prospective, randomised controlled trial. Lancet (London, England). 2024; 404(10458):1107-1118. </w:t>
      </w:r>
      <w:hyperlink r:id="rId149">
        <w:r>
          <w:rPr>
            <w:color w:val="0563C1"/>
            <w:u w:val="single"/>
          </w:rPr>
          <w:t>Source</w:t>
        </w:r>
      </w:hyperlink>
      <w:r>
        <w:t xml:space="preserve"> | </w:t>
      </w:r>
      <w:hyperlink r:id="rId150">
        <w:r>
          <w:rPr>
            <w:color w:val="0563C1"/>
            <w:u w:val="single"/>
          </w:rPr>
          <w:t>Full-text access</w:t>
        </w:r>
      </w:hyperlink>
    </w:p>
    <w:p>
      <w:pPr>
        <w:pStyle w:val="Normal"/>
        <w:widowControl/>
        <w:spacing w:after="120"/>
      </w:pPr>
      <w:r>
        <w:t xml:space="preserve"/>
      </w:r>
      <w:r>
        <w:t xml:space="preserve">[V16-15] Nashan, Björn. mTOR Inhibition and Clinical Transplantation. Transplantation. 2018; 102(2S):S19-S26. </w:t>
      </w:r>
      <w:hyperlink r:id="rId151">
        <w:r>
          <w:rPr>
            <w:color w:val="0563C1"/>
            <w:u w:val="single"/>
          </w:rPr>
          <w:t>Source</w:t>
        </w:r>
      </w:hyperlink>
      <w:r>
        <w:t xml:space="preserve"> | </w:t>
      </w:r>
      <w:hyperlink r:id="rId152">
        <w:r>
          <w:rPr>
            <w:color w:val="0563C1"/>
            <w:u w:val="single"/>
          </w:rPr>
          <w:t>Full-text access</w:t>
        </w:r>
      </w:hyperlink>
    </w:p>
    <w:p>
      <w:pPr>
        <w:pStyle w:val="Normal"/>
        <w:widowControl/>
        <w:spacing w:after="120"/>
      </w:pPr>
      <w:r>
        <w:t xml:space="preserve"/>
      </w:r>
      <w:r>
        <w:t xml:space="preserve">[V16-16] Novartis Pharmaceuticals Corporation. Zortress (everolimus) US prescribing information, updated 16 September 2026. DailyMed. 2026. </w:t>
      </w:r>
      <w:hyperlink r:id="rId153">
        <w:r>
          <w:rPr>
            <w:color w:val="0563C1"/>
            <w:u w:val="single"/>
          </w:rPr>
          <w:t>Source</w:t>
        </w:r>
      </w:hyperlink>
      <w:r>
        <w:t xml:space="preserve"> | </w:t>
      </w:r>
      <w:hyperlink r:id="rId154">
        <w:r>
          <w:rPr>
            <w:color w:val="0563C1"/>
            <w:u w:val="single"/>
          </w:rPr>
          <w:t>Full-text access</w:t>
        </w:r>
      </w:hyperlink>
    </w:p>
    <w:p>
      <w:pPr>
        <w:pStyle w:val="Normal"/>
        <w:widowControl/>
        <w:spacing w:after="120"/>
      </w:pPr>
      <w:r>
        <w:t xml:space="preserve"/>
      </w:r>
      <w:r>
        <w:t xml:space="preserve">[V16-17] Chen, Chiyi; Zheng, Qiming; Zhang, Li; et al. Peptide Receptor Radionuclide Therapy for Recurrent Neuroendocrine Tumor Liver Metastases After Liver transplantation: A Case Series. Transplantation proceedings. 2026; 58(3):526-531. </w:t>
      </w:r>
      <w:hyperlink r:id="rId155">
        <w:r>
          <w:rPr>
            <w:color w:val="0563C1"/>
            <w:u w:val="single"/>
          </w:rPr>
          <w:t>Source</w:t>
        </w:r>
      </w:hyperlink>
      <w:r>
        <w:t xml:space="preserve"> | </w:t>
      </w:r>
      <w:hyperlink r:id="rId156">
        <w:r>
          <w:rPr>
            <w:color w:val="0563C1"/>
            <w:u w:val="single"/>
          </w:rPr>
          <w:t>Full-text access</w:t>
        </w:r>
      </w:hyperlink>
    </w:p>
    <w:p>
      <w:pPr>
        <w:pStyle w:val="Normal"/>
        <w:widowControl/>
        <w:spacing w:after="120"/>
      </w:pPr>
      <w:r>
        <w:t xml:space="preserve"/>
      </w:r>
      <w:r>
        <w:t xml:space="preserve">[V16-18] Sposito, Carlo; Rossi, Roberta Elisa; Monteleone, Michela; et al. Postrecurrence Survival After Liver Transplantation for Liver Metastases From Neuroendocrine Tumors. Transplantation. 2021; 105(12):2579-2586. </w:t>
      </w:r>
      <w:hyperlink r:id="rId157">
        <w:r>
          <w:rPr>
            <w:color w:val="0563C1"/>
            <w:u w:val="single"/>
          </w:rPr>
          <w:t>Source</w:t>
        </w:r>
      </w:hyperlink>
      <w:r>
        <w:t xml:space="preserve"> | </w:t>
      </w:r>
      <w:hyperlink r:id="rId158">
        <w:r>
          <w:rPr>
            <w:color w:val="0563C1"/>
            <w:u w:val="single"/>
          </w:rPr>
          <w:t>Full-text access</w:t>
        </w:r>
      </w:hyperlink>
    </w:p>
    <w:p>
      <w:pPr>
        <w:pStyle w:val="Normal"/>
        <w:widowControl/>
        <w:spacing w:after="120"/>
      </w:pPr>
      <w:r>
        <w:t xml:space="preserve"/>
      </w:r>
      <w:r>
        <w:t xml:space="preserve">[V16-19] Chan JA; Geyer S; Zemla T; et al. Phase 3 Trial of Cabozantinib to Treat Advanced Neuroendocrine Tumors.. The New England journal of medicine. 2025; 392(7):653-665. </w:t>
      </w:r>
      <w:hyperlink r:id="rId159">
        <w:r>
          <w:rPr>
            <w:color w:val="0563C1"/>
            <w:u w:val="single"/>
          </w:rPr>
          <w:t>Source</w:t>
        </w:r>
      </w:hyperlink>
      <w:r>
        <w:t xml:space="preserve"> | </w:t>
      </w:r>
      <w:hyperlink r:id="rId160">
        <w:r>
          <w:rPr>
            <w:color w:val="0563C1"/>
            <w:u w:val="single"/>
          </w:rPr>
          <w:t>Full-text access</w:t>
        </w:r>
      </w:hyperlink>
    </w:p>
    <w:p>
      <w:pPr>
        <w:pStyle w:val="Normal"/>
        <w:widowControl/>
        <w:spacing w:after="120"/>
      </w:pPr>
      <w:r>
        <w:t xml:space="preserve"/>
      </w:r>
      <w:r>
        <w:t xml:space="preserve">[V16-20] Strosberg, Jonathan R; Caplin, Martyn E; Kunz, Pamela L; et al. 177Lu-Dotatate plus long-acting octreotide versus high‑dose long-acting octreotide in patients with midgut neuroendocrine tumours (NETTER-1): final overall survival and long-term safety results from an open-label, randomised, controlled, phase 3 trial. The Lancet Oncology. 2021; 22(12):1752-1763. </w:t>
      </w:r>
      <w:hyperlink r:id="rId161">
        <w:r>
          <w:rPr>
            <w:color w:val="0563C1"/>
            <w:u w:val="single"/>
          </w:rPr>
          <w:t>Source</w:t>
        </w:r>
      </w:hyperlink>
      <w:r>
        <w:t xml:space="preserve"> | </w:t>
      </w:r>
      <w:hyperlink r:id="rId162">
        <w:r>
          <w:rPr>
            <w:color w:val="0563C1"/>
            <w:u w:val="single"/>
          </w:rPr>
          <w:t>Full-text access</w:t>
        </w:r>
      </w:hyperlink>
    </w:p>
    <w:p>
      <w:pPr>
        <w:pStyle w:val="Normal"/>
        <w:widowControl/>
        <w:spacing w:after="120"/>
      </w:pPr>
      <w:r>
        <w:t xml:space="preserve"/>
      </w:r>
      <w:r>
        <w:t xml:space="preserve">[V16-21] Abecassis, M.M.; Fisher, R.A.; Olthoff, K.M.; et al. Complications of Living Donor Hepatic Lobectomy—A Comprehensive Report. American Journal of Transplantation. 2012; 12(5):1208-1217. </w:t>
      </w:r>
      <w:hyperlink r:id="rId163">
        <w:r>
          <w:rPr>
            <w:color w:val="0563C1"/>
            <w:u w:val="single"/>
          </w:rPr>
          <w:t>Source</w:t>
        </w:r>
      </w:hyperlink>
      <w:r>
        <w:t xml:space="preserve"> | </w:t>
      </w:r>
      <w:hyperlink r:id="rId164">
        <w:r>
          <w:rPr>
            <w:color w:val="0563C1"/>
            <w:u w:val="single"/>
          </w:rPr>
          <w:t>Full-text access</w:t>
        </w:r>
      </w:hyperlink>
    </w:p>
    <w:p>
      <w:pPr>
        <w:pStyle w:val="Normal"/>
        <w:widowControl/>
        <w:spacing w:after="120"/>
      </w:pPr>
      <w:r>
        <w:t xml:space="preserve"/>
      </w:r>
      <w:r>
        <w:t xml:space="preserve">[V16-22] DiMartini, A.; Dew, M.A.; Liu, Q.; et al. Social and Financial Outcomes of Living Liver Donation: A Prospective Investigation Within the Adult-to-Adult Living Donor Liver Transplantation Cohort Study 2 (A2ALL-2). American Journal of Transplantation. 2017; 17(4):1081-1096. </w:t>
      </w:r>
      <w:hyperlink r:id="rId165">
        <w:r>
          <w:rPr>
            <w:color w:val="0563C1"/>
            <w:u w:val="single"/>
          </w:rPr>
          <w:t>Source</w:t>
        </w:r>
      </w:hyperlink>
      <w:r>
        <w:t xml:space="preserve"> | </w:t>
      </w:r>
      <w:hyperlink r:id="rId166">
        <w:r>
          <w:rPr>
            <w:color w:val="0563C1"/>
            <w:u w:val="single"/>
          </w:rPr>
          <w:t>Full-text access</w:t>
        </w:r>
      </w:hyperlink>
    </w:p>
    <w:p>
      <w:pPr>
        <w:pStyle w:val="Normal"/>
        <w:widowControl/>
        <w:spacing w:after="120"/>
      </w:pPr>
      <w:r>
        <w:t xml:space="preserve"/>
      </w:r>
      <w:r>
        <w:t xml:space="preserve">[V16-23] Xiao, Jieling; Zeng, Rebecca Wenling; Lim, Wen Hui; et al. The incidence of adverse outcome in donors after living donor liver transplantation: A meta-analysis of 60,829 donors. Liver Transplantation. 2024; 30(5):493-504. </w:t>
      </w:r>
      <w:hyperlink r:id="rId167">
        <w:r>
          <w:rPr>
            <w:color w:val="0563C1"/>
            <w:u w:val="single"/>
          </w:rPr>
          <w:t>Source</w:t>
        </w:r>
      </w:hyperlink>
      <w:r>
        <w:t xml:space="preserve"> | </w:t>
      </w:r>
      <w:hyperlink r:id="rId168">
        <w:r>
          <w:rPr>
            <w:color w:val="0563C1"/>
            <w:u w:val="single"/>
          </w:rPr>
          <w:t>Full-text access</w:t>
        </w:r>
      </w:hyperlink>
    </w:p>
    <w:p>
      <w:pPr>
        <w:pStyle w:val="Normal"/>
        <w:widowControl/>
        <w:spacing w:after="120"/>
      </w:pPr>
      <w:r>
        <w:t xml:space="preserve"/>
      </w:r>
      <w:r>
        <w:t xml:space="preserve">[V16-24] Kjaer, Josefine; Smith, Sara; Hellman, Per; et al. Overall Survival in Patients with Stage IV Pan-NET Eligible for Liver Transplantation. World Journal of Surgery. 2023. </w:t>
      </w:r>
      <w:hyperlink r:id="rId169">
        <w:r>
          <w:rPr>
            <w:color w:val="0563C1"/>
            <w:u w:val="single"/>
          </w:rPr>
          <w:t>Source</w:t>
        </w:r>
      </w:hyperlink>
      <w:r>
        <w:t xml:space="preserve"> | </w:t>
      </w:r>
      <w:hyperlink r:id="rId170">
        <w:r>
          <w:rPr>
            <w:color w:val="0563C1"/>
            <w:u w:val="single"/>
          </w:rPr>
          <w:t>Full-text access</w:t>
        </w:r>
      </w:hyperlink>
    </w:p>
    <w:p>
      <w:pPr>
        <w:pStyle w:val="Normal"/>
        <w:widowControl/>
        <w:spacing w:after="120"/>
      </w:pPr>
      <w:r>
        <w:t xml:space="preserve"/>
      </w:r>
      <w:r>
        <w:t xml:space="preserve">[V16-25] Mazzaferro, V; Sposito, C; Coppa, J; et al. The Long-Term Benefit of Liver Transplantation for Hepatic Metastases From Neuroendocrine Tumors. American journal of transplantation : official journal of the American Society of Transplantation and the American Society of Transplant Surgeons. 2016; 16(10):2892-2902. </w:t>
      </w:r>
      <w:hyperlink r:id="rId171">
        <w:r>
          <w:rPr>
            <w:color w:val="0563C1"/>
            <w:u w:val="single"/>
          </w:rPr>
          <w:t>Source</w:t>
        </w:r>
      </w:hyperlink>
      <w:r>
        <w:t xml:space="preserve"> | </w:t>
      </w:r>
      <w:hyperlink r:id="rId172">
        <w:r>
          <w:rPr>
            <w:color w:val="0563C1"/>
            <w:u w:val="single"/>
          </w:rPr>
          <w:t>Full-text access</w:t>
        </w:r>
      </w:hyperlink>
    </w:p>
    <w:p>
      <w:pPr>
        <w:pStyle w:val="Normal"/>
        <w:widowControl/>
        <w:spacing w:after="120"/>
      </w:pPr>
      <w:r>
        <w:t xml:space="preserve"/>
      </w:r>
      <w:r>
        <w:t xml:space="preserve">[V16-26] Wedin, Maria; Janson, Eva Tiensuu; Wallin, Göran; et al. Impact on symptoms and survival of bone metastases in patients with small-intestinal neuroendocrine tumours. Journal of neuroendocrinology. 2025; 37(10):e70073. </w:t>
      </w:r>
      <w:hyperlink r:id="rId173">
        <w:r>
          <w:rPr>
            <w:color w:val="0563C1"/>
            <w:u w:val="single"/>
          </w:rPr>
          <w:t>Source</w:t>
        </w:r>
      </w:hyperlink>
      <w:r>
        <w:t xml:space="preserve"> | Local PDF not available in this update</w:t>
      </w:r>
    </w:p>
    <w:p>
      <w:pPr>
        <w:pStyle w:val="Normal"/>
        <w:widowControl/>
        <w:spacing w:after="120"/>
      </w:pPr>
      <w:r>
        <w:t xml:space="preserve"/>
      </w:r>
      <w:r>
        <w:t xml:space="preserve">[V16-27] Sher, Linda S; Levi, David M; Wecsler, Julie S; et al. Liver transplantation for metastatic neuroendocrine tumors: Outcomes and prognostic variables. Journal of surgical oncology. 2015; 112(2):125-32. </w:t>
      </w:r>
      <w:hyperlink r:id="rId174">
        <w:r>
          <w:rPr>
            <w:color w:val="0563C1"/>
            <w:u w:val="single"/>
          </w:rPr>
          <w:t>Source</w:t>
        </w:r>
      </w:hyperlink>
      <w:r>
        <w:t xml:space="preserve"> | Local PDF not available in this update</w:t>
      </w:r>
    </w:p>
    <w:p>
      <w:pPr>
        <w:pStyle w:val="Normal"/>
        <w:widowControl/>
        <w:spacing w:after="120"/>
      </w:pPr>
      <w:r>
        <w:t xml:space="preserve"/>
      </w:r>
      <w:r>
        <w:t xml:space="preserve">[V16-28] Frilling. The impact of 68Ga-DOTATOC positron emission tomography/computed tomography on the multimodal management of patients with neuroendocrine tumors. Annals of surgery. 2010. </w:t>
      </w:r>
      <w:hyperlink r:id="rId175">
        <w:r>
          <w:rPr>
            <w:color w:val="0563C1"/>
            <w:u w:val="single"/>
          </w:rPr>
          <w:t>Source</w:t>
        </w:r>
      </w:hyperlink>
      <w:r>
        <w:t xml:space="preserve"> | Local PDF not available in this update</w:t>
      </w:r>
      <w:r>
        <w:fldChar w:fldCharType="end"/>
      </w:r>
    </w:p>
    <w:p>
      <w:pPr>
        <w:pStyle w:val="Heading1"/>
        <w:widowControl/>
        <w:keepNext/>
      </w:pPr>
      <w:r>
        <w:t xml:space="preserve">V16 revision note</w:t>
      </w:r>
    </w:p>
    <w:p>
      <w:pPr>
        <w:pStyle w:val="Normal"/>
        <w:widowControl/>
        <w:spacing w:after="120"/>
      </w:pPr>
      <w:r>
        <w:t xml:space="preserve">2026-10-29 09:21 CDT. Problem: no dedicated position on previously treated, responded extrahepatic disease. Correction: added NET-B4 with a proposed position, rules, evidence and OPEN decision fields. No eligibility rule, allocation route, MELD-exception request or study is activated; existing clinical content is retained.</w:t>
      </w:r>
    </w:p>
    <w:p>
      <w:pPr>
        <w:pStyle w:val="Normal"/>
        <w:widowControl/>
        <w:spacing w:after="120"/>
      </w:pPr>
      <w:r>
        <w:t xml:space="preserve">Review scope: 6 cited study lines rest on full-text reading (complete main text; relevant complete sections of long guidelines) and 1 on verified PubMed abstracts whose full texts are pending TMC download. Positions will be revised after those full texts are read. Analyst B (Claude.ai) for Hao Liu; no external-analyst consensus or institutional approval is implied. Live EndNote field structures and document-specific XML/RIS exports are included; native Word/EndNote CWYW refresh has not been tested.</w:t>
      </w:r>
    </w:p>
    <w:sectPr>
      <w:type w:val="continuous"/>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spacing w:before="0" w:after="0"/>
        <w:ind w:left="720" w:hanging="360"/>
      </w:pPr>
    </w:lvl>
  </w:abstractNum>
  <w:num w:numId="1">
    <w:abstractNumId w:val="1"/>
    <w:lvlOverride w:ilvl="0">
      <w:startOverride w:val="1"/>
    </w:lvlOverride>
  </w:num>
  <w:num w:numId="2">
    <w:abstractNumId w:val="2"/>
    <w:lvlOverride w:ilvl="0">
      <w:startOverride w:val="1"/>
    </w:lvlOverride>
  </w:num>
  <w:abstractNum w:abstractNumId="3">
    <w:multiLevelType w:val="multilevel"/>
    <w:lvl w:ilvl="0">
      <w:start w:val="1"/>
      <w:numFmt w:val="bullet"/>
      <w:lvlText w:val="•"/>
      <w:lvlJc w:val="left"/>
      <w:pPr>
        <w:ind w:left="360" w:hanging="220"/>
      </w:pPr>
    </w:lvl>
    <w:lvl w:ilvl="1">
      <w:start w:val="1"/>
      <w:numFmt w:val="bullet"/>
      <w:lvlText w:val="–"/>
      <w:lvlJc w:val="left"/>
      <w:pPr>
        <w:ind w:left="720" w:hanging="220"/>
      </w:pPr>
    </w:lvl>
    <w:lvl w:ilvl="2">
      <w:start w:val="1"/>
      <w:numFmt w:val="bullet"/>
      <w:lvlText w:val="–"/>
      <w:lvlJc w:val="left"/>
      <w:pPr>
        <w:ind w:left="1080" w:hanging="220"/>
      </w:pPr>
    </w:lvl>
  </w:abstractNum>
  <w:num w:numId="3">
    <w:abstractNumId w:val="3"/>
  </w:num>
  <w:abstractNum w:abstractNumId="4">
    <w:multiLevelType w:val="multilevel"/>
    <w:lvl w:ilvl="0">
      <w:start w:val="1"/>
      <w:numFmt w:val="bullet"/>
      <w:lvlText w:val="•"/>
      <w:lvlJc w:val="left"/>
      <w:pPr>
        <w:ind w:left="360" w:hanging="180"/>
      </w:pPr>
    </w:lvl>
    <w:lvl w:ilvl="1">
      <w:start w:val="1"/>
      <w:numFmt w:val="bullet"/>
      <w:lvlText w:val="•"/>
      <w:lvlJc w:val="left"/>
      <w:pPr>
        <w:ind w:left="720" w:hanging="180"/>
      </w:pPr>
    </w:lvl>
    <w:lvl w:ilvl="2">
      <w:start w:val="1"/>
      <w:numFmt w:val="bullet"/>
      <w:lvlText w:val="•"/>
      <w:lvlJc w:val="left"/>
      <w:pPr>
        <w:ind w:left="1080" w:hanging="180"/>
      </w:pPr>
    </w:lvl>
  </w:abstractNum>
  <w:num w:numId="4">
    <w:abstractNumId w:val="4"/>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updateFields w:val="fals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before="2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3D09"/>
    <w:rPr>
      <w:sz w:val="20"/>
      <w:szCs w:val="20"/>
    </w:rPr>
  </w:style>
  <w:style w:type="paragraph" w:styleId="Heading1">
    <w:name w:val="heading 1"/>
    <w:basedOn w:val="Normal"/>
    <w:next w:val="Normal"/>
    <w:link w:val="Heading1Char"/>
    <w:uiPriority w:val="9"/>
    <w:qFormat/>
    <w:rsid w:val="00073D09"/>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b/>
      <w:bCs/>
      <w:caps/>
      <w:color w:val="FFFFFF" w:themeColor="background1"/>
      <w:spacing w:val="15"/>
      <w:sz w:val="22"/>
      <w:szCs w:val="22"/>
    </w:rPr>
  </w:style>
  <w:style w:type="paragraph" w:styleId="Heading2">
    <w:name w:val="heading 2"/>
    <w:basedOn w:val="Normal"/>
    <w:next w:val="Normal"/>
    <w:link w:val="Heading2Char"/>
    <w:uiPriority w:val="9"/>
    <w:unhideWhenUsed/>
    <w:qFormat/>
    <w:rsid w:val="00073D09"/>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sz w:val="22"/>
      <w:szCs w:val="22"/>
    </w:rPr>
  </w:style>
  <w:style w:type="paragraph" w:styleId="Heading3">
    <w:name w:val="heading 3"/>
    <w:basedOn w:val="Normal"/>
    <w:next w:val="Normal"/>
    <w:link w:val="Heading3Char"/>
    <w:uiPriority w:val="9"/>
    <w:unhideWhenUsed/>
    <w:qFormat/>
    <w:rsid w:val="00073D09"/>
    <w:pPr>
      <w:pBdr>
        <w:top w:val="single" w:sz="6" w:space="2" w:color="156082" w:themeColor="accent1"/>
        <w:left w:val="single" w:sz="6" w:space="2" w:color="156082" w:themeColor="accent1"/>
      </w:pBdr>
      <w:spacing w:before="300" w:after="0"/>
      <w:outlineLvl w:val="2"/>
    </w:pPr>
    <w:rPr>
      <w:caps/>
      <w:color w:val="0A2F40" w:themeColor="accent1" w:themeShade="7F"/>
      <w:spacing w:val="15"/>
      <w:sz w:val="22"/>
      <w:szCs w:val="22"/>
    </w:rPr>
  </w:style>
  <w:style w:type="paragraph" w:styleId="Heading4">
    <w:name w:val="heading 4"/>
    <w:basedOn w:val="Normal"/>
    <w:next w:val="Normal"/>
    <w:link w:val="Heading4Char"/>
    <w:uiPriority w:val="9"/>
    <w:semiHidden/>
    <w:unhideWhenUsed/>
    <w:qFormat/>
    <w:rsid w:val="00073D09"/>
    <w:pPr>
      <w:pBdr>
        <w:top w:val="dotted" w:sz="6" w:space="2" w:color="156082" w:themeColor="accent1"/>
        <w:left w:val="dotted" w:sz="6" w:space="2" w:color="156082" w:themeColor="accent1"/>
      </w:pBdr>
      <w:spacing w:before="300" w:after="0"/>
      <w:outlineLvl w:val="3"/>
    </w:pPr>
    <w:rPr>
      <w:caps/>
      <w:color w:val="0F4761" w:themeColor="accent1" w:themeShade="BF"/>
      <w:spacing w:val="10"/>
      <w:sz w:val="22"/>
      <w:szCs w:val="22"/>
    </w:rPr>
  </w:style>
  <w:style w:type="paragraph" w:styleId="Heading5">
    <w:name w:val="heading 5"/>
    <w:basedOn w:val="Normal"/>
    <w:next w:val="Normal"/>
    <w:link w:val="Heading5Char"/>
    <w:uiPriority w:val="9"/>
    <w:semiHidden/>
    <w:unhideWhenUsed/>
    <w:qFormat/>
    <w:rsid w:val="00073D09"/>
    <w:pPr>
      <w:pBdr>
        <w:bottom w:val="single" w:sz="6" w:space="1" w:color="156082" w:themeColor="accent1"/>
      </w:pBdr>
      <w:spacing w:before="300" w:after="0"/>
      <w:outlineLvl w:val="4"/>
    </w:pPr>
    <w:rPr>
      <w:caps/>
      <w:color w:val="0F4761" w:themeColor="accent1" w:themeShade="BF"/>
      <w:spacing w:val="10"/>
      <w:sz w:val="22"/>
      <w:szCs w:val="22"/>
    </w:rPr>
  </w:style>
  <w:style w:type="paragraph" w:styleId="Heading6">
    <w:name w:val="heading 6"/>
    <w:basedOn w:val="Normal"/>
    <w:next w:val="Normal"/>
    <w:link w:val="Heading6Char"/>
    <w:uiPriority w:val="9"/>
    <w:semiHidden/>
    <w:unhideWhenUsed/>
    <w:qFormat/>
    <w:rsid w:val="00073D09"/>
    <w:pPr>
      <w:pBdr>
        <w:bottom w:val="dotted" w:sz="6" w:space="1" w:color="156082" w:themeColor="accent1"/>
      </w:pBdr>
      <w:spacing w:before="300" w:after="0"/>
      <w:outlineLvl w:val="5"/>
    </w:pPr>
    <w:rPr>
      <w:caps/>
      <w:color w:val="0F4761" w:themeColor="accent1" w:themeShade="BF"/>
      <w:spacing w:val="10"/>
      <w:sz w:val="22"/>
      <w:szCs w:val="22"/>
    </w:rPr>
  </w:style>
  <w:style w:type="paragraph" w:styleId="Heading7">
    <w:name w:val="heading 7"/>
    <w:basedOn w:val="Normal"/>
    <w:next w:val="Normal"/>
    <w:link w:val="Heading7Char"/>
    <w:uiPriority w:val="9"/>
    <w:semiHidden/>
    <w:unhideWhenUsed/>
    <w:qFormat/>
    <w:rsid w:val="00073D09"/>
    <w:pPr>
      <w:spacing w:before="300" w:after="0"/>
      <w:outlineLvl w:val="6"/>
    </w:pPr>
    <w:rPr>
      <w:caps/>
      <w:color w:val="0F4761" w:themeColor="accent1" w:themeShade="BF"/>
      <w:spacing w:val="10"/>
      <w:sz w:val="22"/>
      <w:szCs w:val="22"/>
    </w:rPr>
  </w:style>
  <w:style w:type="paragraph" w:styleId="Heading8">
    <w:name w:val="heading 8"/>
    <w:basedOn w:val="Normal"/>
    <w:next w:val="Normal"/>
    <w:link w:val="Heading8Char"/>
    <w:uiPriority w:val="9"/>
    <w:semiHidden/>
    <w:unhideWhenUsed/>
    <w:qFormat/>
    <w:rsid w:val="00073D09"/>
    <w:pPr>
      <w:spacing w:before="3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073D09"/>
    <w:pPr>
      <w:spacing w:before="300" w:after="0"/>
      <w:outlineLvl w:val="8"/>
    </w:pPr>
    <w:rPr>
      <w:i/>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73D09"/>
    <w:pPr>
      <w:spacing w:before="720"/>
    </w:pPr>
    <w:rPr>
      <w:caps/>
      <w:color w:val="156082" w:themeColor="accent1"/>
      <w:spacing w:val="10"/>
      <w:kern w:val="28"/>
      <w:sz w:val="52"/>
      <w:szCs w:val="52"/>
    </w:rPr>
  </w:style>
  <w:style w:type="paragraph" w:customStyle="1" w:styleId="Strong1">
    <w:name w:val="Strong1"/>
    <w:basedOn w:val="Normal"/>
    <w:next w:val="Normal"/>
    <w:rPr>
      <w:b/>
      <w:bCs/>
    </w:rPr>
  </w:style>
  <w:style w:type="paragraph" w:styleId="ListParagraph">
    <w:name w:val="List Paragraph"/>
    <w:basedOn w:val="Normal"/>
    <w:uiPriority w:val="34"/>
    <w:qFormat/>
    <w:rsid w:val="00073D09"/>
    <w:pPr>
      <w:ind w:left="720"/>
      <w:contextualSpacing/>
    </w:pPr>
  </w:style>
  <w:style w:type="character" w:styleId="Hyperlink">
    <w:name w:val="Hyperlink"/>
    <w:uiPriority w:val="99"/>
    <w:unhideWhenUsed/>
    <w:qFormat/>
    <w:rPr>
      <w:b w:val="0"/>
      <w:bCs w:val="0"/>
      <w:color w:val="0000FF"/>
      <w:sz w:val="24"/>
      <w:szCs w:val="24"/>
      <w:u w:val="single" w:color="0000FF"/>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style>
  <w:style w:type="character" w:customStyle="1" w:styleId="FootnoteTextChar">
    <w:name w:val="Footnote Text Char"/>
    <w:link w:val="FootnoteText"/>
    <w:uiPriority w:val="99"/>
    <w:semiHidden/>
    <w:unhideWhenUsed/>
    <w:rPr>
      <w:sz w:val="20"/>
      <w:szCs w:val="20"/>
    </w:rPr>
  </w:style>
  <w:style w:type="character" w:customStyle="1" w:styleId="Heading1Char">
    <w:name w:val="Heading 1 Char"/>
    <w:basedOn w:val="DefaultParagraphFont"/>
    <w:link w:val="Heading1"/>
    <w:uiPriority w:val="9"/>
    <w:rsid w:val="00073D09"/>
    <w:rPr>
      <w:b/>
      <w:bCs/>
      <w:caps/>
      <w:color w:val="FFFFFF" w:themeColor="background1"/>
      <w:spacing w:val="15"/>
      <w:shd w:val="clear" w:color="auto" w:fill="156082" w:themeFill="accent1"/>
    </w:rPr>
  </w:style>
  <w:style w:type="character" w:customStyle="1" w:styleId="Heading2Char">
    <w:name w:val="Heading 2 Char"/>
    <w:basedOn w:val="DefaultParagraphFont"/>
    <w:link w:val="Heading2"/>
    <w:uiPriority w:val="9"/>
    <w:rsid w:val="00073D09"/>
    <w:rPr>
      <w:caps/>
      <w:spacing w:val="15"/>
      <w:shd w:val="clear" w:color="auto" w:fill="C1E4F5" w:themeFill="accent1" w:themeFillTint="33"/>
    </w:rPr>
  </w:style>
  <w:style w:type="character" w:customStyle="1" w:styleId="Heading3Char">
    <w:name w:val="Heading 3 Char"/>
    <w:basedOn w:val="DefaultParagraphFont"/>
    <w:link w:val="Heading3"/>
    <w:uiPriority w:val="9"/>
    <w:rsid w:val="00073D09"/>
    <w:rPr>
      <w:caps/>
      <w:color w:val="0A2F40" w:themeColor="accent1" w:themeShade="7F"/>
      <w:spacing w:val="15"/>
    </w:rPr>
  </w:style>
  <w:style w:type="character" w:customStyle="1" w:styleId="Heading4Char">
    <w:name w:val="Heading 4 Char"/>
    <w:basedOn w:val="DefaultParagraphFont"/>
    <w:link w:val="Heading4"/>
    <w:uiPriority w:val="9"/>
    <w:semiHidden/>
    <w:rsid w:val="00073D09"/>
    <w:rPr>
      <w:caps/>
      <w:color w:val="0F4761" w:themeColor="accent1" w:themeShade="BF"/>
      <w:spacing w:val="10"/>
    </w:rPr>
  </w:style>
  <w:style w:type="character" w:customStyle="1" w:styleId="Heading5Char">
    <w:name w:val="Heading 5 Char"/>
    <w:basedOn w:val="DefaultParagraphFont"/>
    <w:link w:val="Heading5"/>
    <w:uiPriority w:val="9"/>
    <w:semiHidden/>
    <w:rsid w:val="00073D09"/>
    <w:rPr>
      <w:caps/>
      <w:color w:val="0F4761" w:themeColor="accent1" w:themeShade="BF"/>
      <w:spacing w:val="10"/>
    </w:rPr>
  </w:style>
  <w:style w:type="character" w:customStyle="1" w:styleId="Heading6Char">
    <w:name w:val="Heading 6 Char"/>
    <w:basedOn w:val="DefaultParagraphFont"/>
    <w:link w:val="Heading6"/>
    <w:uiPriority w:val="9"/>
    <w:semiHidden/>
    <w:rsid w:val="00073D09"/>
    <w:rPr>
      <w:caps/>
      <w:color w:val="0F4761" w:themeColor="accent1" w:themeShade="BF"/>
      <w:spacing w:val="10"/>
    </w:rPr>
  </w:style>
  <w:style w:type="character" w:customStyle="1" w:styleId="Heading7Char">
    <w:name w:val="Heading 7 Char"/>
    <w:basedOn w:val="DefaultParagraphFont"/>
    <w:link w:val="Heading7"/>
    <w:uiPriority w:val="9"/>
    <w:semiHidden/>
    <w:rsid w:val="00073D09"/>
    <w:rPr>
      <w:caps/>
      <w:color w:val="0F4761" w:themeColor="accent1" w:themeShade="BF"/>
      <w:spacing w:val="10"/>
    </w:rPr>
  </w:style>
  <w:style w:type="character" w:customStyle="1" w:styleId="Heading8Char">
    <w:name w:val="Heading 8 Char"/>
    <w:basedOn w:val="DefaultParagraphFont"/>
    <w:link w:val="Heading8"/>
    <w:uiPriority w:val="9"/>
    <w:semiHidden/>
    <w:rsid w:val="00073D09"/>
    <w:rPr>
      <w:caps/>
      <w:spacing w:val="10"/>
      <w:sz w:val="18"/>
      <w:szCs w:val="18"/>
    </w:rPr>
  </w:style>
  <w:style w:type="character" w:customStyle="1" w:styleId="Heading9Char">
    <w:name w:val="Heading 9 Char"/>
    <w:basedOn w:val="DefaultParagraphFont"/>
    <w:link w:val="Heading9"/>
    <w:uiPriority w:val="9"/>
    <w:semiHidden/>
    <w:rsid w:val="00073D09"/>
    <w:rPr>
      <w:i/>
      <w:caps/>
      <w:spacing w:val="10"/>
      <w:sz w:val="18"/>
      <w:szCs w:val="18"/>
    </w:rPr>
  </w:style>
  <w:style w:type="paragraph" w:styleId="Caption">
    <w:name w:val="caption"/>
    <w:basedOn w:val="Normal"/>
    <w:next w:val="Normal"/>
    <w:uiPriority w:val="35"/>
    <w:semiHidden/>
    <w:unhideWhenUsed/>
    <w:qFormat/>
    <w:rsid w:val="00073D09"/>
    <w:rPr>
      <w:b/>
      <w:bCs/>
      <w:color w:val="0F4761" w:themeColor="accent1" w:themeShade="BF"/>
      <w:sz w:val="16"/>
      <w:szCs w:val="16"/>
    </w:rPr>
  </w:style>
  <w:style w:type="character" w:customStyle="1" w:styleId="TitleChar">
    <w:name w:val="Title Char"/>
    <w:basedOn w:val="DefaultParagraphFont"/>
    <w:link w:val="Title"/>
    <w:uiPriority w:val="10"/>
    <w:rsid w:val="00073D09"/>
    <w:rPr>
      <w:caps/>
      <w:color w:val="156082" w:themeColor="accent1"/>
      <w:spacing w:val="10"/>
      <w:kern w:val="28"/>
      <w:sz w:val="52"/>
      <w:szCs w:val="52"/>
    </w:rPr>
  </w:style>
  <w:style w:type="paragraph" w:styleId="Subtitle">
    <w:name w:val="Subtitle"/>
    <w:basedOn w:val="Normal"/>
    <w:next w:val="Normal"/>
    <w:link w:val="SubtitleChar"/>
    <w:uiPriority w:val="11"/>
    <w:qFormat/>
    <w:rsid w:val="00073D09"/>
    <w:pPr>
      <w:spacing w:after="1000" w:line="240" w:lineRule="auto"/>
    </w:pPr>
    <w:rPr>
      <w:caps/>
      <w:color w:val="595959" w:themeColor="text1" w:themeTint="A6"/>
      <w:spacing w:val="10"/>
      <w:sz w:val="24"/>
      <w:szCs w:val="24"/>
    </w:rPr>
  </w:style>
  <w:style w:type="character" w:customStyle="1" w:styleId="SubtitleChar">
    <w:name w:val="Subtitle Char"/>
    <w:basedOn w:val="DefaultParagraphFont"/>
    <w:link w:val="Subtitle"/>
    <w:uiPriority w:val="11"/>
    <w:rsid w:val="00073D09"/>
    <w:rPr>
      <w:caps/>
      <w:color w:val="595959" w:themeColor="text1" w:themeTint="A6"/>
      <w:spacing w:val="10"/>
      <w:sz w:val="24"/>
      <w:szCs w:val="24"/>
    </w:rPr>
  </w:style>
  <w:style w:type="character" w:styleId="Strong">
    <w:name w:val="Strong"/>
    <w:uiPriority w:val="22"/>
    <w:qFormat/>
    <w:rsid w:val="00073D09"/>
    <w:rPr>
      <w:b/>
      <w:bCs/>
    </w:rPr>
  </w:style>
  <w:style w:type="character" w:styleId="Emphasis">
    <w:name w:val="Emphasis"/>
    <w:uiPriority w:val="20"/>
    <w:qFormat/>
    <w:rsid w:val="00073D09"/>
    <w:rPr>
      <w:caps/>
      <w:color w:val="0A2F40" w:themeColor="accent1" w:themeShade="7F"/>
      <w:spacing w:val="5"/>
    </w:rPr>
  </w:style>
  <w:style w:type="paragraph" w:styleId="NoSpacing">
    <w:name w:val="No Spacing"/>
    <w:basedOn w:val="Normal"/>
    <w:link w:val="NoSpacingChar"/>
    <w:uiPriority w:val="1"/>
    <w:qFormat/>
    <w:rsid w:val="00073D09"/>
    <w:pPr>
      <w:spacing w:before="0" w:after="0" w:line="240" w:lineRule="auto"/>
    </w:pPr>
  </w:style>
  <w:style w:type="character" w:customStyle="1" w:styleId="NoSpacingChar">
    <w:name w:val="No Spacing Char"/>
    <w:basedOn w:val="DefaultParagraphFont"/>
    <w:link w:val="NoSpacing"/>
    <w:uiPriority w:val="1"/>
    <w:rsid w:val="00073D09"/>
    <w:rPr>
      <w:sz w:val="20"/>
      <w:szCs w:val="20"/>
    </w:rPr>
  </w:style>
  <w:style w:type="paragraph" w:styleId="Quote">
    <w:name w:val="Quote"/>
    <w:basedOn w:val="Normal"/>
    <w:next w:val="Normal"/>
    <w:link w:val="QuoteChar"/>
    <w:uiPriority w:val="29"/>
    <w:qFormat/>
    <w:rsid w:val="00073D09"/>
    <w:rPr>
      <w:i/>
      <w:iCs/>
    </w:rPr>
  </w:style>
  <w:style w:type="character" w:customStyle="1" w:styleId="QuoteChar">
    <w:name w:val="Quote Char"/>
    <w:basedOn w:val="DefaultParagraphFont"/>
    <w:link w:val="Quote"/>
    <w:uiPriority w:val="29"/>
    <w:rsid w:val="00073D09"/>
    <w:rPr>
      <w:i/>
      <w:iCs/>
      <w:sz w:val="20"/>
      <w:szCs w:val="20"/>
    </w:rPr>
  </w:style>
  <w:style w:type="paragraph" w:styleId="IntenseQuote">
    <w:name w:val="Intense Quote"/>
    <w:basedOn w:val="Normal"/>
    <w:next w:val="Normal"/>
    <w:link w:val="IntenseQuoteChar"/>
    <w:uiPriority w:val="30"/>
    <w:qFormat/>
    <w:rsid w:val="00073D09"/>
    <w:pPr>
      <w:pBdr>
        <w:top w:val="single" w:sz="4" w:space="10" w:color="156082" w:themeColor="accent1"/>
        <w:left w:val="single" w:sz="4" w:space="10" w:color="156082" w:themeColor="accent1"/>
      </w:pBdr>
      <w:spacing w:after="0"/>
      <w:ind w:left="1296" w:right="1152"/>
      <w:jc w:val="both"/>
    </w:pPr>
    <w:rPr>
      <w:i/>
      <w:iCs/>
      <w:color w:val="156082" w:themeColor="accent1"/>
    </w:rPr>
  </w:style>
  <w:style w:type="character" w:customStyle="1" w:styleId="IntenseQuoteChar">
    <w:name w:val="Intense Quote Char"/>
    <w:basedOn w:val="DefaultParagraphFont"/>
    <w:link w:val="IntenseQuote"/>
    <w:uiPriority w:val="30"/>
    <w:rsid w:val="00073D09"/>
    <w:rPr>
      <w:i/>
      <w:iCs/>
      <w:color w:val="156082" w:themeColor="accent1"/>
      <w:sz w:val="20"/>
      <w:szCs w:val="20"/>
    </w:rPr>
  </w:style>
  <w:style w:type="character" w:styleId="SubtleEmphasis">
    <w:name w:val="Subtle Emphasis"/>
    <w:uiPriority w:val="19"/>
    <w:qFormat/>
    <w:rsid w:val="00073D09"/>
    <w:rPr>
      <w:i/>
      <w:iCs/>
      <w:color w:val="0A2F40" w:themeColor="accent1" w:themeShade="7F"/>
    </w:rPr>
  </w:style>
  <w:style w:type="character" w:styleId="IntenseEmphasis">
    <w:name w:val="Intense Emphasis"/>
    <w:uiPriority w:val="21"/>
    <w:qFormat/>
    <w:rsid w:val="00073D09"/>
    <w:rPr>
      <w:b/>
      <w:bCs/>
      <w:caps/>
      <w:color w:val="0A2F40" w:themeColor="accent1" w:themeShade="7F"/>
      <w:spacing w:val="10"/>
    </w:rPr>
  </w:style>
  <w:style w:type="character" w:styleId="SubtleReference">
    <w:name w:val="Subtle Reference"/>
    <w:uiPriority w:val="31"/>
    <w:qFormat/>
    <w:rsid w:val="00073D09"/>
    <w:rPr>
      <w:b/>
      <w:bCs/>
      <w:color w:val="156082" w:themeColor="accent1"/>
    </w:rPr>
  </w:style>
  <w:style w:type="character" w:styleId="IntenseReference">
    <w:name w:val="Intense Reference"/>
    <w:uiPriority w:val="32"/>
    <w:qFormat/>
    <w:rsid w:val="00073D09"/>
    <w:rPr>
      <w:b/>
      <w:bCs/>
      <w:i/>
      <w:iCs/>
      <w:caps/>
      <w:color w:val="156082" w:themeColor="accent1"/>
    </w:rPr>
  </w:style>
  <w:style w:type="character" w:styleId="BookTitle">
    <w:name w:val="Book Title"/>
    <w:uiPriority w:val="33"/>
    <w:qFormat/>
    <w:rsid w:val="00073D09"/>
    <w:rPr>
      <w:b/>
      <w:bCs/>
      <w:i/>
      <w:iCs/>
      <w:spacing w:val="9"/>
    </w:rPr>
  </w:style>
  <w:style w:type="paragraph" w:styleId="TOCHeading">
    <w:name w:val="TOC Heading"/>
    <w:basedOn w:val="Heading1"/>
    <w:next w:val="Normal"/>
    <w:uiPriority w:val="39"/>
    <w:semiHidden/>
    <w:unhideWhenUsed/>
    <w:qFormat/>
    <w:rsid w:val="00073D09"/>
    <w:pPr>
      <w:outlineLvl w:val="9"/>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ds-wdsufqyxf2rxmes6dj" Type="http://schemas.openxmlformats.org/officeDocument/2006/relationships/hyperlink" Target="https://doi.org/10.1097/HEP.0000000000001644" TargetMode="External"/><Relationship Id="rIdtcfr3obbkkcbhxhuzpwy-" Type="http://schemas.openxmlformats.org/officeDocument/2006/relationships/hyperlink" Target="https://jamanetwork.com/journals/jamasurgery/fullarticle/10.1001/jamasurg.2023.6083?utm_source=openevidence&amp;utm_medium=referral" TargetMode="External"/><Relationship Id="rIdeznrhtsq7h54sptqk9n88" Type="http://schemas.openxmlformats.org/officeDocument/2006/relationships/hyperlink" Target="https://pubmed.ncbi.nlm.nih.gov/39547997" TargetMode="External"/><Relationship Id="rIdrqftlgqc6gh4johdfomxs" Type="http://schemas.openxmlformats.org/officeDocument/2006/relationships/hyperlink" Target="https://pubmed.ncbi.nlm.nih.gov/35975918" TargetMode="External"/><Relationship Id="rIdsexfqrynmopwsnzwcaeby" Type="http://schemas.openxmlformats.org/officeDocument/2006/relationships/hyperlink" Target="https://pubmed.ncbi.nlm.nih.gov/24384494" TargetMode="External"/><Relationship Id="rIdqqjatj-j_qy8ssb2ncq4x" Type="http://schemas.openxmlformats.org/officeDocument/2006/relationships/hyperlink" Target="https://www.nccn.org/professionals/physician_gls/pdf/neuroendocrine.pdf#page=85" TargetMode="External"/><Relationship Id="rIdwnn-irhqxyamozrph8ip0" Type="http://schemas.openxmlformats.org/officeDocument/2006/relationships/hyperlink" Target="https://meetings.asco.org/abstracts-presentations/265146" TargetMode="External"/><Relationship Id="rIdpeghdabylkcldl_men63k" Type="http://schemas.openxmlformats.org/officeDocument/2006/relationships/hyperlink" Target="https://pubmed.ncbi.nlm.nih.gov/32520679" TargetMode="External"/><Relationship Id="rIduotsek3z0zjbexxxhz4ed" Type="http://schemas.openxmlformats.org/officeDocument/2006/relationships/hyperlink" Target="https://pubmed.ncbi.nlm.nih.gov/39306468" TargetMode="External"/><Relationship Id="rId6ich49yccmu90slafwzqn" Type="http://schemas.openxmlformats.org/officeDocument/2006/relationships/hyperlink" Target="https://pubmed.ncbi.nlm.nih.gov/28230639" TargetMode="External"/><Relationship Id="rIdmk6hdw8gnueekylov--lw" Type="http://schemas.openxmlformats.org/officeDocument/2006/relationships/hyperlink" Target="https://doi.org/10.1097/LVT.0000000000000715" TargetMode="External"/><Relationship Id="rId_j0ycn_h3oziqsj3ofsz8" Type="http://schemas.openxmlformats.org/officeDocument/2006/relationships/hyperlink" Target="https://pubmed.ncbi.nlm.nih.gov/33908381" TargetMode="External"/><Relationship Id="rIdyrr_m5zb_ygx24k-h0q47" Type="http://schemas.openxmlformats.org/officeDocument/2006/relationships/hyperlink" Target="https://pubmed.ncbi.nlm.nih.gov/41760506" TargetMode="External"/><Relationship Id="rIdjetizatnpmv9j7si54kpj" Type="http://schemas.openxmlformats.org/officeDocument/2006/relationships/hyperlink" Target="https://pubmed.ncbi.nlm.nih.gov/37208101" TargetMode="External"/><Relationship Id="rIdw1jzn_g1vtqsmv9yqhjte" Type="http://schemas.openxmlformats.org/officeDocument/2006/relationships/hyperlink" Target="https://pubmed.ncbi.nlm.nih.gov/42234009" TargetMode="External"/><Relationship Id="rIdvicdzinwhbffzc-amx4ne" Type="http://schemas.openxmlformats.org/officeDocument/2006/relationships/hyperlink" Target="https://pubmed.ncbi.nlm.nih.gov/32213292" TargetMode="External"/><Relationship Id="rId22" Type="http://schemas.openxmlformats.org/officeDocument/2006/relationships/fontTable" Target="fontTable.xml"/><Relationship Id="rId23" Type="http://schemas.openxmlformats.org/officeDocument/2006/relationships/hyperlink" Target="https://doi.org/10.1056/NEJMoa2403991" TargetMode="External"/><Relationship Id="rId24" Type="http://schemas.openxmlformats.org/officeDocument/2006/relationships/hyperlink" Target="https://drliuhao.github.io/mh-liver-pathways/evidence-libraries/" TargetMode="External"/><Relationship Id="rId25" Type="http://schemas.openxmlformats.org/officeDocument/2006/relationships/hyperlink" Target="https://doi.org/10.1097/HEP.0000000000001644" TargetMode="External"/><Relationship Id="rId26" Type="http://schemas.openxmlformats.org/officeDocument/2006/relationships/hyperlink" Target="https://drliuhao.github.io/mh-liver-pathways/evidence-libraries/" TargetMode="External"/><Relationship Id="rId27" Type="http://schemas.openxmlformats.org/officeDocument/2006/relationships/hyperlink" Target="https://doi.org/10.1056/NEJMoa1316158" TargetMode="External"/><Relationship Id="rId28" Type="http://schemas.openxmlformats.org/officeDocument/2006/relationships/hyperlink" Target="https://drliuhao.github.io/mh-liver-pathways/evidence-libraries/" TargetMode="External"/><Relationship Id="rId29" Type="http://schemas.openxmlformats.org/officeDocument/2006/relationships/hyperlink" Target="https://doi.org/10.1111/j.1600-6143.2011.03972.x" TargetMode="External"/><Relationship Id="rId30" Type="http://schemas.openxmlformats.org/officeDocument/2006/relationships/hyperlink" Target="https://drliuhao.github.io/mh-liver-pathways/evidence-libraries/" TargetMode="External"/><Relationship Id="rId31" Type="http://schemas.openxmlformats.org/officeDocument/2006/relationships/hyperlink" Target="https://doi.org/10.1111/ajt.14055" TargetMode="External"/><Relationship Id="rId32" Type="http://schemas.openxmlformats.org/officeDocument/2006/relationships/hyperlink" Target="https://drliuhao.github.io/mh-liver-pathways/evidence-libraries/" TargetMode="External"/><Relationship Id="rId33" Type="http://schemas.openxmlformats.org/officeDocument/2006/relationships/hyperlink" Target="https://doi.org/10.1097/LVT.0000000000000303" TargetMode="External"/><Relationship Id="rId34" Type="http://schemas.openxmlformats.org/officeDocument/2006/relationships/hyperlink" Target="https://drliuhao.github.io/mh-liver-pathways/evidence-libraries/" TargetMode="External"/><Relationship Id="rId35" Type="http://schemas.openxmlformats.org/officeDocument/2006/relationships/hyperlink" Target="https://doi.org/10.1097/SLA.0b013e31828ee17c" TargetMode="External"/><Relationship Id="rId36" Type="http://schemas.openxmlformats.org/officeDocument/2006/relationships/hyperlink" Target="https://drliuhao.github.io/mh-liver-pathways/evidence-libraries/" TargetMode="External"/><Relationship Id="rId37" Type="http://schemas.openxmlformats.org/officeDocument/2006/relationships/hyperlink" Target="https://doi.org/10.1007/s00268-022-06736-1" TargetMode="External"/><Relationship Id="rId38" Type="http://schemas.openxmlformats.org/officeDocument/2006/relationships/hyperlink" Target="https://drliuhao.github.io/mh-liver-pathways/evidence-libraries/" TargetMode="External"/><Relationship Id="rId39" Type="http://schemas.openxmlformats.org/officeDocument/2006/relationships/hyperlink" Target="https://doi.org/10.1111/ajt.17156" TargetMode="External"/><Relationship Id="rId40" Type="http://schemas.openxmlformats.org/officeDocument/2006/relationships/hyperlink" Target="https://drliuhao.github.io/mh-liver-pathways/evidence-libraries/" TargetMode="External"/><Relationship Id="rId41" Type="http://schemas.openxmlformats.org/officeDocument/2006/relationships/hyperlink" Target="https://doi.org/10.1097/SLA.0000000000005663" TargetMode="External"/><Relationship Id="rId42" Type="http://schemas.openxmlformats.org/officeDocument/2006/relationships/hyperlink" Target="https://drliuhao.github.io/mh-liver-pathways/evidence-libraries/" TargetMode="External"/><Relationship Id="rId43" Type="http://schemas.openxmlformats.org/officeDocument/2006/relationships/hyperlink" Target="https://doi.org/10.1016/S1470-2045(21)00572-6" TargetMode="External"/><Relationship Id="rId44" Type="http://schemas.openxmlformats.org/officeDocument/2006/relationships/hyperlink" Target="https://drliuhao.github.io/mh-liver-pathways/evidence-libraries/" TargetMode="External"/><Relationship Id="rId45" Type="http://schemas.openxmlformats.org/officeDocument/2006/relationships/hyperlink" Target="https://doi.org/10.1016/j.transproceed.2026.02.019" TargetMode="External"/><Relationship Id="rId46" Type="http://schemas.openxmlformats.org/officeDocument/2006/relationships/hyperlink" Target="https://drliuhao.github.io/mh-liver-pathways/evidence-libraries/" TargetMode="External"/><Relationship Id="rId47" Type="http://schemas.openxmlformats.org/officeDocument/2006/relationships/hyperlink" Target="https://pubmed.ncbi.nlm.nih.gov/24384494" TargetMode="External"/><Relationship Id="rId48" Type="http://schemas.openxmlformats.org/officeDocument/2006/relationships/hyperlink" Target="https://drliuhao.github.io/mh-liver-pathways/evidence-libraries/" TargetMode="External"/><Relationship Id="rId49" Type="http://schemas.openxmlformats.org/officeDocument/2006/relationships/hyperlink" Target="https://jamanetwork.com/journals/jamasurgery/fullarticle/10.1001/jamasurg.2023.6083?utm_source=openevidence&amp;utm_medium=referral" TargetMode="External"/><Relationship Id="rId50" Type="http://schemas.openxmlformats.org/officeDocument/2006/relationships/hyperlink" Target="https://drliuhao.github.io/mh-liver-pathways/evidence-libraries/" TargetMode="External"/><Relationship Id="rId51" Type="http://schemas.openxmlformats.org/officeDocument/2006/relationships/hyperlink" Target="https://www.nccn.org/professionals/physician_gls/pdf/neuroendocrine.pdf#page=85" TargetMode="External"/><Relationship Id="rId52" Type="http://schemas.openxmlformats.org/officeDocument/2006/relationships/hyperlink" Target="https://drliuhao.github.io/mh-liver-pathways/evidence-libraries/" TargetMode="External"/><Relationship Id="rId53" Type="http://schemas.openxmlformats.org/officeDocument/2006/relationships/hyperlink" Target="https://doi.org/10.1097/lvt.0000000000000715" TargetMode="External"/><Relationship Id="rId54" Type="http://schemas.openxmlformats.org/officeDocument/2006/relationships/hyperlink" Target="https://drliuhao.github.io/mh-liver-pathways/evidence-libraries/" TargetMode="External"/><Relationship Id="rId55" Type="http://schemas.openxmlformats.org/officeDocument/2006/relationships/hyperlink" Target="https://pubmed.ncbi.nlm.nih.gov/39547997" TargetMode="External"/><Relationship Id="rId56" Type="http://schemas.openxmlformats.org/officeDocument/2006/relationships/hyperlink" Target="https://drliuhao.github.io/mh-liver-pathways/evidence-libraries/" TargetMode="External"/><Relationship Id="rId57" Type="http://schemas.openxmlformats.org/officeDocument/2006/relationships/hyperlink" Target="https://pubmed.ncbi.nlm.nih.gov/33908381" TargetMode="External"/><Relationship Id="rId58" Type="http://schemas.openxmlformats.org/officeDocument/2006/relationships/hyperlink" Target="https://drliuhao.github.io/mh-liver-pathways/evidence-libraries/" TargetMode="External"/><Relationship Id="rId59" Type="http://schemas.openxmlformats.org/officeDocument/2006/relationships/hyperlink" Target="https://pubmed.ncbi.nlm.nih.gov/28230639" TargetMode="External"/><Relationship Id="rId60" Type="http://schemas.openxmlformats.org/officeDocument/2006/relationships/hyperlink" Target="https://drliuhao.github.io/mh-liver-pathways/evidence-libraries/" TargetMode="External"/><Relationship Id="rId61" Type="http://schemas.openxmlformats.org/officeDocument/2006/relationships/hyperlink" Target="https://drliuhao.github.io/mh-liver-pathways/evidence-libraries/" TargetMode="External"/><Relationship Id="rId62" Type="http://schemas.openxmlformats.org/officeDocument/2006/relationships/hyperlink" Target="https://drliuhao.github.io/mh-liver-pathways/evidence-libraries/" TargetMode="External"/><Relationship Id="rId63" Type="http://schemas.openxmlformats.org/officeDocument/2006/relationships/hyperlink" Target="https://drliuhao.github.io/mh-liver-pathways/evidence-libraries/" TargetMode="External"/><Relationship Id="rId64" Type="http://schemas.openxmlformats.org/officeDocument/2006/relationships/hyperlink" Target="https://www.hrsa.gov/sites/default/files/hrsa/optn/optn_policies.pdf" TargetMode="External"/><Relationship Id="rId65" Type="http://schemas.openxmlformats.org/officeDocument/2006/relationships/hyperlink" Target="https://drliuhao.github.io/mh-liver-pathways/evidence-libraries/" TargetMode="External"/><Relationship Id="rId66" Type="http://schemas.openxmlformats.org/officeDocument/2006/relationships/hyperlink" Target="https://www.hrsa.gov/sites/default/files/hrsa/optn/adult-meld-exception-transplant-oncology-review-guidance.pdf" TargetMode="External"/><Relationship Id="rId67" Type="http://schemas.openxmlformats.org/officeDocument/2006/relationships/hyperlink" Target="https://drliuhao.github.io/mh-liver-pathways/evidence-libraries/" TargetMode="External"/><Relationship Id="rId68" Type="http://schemas.openxmlformats.org/officeDocument/2006/relationships/hyperlink" Target="https://www.nccn.org/professionals/physician_gls/pdf/neuroendocrine.pdf#page=85" TargetMode="External"/><Relationship Id="rId69" Type="http://schemas.openxmlformats.org/officeDocument/2006/relationships/hyperlink" Target="https://drliuhao.github.io/mh-liver-pathways/evidence-libraries/" TargetMode="External"/><Relationship Id="rId70" Type="http://schemas.openxmlformats.org/officeDocument/2006/relationships/hyperlink" Target="https://doi.org/10.1097/HEP.0000000000001644" TargetMode="External"/><Relationship Id="rId71" Type="http://schemas.openxmlformats.org/officeDocument/2006/relationships/hyperlink" Target="https://drliuhao.github.io/mh-liver-pathways/evidence-libraries/" TargetMode="External"/><Relationship Id="rId72" Type="http://schemas.openxmlformats.org/officeDocument/2006/relationships/hyperlink" Target="https://jamanetwork.com/journals/jamasurgery/fullarticle/10.1001/jamasurg.2023.6083?utm_source=openevidence&amp;utm_medium=referral" TargetMode="External"/><Relationship Id="rId73" Type="http://schemas.openxmlformats.org/officeDocument/2006/relationships/hyperlink" Target="https://drliuhao.github.io/mh-liver-pathways/evidence-libraries/" TargetMode="External"/><Relationship Id="rId74" Type="http://schemas.openxmlformats.org/officeDocument/2006/relationships/hyperlink" Target="https://pubmed.ncbi.nlm.nih.gov/39547997" TargetMode="External"/><Relationship Id="rId75" Type="http://schemas.openxmlformats.org/officeDocument/2006/relationships/hyperlink" Target="https://drliuhao.github.io/mh-liver-pathways/evidence-libraries/" TargetMode="External"/><Relationship Id="rId76" Type="http://schemas.openxmlformats.org/officeDocument/2006/relationships/hyperlink" Target="https://doi.org/10.1097/SLA.0000000000005663" TargetMode="External"/><Relationship Id="rId77" Type="http://schemas.openxmlformats.org/officeDocument/2006/relationships/hyperlink" Target="https://drliuhao.github.io/mh-liver-pathways/evidence-libraries/" TargetMode="External"/><Relationship Id="rId78" Type="http://schemas.openxmlformats.org/officeDocument/2006/relationships/hyperlink" Target="https://doi.org/10.1111/jne.70250" TargetMode="External"/><Relationship Id="rId79" Type="http://schemas.openxmlformats.org/officeDocument/2006/relationships/hyperlink" Target="https://drliuhao.github.io/mh-liver-pathways/evidence-libraries/" TargetMode="External"/><Relationship Id="rId80" Type="http://schemas.openxmlformats.org/officeDocument/2006/relationships/hyperlink" Target="https://doi.org/10.1111/ajt.17156" TargetMode="External"/><Relationship Id="rId81" Type="http://schemas.openxmlformats.org/officeDocument/2006/relationships/hyperlink" Target="https://drliuhao.github.io/mh-liver-pathways/evidence-libraries/" TargetMode="External"/><Relationship Id="rId82" Type="http://schemas.openxmlformats.org/officeDocument/2006/relationships/hyperlink" Target="https://doi.org/10.1097/SLA.0b013e31828ee17c" TargetMode="External"/><Relationship Id="rId83" Type="http://schemas.openxmlformats.org/officeDocument/2006/relationships/hyperlink" Target="https://drliuhao.github.io/mh-liver-pathways/evidence-libraries/" TargetMode="External"/><Relationship Id="rId84" Type="http://schemas.openxmlformats.org/officeDocument/2006/relationships/hyperlink" Target="https://doi.org/10.1056/NEJMoa1316158" TargetMode="External"/><Relationship Id="rId85" Type="http://schemas.openxmlformats.org/officeDocument/2006/relationships/hyperlink" Target="https://drliuhao.github.io/mh-liver-pathways/evidence-libraries/" TargetMode="External"/><Relationship Id="rId86" Type="http://schemas.openxmlformats.org/officeDocument/2006/relationships/hyperlink" Target="https://pubmed.ncbi.nlm.nih.gov/24384494" TargetMode="External"/><Relationship Id="rId87" Type="http://schemas.openxmlformats.org/officeDocument/2006/relationships/hyperlink" Target="https://drliuhao.github.io/mh-liver-pathways/evidence-libraries/" TargetMode="External"/><Relationship Id="rId88" Type="http://schemas.openxmlformats.org/officeDocument/2006/relationships/hyperlink" Target="https://doi.org/10.1097/lvt.0000000000000715" TargetMode="External"/><Relationship Id="rId89" Type="http://schemas.openxmlformats.org/officeDocument/2006/relationships/hyperlink" Target="https://drliuhao.github.io/mh-liver-pathways/evidence-libraries/" TargetMode="External"/><Relationship Id="rId90" Type="http://schemas.openxmlformats.org/officeDocument/2006/relationships/hyperlink" Target="https://doi.org/10.1016/S0140-6736(24)01595-2" TargetMode="External"/><Relationship Id="rId91" Type="http://schemas.openxmlformats.org/officeDocument/2006/relationships/hyperlink" Target="https://drliuhao.github.io/mh-liver-pathways/evidence-libraries/" TargetMode="External"/><Relationship Id="rId92" Type="http://schemas.openxmlformats.org/officeDocument/2006/relationships/hyperlink" Target="https://pubmed.ncbi.nlm.nih.gov/28230639" TargetMode="External"/><Relationship Id="rId93" Type="http://schemas.openxmlformats.org/officeDocument/2006/relationships/hyperlink" Target="https://drliuhao.github.io/mh-liver-pathways/evidence-libraries/" TargetMode="External"/><Relationship Id="rId94" Type="http://schemas.openxmlformats.org/officeDocument/2006/relationships/hyperlink" Target="https://dailymed.nlm.nih.gov/dailymed/drugInfo.cfm?setid=e082a024-7850-400b-a5c2-2a140612562a" TargetMode="External"/><Relationship Id="rId95" Type="http://schemas.openxmlformats.org/officeDocument/2006/relationships/hyperlink" Target="https://drliuhao.github.io/mh-liver-pathways/evidence-libraries/" TargetMode="External"/><Relationship Id="rId96" Type="http://schemas.openxmlformats.org/officeDocument/2006/relationships/hyperlink" Target="https://doi.org/10.1016/j.transproceed.2026.02.019" TargetMode="External"/><Relationship Id="rId97" Type="http://schemas.openxmlformats.org/officeDocument/2006/relationships/hyperlink" Target="https://drliuhao.github.io/mh-liver-pathways/evidence-libraries/" TargetMode="External"/><Relationship Id="rId98" Type="http://schemas.openxmlformats.org/officeDocument/2006/relationships/hyperlink" Target="https://pubmed.ncbi.nlm.nih.gov/33908381" TargetMode="External"/><Relationship Id="rId99" Type="http://schemas.openxmlformats.org/officeDocument/2006/relationships/hyperlink" Target="https://drliuhao.github.io/mh-liver-pathways/evidence-libraries/" TargetMode="External"/><Relationship Id="rId100" Type="http://schemas.openxmlformats.org/officeDocument/2006/relationships/hyperlink" Target="https://doi.org/10.1056/NEJMoa2403991" TargetMode="External"/><Relationship Id="rId101" Type="http://schemas.openxmlformats.org/officeDocument/2006/relationships/hyperlink" Target="https://drliuhao.github.io/mh-liver-pathways/evidence-libraries/" TargetMode="External"/><Relationship Id="rId102" Type="http://schemas.openxmlformats.org/officeDocument/2006/relationships/hyperlink" Target="https://doi.org/10.1016/S1470-2045(21)00572-6" TargetMode="External"/><Relationship Id="rId103" Type="http://schemas.openxmlformats.org/officeDocument/2006/relationships/hyperlink" Target="https://drliuhao.github.io/mh-liver-pathways/evidence-libraries/" TargetMode="External"/><Relationship Id="rId104" Type="http://schemas.openxmlformats.org/officeDocument/2006/relationships/hyperlink" Target="https://doi.org/10.1111/j.1600-6143.2011.03972.x" TargetMode="External"/><Relationship Id="rId105" Type="http://schemas.openxmlformats.org/officeDocument/2006/relationships/hyperlink" Target="https://drliuhao.github.io/mh-liver-pathways/evidence-libraries/" TargetMode="External"/><Relationship Id="rId106" Type="http://schemas.openxmlformats.org/officeDocument/2006/relationships/hyperlink" Target="https://doi.org/10.1111/ajt.14055" TargetMode="External"/><Relationship Id="rId107" Type="http://schemas.openxmlformats.org/officeDocument/2006/relationships/hyperlink" Target="https://drliuhao.github.io/mh-liver-pathways/evidence-libraries/" TargetMode="External"/><Relationship Id="rId108" Type="http://schemas.openxmlformats.org/officeDocument/2006/relationships/hyperlink" Target="https://doi.org/10.1097/LVT.0000000000000303" TargetMode="External"/><Relationship Id="rId109" Type="http://schemas.openxmlformats.org/officeDocument/2006/relationships/hyperlink" Target="https://drliuhao.github.io/mh-liver-pathways/evidence-libraries/" TargetMode="External"/><Relationship Id="rId110" Type="http://schemas.openxmlformats.org/officeDocument/2006/relationships/hyperlink" Target="https://doi.org/10.1007/s00268-022-06736-1" TargetMode="External"/><Relationship Id="rId111" Type="http://schemas.openxmlformats.org/officeDocument/2006/relationships/hyperlink" Target="https://drliuhao.github.io/mh-liver-pathways/evidence-libraries/" TargetMode="External"/><Relationship Id="rId112" Type="http://schemas.openxmlformats.org/officeDocument/2006/relationships/hyperlink" Target="https://doi.org/10.1111/ajt.13831" TargetMode="External"/><Relationship Id="rId113" Type="http://schemas.openxmlformats.org/officeDocument/2006/relationships/hyperlink" Target="https://drliuhao.github.io/mh-liver-pathways/evidence-libraries/" TargetMode="External"/><Relationship Id="rId114" Type="http://schemas.openxmlformats.org/officeDocument/2006/relationships/hyperlink" Target="https://doi.org/10.1111/ajt.17156" TargetMode="External"/><Relationship Id="rId115" Type="http://schemas.openxmlformats.org/officeDocument/2006/relationships/hyperlink" Target="https://drliuhao.github.io/mh-liver-pathways/evidence-libraries/" TargetMode="External"/><Relationship Id="rId116" Type="http://schemas.openxmlformats.org/officeDocument/2006/relationships/hyperlink" Target="https://doi.org/10.1111/jne.70250" TargetMode="External"/><Relationship Id="rId117" Type="http://schemas.openxmlformats.org/officeDocument/2006/relationships/hyperlink" Target="https://drliuhao.github.io/mh-liver-pathways/evidence-libraries/" TargetMode="External"/><Relationship Id="rId118" Type="http://schemas.openxmlformats.org/officeDocument/2006/relationships/hyperlink" Target="https://doi.org/10.1111/jne.70073" TargetMode="External"/><Relationship Id="rId119" Type="http://schemas.openxmlformats.org/officeDocument/2006/relationships/hyperlink" Target="https://doi.org/10.1097/SLA.0b013e31828ee17c" TargetMode="External"/><Relationship Id="rId120" Type="http://schemas.openxmlformats.org/officeDocument/2006/relationships/hyperlink" Target="https://drliuhao.github.io/mh-liver-pathways/evidence-libraries/" TargetMode="External"/><Relationship Id="rId121" Type="http://schemas.openxmlformats.org/officeDocument/2006/relationships/hyperlink" Target="https://doi.org/10.1002/jso.23973" TargetMode="External"/><Relationship Id="rId122" Type="http://schemas.openxmlformats.org/officeDocument/2006/relationships/hyperlink" Target="https://doi.org/10.1097/SLA.0b013e3181fd37e8" TargetMode="External"/><Relationship Id="rId123" Type="http://schemas.openxmlformats.org/officeDocument/2006/relationships/hyperlink" Target="https://www.hrsa.gov/sites/default/files/hrsa/optn/optn_policies.pdf" TargetMode="External"/><Relationship Id="rId124" Type="http://schemas.openxmlformats.org/officeDocument/2006/relationships/hyperlink" Target="https://drliuhao.github.io/mh-liver-pathways/evidence-libraries/" TargetMode="External"/><Relationship Id="rId125" Type="http://schemas.openxmlformats.org/officeDocument/2006/relationships/hyperlink" Target="https://www.hrsa.gov/sites/default/files/hrsa/optn/adult-meld-exception-transplant-oncology-review-guidance.pdf" TargetMode="External"/><Relationship Id="rId126" Type="http://schemas.openxmlformats.org/officeDocument/2006/relationships/hyperlink" Target="https://drliuhao.github.io/mh-liver-pathways/evidence-libraries/" TargetMode="External"/><Relationship Id="rId127" Type="http://schemas.openxmlformats.org/officeDocument/2006/relationships/hyperlink" Target="https://www.nccn.org/professionals/physician_gls/pdf/neuroendocrine.pdf#page=85" TargetMode="External"/><Relationship Id="rId128" Type="http://schemas.openxmlformats.org/officeDocument/2006/relationships/hyperlink" Target="https://drliuhao.github.io/mh-liver-pathways/evidence-libraries/" TargetMode="External"/><Relationship Id="rId129" Type="http://schemas.openxmlformats.org/officeDocument/2006/relationships/hyperlink" Target="https://doi.org/10.1097/HEP.0000000000001644" TargetMode="External"/><Relationship Id="rId130" Type="http://schemas.openxmlformats.org/officeDocument/2006/relationships/hyperlink" Target="https://drliuhao.github.io/mh-liver-pathways/evidence-libraries/" TargetMode="External"/><Relationship Id="rId131" Type="http://schemas.openxmlformats.org/officeDocument/2006/relationships/hyperlink" Target="https://jamanetwork.com/journals/jamasurgery/fullarticle/10.1001/jamasurg.2023.6083?utm_source=openevidence&amp;utm_medium=referral" TargetMode="External"/><Relationship Id="rId132" Type="http://schemas.openxmlformats.org/officeDocument/2006/relationships/hyperlink" Target="https://drliuhao.github.io/mh-liver-pathways/evidence-libraries/" TargetMode="External"/><Relationship Id="rId133" Type="http://schemas.openxmlformats.org/officeDocument/2006/relationships/hyperlink" Target="https://pubmed.ncbi.nlm.nih.gov/39547997" TargetMode="External"/><Relationship Id="rId134" Type="http://schemas.openxmlformats.org/officeDocument/2006/relationships/hyperlink" Target="https://drliuhao.github.io/mh-liver-pathways/evidence-libraries/" TargetMode="External"/><Relationship Id="rId135" Type="http://schemas.openxmlformats.org/officeDocument/2006/relationships/hyperlink" Target="https://doi.org/10.1097/SLA.0000000000005663" TargetMode="External"/><Relationship Id="rId136" Type="http://schemas.openxmlformats.org/officeDocument/2006/relationships/hyperlink" Target="https://drliuhao.github.io/mh-liver-pathways/evidence-libraries/" TargetMode="External"/><Relationship Id="rId137" Type="http://schemas.openxmlformats.org/officeDocument/2006/relationships/hyperlink" Target="https://doi.org/10.1111/jne.70250" TargetMode="External"/><Relationship Id="rId138" Type="http://schemas.openxmlformats.org/officeDocument/2006/relationships/hyperlink" Target="https://drliuhao.github.io/mh-liver-pathways/evidence-libraries/" TargetMode="External"/><Relationship Id="rId139" Type="http://schemas.openxmlformats.org/officeDocument/2006/relationships/hyperlink" Target="https://doi.org/10.1111/ajt.17156" TargetMode="External"/><Relationship Id="rId140" Type="http://schemas.openxmlformats.org/officeDocument/2006/relationships/hyperlink" Target="https://drliuhao.github.io/mh-liver-pathways/evidence-libraries/" TargetMode="External"/><Relationship Id="rId141" Type="http://schemas.openxmlformats.org/officeDocument/2006/relationships/hyperlink" Target="https://doi.org/10.1097/SLA.0b013e31828ee17c" TargetMode="External"/><Relationship Id="rId142" Type="http://schemas.openxmlformats.org/officeDocument/2006/relationships/hyperlink" Target="https://drliuhao.github.io/mh-liver-pathways/evidence-libraries/" TargetMode="External"/><Relationship Id="rId143" Type="http://schemas.openxmlformats.org/officeDocument/2006/relationships/hyperlink" Target="https://doi.org/10.1056/NEJMoa1316158" TargetMode="External"/><Relationship Id="rId144" Type="http://schemas.openxmlformats.org/officeDocument/2006/relationships/hyperlink" Target="https://drliuhao.github.io/mh-liver-pathways/evidence-libraries/" TargetMode="External"/><Relationship Id="rId145" Type="http://schemas.openxmlformats.org/officeDocument/2006/relationships/hyperlink" Target="https://pubmed.ncbi.nlm.nih.gov/24384494" TargetMode="External"/><Relationship Id="rId146" Type="http://schemas.openxmlformats.org/officeDocument/2006/relationships/hyperlink" Target="https://drliuhao.github.io/mh-liver-pathways/evidence-libraries/" TargetMode="External"/><Relationship Id="rId147" Type="http://schemas.openxmlformats.org/officeDocument/2006/relationships/hyperlink" Target="https://doi.org/10.1097/lvt.0000000000000715" TargetMode="External"/><Relationship Id="rId148" Type="http://schemas.openxmlformats.org/officeDocument/2006/relationships/hyperlink" Target="https://drliuhao.github.io/mh-liver-pathways/evidence-libraries/" TargetMode="External"/><Relationship Id="rId149" Type="http://schemas.openxmlformats.org/officeDocument/2006/relationships/hyperlink" Target="https://doi.org/10.1016/S0140-6736(24)01595-2" TargetMode="External"/><Relationship Id="rId150" Type="http://schemas.openxmlformats.org/officeDocument/2006/relationships/hyperlink" Target="https://drliuhao.github.io/mh-liver-pathways/evidence-libraries/" TargetMode="External"/><Relationship Id="rId151" Type="http://schemas.openxmlformats.org/officeDocument/2006/relationships/hyperlink" Target="https://pubmed.ncbi.nlm.nih.gov/28230639" TargetMode="External"/><Relationship Id="rId152" Type="http://schemas.openxmlformats.org/officeDocument/2006/relationships/hyperlink" Target="https://drliuhao.github.io/mh-liver-pathways/evidence-libraries/" TargetMode="External"/><Relationship Id="rId153" Type="http://schemas.openxmlformats.org/officeDocument/2006/relationships/hyperlink" Target="https://dailymed.nlm.nih.gov/dailymed/drugInfo.cfm?setid=e082a024-7850-400b-a5c2-2a140612562a" TargetMode="External"/><Relationship Id="rId154" Type="http://schemas.openxmlformats.org/officeDocument/2006/relationships/hyperlink" Target="https://drliuhao.github.io/mh-liver-pathways/evidence-libraries/" TargetMode="External"/><Relationship Id="rId155" Type="http://schemas.openxmlformats.org/officeDocument/2006/relationships/hyperlink" Target="https://doi.org/10.1016/j.transproceed.2026.02.019" TargetMode="External"/><Relationship Id="rId156" Type="http://schemas.openxmlformats.org/officeDocument/2006/relationships/hyperlink" Target="https://drliuhao.github.io/mh-liver-pathways/evidence-libraries/" TargetMode="External"/><Relationship Id="rId157" Type="http://schemas.openxmlformats.org/officeDocument/2006/relationships/hyperlink" Target="https://pubmed.ncbi.nlm.nih.gov/33908381" TargetMode="External"/><Relationship Id="rId158" Type="http://schemas.openxmlformats.org/officeDocument/2006/relationships/hyperlink" Target="https://drliuhao.github.io/mh-liver-pathways/evidence-libraries/" TargetMode="External"/><Relationship Id="rId159" Type="http://schemas.openxmlformats.org/officeDocument/2006/relationships/hyperlink" Target="https://doi.org/10.1056/NEJMoa2403991" TargetMode="External"/><Relationship Id="rId160" Type="http://schemas.openxmlformats.org/officeDocument/2006/relationships/hyperlink" Target="https://drliuhao.github.io/mh-liver-pathways/evidence-libraries/" TargetMode="External"/><Relationship Id="rId161" Type="http://schemas.openxmlformats.org/officeDocument/2006/relationships/hyperlink" Target="https://doi.org/10.1016/S1470-2045(21)00572-6" TargetMode="External"/><Relationship Id="rId162" Type="http://schemas.openxmlformats.org/officeDocument/2006/relationships/hyperlink" Target="https://drliuhao.github.io/mh-liver-pathways/evidence-libraries/" TargetMode="External"/><Relationship Id="rId163" Type="http://schemas.openxmlformats.org/officeDocument/2006/relationships/hyperlink" Target="https://doi.org/10.1111/j.1600-6143.2011.03972.x" TargetMode="External"/><Relationship Id="rId164" Type="http://schemas.openxmlformats.org/officeDocument/2006/relationships/hyperlink" Target="https://drliuhao.github.io/mh-liver-pathways/evidence-libraries/" TargetMode="External"/><Relationship Id="rId165" Type="http://schemas.openxmlformats.org/officeDocument/2006/relationships/hyperlink" Target="https://doi.org/10.1111/ajt.14055" TargetMode="External"/><Relationship Id="rId166" Type="http://schemas.openxmlformats.org/officeDocument/2006/relationships/hyperlink" Target="https://drliuhao.github.io/mh-liver-pathways/evidence-libraries/" TargetMode="External"/><Relationship Id="rId167" Type="http://schemas.openxmlformats.org/officeDocument/2006/relationships/hyperlink" Target="https://doi.org/10.1097/LVT.0000000000000303" TargetMode="External"/><Relationship Id="rId168" Type="http://schemas.openxmlformats.org/officeDocument/2006/relationships/hyperlink" Target="https://drliuhao.github.io/mh-liver-pathways/evidence-libraries/" TargetMode="External"/><Relationship Id="rId169" Type="http://schemas.openxmlformats.org/officeDocument/2006/relationships/hyperlink" Target="https://doi.org/10.1007/s00268-022-06736-1" TargetMode="External"/><Relationship Id="rId170" Type="http://schemas.openxmlformats.org/officeDocument/2006/relationships/hyperlink" Target="https://drliuhao.github.io/mh-liver-pathways/evidence-libraries/" TargetMode="External"/><Relationship Id="rId171" Type="http://schemas.openxmlformats.org/officeDocument/2006/relationships/hyperlink" Target="https://doi.org/10.1111/ajt.13831" TargetMode="External"/><Relationship Id="rId172" Type="http://schemas.openxmlformats.org/officeDocument/2006/relationships/hyperlink" Target="https://drliuhao.github.io/mh-liver-pathways/evidence-libraries/" TargetMode="External"/><Relationship Id="rId173" Type="http://schemas.openxmlformats.org/officeDocument/2006/relationships/hyperlink" Target="https://doi.org/10.1111/jne.70073" TargetMode="External"/><Relationship Id="rId174" Type="http://schemas.openxmlformats.org/officeDocument/2006/relationships/hyperlink" Target="https://doi.org/10.1002/jso.23973" TargetMode="External"/><Relationship Id="rId175" Type="http://schemas.openxmlformats.org/officeDocument/2006/relationships/hyperlink" Target="https://doi.org/10.1097/SLA.0b013e3181fd37e8"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2026-07-15T23:24:18.551Z</dcterms:created>
  <dcterms:modified xsi:type="dcterms:W3CDTF">2026-10-29T14:21:26Z</dcterms:modified>
  <dc:title>UTHealth Houston / Memorial Hermann — Neuroendocrine liver metastases Standard / Guidance-Aligned Transplant Protocol V8</dc:title>
  <dc:subject>Non-standard NLRB pathway under December 2025 transplant-oncology guidance</dc:subject>
  <dc:description>V2 generated 2026-07-23 17:53:12 CDT; evidence corrections documented in 04_review_summary/OpenEvidence_Protocol_Audit_2026-07-23.md.</dc:description>
</cp:coreProperties>
</file>

<file path=docProps/custom.xml><?xml version="1.0" encoding="utf-8"?>
<Properties xmlns="http://schemas.openxmlformats.org/officeDocument/2006/custom-properties" xmlns:vt="http://schemas.openxmlformats.org/officeDocument/2006/docPropsVTypes"/>
</file>