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and Memorial Hermann High Risk Liver Transplant Protocol for Neuroendocrine Liver Metastases V16</w:t>
      </w:r>
    </w:p>
    <w:p>
      <w:pPr>
        <w:pStyle w:val="Normal"/>
        <w:widowControl/>
      </w:pPr>
      <w:r>
        <w:t xml:space="preserve">Determine whether LT offers meaningful additional benefit over contemporary NET treatment, then distinguish national exception guidance from local prognostic selection and true experimental expansion. Indolent disease with excellent expected non-LT survival must not be transplanted merely to produce favorable recipient survival.</w:t>
      </w:r>
    </w:p>
    <w:p>
      <w:pPr>
        <w:spacing w:after="120"/>
      </w:pPr>
      <w:r>
        <w:rPr>
          <w:i/>
          <w:sz w:val="18"/>
        </w:rPr>
        <w:t xml:space="preserve">Standardized document set, 29 October 2026: this is the full-content document for the high-risk transplant protocol. Questions for consensus: NELM_6_High_Risk_Transplant_Questions.docx. Decision discussion for all settings: NELM_7_Decision_Discussion.docx. Web page: https://drliuhao.github.io/mh-liver-pathways/transplant/nelm/#high-risk</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evidence basis</w:t>
      </w:r>
    </w:p>
    <w:p>
      <w:pPr>
        <w:pStyle w:val="Normal"/>
        <w:widowControl/>
      </w:pPr>
      <w:r>
        <w:t xml:space="preserve">The Milan-NET comparison included 42 recipients and 46 nontransplanted patients, with substantial age and treatment differences. Five-/ten-year OS was 97.2%/88.8% versus 50.9%/22.4%. It was nonrandomized and predates many current treatment strategies; it does not determine benefit versus contemporary PRRT, targeted therapy or liver-directed care.</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pPr>
      <w:r>
        <w:t xml:space="preserve">The Spanish historical series included 91 recipients, 41 transplanted before 2007. Table 5 reported five-year OS 71.0% within Milan versus 58.7% outside Milan, with an OS difference; the nonsignificant DFS comparison did not show equivalence. There were 52 recurrences, nine 90-day deaths and nine reported retransplant events: two primary nonfunction, six hepatic-artery thrombosis and one late rejection. These are historical recipient data, not modern center-specific risks or a non-LT comparison.</w:t>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p>
    <w:p>
      <w:pPr>
        <w:pStyle w:val="Heading3"/>
        <w:keepNext/>
        <w:widowControl/>
      </w:pPr>
      <w:bookmarkStart w:id="1" w:name="NET_B1"/>
      <w:r>
        <w:t xml:space="preserve">NET-B1 — Which patients gain enough over modern non-LT treatment?</w:t>
      </w:r>
      <w:bookmarkEnd w:id="1"/>
    </w:p>
    <w:p>
      <w:pPr>
        <w:pStyle w:val="Heading3"/>
        <w:keepNext/>
        <w:widowControl/>
      </w:pPr>
      <w:r>
        <w:t xml:space="preserve">Question and comparison</w:t>
      </w:r>
    </w:p>
    <w:p>
      <w:pPr>
        <w:pStyle w:val="Normal"/>
        <w:widowControl/>
        <w:spacing w:before="60" w:after="20"/>
      </w:pPr>
      <w:r>
        <w:t xml:space="preserve">Among technically eligible liver-dominant GEP-NET patients, who is likely to gain enough from LT compared with feasible contemporary non-LT care, rather than simply survive well after LT?</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Single-centre comparative Milan-NET study, 88 eligible patients: 42 LT and 46 non-LT, 1995–2010 era, nonrandomized.</w:t>
            </w:r>
          </w:p>
          <w:p>
            <w:pPr>
              <w:pStyle w:val="Normal"/>
              <w:widowControl/>
              <w:spacing w:before="60" w:after="20"/>
            </w:pPr>
            <w:hyperlink r:id="rId23">
              <w:r>
                <w:rPr>
                  <w:color w:val="77230C"/>
                  <w:sz w:val="20"/>
                  <w:u w:val="single"/>
                </w:rPr>
                <w:t>Primary source</w:t>
              </w:r>
            </w:hyperlink>
            <w:r>
              <w:t xml:space="preserve"> | </w:t>
            </w:r>
            <w:hyperlink r:id="rId24">
              <w:r>
                <w:rPr>
                  <w:color w:val="77230C"/>
                  <w:sz w:val="20"/>
                  <w:u w:val="single"/>
                </w:rPr>
                <w:t>Full-text PDF</w:t>
              </w:r>
            </w:hyperlink>
          </w:p>
          <w:p>
            <w:pPr>
              <w:pStyle w:val="Normal"/>
              <w:widowControl/>
              <w:spacing w:before="60" w:after="20"/>
            </w:pPr>
            <w:r>
              <w:t xml:space="preserve">Locator: Am J Transplant 2016;16:2892–2902; full PDF Methods statistical time origin/left truncation, Tables 1–2 eligibility/characteristics, survival and restricted-mean analyses.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pStyle w:val="Normal"/>
              <w:widowControl/>
              <w:spacing w:before="60" w:after="20"/>
            </w:pPr>
            <w:r>
              <w:rPr>
                <w:b/>
              </w:rPr>
              <w:t xml:space="preserve">Do not infer: </w:t>
            </w:r>
            <w:r>
              <w:t xml:space="preserve">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Eshmuminov 2023 · LT versus resection</w:t>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Retrospective 15-centre study 1988–2021, 455 surgically treated patients (225 LT, 230 LR). Centre-specific selection varied. Propensity matching on age, grade and primary location yielded 96 LT and 96 R0-resected LR patients, with persistent marked lesion-number imbalance. Prior systemic treatment details were unavailable. Twenty-seven percent of LT patients lacked grade; only 10 overall LT recipients had G3, without modern WD-G3 versus NEC discrimination.</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Methods e1064; unmatched outcomes/Table 1 e1065; grading e1066; matched Results/Table 4 e1067 and Figure 3 e1068; limitations e1069.</w:t>
            </w:r>
          </w:p>
          <w:p>
            <w:pPr>
              <w:pStyle w:val="Normal"/>
              <w:widowControl/>
              <w:spacing w:before="60" w:after="20"/>
            </w:pPr>
            <w:r>
              <w:t xml:space="preserve">Review depth: All nine pages of the complete published main paper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OS/PFS start at operation, not diagnosis, eligibility or treatment assignment; median follow-up 97 months overall, 93 LT and 102 LR. No all-screened or wait-list comparison. Matched analysis n=192. Use main Results/Figure 3, not contradictory abstract: matched five-year OS 75% LT versus 68.3% LR; median OS 205 versus 120 months; HR 0.56 (95% CI 0.35–0.90), P=0.015. Matched five-year PFS 64.2% versus 14.2%; median 107 versus 18 months; HR 0.25 (0.16–0.39). Matched outside-Milan comparison HR 0.64 (0.31–1.33), P=0.24: uncertain benefit, not proof of no benefit. Matched within-Milan HR 0.18 (0.06–0.52). Among LT recipients, G2 versus G1 adjusted OS HR 2.52 (1.15–5.52); five-year OS 70.0% versus 92.9%. Median-derived Ki-67 split 5% is exploratory, not a validated new exclusion threshold. 90-day mortality 13/225 (5.8%) LT versus 3/230 (1.3%) LR overall; matched 7/96 (7.3%) versus 2/96 (2.1%).</w:t>
            </w:r>
          </w:p>
          <w:p>
            <w:pPr>
              <w:pStyle w:val="Normal"/>
              <w:widowControl/>
              <w:spacing w:before="60" w:after="20"/>
            </w:pPr>
            <w:r>
              <w:rPr>
                <w:b/>
              </w:rPr>
              <w:t xml:space="preserve">Do not infer: </w:t>
            </w:r>
            <w:r>
              <w:t xml:space="preserve">Abstract's matched five-year OS 73% versus 52.8%, median 197 versus 119 and HR 0.59 differ from the labelled main Results/Figure 3. Do not blend them. Retrospective selection, substantial missing grade/stage, broad historical era, residual confounding and surgery-time origin; cannot infer causal superiority over resection or modern nonoperative therapy for an individual. Main tables contain other transcription inconsistencies (e.g. grade count/percent, primary-site labels); use internally concordant main outcomes and state reporting limitations. Milan-centre patients overlap other Milan reports. G3 subset insufficient to support expansion. Post-LT mTOR discussion is extrapolative, not a comparative NET regimen trial. Supplement access: Supplementary Material 1, http://links.lww.com/SLA/E183, not included in this download.</w:t>
            </w:r>
          </w:p>
        </w:tc>
      </w:tr>
      <w:tr>
        <w:trPr/>
        <w:tc>
          <w:tcPr>
            <w:tcW w:w="3400" w:type="dxa"/>
            <w:tcMar>
              <w:top w:w="90" w:type="dxa"/>
              <w:left w:w="90" w:type="dxa"/>
              <w:bottom w:w="90" w:type="dxa"/>
              <w:right w:w="90" w:type="dxa"/>
            </w:tcMar>
          </w:tcPr>
          <w:p>
            <w:pPr>
              <w:pStyle w:val="Normal"/>
              <w:widowControl/>
              <w:spacing w:before="60" w:after="20"/>
            </w:pPr>
            <w:r>
              <w:rPr>
                <w:b/>
              </w:rPr>
              <w:t xml:space="preserve">Maspero 2022 · Milan long-term</w:t>
            </w:r>
            <w:r>
              <w:t xml:space="preserve"> </w:t>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Single-centre retrospective analysis of consecutive prospective surgical series 1984–2019: 53 LT and 96 LR; 48 LT/56 LR met Milan criteria on preoperative staging. Criteria: portal-drained resected primary, G1/G2, &lt;50% burden, no extrahepatic disease, ≥6-month stability, age &lt;60 relative. Required ≥6 months postoperative follow-up. Resection versus LT chosen for technical feasibility; estimated &gt;3% perioperative mortality for complex regenerative resection was this centre's definition, not a validated universal threshold.</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Methods/Milan definitions p 2599; outcomes p 2600; nodal analysis p 2601; Tables 2–3 p 2602; limitations pp 2605–2606.</w:t>
            </w:r>
          </w:p>
          <w:p>
            <w:pPr>
              <w:pStyle w:val="Normal"/>
              <w:widowControl/>
              <w:spacing w:before="60" w:after="20"/>
            </w:pPr>
            <w:r>
              <w:t xml:space="preserve">Review depth: Complete ten-page main paper read. All numerical results were taken from the labelled text/tables rather than estimating plotted curves.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OS/DFS from surgery, not listing or primary diagnosis. Median follow-up 158 months LT and 126 LR. Time primary resection-to-liver surgery 38.5 versus 6.5 months, introducing major test-of-time selection. Five-/ten-year OS 95.5%/93% LT versus 90%/75% LR; ten-year DFS 52% versus 18%. LT-associated univariate HR for OS 0.35 (0.16–0.78), not an adjusted causal effect. Recurrence 25/48 LT versus 42/56 LR; median time to recurrence among recurrence cases 78 versus 24 months, not median DFS for the entire group. LT recurrence range 13–204 months demonstrates very late risk. LT recurrence more often multisite (12/25 versus 5/42), nodal/bone; LR mostly involved liver (37/42 versus 2/25). Postrecurrence five-year survival 72% versus 69%. Nine deaths after LT: three NET-related and six other causes (three new solid cancers, sepsis, lymphoproliferative disease, cardiovascular event). Perioperative risk cannot be assessed reliably from a cohort requiring six-month follow-up. Despite preoperative Milan selection, postoperative Table 2 includes seven &gt;50% burden, two G3 and 16 hilar node-positive LT recipients. This is pathological upstaging/occult findings, not prospective validation of knowingly transplanting these categories. Hilar node positivity was associated with worse OS in a univariate LT analysis, HR 5.7 (1.3–24), P=0.004. DFS HR 2.6 (1.1–5.9) is printed with P=0.22, an internal inconsistency; do not silently correct to 0.022.</w:t>
            </w:r>
          </w:p>
          <w:p>
            <w:pPr>
              <w:pStyle w:val="Normal"/>
              <w:widowControl/>
              <w:spacing w:before="60" w:after="20"/>
            </w:pPr>
            <w:r>
              <w:rPr>
                <w:b/>
              </w:rPr>
              <w:t xml:space="preserve">Do not infer: </w:t>
            </w:r>
            <w:r>
              <w:t xml:space="preserve">Historical single-centre nonrandom selection, no ITT or wait-list dropout data, imbalanced ages/burden/timing; overlap with Milan 2016 and later multicentre series. At least six-month postoperative follow-up criterion risks under-representing early harms. Univariate analyses cannot establish independent risk-adjusted benefit. Only four excluded high-burden cases and one excluded G3 at preoperative selection; failure to find associations in tiny posthoc groups does not validate expanded eligibility. No LT patient &gt;60 was added in the age-expanded comparison (LT remained 48, LR increased to 89), so this is not direct evidence for LT above 60. Supplement access: No separate supplemental file cited; figures and all tables included.</w:t>
            </w:r>
          </w:p>
        </w:tc>
      </w:tr>
      <w:tr>
        <w:trPr/>
        <w:tc>
          <w:tcPr>
            <w:tcW w:w="3400" w:type="dxa"/>
            <w:tcMar>
              <w:top w:w="90" w:type="dxa"/>
              <w:left w:w="90" w:type="dxa"/>
              <w:bottom w:w="90" w:type="dxa"/>
              <w:right w:w="90" w:type="dxa"/>
            </w:tcMar>
          </w:tcPr>
          <w:p>
            <w:pPr>
              <w:pStyle w:val="Normal"/>
              <w:widowControl/>
              <w:spacing w:before="60" w:after="20"/>
            </w:pPr>
            <w:r>
              <w:rPr>
                <w:b/>
              </w:rPr>
              <w:t xml:space="preserve">Kjaer 2023 · eligible non-LT panNET</w:t>
            </w:r>
            <w:r>
              <w:t xml:space="preserve"> </w:t>
            </w:r>
            <w:r>
              <w:t xml:space="preserve"> </w:t>
            </w:r>
            <w:r>
              <w:fldChar w:fldCharType="begin"/>
            </w:r>
            <w:r>
              <w:instrText xml:space="preserve"> ADDIN EN.CITE </w:instrText>
            </w:r>
            <w:r>
              <w:fldChar w:fldCharType="begin">
                <w:fldData>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IENvbXBsZXRlIGVpZ2h0LXBhZ2UgcHVibGlzaGVkIG1haW4gcGFwZXIgcmVhZCwgaW5jbHVkaW5nIGFsbCBtZXRob2RzLCB0YWJsZXMsIGZpZ3VyZXMsIGRpc2N1c3Npb24gYW5kIHJlZmVyZW5jZXMuIFY4IGV4dHJhY3Rpb24gYW5kIGxpbWl0YXRpb25zOiBzb3VyY2UvbWV0YXN0YXNlc19mdWxsdGV4dF9yZXZpZXcuanNvbjwvbm90ZXM+PHVybHM+PHJlbGF0ZWQtdXJscz48dXJsPmh0dHBzOi8vZG9pLm9yZy8xMC4xMDA3L3MwMDI2OC0wMjItMDY3MzYtM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Retrospective Swedish tertiary-centre pan-NET cohort, 519 screened (2000–2021), 41 with resected primary, G1/G2, liver metastases and no extra-abdominal disease included. Sixteen satisfied one or more study-adapted LT definitions: Milan 11, ENETS 8, UNOS 13 (overlapping). These were not literal current allocation criteria: Milan age extended to &lt;65; two patients with suspicious persistent but stable regional nodes were counted UNOS-eligible after three-month follow-up.</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Methods/time zero p 341; modified eligibility definitions p 342; baseline/treatments/outcomes pp 343–344; interpretation/limitations pp 345–346.</w:t>
            </w:r>
          </w:p>
          <w:p>
            <w:pPr>
              <w:pStyle w:val="Normal"/>
              <w:widowControl/>
              <w:spacing w:before="60" w:after="20"/>
            </w:pPr>
            <w:r>
              <w:t xml:space="preserve">Review depth: Complete eight-page published main paper read, including all methods, tables,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set at eligibility for each LT-criteria group; otherwise after first centre visit, primary resection and liver metastasis presence. Mean follow-up 5.4 years; 23 deaths. No actual LT comparator. Eligibility time zero reduces one form of immortal-time bias but retrospective selection remains. All 41: median OS 9.3 years (95% CI 6.8–11.7); five-year OS 64.7% (48.2–81.2). Milan-adapted n=11 five-year OS 64.9% (32.2–97.6); ENETS n=8 85.7% (59.8–100); UNOS-adapted n=13 55.4% (26.0–84.8). Treatment was multimodal, not medical therapy alone: five hepatic resections, 15 ablations, six embolizations, systemic therapy in 40 and later-line PRRT. No standardised toxicity or quality-of-life comparison reported. Most patients had small maximum lesions (overall median 1.5 cm); eligibility/low-burden biology differs from refractory high-burden transplant candidates.</w:t>
            </w:r>
          </w:p>
          <w:p>
            <w:pPr>
              <w:pStyle w:val="Normal"/>
              <w:widowControl/>
              <w:spacing w:before="60" w:after="20"/>
            </w:pPr>
            <w:r>
              <w:rPr>
                <w:b/>
              </w:rPr>
              <w:t xml:space="preserve">Do not infer: </w:t>
            </w:r>
            <w:r>
              <w:t xml:space="preserve">Very small overlapping subgroups, broad CIs, nonrandom historical comparisons; cannot conclude non-LT superiority or that LT is ineffective. Study-adapted UNOS/Milan rules and old ENETS 2012 definitions should not be relabelled as current guidance. A stable suspicious node is not proof of cleared extrahepatic disease. Some percentages/table entries are internally inconsistent; use counts and survival estimates rather than erroneous derived percentages. Source authors' strong anti-LT conclusion exceeds what this uncontrolled non-LT series can establish. Supplement access: No supplementary file cited.</w:t>
            </w:r>
          </w:p>
        </w:tc>
      </w:tr>
      <w:tr>
        <w:trPr/>
        <w:tc>
          <w:tcPr>
            <w:tcW w:w="3400" w:type="dxa"/>
            <w:tcMar>
              <w:top w:w="90" w:type="dxa"/>
              <w:left w:w="90" w:type="dxa"/>
              <w:bottom w:w="90" w:type="dxa"/>
              <w:right w:w="90" w:type="dxa"/>
            </w:tcMar>
          </w:tcPr>
          <w:p>
            <w:pPr>
              <w:pStyle w:val="Normal"/>
              <w:widowControl/>
              <w:spacing w:before="60" w:after="20"/>
            </w:pPr>
            <w:r>
              <w:rPr>
                <w:b/>
              </w:rPr>
              <w:t xml:space="preserve">Chan 2025 · CABINET</w:t>
            </w:r>
            <w:r>
              <w:t xml:space="preserve"> </w:t>
            </w:r>
            <w:r>
              <w:t xml:space="preserve"> </w:t>
            </w:r>
            <w:r>
              <w:fldChar w:fldCharType="begin"/>
            </w:r>
            <w:r>
              <w:instrText xml:space="preserve"> ADDIN EN.CITE </w:instrText>
            </w:r>
            <w:r>
              <w:fldChar w:fldCharType="begin">
                <w:fldData>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0MDM5OTE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Double-blind phase III trial at 62 US sites, 298 previously treated progressive well-/moderately differentiated advanced NET patients. Two independent randomised cohorts: extrapancreatic n=203 (134 cabozantinib/69 placebo), pancreatic n=95 (64/31). Required prior relevant PRRT/targeted therapy; grades 1–3 and ECOG 0–2 eligible; poorly differentiated NEC excluded. Twenty-four G3 patients overall. This is not a liver-only transplant-eligible population.</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Eligibility/design pp 654–656; PFS and OS pp 657–661; safety/Table 3 pp 661–663; limitations p 663.</w:t>
            </w:r>
          </w:p>
          <w:p>
            <w:pPr>
              <w:pStyle w:val="Normal"/>
              <w:widowControl/>
              <w:spacing w:before="60" w:after="20"/>
            </w:pPr>
            <w:r>
              <w:t xml:space="preserve">Review depth: All 13 pages of complete NEJM main article read, including Methods, Figures 1–2, Tables 1–3,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ITT by randomised cohort despite ten site misallocations (seven pancreatic enrolled as extra-pancreatic, three reverse); sensitivity analyses consistent. Time zero randomisation. Early stopping/unblinding August 2023; PFS median follow-up 10.2 and 13.8 months; OS follow-up 24.2 and 23.1 months. Safety populations 132/67 and 63/31. Extrapancreatic PFS 8.4 versus 3.9 months, HR 0.38 (95% CI 0.25–0.59), P&lt;0.001; pancreatic PFS 13.8 versus 4.4 months, HR 0.23 (0.12–0.42), P&lt;0.001. Confirmed partial response 7/134 (5%) versus 0/69; pancreatic 12/64 (19%) versus 0/31. No complete responses. No OS benefit established: extra-pancreatic median OS 21.9 versus 19.7 months, HR 0.86 (0.56–1.31); pancreatic 40.0 versus 31.1, HR 0.95 (0.45–2.00). Immature OS, crossover and later therapies complicate interpretation. Treatment-related grade ≥3 adverse events 82/132 (62%) versus 18/67 (27%) and 41/63 (65%) versus 7/31 (23%). Dose reduction in 66%/68% cabozantinib arms; average daily dose around 38 mg despite 60 mg starting dose. Four extra-pancreatic cabozantinib recipients had deaths at least possibly treatment-related (gastric haemorrhage, cardiac arrest, two unspecified). Hypertension, fatigue, diarrhoea and thromboembolic events important. No grade 5 event in pancreatic cohort.</w:t>
            </w:r>
          </w:p>
          <w:p>
            <w:pPr>
              <w:pStyle w:val="Normal"/>
              <w:widowControl/>
              <w:spacing w:before="60" w:after="20"/>
            </w:pPr>
            <w:r>
              <w:rPr>
                <w:b/>
              </w:rPr>
              <w:t xml:space="preserve">Do not infer: </w:t>
            </w:r>
            <w:r>
              <w:t xml:space="preserve">High-quality randomised evidence for PFS in this late-line setting, but placebo comparator, early stopping and no proven OS advantage. Small G3 subgroup does not establish LT eligibility, nor does response to cabozantinib validate transplant downstaging. Not a comparison of LT against contemporary multimodal treatment in liver-only selected NET; post-LT safety was not studied. Quality-of-life results preliminary among questionnaire completers; no proven long-term QOL superiority. Supplement access: Supplementary Appendix, trial protocol, disclosure and data-sharing files not supplied in this PDF.</w:t>
            </w:r>
          </w:p>
        </w:tc>
      </w:tr>
      <w:tr>
        <w:trPr/>
        <w:tc>
          <w:tcPr>
            <w:tcW w:w="3400" w:type="dxa"/>
            <w:tcMar>
              <w:top w:w="90" w:type="dxa"/>
              <w:left w:w="90" w:type="dxa"/>
              <w:bottom w:w="90" w:type="dxa"/>
              <w:right w:w="90" w:type="dxa"/>
            </w:tcMar>
          </w:tcPr>
          <w:p>
            <w:pPr>
              <w:pStyle w:val="Normal"/>
              <w:widowControl/>
              <w:spacing w:before="60" w:after="20"/>
            </w:pPr>
            <w:r>
              <w:rPr>
                <w:b/>
              </w:rPr>
              <w:t xml:space="preserve">Caplin 2014 · CLARINET</w:t>
            </w:r>
            <w:r>
              <w:t xml:space="preserve"> </w:t>
            </w:r>
            <w:r>
              <w:t xml:space="preserve"> </w:t>
            </w:r>
            <w:r>
              <w:fldChar w:fldCharType="begin"/>
            </w:r>
            <w:r>
              <w:instrText xml:space="preserve"> ADDIN EN.CITE </w:instrText>
            </w:r>
            <w:r>
              <w:fldChar w:fldCharType="begin">
                <w:fldData>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TYxNTg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Randomised double-blind phase III multinational trial, 204 patients: lanreotide 120 mg every 28 days n=101 versus placebo n=103 for 96 weeks. Nonfunctioning (controlled gastrinoma allowed), SSTR-positive advanced enteropancreatic NET, well/moderately differentiated with stated Ki-67 &lt;10%; most treatment-naïve (84%) and stable in prior 3–6 months (96%). Thirty-three percent had &gt;25% hepatic tumour volume. Not a refractory, liver-only LT-eligible cohort.</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Eligibility pp 225–226; endpoint/time origin p 227; outcomes pp 228–230; toxicity Table 3 p 231; limitations p 232.</w:t>
            </w:r>
          </w:p>
          <w:p>
            <w:pPr>
              <w:pStyle w:val="Normal"/>
              <w:widowControl/>
              <w:spacing w:before="60" w:after="20"/>
            </w:pPr>
            <w:r>
              <w:t xml:space="preserve">Review depth: Complete ten-page NEJM main article read, including tables,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204 ITT and safety. Primary PFS time starts at first injection; OS from randomisation. Thirty-two PFS events (30 progressions, two deaths) versus 60 (58 progressions, two deaths). Median exposure 24 months versus 15 months. Median PFS not reached versus 18.0 months; HR 0.47 (95% CI 0.30–0.73), P&lt;0.001. Kaplan–Meier 24-month PFS 65.1% versus 33.0%. No significant OS or quality-of-life difference demonstrated; follow-up/crossover constrain OS interpretation. Treatment-related diarrhoea 26/101 versus 9/103; cholelithiasis 10/101 versus 3/103; hyperglycaemia 5/101 versus 0. Serious treatment-related adverse events affected three versus one patient; withdrawal for any AE three in each arm. The discrete week-96 treatment-success measure 53/101 versus 26/103 differs from KM 24-month PFS because withdrawals were counted as failures; do not mix these estimates.</w:t>
            </w:r>
          </w:p>
          <w:p>
            <w:pPr>
              <w:pStyle w:val="Normal"/>
              <w:widowControl/>
              <w:spacing w:before="60" w:after="20"/>
            </w:pPr>
            <w:r>
              <w:rPr>
                <w:b/>
              </w:rPr>
              <w:t xml:space="preserve">Do not infer: </w:t>
            </w:r>
            <w:r>
              <w:t xml:space="preserve">Strong PFS evidence for indolent low-grade SSTR-positive disease, not validation for Ki-67 10–20%, rapidly progressive disease or NET transplantation. No direct LT comparator, curative claim, high-burden transplant threshold or mandate to fail SSA before considering LT. Hepatic-volume dichotomy &gt;25% versus ≤25% was a posthoc simplification of predefined strata; no LT-specific 25% decision cutoff follows. Supplement access: Supplementary Appendix and separate protocol/statistical analysis plan not included.</w:t>
            </w:r>
          </w:p>
        </w:tc>
      </w:tr>
      <w:tr>
        <w:trPr/>
        <w:tc>
          <w:tcPr>
            <w:tcW w:w="3400" w:type="dxa"/>
            <w:tcMar>
              <w:top w:w="90" w:type="dxa"/>
              <w:left w:w="90" w:type="dxa"/>
              <w:bottom w:w="90" w:type="dxa"/>
              <w:right w:w="90" w:type="dxa"/>
            </w:tcMar>
          </w:tcPr>
          <w:p>
            <w:pPr>
              <w:pStyle w:val="Normal"/>
              <w:widowControl/>
              <w:spacing w:before="60" w:after="20"/>
            </w:pPr>
            <w:r>
              <w:rPr>
                <w:b/>
              </w:rPr>
              <w:t xml:space="preserve">Strosberg 2021 · NETTER-1 final OS</w:t>
            </w:r>
            <w:r>
              <w:t xml:space="preserve"> </w:t>
            </w:r>
            <w:r>
              <w:t xml:space="preserve"> </w:t>
            </w:r>
            <w:r>
              <w:fldChar w:fldCharType="begin"/>
            </w:r>
            <w:r>
              <w:instrText xml:space="preserve"> ADDIN EN.CITE </w:instrText>
            </w:r>
            <w:r>
              <w:fldChar w:fldCharType="begin">
                <w:fldData>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Open-label phase III trial, 231 randomised (117 Lu-177 DOTATATE plus octreotide/114 high-dose octreotide), 41 sites. Progressive advanced/inoperable SSTR-positive well-differentiated midgut NET, Ki-67 ≤20%, Karnofsky ≥60, progression on fixed-dose octreotide. No prior PRRT; marrow/renal/hepatic eligibility restrictions. Not a liver-only transplant population and not G3/NEC.</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Eligibility pp 1754–1755; statistical methods/time zero pp 1755–1756; trial flow p 1756; OS/crossover p 1757; RMST and safety p 1759; limitations pp 1760–1761.</w:t>
            </w:r>
          </w:p>
          <w:p>
            <w:pPr>
              <w:pStyle w:val="Normal"/>
              <w:widowControl/>
              <w:spacing w:before="60" w:after="20"/>
            </w:pPr>
            <w:r>
              <w:t xml:space="preserve">Review depth: Complete 12-page corrected main article read; first page explicitly states corrected version appeared 31 January 2022.</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360 assessed, 231 randomised; separate dosimetry 22 not randomised. ITT OS from randomisation. Safety 223: 111 Lu-177, 112 control because one misallocated patient received control. Median follow-up 76.3/76.5 months; final analysis January 2021 at five years after final enrolment, 142 rather than planned 158 deaths. Final OS 48.0 versus 36.3 months; HR 0.84 (95% CI 0.60–1.17), P=0.30. Five-year OS 37.1% versus 35.4%. OS superiority not established; the observed 11.7-month median difference is not proven treatment-attributable life extension. Control crossover to any PRRT 41/114 (36%); model-adjusted HR 0.73 (0.40–1.34) remains uncertain. Proportional-hazards assumption failed (P=0.03); five-year RMST difference 5.1 months (95% CI −0.5 to 10.7). Prior PFS benefit was maintained as context: regulatory baseline reanalysis HR 0.18 (0.11–0.29), versus original publication HR 0.21; these are reanalyses of the same early cutoff, not independent studies. Two of 111 developed MDS, one treatment-related death. No AML reported. Grade ≥3 nephrotoxicity regardless of causality six of 111 versus four of 112; late renal comparison has small surviving evaluable groups. Long-term adverse-event collection was asymmetric: treatment-related serious/special-interest AEs principally collected in Lu-177 group, not all AEs in both arms. Do not infer equal comprehensive late toxicity.</w:t>
            </w:r>
          </w:p>
          <w:p>
            <w:pPr>
              <w:pStyle w:val="Normal"/>
              <w:widowControl/>
              <w:spacing w:before="60" w:after="20"/>
            </w:pPr>
            <w:r>
              <w:rPr>
                <w:b/>
              </w:rPr>
              <w:t xml:space="preserve">Do not infer: </w:t>
            </w:r>
            <w:r>
              <w:t xml:space="preserve">Crossover, subsequent treatments, 20% missing due to withdrawal/loss and nonproportional hazards complicate OS inference. Failure to show OS superiority is not proof of no clinical benefit: PFS/QOL findings from earlier reports support treatment in the studied setting. No evidence about LT eligibility after PRRT response, post-LT PRRT safety or liver-only cure; these require separate evidence. Supplement access: Separate online appendix and earlier trial protocol not included; corrected main article is complete.</w:t>
            </w:r>
          </w:p>
        </w:tc>
      </w:tr>
      <w:tr>
        <w:trPr/>
        <w:tc>
          <w:tcPr>
            <w:tcW w:w="3400" w:type="dxa"/>
            <w:tcMar>
              <w:top w:w="90" w:type="dxa"/>
              <w:left w:w="90" w:type="dxa"/>
              <w:bottom w:w="90" w:type="dxa"/>
              <w:right w:w="90" w:type="dxa"/>
            </w:tcMar>
          </w:tcPr>
          <w:p>
            <w:pPr>
              <w:pStyle w:val="Normal"/>
              <w:widowControl/>
              <w:spacing w:before="60" w:after="20"/>
            </w:pPr>
            <w:r>
              <w:rPr>
                <w:b/>
              </w:rPr>
              <w:t xml:space="preserve">ENETS 2026</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ENETS 2026 position statement explicitly addressing controversies; expert, hypothesis-generating framework rather than original comparative outcome study.</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J Neuroendocrinol 2026;38:e70250; complete position-statement PDF burden, benefit, age, stability and extrahepatic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outcome denominator. Proposed liver-burden bands around 25–70%, age &lt;60 as relative and six-month stability are pragmatic concepts. Illustrative non-LT five-year survival &lt;30% versus post-LT ≥70% are not a calibrated individual benefit model.</w:t>
            </w:r>
          </w:p>
          <w:p>
            <w:pPr>
              <w:pStyle w:val="Normal"/>
              <w:widowControl/>
              <w:spacing w:before="60" w:after="20"/>
            </w:pPr>
            <w:r>
              <w:rPr>
                <w:b/>
              </w:rPr>
              <w:t xml:space="preserve">Do not infer: </w:t>
            </w:r>
            <w:r>
              <w:t xml:space="preserve">Do not turn an expert future-oriented proposal into validated numerical gates. Suggested controllable extrahepatic disease, including bone, conflicts with current NLRB solid-organ-metastasis exclusion. It identifies research needs rather than approving an expansion.</w:t>
            </w:r>
          </w:p>
        </w:tc>
      </w:tr>
      <w:tr>
        <w:trPr/>
        <w:tc>
          <w:tcPr>
            <w:tcW w:w="3400" w:type="dxa"/>
            <w:tcMar>
              <w:top w:w="90" w:type="dxa"/>
              <w:left w:w="90" w:type="dxa"/>
              <w:bottom w:w="90" w:type="dxa"/>
              <w:right w:w="90" w:type="dxa"/>
            </w:tcMar>
          </w:tcPr>
          <w:p>
            <w:pPr>
              <w:pStyle w:val="Normal"/>
              <w:widowControl/>
              <w:spacing w:before="60" w:after="20"/>
            </w:pPr>
            <w:r>
              <w:rPr>
                <w:b/>
              </w:rPr>
              <w:t xml:space="preserve">NCCN Neuroendocrine and Adrenal Tumors v1.2026</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hyperlink r:id="rId39">
              <w:r>
                <w:rPr>
                  <w:color w:val="77230C"/>
                  <w:sz w:val="20"/>
                  <w:u w:val="single"/>
                </w:rPr>
                <w:t>Primary source</w:t>
              </w:r>
            </w:hyperlink>
            <w:r>
              <w:t xml:space="preserve"> | </w:t>
            </w:r>
            <w:hyperlink r:id="rId40">
              <w:r>
                <w:rPr>
                  <w:color w:val="77230C"/>
                  <w:sz w:val="20"/>
                  <w:u w:val="single"/>
                </w:rPr>
                <w:t>Full-text PDF</w:t>
              </w:r>
            </w:hyperlink>
          </w:p>
          <w:p>
            <w:pPr>
              <w:pStyle w:val="Normal"/>
              <w:widowControl/>
              <w:spacing w:before="60" w:after="20"/>
            </w:pPr>
            <w:r>
              <w:t xml:space="preserve">Locator: MS-34, PDF 178; NET-8 PDF 26; PanNET-11 PDF 43; MS-12 PDF 156; NE-B2 PDF 73; NE-B1 PDF 72; MS-13 PDF 157; NE-B2 PDF 73; NE-D2 PDF 85; NE-K2 PDF 123; MS-13 PDF 157; NE-D2 PDF 85; NE-K1 PDF 122; change log PDF 11 and 16; NET-9 PDF 27; update log PDF 5; MS-12/13 PDF 156–157</w:t>
            </w:r>
          </w:p>
          <w:p>
            <w:pPr>
              <w:pStyle w:val="Normal"/>
              <w:widowControl/>
              <w:spacing w:before="60" w:after="20"/>
            </w:pPr>
            <w:r>
              <w:t xml:space="preserve">Review depth: Relevant entire sections read in local complete PDF. Cover and LT page visually inspected. Not a whole-237-page review; no claim this is the latest edition available anywhere.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NCCN retains the discussion position categorizing LT for liver-limited well-differentiated G1/G2 GI/pancreatic NET metastases as investigational and not routine care. Visual inspection shows a watermark indicating that discussion updating is in progress. Identify this as a retained discussion statement, not newly revised 2026 transplant evidence. Keep it explicit beside selective NLRB exception eligibility and centre selection criteria; allocation eligibility is not unanimous clinical endorsement. Routine SSTR-based or FDG PET is not recommended for postresection surveillance. Long-term anatomic surveillance is supported, but these are non-LT schedules and do not establish a validated post-LT calendar. Use multiphasic anatomic imaging alongside SSTR PET to detect receptor-negative as well as receptor-positive disease; FDG PET remains selective for G2/higher or concerning biology. The 2026 page adds consistency of modality/contrast for follow-up and modified Krenning scoring. A high-uptake lesion score does not eliminate discordant SSTR-negative lesions. Cardiac evaluation includes valves and right-heart function with specialist review. Prehepatic-surgery valve replacement language concerns significant CHD, while hormone-control guidance indicates replacement for symptomatic disease. This does not require valve replacement for every mild/asymptomatic CHD abnormality. The 2026 revision states that prophylactic octreotide is probably ineffective for preventing intraoperative crisis and that its administration should not delay vasopressor/fluid treatment. NE-K1 also allows selective prophylactic use while questioning routine use, so do not recast this as an absolute prohibition. For ileal/jejunal/cecal NETs, obtain 5-HIAA in symptomatic patients and consider it in asymptomatic metastatic disease. This is more specific than symptom-only testing, but still does not validate a universal broad marker panel or biochemical clearance as a transplant gate.</w:t>
            </w:r>
          </w:p>
          <w:p>
            <w:pPr>
              <w:pStyle w:val="Normal"/>
              <w:widowControl/>
              <w:spacing w:before="60" w:after="20"/>
            </w:pPr>
            <w:r>
              <w:rPr>
                <w:b/>
              </w:rPr>
              <w:t xml:space="preserve">Do not infer: </w:t>
            </w:r>
            <w:r>
              <w:t xml:space="preserve">Targeted relevant-section review, not a whole-guideline audit. Version verified from the PDF; no claim that no newer portal version exists. NET discussion retains an update-in-progress notice.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Kasai 2024</w:t>
            </w:r>
            <w:r>
              <w:t xml:space="preserve"> </w:t>
            </w:r>
            <w:r>
              <w:t xml:space="preserve"> </w:t>
            </w:r>
            <w:r>
              <w:fldChar w:fldCharType="begin"/>
            </w:r>
            <w:r>
              <w:instrText xml:space="preserve"> ADDIN EN.CITE </w:instrText>
            </w:r>
            <w:r>
              <w:fldChar w:fldCharType="begin">
                <w:fldData>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Narrative review with descriptive JLTS LDLT registry data; 16 NET recipients, 14 transplanted in/before 2007, none after 2012.</w:t>
            </w:r>
          </w:p>
          <w:p>
            <w:pPr>
              <w:pStyle w:val="Normal"/>
              <w:widowControl/>
              <w:spacing w:before="60" w:after="20"/>
            </w:pPr>
            <w:hyperlink r:id="rId41">
              <w:r>
                <w:rPr>
                  <w:color w:val="77230C"/>
                  <w:sz w:val="20"/>
                  <w:u w:val="single"/>
                </w:rPr>
                <w:t>Primary source</w:t>
              </w:r>
            </w:hyperlink>
            <w:r>
              <w:t xml:space="preserve"> | </w:t>
            </w:r>
            <w:hyperlink r:id="rId42">
              <w:r>
                <w:rPr>
                  <w:color w:val="77230C"/>
                  <w:sz w:val="20"/>
                  <w:u w:val="single"/>
                </w:rPr>
                <w:t>Full-text PDF</w:t>
              </w:r>
            </w:hyperlink>
          </w:p>
          <w:p>
            <w:pPr>
              <w:pStyle w:val="Normal"/>
              <w:widowControl/>
              <w:spacing w:before="60" w:after="20"/>
            </w:pPr>
            <w:r>
              <w:t xml:space="preserve">Locator: Registry pp 2–4 and Table 2 p 4; selection pp 5–6; immunosuppression/recurrence p 7.</w:t>
            </w:r>
          </w:p>
          <w:p>
            <w:pPr>
              <w:pStyle w:val="Normal"/>
              <w:widowControl/>
              <w:spacing w:before="60" w:after="20"/>
            </w:pPr>
            <w:r>
              <w:t xml:space="preserve">Review depth: Complete nine-page review plus original 16-patient Japanese registry summary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Registry median age 30.5; 12 pancreatic, three rectal, one gastric primary; four of 16 died within 90 days; median OS 58.4 months, five-year OS 50%. Causes of intermediate/late deaths are hypothesized because detailed recurrence/course data were unavailable.; Uses historical 2007 Milan age ≤55 and burden ≤50%; contemporary comparative studies use different labelled versions. The review recognizes age as relative, not an absolute cutoff.; Primary-versus-metastatic grade discordance supports representative rebiopsy when clinically discordant, not mandatory biopsy of every lesion.; p 7 explicitly states no study has established everolimus recurrence-prevention after NET LT and distinguishes oncologic dose from transplant dose.</w:t>
            </w:r>
          </w:p>
          <w:p>
            <w:pPr>
              <w:pStyle w:val="Normal"/>
              <w:widowControl/>
              <w:spacing w:before="60" w:after="20"/>
            </w:pPr>
            <w:r>
              <w:rPr>
                <w:b/>
              </w:rPr>
              <w:t xml:space="preserve">Do not infer: </w:t>
            </w:r>
            <w:r>
              <w:t xml:space="preserve">Historical Japanese series does not prove current LDLT safety or superiority; do not use four early deaths as a present-day expected rate.; Proposed bridging algorithm and 'plan LT while controlled by PRRT' are expert suggestions, not randomized LT timing evidence.; Review-wide claimed improvement in modern Japanese outcomes is anticipated, not observed in the 16 cases.; Known active extrahepatic disease and G3 remain different from occult upstaging in retrospective comparator studies.</w:t>
            </w:r>
          </w:p>
        </w:tc>
      </w:tr>
    </w:tbl>
    <w:p>
      <w:pPr>
        <w:pStyle w:val="Heading3"/>
        <w:keepNext/>
        <w:widowControl/>
      </w:pPr>
      <w:r>
        <w:t xml:space="preserve">Synthesis and evidence that challenges the proposal</w:t>
      </w:r>
    </w:p>
    <w:p>
      <w:pPr>
        <w:pStyle w:val="Normal"/>
        <w:widowControl/>
        <w:spacing w:before="60" w:after="20"/>
      </w:pPr>
      <w:r>
        <w:t xml:space="preserve">Selected NET recipients can have excellent long-term survival, but incremental benefit over accessible non-LT care remains confounded. The multicentre matched main-body result is five-year OS 75% versus 68.3%, not its conflicting abstract figures; matched 90-day mortality was seven of 96 versus two of 96. Maspero's 48-versus-56 surgical comparison shows long-term separation but major age, timing, treatment-selection and six-month follow-up biases. Kjaer is a small selected multimodal non-LT cohort using adapted criteria, not a contemporary randomized medical comparator. CLARINET, CABINET and NETTER-1 establish specific non-LT treatment effects in different populations; their PFS gains must not be treated as equivalent LT survival estimates. CABINET carries frequent high-grade toxicity; NETTER-1's final OS difference was not statistically established. Eligibility and predicted post-LT survival alone do not demonstrate benefit. Guideline discordance: the verified NCCN Neuroendocrine and Adrenal Tumors v1.2026 retains the discussion designation of LT as investigational; this discussion page is marked as undergoing update. NLRB guidance describes selected exception review. Neither allocation eligibility nor selected-center survival proves comparative benefit against contemporary NET therapy.</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IENvbXBsZXRlIGVpZ2h0LXBhZ2UgcHVibGlzaGVkIG1haW4gcGFwZXIgcmVhZCwgaW5jbHVkaW5nIGFsbCBtZXRob2RzLCB0YWJsZXMsIGZpZ3VyZXMsIGRpc2N1c3Npb24gYW5kIHJlZmVyZW5jZXMuIFY4IGV4dHJhY3Rpb24gYW5kIGxpbWl0YXRpb25zOiBzb3VyY2UvbWV0YXN0YXNlc19mdWxsdGV4dF9yZXZpZXcuanNvbjwvbm90ZXM+PHVybHM+PHJlbGF0ZWQtdXJscz48dXJsPmh0dHBzOi8vZG9pLm9yZy8xMC4xMDA3L3MwMDI2OC0wMjItMDY3MzYtM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0MDM5OTE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TYxNTg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spacing w:before="60" w:after="20"/>
      </w:pPr>
      <w:r>
        <w:t xml:space="preserve">Kjaer's eligibility-based non-LT cohort had substantial long-term survival; CLARINET supports prolonged control for indolent Ki-67 &lt;10% disease. CABINET and PRRT offer additional disease-control options, but none is a randomized comparator to LT. Conversely, requiring every systemic option to fail may forfeit the transplant window and is not tested. Maspero documents late multisite recurrence and non-cancer deaths despite excellent LT survival.</w:t>
      </w:r>
    </w:p>
    <w:p>
      <w:pPr>
        <w:pStyle w:val="Normal"/>
        <w:widowControl/>
        <w:spacing w:before="60" w:after="20"/>
      </w:pPr>
      <w:r>
        <w:rPr>
          <w:b/>
        </w:rPr>
        <w:t xml:space="preserve">Certainty / applicability: </w:t>
      </w:r>
      <w:r>
        <w:t xml:space="preserve">Low certainty for a causal LT benefit magnitude and any individual benefit cutoff; moderate certainty that NET biology and modern alternatives vary greatly. High-quality systemic-trial efficacy is indirect for transplant selection. No validated calculator supports the ENETS illustrative 30%/70% survival targets.</w:t>
      </w:r>
    </w:p>
    <w:p>
      <w:pPr>
        <w:pStyle w:val="Heading3"/>
        <w:keepNext/>
        <w:widowControl/>
      </w:pPr>
      <w:r>
        <w:t xml:space="preserve">Where each proposed threshold comes from</w:t>
      </w:r>
    </w:p>
    <w:p>
      <w:pPr>
        <w:pStyle w:val="Normal"/>
        <w:widowControl/>
        <w:numPr>
          <w:ilvl w:val="0"/>
          <w:numId w:val="3"/>
        </w:numPr>
        <w:spacing w:before="60" w:after="20"/>
      </w:pPr>
      <w:r>
        <w:t xml:space="preserve">No randomized study validates a minimum survival-gain percentage, two-line failure count, or ENETS &lt;30% versus ≥70% prediction. Six-month observation screens biology but does not prove added benefit. Any local two-reviewer requirement and reassessment cadence are governance, not biological cutoffs.</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ENETS 2026</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“expert-driven and hypothesis-generating framework (not outcome-validated)”</w:t>
            </w:r>
          </w:p>
          <w:p>
            <w:pPr>
              <w:pStyle w:val="Normal"/>
              <w:widowControl/>
              <w:spacing w:before="60" w:after="20"/>
            </w:pPr>
            <w:r>
              <w:t xml:space="preserve">2026 full-text PDF p3, transplant-benefit discussion</w:t>
            </w:r>
          </w:p>
          <w:p>
            <w:pPr>
              <w:pStyle w:val="Normal"/>
              <w:widowControl/>
              <w:spacing w:before="60" w:after="20"/>
            </w:pPr>
            <w:hyperlink r:id="rId43">
              <w:r>
                <w:rPr>
                  <w:color w:val="77230C"/>
                  <w:sz w:val="20"/>
                  <w:u w:val="single"/>
                </w:rPr>
                <w:t>Source</w:t>
              </w:r>
            </w:hyperlink>
            <w:r>
              <w:t xml:space="preserve"> | </w:t>
            </w:r>
            <w:hyperlink r:id="rId4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Illustrative survival figures are discussion aids, not calibrated individual eligibility thresholds.</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a demonstrable benefit trigger; excellent predicted post-LT survival alone is not enough.</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IENvbXBsZXRlIGVpZ2h0LXBhZ2UgcHVibGlzaGVkIG1haW4gcGFwZXIgcmVhZCwgaW5jbHVkaW5nIGFsbCBtZXRob2RzLCB0YWJsZXMsIGZpZ3VyZXMsIGRpc2N1c3Npb24gYW5kIHJlZmVyZW5jZXMuIFY4IGV4dHJhY3Rpb24gYW5kIGxpbWl0YXRpb25zOiBzb3VyY2UvbWV0YXN0YXNlc19mdWxsdGV4dF9yZXZpZXcuanNvbjwvbm90ZXM+PHVybHM+PHJlbGF0ZWQtdXJscz48dXJsPmh0dHBzOi8vZG9pLm9yZy8xMC4xMDA3L3MwMDI2OC0wMjItMDY3MzYtM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0MDM5OTE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TYxNTg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Proposed gate: favorable-biology unresectable liver disease with controlled primary, plus at least one trigger—refractory functioning syndrome, clinically meaningful liver-related functional compromise, or a prospectively documented credible threat to durable hepatic control despite reasonable alternatives.</w:t>
      </w:r>
    </w:p>
    <w:p>
      <w:pPr>
        <w:pStyle w:val="Normal"/>
        <w:widowControl/>
        <w:numPr>
          <w:ilvl w:val="1"/>
          <w:numId w:val="3"/>
        </w:numPr>
        <w:spacing w:before="60" w:after="20"/>
      </w:pPr>
      <w:r>
        <w:t xml:space="preserve">Do not require established irreversible failure before assessing benefit.</w:t>
      </w:r>
    </w:p>
    <w:p>
      <w:pPr>
        <w:pStyle w:val="Normal"/>
        <w:widowControl/>
        <w:numPr>
          <w:ilvl w:val="0"/>
          <w:numId w:val="3"/>
        </w:numPr>
      </w:pPr>
      <w:r>
        <w:t xml:space="preserve">NET oncology and an independent transplant/HPB reviewer must agree that LT offers meaningful additional survival or symptom/function benefit over the patient’s accessible options, with B2 biological stability satisfied.</w:t>
      </w:r>
    </w:p>
    <w:p>
      <w:pPr>
        <w:pStyle w:val="Normal"/>
        <w:widowControl/>
        <w:numPr>
          <w:ilvl w:val="0"/>
          <w:numId w:val="3"/>
        </w:numPr>
      </w:pPr>
      <w:r>
        <w:t xml:space="preserve">Asymptomatic stable low-burden disease with preserved hepatic function and reasonable durable options defaults to continued non-LT care/observation.</w:t>
      </w:r>
    </w:p>
    <w:p>
      <w:pPr>
        <w:pStyle w:val="Normal"/>
        <w:widowControl/>
        <w:numPr>
          <w:ilvl w:val="1"/>
          <w:numId w:val="3"/>
        </w:numPr>
        <w:spacing w:before="60" w:after="20"/>
      </w:pPr>
      <w:r>
        <w:t xml:space="preserve">Evaluate at least one appropriate treatment strategy; do not require two failures or exhaustion of every therapy.</w:t>
      </w:r>
    </w:p>
    <w:p>
      <w:pPr>
        <w:pStyle w:val="Normal"/>
        <w:widowControl/>
        <w:numPr>
          <w:ilvl w:val="1"/>
          <w:numId w:val="3"/>
        </w:numPr>
        <w:spacing w:before="60" w:after="20"/>
      </w:pPr>
      <w:r>
        <w:t xml:space="preserve">Do not use ENETS illustrative &lt;30%/≥70% figures as a validated calculator.</w:t>
      </w:r>
    </w:p>
    <w:p>
      <w:pPr>
        <w:pStyle w:val="Normal"/>
        <w:widowControl/>
        <w:numPr>
          <w:ilvl w:val="0"/>
          <w:numId w:val="3"/>
        </w:numPr>
      </w:pPr>
      <w:r>
        <w:t xml:space="preserve">In the alternatives/benefit table, state treatment-specific population, time zero and endpoint.</w:t>
      </w:r>
    </w:p>
    <w:p>
      <w:pPr>
        <w:pStyle w:val="Normal"/>
        <w:widowControl/>
        <w:numPr>
          <w:ilvl w:val="1"/>
          <w:numId w:val="3"/>
        </w:numPr>
        <w:spacing w:before="60" w:after="20"/>
      </w:pPr>
      <w:r>
        <w:t xml:space="preserve">Do not promise a survival extension from NETTER-1's nonsignificant 11.7-month median difference, require CABINET failure, or treat CLARINET's Ki-67 &lt;10% population as a transplant grade cutoff.</w:t>
      </w:r>
    </w:p>
    <w:p>
      <w:pPr>
        <w:pStyle w:val="Normal"/>
        <w:widowControl/>
        <w:numPr>
          <w:ilvl w:val="0"/>
          <w:numId w:val="3"/>
        </w:numPr>
      </w:pPr>
      <w:r>
        <w:t xml:space="preserve">Record the retained NCCN v1.2026 investigational discussion statement alongside selected-center and NLRB positions; resolve local clinical/research governance explicitly before offering LT.</w:t>
      </w:r>
    </w:p>
    <w:p>
      <w:pPr>
        <w:pStyle w:val="Normal"/>
        <w:widowControl/>
        <w:numPr>
          <w:ilvl w:val="1"/>
          <w:numId w:val="3"/>
        </w:numPr>
        <w:spacing w:before="60" w:after="20"/>
      </w:pPr>
      <w:r>
        <w:t xml:space="preserve">Recheck the licensed guideline before ratification.</w:t>
      </w:r>
    </w:p>
    <w:p>
      <w:pPr>
        <w:pStyle w:val="Normal"/>
        <w:widowControl/>
        <w:spacing w:before="60" w:after="20"/>
      </w:pPr>
      <w:r>
        <w:rPr>
          <w:b/>
        </w:rPr>
        <w:t xml:space="preserve">Why retain or change it: </w:t>
      </w:r>
      <w:r>
        <w:t xml:space="preserve">Retain OPEN an explicit incremental-benefit review by transplant and NET specialists independent of the donor decision. Record current and realistically available sequences (SSA, PRRT if appropriate, targeted/systemic agents, liver-directed therapy/resection), prior response/toxicity, symptom burden, functional liver reserve and credible future threat to hepatic control. A compelling case may be refractory hormonal symptoms, threatened hepatic function, or a carefully documented likely loss of durable liver control despite reasonable alternatives—not necessarily established irreversible failure. Do not require two failed lines or exhaustion of all drugs. Stable, low-burden disease with durable tolerable control ordinarily remains in non-LT management. Decision remains blank.</w:t>
      </w:r>
    </w:p>
    <w:p>
      <w:pPr>
        <w:pStyle w:val="Heading3"/>
        <w:keepNext/>
        <w:widowControl/>
      </w:pPr>
      <w:r>
        <w:t xml:space="preserve">Information required before the decision</w:t>
      </w:r>
    </w:p>
    <w:p>
      <w:pPr>
        <w:pStyle w:val="Normal"/>
        <w:widowControl/>
        <w:spacing w:before="60" w:after="20"/>
      </w:pPr>
      <w:r>
        <w:t xml:space="preserve">Functional syndrome and treatment response; symptoms/liver reserve; growth trajectory; SSTR status and treatment alternatives; patient goals; independent benefit review.</w:t>
      </w:r>
    </w:p>
    <w:p>
      <w:pPr>
        <w:pStyle w:val="Normal"/>
        <w:widowControl/>
        <w:spacing w:before="60" w:after="20"/>
      </w:pPr>
      <w:r>
        <w:rPr>
          <w:b/>
        </w:rPr>
        <w:t xml:space="preserve">Clinical versus allocation: </w:t>
      </w:r>
      <w:r>
        <w:t xml:space="preserve">Favorable clinical prognosis does not establish urgency, exception entitlement or a reason to expose a healthy donor.</w:t>
      </w:r>
    </w:p>
    <w:p>
      <w:pPr>
        <w:pStyle w:val="Normal"/>
        <w:widowControl/>
        <w:spacing w:before="60" w:after="20"/>
      </w:pPr>
      <w:r>
        <w:rPr>
          <w:b/>
        </w:rPr>
        <w:t xml:space="preserve">Roadmap / protocol reconciliation: </w:t>
      </w:r>
      <w:r>
        <w:t xml:space="preserve">Compare with the NET roadmap’s SSA, PRRT, liver-directed, targeted and chemotherapy options as applicable, without forcing inappropriate therapies before LT review.</w:t>
      </w:r>
    </w:p>
    <w:p>
      <w:pPr>
        <w:pStyle w:val="Normal"/>
        <w:widowControl/>
        <w:spacing w:before="60" w:after="20"/>
      </w:pPr>
      <w:hyperlink r:id="rId45">
        <w:r>
          <w:rPr>
            <w:color w:val="77230C"/>
            <w:sz w:val="20"/>
            <w:u w:val="single"/>
          </w:rPr>
          <w:t>Meeting record: NET-B1</w:t>
        </w:r>
      </w:hyperlink>
      <w:r>
        <w:t xml:space="preserve">  |  </w:t>
      </w:r>
      <w:hyperlink r:id="rId46">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2 Patient selection and classification</w:t>
      </w:r>
    </w:p>
    <w:p>
      <w:pPr>
        <w:pStyle w:val="Heading3"/>
        <w:keepNext/>
        <w:widowControl/>
      </w:pPr>
      <w:r>
        <w:t xml:space="preserve">2.1 Pathology and primary site</w:t>
      </w:r>
    </w:p>
    <w:p>
      <w:pPr>
        <w:pStyle w:val="Normal"/>
        <w:widowControl/>
        <w:numPr>
          <w:ilvl w:val="0"/>
          <w:numId w:val="3"/>
        </w:numPr>
      </w:pPr>
      <w:r>
        <w:t xml:space="preserve">Obtain expert review of the primary and metastatic pathology when available: differentiation, grade, Ki-67 hot-spot index, mitotic count, sampling date and heterogeneity. Resolve discordant primary/liver grades or a rapidly changing phenotype with the NET MDT.</w:t>
      </w:r>
    </w:p>
    <w:p>
      <w:pPr>
        <w:pStyle w:val="Normal"/>
        <w:widowControl/>
        <w:numPr>
          <w:ilvl w:val="0"/>
          <w:numId w:val="3"/>
        </w:numPr>
      </w:pPr>
      <w:r>
        <w:t xml:space="preserve">Current NLRB guidance specifies portal-drained gastroenteropancreatic origin, G1/G2 histology, mitotic rate below 20 per 10 HPF and proliferation index below 20%. Do not change the exact index boundary to less-than-or-equal-to 20. Record unknown or nonportal primary sites separately.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Well-differentiated G3 NET is biologically distinct from poorly differentiated NEC. Neither is activated as a transplant cohort here. NETTER-2 demonstrates non-LT PRRT activity in a selected G2/G3 population, not transplant benefit or a validated Ki-67 below 55 LT gate.</w:t>
      </w:r>
      <w:r>
        <w:t xml:space="preserve"> </w:t>
      </w:r>
      <w:r>
        <w:t xml:space="preserve"> </w:t>
      </w:r>
      <w:r>
        <w:fldChar w:fldCharType="begin"/>
      </w:r>
      <w:r>
        <w:instrText xml:space="preserve"> ADDIN EN.CITE </w:instrText>
      </w:r>
      <w:r>
        <w:fldChar w:fldCharType="begin">
          <w:fldData>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QpMDA3MDE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Heading3"/>
        <w:keepNext/>
        <w:widowControl/>
      </w:pPr>
      <w:r>
        <w:t xml:space="preserve">2.2 Stage nodes and extrahepatic disease accurately</w:t>
      </w:r>
    </w:p>
    <w:p>
      <w:pPr>
        <w:pStyle w:val="Normal"/>
        <w:widowControl/>
        <w:numPr>
          <w:ilvl w:val="0"/>
          <w:numId w:val="3"/>
        </w:numPr>
      </w:pPr>
      <w:r>
        <w:t xml:space="preserve">Obtain multiphasic liver CT/MRI, chest/abdominal/pelvic staging and appropriate somatostatin-receptor functional imaging. Add FDG imaging when grade, rapid tempo or receptor/anatomic discordance makes it clinically useful. Resolve suspicious sites with directed imaging or biopsy where management depends on the result.</w:t>
      </w:r>
    </w:p>
    <w:p>
      <w:pPr>
        <w:pStyle w:val="Normal"/>
        <w:widowControl/>
        <w:numPr>
          <w:ilvl w:val="0"/>
          <w:numId w:val="3"/>
        </w:numPr>
      </w:pPr>
      <w:r>
        <w:t xml:space="preserve">Document complete primary resection and any prior extrahepatic nodal resection, exact stations, pathology and dates. Guidance requires at least six months without recurrence after primary/extrahepatic disease clearance; current extrahepatic progression, including positive nodes, prevents advancement. Previously cleared nodes are not equivalent to active nodes.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Prior or current extrahepatic solid-organ metastases, such as lung or bone metastases, are an exclusion in the current NET exception guidance. Do not apply the cleared-node reconsideration language to those sites. Record the required negative metastatic-workup dates and obtain current staging before activation rather than relying on an old negative scan.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3"/>
        <w:keepNext/>
        <w:widowControl/>
      </w:pPr>
      <w:r>
        <w:t xml:space="preserve">2.3 Burden age and clinical benefit</w:t>
      </w:r>
    </w:p>
    <w:p>
      <w:pPr>
        <w:pStyle w:val="Normal"/>
        <w:widowControl/>
        <w:numPr>
          <w:ilvl w:val="0"/>
          <w:numId w:val="3"/>
        </w:numPr>
      </w:pPr>
      <w:r>
        <w:t xml:space="preserve">Measure percentage liver replacement with a specified method, functional reserve, symptoms/hormonal syndrome and treatment trajectory. Current NLRB guidance contains no explicit age or percentage liver-volume cap. Original Milan age/burden selection factors must not be labeled national policy.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The former 50–75% burden band with mandatory downstaging to 50%, and the age 60–70 research band, are not adopted as validated limits. Assess physiologic fitness and expected incremental benefit; any local restriction or expanded stratum needs an explicit rationale.</w:t>
      </w:r>
      <w:r>
        <w:t xml:space="preserve"> </w:t>
      </w:r>
      <w:r>
        <w:t xml:space="preserve"> </w:t>
      </w:r>
      <w:r>
        <w:fldChar w:fldCharType="begin"/>
      </w:r>
      <w:r>
        <w:instrText xml:space="preserve"> ADDIN EN.CITE </w:instrText>
      </w:r>
      <w:r>
        <w:fldChar w:fldCharType="begin">
          <w:fldData>PEVuZE5vdGU+PENpdGU+PEF1dGhvcj5Eb3ZlPC9BdXRob3I+PFllYXI+MjAyNjwvWWVhcj48UmVjTnVtPjE1PC9SZWNOdW0+PERpc3BsYXlUZXh0PltWMTYtMTVdPC9EaXNwbGF5VGV4dD48cmVjb3JkPjxyZWMtbnVtYmVyPjE1PC9yZWMtbnVtYmVyPjxmb3JlaWduLWtleXM+PGtleSBhcHA9IkVOIiBkYi1pZD0iYjcyMjMwNzItMzFiNy01NDQwLWFjZDktNmRkYjNjMjM2YzlkIiB0aW1lc3RhbXA9IjE3OTMyODM2ODYiPjE1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Heading3"/>
        <w:keepNext/>
        <w:widowControl/>
      </w:pPr>
      <w:bookmarkStart w:id="2" w:name="NET_B2"/>
      <w:r>
        <w:t xml:space="preserve">NET-B2 — What is guideline-aligned versus an expanded-risk proposal?</w:t>
      </w:r>
      <w:bookmarkEnd w:id="2"/>
    </w:p>
    <w:p>
      <w:pPr>
        <w:pStyle w:val="Heading3"/>
        <w:keepNext/>
        <w:widowControl/>
      </w:pPr>
      <w:r>
        <w:t xml:space="preserve">Question and comparison</w:t>
      </w:r>
    </w:p>
    <w:p>
      <w:pPr>
        <w:pStyle w:val="Normal"/>
        <w:widowControl/>
        <w:spacing w:before="60" w:after="20"/>
      </w:pPr>
      <w:r>
        <w:t xml:space="preserve">What pathology, primary-site, nodal/extrahepatic and stability boundaries should govern NET LT; can G3 or PRRT-responsive disease be promoted into the pathway?</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Single-centre comparative Milan-NET study, 88 eligible patients: 42 LT and 46 non-LT, 1995–2010 era, nonrandomized.</w:t>
            </w:r>
          </w:p>
          <w:p>
            <w:pPr>
              <w:pStyle w:val="Normal"/>
              <w:widowControl/>
              <w:spacing w:before="60" w:after="20"/>
            </w:pPr>
            <w:hyperlink r:id="rId47">
              <w:r>
                <w:rPr>
                  <w:color w:val="77230C"/>
                  <w:sz w:val="20"/>
                  <w:u w:val="single"/>
                </w:rPr>
                <w:t>Primary source</w:t>
              </w:r>
            </w:hyperlink>
            <w:r>
              <w:t xml:space="preserve"> | </w:t>
            </w:r>
            <w:hyperlink r:id="rId48">
              <w:r>
                <w:rPr>
                  <w:color w:val="77230C"/>
                  <w:sz w:val="20"/>
                  <w:u w:val="single"/>
                </w:rPr>
                <w:t>Full-text PDF</w:t>
              </w:r>
            </w:hyperlink>
          </w:p>
          <w:p>
            <w:pPr>
              <w:pStyle w:val="Normal"/>
              <w:widowControl/>
              <w:spacing w:before="60" w:after="20"/>
            </w:pPr>
            <w:r>
              <w:t xml:space="preserve">Locator: Am J Transplant 2016;16:2892–2902; full PDF Methods statistical time origin/left truncation, Tables 1–2 eligibility/characteristics, survival and restricted-mean analyses.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pStyle w:val="Normal"/>
              <w:widowControl/>
              <w:spacing w:before="60" w:after="20"/>
            </w:pPr>
            <w:r>
              <w:rPr>
                <w:b/>
              </w:rPr>
              <w:t xml:space="preserve">Do not infer: </w:t>
            </w:r>
            <w:r>
              <w:t xml:space="preserve">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Eshmuminov 2023 · LT versus resection</w:t>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Retrospective 15-centre study 1988–2021, 455 surgically treated patients (225 LT, 230 LR). Centre-specific selection varied. Propensity matching on age, grade and primary location yielded 96 LT and 96 R0-resected LR patients, with persistent marked lesion-number imbalance. Prior systemic treatment details were unavailable. Twenty-seven percent of LT patients lacked grade; only 10 overall LT recipients had G3, without modern WD-G3 versus NEC discrimination.</w:t>
            </w:r>
          </w:p>
          <w:p>
            <w:pPr>
              <w:pStyle w:val="Normal"/>
              <w:widowControl/>
              <w:spacing w:before="60" w:after="20"/>
            </w:pPr>
            <w:hyperlink r:id="rId49">
              <w:r>
                <w:rPr>
                  <w:color w:val="77230C"/>
                  <w:sz w:val="20"/>
                  <w:u w:val="single"/>
                </w:rPr>
                <w:t>Primary source</w:t>
              </w:r>
            </w:hyperlink>
            <w:r>
              <w:t xml:space="preserve"> | </w:t>
            </w:r>
            <w:hyperlink r:id="rId50">
              <w:r>
                <w:rPr>
                  <w:color w:val="77230C"/>
                  <w:sz w:val="20"/>
                  <w:u w:val="single"/>
                </w:rPr>
                <w:t>Full-text PDF</w:t>
              </w:r>
            </w:hyperlink>
          </w:p>
          <w:p>
            <w:pPr>
              <w:pStyle w:val="Normal"/>
              <w:widowControl/>
              <w:spacing w:before="60" w:after="20"/>
            </w:pPr>
            <w:r>
              <w:t xml:space="preserve">Locator: Methods e1064; unmatched outcomes/Table 1 e1065; grading e1066; matched Results/Table 4 e1067 and Figure 3 e1068; limitations e1069.</w:t>
            </w:r>
          </w:p>
          <w:p>
            <w:pPr>
              <w:pStyle w:val="Normal"/>
              <w:widowControl/>
              <w:spacing w:before="60" w:after="20"/>
            </w:pPr>
            <w:r>
              <w:t xml:space="preserve">Review depth: All nine pages of the complete published main paper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OS/PFS start at operation, not diagnosis, eligibility or treatment assignment; median follow-up 97 months overall, 93 LT and 102 LR. No all-screened or wait-list comparison. Matched analysis n=192. Use main Results/Figure 3, not contradictory abstract: matched five-year OS 75% LT versus 68.3% LR; median OS 205 versus 120 months; HR 0.56 (95% CI 0.35–0.90), P=0.015. Matched five-year PFS 64.2% versus 14.2%; median 107 versus 18 months; HR 0.25 (0.16–0.39). Matched outside-Milan comparison HR 0.64 (0.31–1.33), P=0.24: uncertain benefit, not proof of no benefit. Matched within-Milan HR 0.18 (0.06–0.52). Among LT recipients, G2 versus G1 adjusted OS HR 2.52 (1.15–5.52); five-year OS 70.0% versus 92.9%. Median-derived Ki-67 split 5% is exploratory, not a validated new exclusion threshold. 90-day mortality 13/225 (5.8%) LT versus 3/230 (1.3%) LR overall; matched 7/96 (7.3%) versus 2/96 (2.1%).</w:t>
            </w:r>
          </w:p>
          <w:p>
            <w:pPr>
              <w:pStyle w:val="Normal"/>
              <w:widowControl/>
              <w:spacing w:before="60" w:after="20"/>
            </w:pPr>
            <w:r>
              <w:rPr>
                <w:b/>
              </w:rPr>
              <w:t xml:space="preserve">Do not infer: </w:t>
            </w:r>
            <w:r>
              <w:t xml:space="preserve">Abstract's matched five-year OS 73% versus 52.8%, median 197 versus 119 and HR 0.59 differ from the labelled main Results/Figure 3. Do not blend them. Retrospective selection, substantial missing grade/stage, broad historical era, residual confounding and surgery-time origin; cannot infer causal superiority over resection or modern nonoperative therapy for an individual. Main tables contain other transcription inconsistencies (e.g. grade count/percent, primary-site labels); use internally concordant main outcomes and state reporting limitations. Milan-centre patients overlap other Milan reports. G3 subset insufficient to support expansion. Post-LT mTOR discussion is extrapolative, not a comparative NET regimen trial. Supplement access: Supplementary Material 1, http://links.lww.com/SLA/E183, not included in this download.</w:t>
            </w:r>
          </w:p>
        </w:tc>
      </w:tr>
      <w:tr>
        <w:trPr/>
        <w:tc>
          <w:tcPr>
            <w:tcW w:w="3400" w:type="dxa"/>
            <w:tcMar>
              <w:top w:w="90" w:type="dxa"/>
              <w:left w:w="90" w:type="dxa"/>
              <w:bottom w:w="90" w:type="dxa"/>
              <w:right w:w="90" w:type="dxa"/>
            </w:tcMar>
          </w:tcPr>
          <w:p>
            <w:pPr>
              <w:pStyle w:val="Normal"/>
              <w:widowControl/>
              <w:spacing w:before="60" w:after="20"/>
            </w:pPr>
            <w:r>
              <w:rPr>
                <w:b/>
              </w:rPr>
              <w:t xml:space="preserve">Boscà 2026 · Spain</w:t>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Spanish 13-centre retrospective series of 91 NET LT recipients, 1995–2024; 41 transplanted before 2007; 71 Milan-IN and 20 Milan-OUT.</w:t>
            </w:r>
          </w:p>
          <w:p>
            <w:pPr>
              <w:pStyle w:val="Normal"/>
              <w:widowControl/>
              <w:spacing w:before="60" w:after="20"/>
            </w:pPr>
            <w:hyperlink r:id="rId51">
              <w:r>
                <w:rPr>
                  <w:color w:val="77230C"/>
                  <w:sz w:val="20"/>
                  <w:u w:val="single"/>
                </w:rPr>
                <w:t>Primary source</w:t>
              </w:r>
            </w:hyperlink>
            <w:r>
              <w:t xml:space="preserve"> | </w:t>
            </w:r>
            <w:hyperlink r:id="rId52">
              <w:r>
                <w:rPr>
                  <w:color w:val="77230C"/>
                  <w:sz w:val="20"/>
                  <w:u w:val="single"/>
                </w:rPr>
                <w:t>Full-text PDF</w:t>
              </w:r>
            </w:hyperlink>
          </w:p>
          <w:p>
            <w:pPr>
              <w:pStyle w:val="Normal"/>
              <w:widowControl/>
              <w:spacing w:before="60" w:after="20"/>
            </w:pPr>
            <w:r>
              <w:t xml:space="preserve">Locator: J Clin Med 2026;15:938; complete PDF Results, Tables 2–5, postoperative mortality/retransplantation and limitations.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LT; median follow-up 6.5 years. Table 5: five-year OS 71.0% IN versus 58.7% OUT, ten-year 55.5% versus 32.0%, fifteen-year 52.2% versus 16.0% (OS comparison P=0.03). Five-year DFS 58.8% versus 36.3%, not statistically significant. Recurrence 52/91; ninety-day mortality 9/91 (9.9%). Nine retransplants: two primary nonfunction, six hepatic artery thrombosis, one rejection.</w:t>
            </w:r>
          </w:p>
          <w:p>
            <w:pPr>
              <w:pStyle w:val="Normal"/>
              <w:widowControl/>
              <w:spacing w:before="60" w:after="20"/>
            </w:pPr>
            <w:r>
              <w:rPr>
                <w:b/>
              </w:rPr>
              <w:t xml:space="preserve">Do not infer: </w:t>
            </w:r>
            <w:r>
              <w:t xml:space="preserve">Era, missing pathology, small OUT group and composite deviations preclude validating 50–70% burden, age ≥60, G3 or extrahepatic expansion individually. Nonsignificant DFS is not equivalence. The abstract rounds OUT five-year OS differently; use Table 5 value with locator.</w:t>
            </w:r>
          </w:p>
        </w:tc>
      </w:tr>
      <w:tr>
        <w:trPr/>
        <w:tc>
          <w:tcPr>
            <w:tcW w:w="3400" w:type="dxa"/>
            <w:tcMar>
              <w:top w:w="90" w:type="dxa"/>
              <w:left w:w="90" w:type="dxa"/>
              <w:bottom w:w="90" w:type="dxa"/>
              <w:right w:w="90" w:type="dxa"/>
            </w:tcMar>
          </w:tcPr>
          <w:p>
            <w:pPr>
              <w:pStyle w:val="Normal"/>
              <w:widowControl/>
              <w:spacing w:before="60" w:after="20"/>
            </w:pPr>
            <w:r>
              <w:rPr>
                <w:b/>
              </w:rPr>
              <w:t xml:space="preserve">Le Treut 2013 · ELTR</w:t>
            </w:r>
            <w:r>
              <w:t xml:space="preserve"> </w:t>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p>
          <w:p>
            <w:pPr>
              <w:pStyle w:val="Normal"/>
              <w:widowControl/>
              <w:spacing w:before="60" w:after="20"/>
            </w:pPr>
            <w:r>
              <w:t xml:space="preserve">Retrospective 35-centre/11-country ELTR case collection, 213 LT recipients 1982–2009 (approximately half the European NET transplants in that period). Mixed primary sites including bronchial, unknown and pancreas; 29 primary sites unknown before LT, 17 never found; 22 poorly differentiated cases. Baseline Ki-67 and treatment-response/stability data were too sparse for analysis. Eligibility differs fundamentally from current NLRB selection.</w:t>
            </w:r>
          </w:p>
          <w:p>
            <w:pPr>
              <w:pStyle w:val="Normal"/>
              <w:widowControl/>
              <w:spacing w:before="60" w:after="20"/>
            </w:pPr>
            <w:hyperlink r:id="rId53">
              <w:r>
                <w:rPr>
                  <w:color w:val="77230C"/>
                  <w:sz w:val="20"/>
                  <w:u w:val="single"/>
                </w:rPr>
                <w:t>Primary source</w:t>
              </w:r>
            </w:hyperlink>
            <w:r>
              <w:t xml:space="preserve"> | </w:t>
            </w:r>
            <w:hyperlink r:id="rId54">
              <w:r>
                <w:rPr>
                  <w:color w:val="77230C"/>
                  <w:sz w:val="20"/>
                  <w:u w:val="single"/>
                </w:rPr>
                <w:t>Full-text PDF</w:t>
              </w:r>
            </w:hyperlink>
          </w:p>
          <w:p>
            <w:pPr>
              <w:pStyle w:val="Normal"/>
              <w:widowControl/>
              <w:spacing w:before="60" w:after="20"/>
            </w:pPr>
            <w:r>
              <w:t xml:space="preserve">Locator: Methods p 808; primary/burden/indication p 809; perioperative harms p 810; adjusted models p 811; Table 6 p 812; historical selection discussion pp 813–815.</w:t>
            </w:r>
          </w:p>
          <w:p>
            <w:pPr>
              <w:pStyle w:val="Normal"/>
              <w:widowControl/>
              <w:spacing w:before="60" w:after="20"/>
            </w:pPr>
            <w:r>
              <w:t xml:space="preserve">Review depth: Complete nine-page published paper read, including all eight tables, methods, outcome curves,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107 before 2000 and 106 during 2000–2009. Median liver-metastasis diagnosis-to-LT 25 months. Follow-up to December 2010; mean follow-up 56 months. Survival must be labelled by time zero: five-year OS 52% from LT versus 73% from liver-metastasis diagnosis; the latter contains pretransplant survivor selection. Five-year OS/DFS 52%/30%; median OS/DFS 67/24 months. In 2000–2009 subgroup, five-year OS/DFS 59%/39%. Three-month mortality 21/213 (10%). Retransplantation 24/213 (11%), including 16 early; early retransplant deaths 6/16. Thirty-seven (17%) died from early/late transplant complications without recurrence over follow-up. Whole-cohort multivariable adverse associations: major concurrent resection HR 3.1 (95% CI 1.9–5.3), poor differentiation HR 2.7 (1.5–4.7), hepatomegaly HR 2.3 (1.5–3.7). Hepatomegaly was retrospectively explant size ≥125% predicted liver volume, not simply tumour replacement &gt;50%. Post-2000 model: hepatomegaly HR 2.6 (1.3–5.1), P=0.006; age &gt;45 HR 2.0 (0.9–4.3), P=0.073; any concurrent resection HR 1.9 (1.0–3.7), P=0.058. The latter two are not conventionally statistically significant despite abstract language. Univariate five-year OS ≤50% burden 61% (109 patients) versus &gt;50% 42% (91); estimated &gt;80% group 42% (31). These are historical unadjusted outcomes, not a validated safe upper boundary. Node-positive 66 had five-year OS 41% versus 62% in 91 node-negative; location/clearance detail inadequate for a current eligibility rule. Poorly differentiated 22 had five-year OS 27%, not evidence for modern WD-G3. Nine LT indications followed severe TACE complications (four liver failure, five ischaemic cholangitis); historical rescue experience does not justify deliberate treatment injury.</w:t>
            </w:r>
          </w:p>
          <w:p>
            <w:pPr>
              <w:pStyle w:val="Normal"/>
              <w:widowControl/>
              <w:spacing w:before="60" w:after="20"/>
            </w:pPr>
            <w:r>
              <w:rPr>
                <w:b/>
              </w:rPr>
              <w:t xml:space="preserve">Do not infer: </w:t>
            </w:r>
            <w:r>
              <w:t xml:space="preserve">Strong era, centre and recipient selection, no non-LT comparator, incomplete data and extensive overlap with earlier European/French cohorts. No stable-versus-progressive or Ki-67 threshold validation. Historical poorly differentiated NEC should not be conflated with well-differentiated G3. Abstract says 30 minor concurrent resections, whereas Methods/Table 4 show 60 minor and 24 major (84 total). Histological category counts also have transcription discrepancies; prefer internally supported Table 6 whole-cohort categories. The post-2000 age threshold is exploratory, not an absolute age ban; authors explicitly warn against denying LT solely to older patients with hepatomegaly. Supplement access: No separate supplemental file cited.</w:t>
            </w:r>
          </w:p>
        </w:tc>
      </w:tr>
      <w:tr>
        <w:trPr/>
        <w:tc>
          <w:tcPr>
            <w:tcW w:w="3400" w:type="dxa"/>
            <w:tcMar>
              <w:top w:w="90" w:type="dxa"/>
              <w:left w:w="90" w:type="dxa"/>
              <w:bottom w:w="90" w:type="dxa"/>
              <w:right w:w="90" w:type="dxa"/>
            </w:tcMar>
          </w:tcPr>
          <w:p>
            <w:pPr>
              <w:pStyle w:val="Normal"/>
              <w:widowControl/>
              <w:spacing w:before="60" w:after="20"/>
            </w:pPr>
            <w:r>
              <w:rPr>
                <w:b/>
              </w:rPr>
              <w:t xml:space="preserve">NETTER-2</w:t>
            </w:r>
            <w:r>
              <w:t xml:space="preserve"> </w:t>
            </w:r>
            <w:r>
              <w:t xml:space="preserve"> </w:t>
            </w:r>
            <w:r>
              <w:fldChar w:fldCharType="begin"/>
            </w:r>
            <w:r>
              <w:instrText xml:space="preserve"> ADDIN EN.CITE </w:instrText>
            </w:r>
            <w:r>
              <w:fldChar w:fldCharType="begin">
                <w:fldData>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QpMDA3MDE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NETTER-2 open-label phase III randomized trial: 261 screened, 226 randomized, 151 Lu-177-Dotatate plus octreotide and 75 high-dose octreotide.</w:t>
            </w:r>
          </w:p>
          <w:p>
            <w:pPr>
              <w:pStyle w:val="Normal"/>
              <w:widowControl/>
              <w:spacing w:before="60" w:after="20"/>
            </w:pPr>
            <w:hyperlink r:id="rId55">
              <w:r>
                <w:rPr>
                  <w:color w:val="77230C"/>
                  <w:sz w:val="20"/>
                  <w:u w:val="single"/>
                </w:rPr>
                <w:t>Primary source</w:t>
              </w:r>
            </w:hyperlink>
            <w:r>
              <w:t xml:space="preserve"> | </w:t>
            </w:r>
            <w:hyperlink r:id="rId56">
              <w:r>
                <w:rPr>
                  <w:color w:val="77230C"/>
                  <w:sz w:val="20"/>
                  <w:u w:val="single"/>
                </w:rPr>
                <w:t>Full-text PDF</w:t>
              </w:r>
            </w:hyperlink>
          </w:p>
          <w:p>
            <w:pPr>
              <w:pStyle w:val="Normal"/>
              <w:widowControl/>
              <w:spacing w:before="60" w:after="20"/>
            </w:pPr>
            <w:r>
              <w:t xml:space="preserve">Locator: Lancet 2024;403:2807–2817; complete PDF eligibility, efficacy, safety and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randomization. Median PFS 22.8 versus 8.5 months, HR 0.276 (95% CI 0.182–0.418); objective response 43% versus 9.3%. OS was not mature. Safety populations 147 and 73: any grade ≥3 events 35% versus 27%, related grade ≥3 events 16% versus 4%; one myelodysplastic syndrome case and three grade-3 nephrotoxicity events in Lu-treated patients; no drug-related deaths reported.</w:t>
            </w:r>
          </w:p>
          <w:p>
            <w:pPr>
              <w:pStyle w:val="Normal"/>
              <w:widowControl/>
              <w:spacing w:before="60" w:after="20"/>
            </w:pPr>
            <w:r>
              <w:rPr>
                <w:b/>
              </w:rPr>
              <w:t xml:space="preserve">Do not infer: </w:t>
            </w:r>
            <w:r>
              <w:t xml:space="preserve">Compelling systemic disease-control evidence for selected well-differentiated G2/G3, not evidence that responding G3 becomes suitable for LT or that marrow/renal injury is irrelevant to future transplantation. No NEC efficacy extrapolation. Full article reviewed now, upgrading prior abstract-only status.</w:t>
            </w:r>
          </w:p>
        </w:tc>
      </w:tr>
      <w:tr>
        <w:trPr/>
        <w:tc>
          <w:tcPr>
            <w:tcW w:w="3400" w:type="dxa"/>
            <w:tcMar>
              <w:top w:w="90" w:type="dxa"/>
              <w:left w:w="90" w:type="dxa"/>
              <w:bottom w:w="90" w:type="dxa"/>
              <w:right w:w="90" w:type="dxa"/>
            </w:tcMar>
          </w:tcPr>
          <w:p>
            <w:pPr>
              <w:pStyle w:val="Normal"/>
              <w:widowControl/>
              <w:spacing w:before="60" w:after="20"/>
            </w:pPr>
            <w:r>
              <w:rPr>
                <w:b/>
              </w:rPr>
              <w:t xml:space="preserve">Chen 2026 · PRRT after LT</w:t>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YjcyMjMwNzItMzFiNy01NDQwLWFjZDktNmRkYjNjMjM2Yzlk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spacing w:before="60" w:after="20"/>
            </w:pPr>
            <w:r>
              <w:t xml:space="preserve">Single-centre retrospective series. Of 859 liver transplants (November 2019–November 2024), 27 were for GEP-NET; all had &gt;50% hepatic tumour burden. The centre permitted resection of the primary during LT or within three months afterward, so its stated NET-Milan label is not Milan-concordant. Seven patients with post-LT recurrence received PRRT April 2023–June 2025: three pancreatic and four rectal primaries, all actual Ki-67 values 4–15% (G2), age 30–57, tumour replacement 55–95% (median 80%). Rectal level was not specified.</w:t>
            </w:r>
          </w:p>
          <w:p>
            <w:pPr>
              <w:pStyle w:val="Normal"/>
              <w:widowControl/>
              <w:spacing w:before="60" w:after="20"/>
            </w:pPr>
            <w:hyperlink r:id="rId57">
              <w:r>
                <w:rPr>
                  <w:color w:val="77230C"/>
                  <w:sz w:val="20"/>
                  <w:u w:val="single"/>
                </w:rPr>
                <w:t>Primary source</w:t>
              </w:r>
            </w:hyperlink>
            <w:r>
              <w:t xml:space="preserve"> | </w:t>
            </w:r>
            <w:hyperlink r:id="rId58">
              <w:r>
                <w:rPr>
                  <w:color w:val="77230C"/>
                  <w:sz w:val="20"/>
                  <w:u w:val="single"/>
                </w:rPr>
                <w:t>Full-text PDF</w:t>
              </w:r>
            </w:hyperlink>
          </w:p>
          <w:p>
            <w:pPr>
              <w:pStyle w:val="Normal"/>
              <w:widowControl/>
              <w:spacing w:before="60" w:after="20"/>
            </w:pPr>
            <w:r>
              <w:t xml:space="preserve">Locator: PDF pp 1–6; printed pp 526–531. Methods pp 527–528; Tables 1–2 pp 528–529; toxicity and limitations pp 529–530.</w:t>
            </w:r>
          </w:p>
          <w:p>
            <w:pPr>
              <w:pStyle w:val="Normal"/>
              <w:widowControl/>
              <w:spacing w:before="60" w:after="20"/>
            </w:pPr>
            <w:r>
              <w:t xml:space="preserve">Review depth: Complete six-page main article read, including all tables, methods, results,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27 NET recipients: 15 recurrences by December 2025 and three deaths. The PRRT subset comprised seven selected patients; recurrence 3–9 months after LT and PRRT 6–42 months after LT. Response was assessed three months after completing PRRT; no cohort median follow-up, OS or PFS was reported. Seven PRRT recipients: one partial response, five stable disease, one progression; this is not an efficacy estimate suitable for counselling or comparison. All seven had nodal and bone disease, sometimes also graft, brain or renal involvement. One to four cycles, total 175–709 mCi. Two grade III, four grade II and one grade I myelosuppression were reported. One patient had persistent platelets &lt;10 ×10^9/L after a single 175 mCi cycle despite supportive treatment and never resumed PRRT; the severe platelet count and reported grade III label are discordant. Four patients had low-grade proteinuria. No acute rejection or severe hepatic/renal toxicity was observed in this selected, incompletely timed short follow-up; absence of observed events does not establish safety.</w:t>
            </w:r>
          </w:p>
          <w:p>
            <w:pPr>
              <w:pStyle w:val="Normal"/>
              <w:widowControl/>
              <w:spacing w:before="60" w:after="20"/>
            </w:pPr>
            <w:r>
              <w:rPr>
                <w:b/>
              </w:rPr>
              <w:t xml:space="preserve">Do not infer: </w:t>
            </w:r>
            <w:r>
              <w:t xml:space="preserve">Very small, uncontrolled, survivor-selected salvage series; no comparative OS, PFS or quality-of-life data. Extremely high pre-LT burden and primary surgery around/after LT preclude inference to guideline-concordant candidates. Table 1 is wrongly captioned as three aGVHD patients and donors despite presenting seven NET cases. Several citations do not support the linked PRRT/mTOR or toxicity claims. The stated rituximab induction should not be copied into an institutional regimen without independent verification. The platelet toxicity grading is internally discordant; do not relabel it definitively without individual data. Supplement access: No separate supplementary file was cited or supplied.</w:t>
            </w:r>
          </w:p>
        </w:tc>
      </w:tr>
      <w:tr>
        <w:trPr/>
        <w:tc>
          <w:tcPr>
            <w:tcW w:w="34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Official Adult MELD Exceptions for Transplant Oncology guidance, December 2025 posting checked 24 October 2026. Allocation-review guidance, not national clinical policy or proof of efficacy.</w:t>
            </w:r>
          </w:p>
          <w:p>
            <w:pPr>
              <w:pStyle w:val="Normal"/>
              <w:widowControl/>
              <w:spacing w:before="60" w:after="20"/>
            </w:pPr>
            <w:hyperlink r:id="rId59">
              <w:r>
                <w:rPr>
                  <w:color w:val="77230C"/>
                  <w:sz w:val="20"/>
                  <w:u w:val="single"/>
                </w:rPr>
                <w:t>Primary source</w:t>
              </w:r>
            </w:hyperlink>
            <w:r>
              <w:t xml:space="preserve"> | </w:t>
            </w:r>
            <w:hyperlink r:id="rId60">
              <w:r>
                <w:rPr>
                  <w:color w:val="77230C"/>
                  <w:sz w:val="20"/>
                  <w:u w:val="single"/>
                </w:rPr>
                <w:t>Full-text PDF</w:t>
              </w:r>
            </w:hyperlink>
          </w:p>
          <w:p>
            <w:pPr>
              <w:pStyle w:val="Normal"/>
              <w:widowControl/>
              <w:spacing w:before="60" w:after="20"/>
            </w:pPr>
            <w:r>
              <w:t xml:space="preserve">Locator: Official PDF NET pp.8–9; CRLM pp.9–10; introduction on purpose/status.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pStyle w:val="Normal"/>
              <w:widowControl/>
              <w:spacing w:before="60" w:after="20"/>
            </w:pPr>
            <w:r>
              <w:rPr>
                <w:b/>
              </w:rPr>
              <w:t xml:space="preserve">Do not infer: </w:t>
            </w:r>
            <w:r>
              <w:t xml:space="preserve">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ENETS 2026</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ENETS 2026 position statement explicitly addressing controversies; expert, hypothesis-generating framework rather than original comparative outcome study.</w:t>
            </w:r>
          </w:p>
          <w:p>
            <w:pPr>
              <w:pStyle w:val="Normal"/>
              <w:widowControl/>
              <w:spacing w:before="60" w:after="20"/>
            </w:pPr>
            <w:hyperlink r:id="rId61">
              <w:r>
                <w:rPr>
                  <w:color w:val="77230C"/>
                  <w:sz w:val="20"/>
                  <w:u w:val="single"/>
                </w:rPr>
                <w:t>Primary source</w:t>
              </w:r>
            </w:hyperlink>
            <w:r>
              <w:t xml:space="preserve"> | </w:t>
            </w:r>
            <w:hyperlink r:id="rId62">
              <w:r>
                <w:rPr>
                  <w:color w:val="77230C"/>
                  <w:sz w:val="20"/>
                  <w:u w:val="single"/>
                </w:rPr>
                <w:t>Full-text PDF</w:t>
              </w:r>
            </w:hyperlink>
          </w:p>
          <w:p>
            <w:pPr>
              <w:pStyle w:val="Normal"/>
              <w:widowControl/>
              <w:spacing w:before="60" w:after="20"/>
            </w:pPr>
            <w:r>
              <w:t xml:space="preserve">Locator: J Neuroendocrinol 2026;38:e70250; complete position-statement PDF burden, benefit, age, stability and extrahepatic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outcome denominator. Proposed liver-burden bands around 25–70%, age &lt;60 as relative and six-month stability are pragmatic concepts. Illustrative non-LT five-year survival &lt;30% versus post-LT ≥70% are not a calibrated individual benefit model.</w:t>
            </w:r>
          </w:p>
          <w:p>
            <w:pPr>
              <w:pStyle w:val="Normal"/>
              <w:widowControl/>
              <w:spacing w:before="60" w:after="20"/>
            </w:pPr>
            <w:r>
              <w:rPr>
                <w:b/>
              </w:rPr>
              <w:t xml:space="preserve">Do not infer: </w:t>
            </w:r>
            <w:r>
              <w:t xml:space="preserve">Do not turn an expert future-oriented proposal into validated numerical gates. Suggested controllable extrahepatic disease, including bone, conflicts with current NLRB solid-organ-metastasis exclusion. It identifies research needs rather than approving an expansion.</w:t>
            </w:r>
          </w:p>
        </w:tc>
      </w:tr>
    </w:tbl>
    <w:p>
      <w:pPr>
        <w:pStyle w:val="Heading3"/>
        <w:keepNext/>
        <w:widowControl/>
      </w:pPr>
      <w:r>
        <w:t xml:space="preserve">Synthesis and evidence that challenges the proposal</w:t>
      </w:r>
    </w:p>
    <w:p>
      <w:pPr>
        <w:pStyle w:val="Normal"/>
        <w:widowControl/>
        <w:spacing w:before="60" w:after="20"/>
      </w:pPr>
      <w:r>
        <w:t xml:space="preserve">Evidence supports carefully selected well-differentiated G1/G2 portal-drained GEP primaries with cleared primary/extrahepatic disease and observed control. G2 has worse prognosis than G1 in the multicentre series but still meaningful selected survival, so a universal Ki-67 &lt;10% rule would discard potentially suitable G2 without validation. Well-differentiated G3 and poorly differentiated NEC must be separated diagnostically, yet neither has an established LT-benefit pathway. Prior primary regional nodal positivity is not equivalent to active unresected extrahepatic disease. Maspero's G3, &gt;50% and hilar-node-positive findings were postoperative pathological upstaging after preoperative Milan selection, not evidence for knowingly accepting those categories. The historical ELTR cohort lacked adequate Ki-67/stability data and included poorly differentiated/unknown-primary cases; it cannot validate modern expansions. The seven-case post-LT PRRT series involved early recurrences after very high-burden LT and includes persistent profound thrombocytopenia, no controlled efficacy estimate and no time-to-event benefit.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t xml:space="preserve"> </w:t>
      </w:r>
      <w:r>
        <w:t xml:space="preserve"> </w:t>
      </w:r>
      <w:r>
        <w:fldChar w:fldCharType="begin"/>
      </w:r>
      <w:r>
        <w:instrText xml:space="preserve"> ADDIN EN.CITE </w:instrText>
      </w:r>
      <w:r>
        <w:fldChar w:fldCharType="begin">
          <w:fldData>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QpMDA3MDE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YjcyMjMwNzItMzFiNy01NDQwLWFjZDktNmRkYjNjMjM2Yzlk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spacing w:before="60" w:after="20"/>
      </w:pPr>
      <w:r>
        <w:t xml:space="preserve">Milan LT cohorts included many patients whose primary nodes had been positive, so 'ever node-positive means never LT' is too broad. However, retrospective final-pathology positive nodes do not negate the current cleared-disease requirement. Spanish OUT cases and the tiny G3 subgroup are too heterogeneous to validate expansion. NETTER-2 proves PRRT activity in selected G3, not LT efficacy after response; seven post-LT PRRT cases cannot guarantee safe salvage. ENETS controllable bone disease conflicts with NLRB's solid-organ exclusion.</w:t>
      </w:r>
    </w:p>
    <w:p>
      <w:pPr>
        <w:pStyle w:val="Normal"/>
        <w:widowControl/>
        <w:spacing w:before="60" w:after="20"/>
      </w:pPr>
      <w:r>
        <w:rPr>
          <w:b/>
        </w:rPr>
        <w:t xml:space="preserve">Certainty / applicability: </w:t>
      </w:r>
      <w:r>
        <w:t xml:space="preserve">Low-to-moderate certainty for G1/G2 prognostic distinction and cautious standard selection; very low certainty for G3, nonportal/unknown primary, active nodes or prior solid-organ metastasis expansions. Official allocation exclusions should be reported separately from biological evidence.</w:t>
      </w:r>
    </w:p>
    <w:p>
      <w:pPr>
        <w:pStyle w:val="Heading3"/>
        <w:keepNext/>
        <w:widowControl/>
      </w:pPr>
      <w:r>
        <w:t xml:space="preserve">Where each proposed threshold comes from</w:t>
      </w:r>
    </w:p>
    <w:p>
      <w:pPr>
        <w:pStyle w:val="Normal"/>
        <w:widowControl/>
        <w:numPr>
          <w:ilvl w:val="0"/>
          <w:numId w:val="3"/>
        </w:numPr>
        <w:spacing w:before="60" w:after="20"/>
      </w:pPr>
      <w:r>
        <w:t xml:space="preserve">Ki-67 &lt;20% and six months after primary/extrahepatic clearance reflect current NLRB wording; modern WHO grading and the exact-20 boundary need explicit reconciliation. Six months stability derives from selection traditions, not a randomized timing trial. Three serial scans at roughly 0/3/6 months are a proposed local demonstration schedule, not a national mandated scan count.</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“mitotic rate less than 20 per 10 HPF and index less than 20%.”</w:t>
            </w:r>
          </w:p>
          <w:p>
            <w:pPr>
              <w:pStyle w:val="Normal"/>
              <w:widowControl/>
              <w:spacing w:before="60" w:after="20"/>
            </w:pPr>
            <w:r>
              <w:t xml:space="preserve">December 2025 oncology guidance p8, NET criterion 3</w:t>
            </w:r>
          </w:p>
          <w:p>
            <w:pPr>
              <w:pStyle w:val="Normal"/>
              <w:widowControl/>
              <w:spacing w:before="60" w:after="20"/>
            </w:pPr>
            <w:hyperlink r:id="rId63">
              <w:r>
                <w:rPr>
                  <w:color w:val="77230C"/>
                  <w:sz w:val="20"/>
                  <w:u w:val="single"/>
                </w:rPr>
                <w:t>Source</w:t>
              </w:r>
            </w:hyperlink>
            <w:r>
              <w:t xml:space="preserve"> | </w:t>
            </w:r>
            <w:hyperlink r:id="rId6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Retain the exact published guidance threshold and clarify pathology sampling/measurement uncertainty.</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“Stable disease/response to therapies for at least 6 months prior to transplant consideration”</w:t>
            </w:r>
          </w:p>
          <w:p>
            <w:pPr>
              <w:pStyle w:val="Normal"/>
              <w:widowControl/>
              <w:spacing w:before="60" w:after="20"/>
            </w:pPr>
            <w:r>
              <w:t xml:space="preserve">Milan-NET, Table 1, PDF p2 / journal p2893</w:t>
            </w:r>
          </w:p>
          <w:p>
            <w:pPr>
              <w:pStyle w:val="Normal"/>
              <w:widowControl/>
              <w:spacing w:before="60" w:after="20"/>
            </w:pPr>
            <w:hyperlink r:id="rId65">
              <w:r>
                <w:rPr>
                  <w:color w:val="77230C"/>
                  <w:sz w:val="20"/>
                  <w:u w:val="single"/>
                </w:rPr>
                <w:t>Source</w:t>
              </w:r>
            </w:hyperlink>
            <w:r>
              <w:t xml:space="preserve"> | </w:t>
            </w:r>
            <w:hyperlink r:id="rId6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biological selection interval; the proposed three-scan workflow is not itself a validated benefit predictor.</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ENETS 2026</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“solitary bone lesions amenable to local treatment”</w:t>
            </w:r>
          </w:p>
          <w:p>
            <w:pPr>
              <w:pStyle w:val="Normal"/>
              <w:widowControl/>
              <w:spacing w:before="60" w:after="20"/>
            </w:pPr>
            <w:r>
              <w:t xml:space="preserve">2026 full-text PDF p3, section 4, proposed candidate profile</w:t>
            </w:r>
          </w:p>
          <w:p>
            <w:pPr>
              <w:pStyle w:val="Normal"/>
              <w:widowControl/>
              <w:spacing w:before="60" w:after="20"/>
            </w:pPr>
            <w:hyperlink r:id="rId67">
              <w:r>
                <w:rPr>
                  <w:color w:val="77230C"/>
                  <w:sz w:val="20"/>
                  <w:u w:val="single"/>
                </w:rPr>
                <w:t>Source</w:t>
              </w:r>
            </w:hyperlink>
            <w:r>
              <w:t xml:space="preserve"> | </w:t>
            </w:r>
            <w:hyperlink r:id="rId68">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ENETS discusses selected controllable extrahepatic sites, including this example. Current NLRB solid-organ-metastasis exclusion is stricter. I favor no initial expansion despite this emerging clinical-consensus proposal.</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Activate only well-differentiated G1/G2 disease from a known portal-drained GEP primary; retain a six-month biology test.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t xml:space="preserve"> </w:t>
      </w:r>
      <w:r>
        <w:t xml:space="preserve"> </w:t>
      </w:r>
      <w:r>
        <w:fldChar w:fldCharType="begin"/>
      </w:r>
      <w:r>
        <w:instrText xml:space="preserve"> ADDIN EN.CITE </w:instrText>
      </w:r>
      <w:r>
        <w:fldChar w:fldCharType="begin">
          <w:fldData>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QpMDA3MDE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YjcyMjMwNzItMzFiNy01NDQwLWFjZDktNmRkYjNjMjM2Yzlk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Require expert pathology with Ki-67 &lt;20% and the applicable mitotic criterion; use the highest reliable representative grade.</w:t>
      </w:r>
    </w:p>
    <w:p>
      <w:pPr>
        <w:pStyle w:val="Normal"/>
        <w:widowControl/>
        <w:numPr>
          <w:ilvl w:val="1"/>
          <w:numId w:val="3"/>
        </w:numPr>
        <w:spacing w:before="60" w:after="20"/>
      </w:pPr>
      <w:r>
        <w:t xml:space="preserve">Exactly 20%, rounding uncertainty or discordance is HOLD for adjudication, not rounding down.</w:t>
      </w:r>
    </w:p>
    <w:p>
      <w:pPr>
        <w:pStyle w:val="Normal"/>
        <w:widowControl/>
        <w:numPr>
          <w:ilvl w:val="1"/>
          <w:numId w:val="3"/>
        </w:numPr>
        <w:spacing w:before="60" w:after="20"/>
      </w:pPr>
      <w:r>
        <w:t xml:space="preserve">Do not impose an unsupported Ki-67 &lt;10 rule or blanket G2 ban.</w:t>
      </w:r>
    </w:p>
    <w:p>
      <w:pPr>
        <w:pStyle w:val="Normal"/>
        <w:widowControl/>
        <w:numPr>
          <w:ilvl w:val="0"/>
          <w:numId w:val="3"/>
        </w:numPr>
      </w:pPr>
      <w:r>
        <w:t xml:space="preserve">G3, NEC, unknown/nonportal primary and active extrahepatic disease have no active cohort in this edition.</w:t>
      </w:r>
    </w:p>
    <w:p>
      <w:pPr>
        <w:pStyle w:val="Normal"/>
        <w:widowControl/>
        <w:numPr>
          <w:ilvl w:val="1"/>
          <w:numId w:val="3"/>
        </w:numPr>
        <w:spacing w:before="60" w:after="20"/>
      </w:pPr>
      <w:r>
        <w:t xml:space="preserve">Previously resected nodes may qualify after complete clearance and the required disease-free interval; document stations and dates.</w:t>
      </w:r>
    </w:p>
    <w:p>
      <w:pPr>
        <w:pStyle w:val="Normal"/>
        <w:widowControl/>
        <w:numPr>
          <w:ilvl w:val="1"/>
          <w:numId w:val="3"/>
        </w:numPr>
        <w:spacing w:before="60" w:after="20"/>
      </w:pPr>
      <w:r>
        <w:t xml:space="preserve">Prior lung/bone/other solid-organ metastases remain outside the current opening pathway.</w:t>
      </w:r>
    </w:p>
    <w:p>
      <w:pPr>
        <w:pStyle w:val="Normal"/>
        <w:widowControl/>
        <w:numPr>
          <w:ilvl w:val="0"/>
          <w:numId w:val="3"/>
        </w:numPr>
      </w:pPr>
      <w:r>
        <w:t xml:space="preserve">Require ≥6 months of stable/responding hepatic disease and ≥6 months without recurrence after primary/extrahepatic clearance.</w:t>
      </w:r>
    </w:p>
    <w:p>
      <w:pPr>
        <w:pStyle w:val="Normal"/>
        <w:widowControl/>
        <w:numPr>
          <w:ilvl w:val="1"/>
          <w:numId w:val="3"/>
        </w:numPr>
        <w:spacing w:before="60" w:after="20"/>
      </w:pPr>
      <w:r>
        <w:t xml:space="preserve">Proposed documentation: at least three comparable assessments spanning baseline, about three months and six months.</w:t>
      </w:r>
    </w:p>
    <w:p>
      <w:pPr>
        <w:pStyle w:val="Normal"/>
        <w:widowControl/>
        <w:numPr>
          <w:ilvl w:val="1"/>
          <w:numId w:val="3"/>
        </w:numPr>
        <w:spacing w:before="60" w:after="20"/>
      </w:pPr>
      <w:r>
        <w:t xml:space="preserve">A suspicious new site is HOLD; confirmed progression restarts observation.</w:t>
      </w:r>
    </w:p>
    <w:p>
      <w:pPr>
        <w:pStyle w:val="Normal"/>
        <w:widowControl/>
        <w:numPr>
          <w:ilvl w:val="0"/>
          <w:numId w:val="3"/>
        </w:numPr>
      </w:pPr>
      <w:r>
        <w:t xml:space="preserve">Post-LT PRRT remains investigational, with joint nuclear-medicine/transplant/pharmacy review, baseline and serial marrow/renal/allograft assessment and consent covering potentially prolonged severe cytopenia.</w:t>
      </w:r>
    </w:p>
    <w:p>
      <w:pPr>
        <w:pStyle w:val="Normal"/>
        <w:widowControl/>
        <w:numPr>
          <w:ilvl w:val="1"/>
          <w:numId w:val="3"/>
        </w:numPr>
        <w:spacing w:before="60" w:after="20"/>
      </w:pPr>
      <w:r>
        <w:t xml:space="preserve">A response to PRRT does not waive pre-LT grade, primary-site, extrahepatic or biology requirements.</w:t>
      </w:r>
    </w:p>
    <w:p>
      <w:pPr>
        <w:pStyle w:val="Normal"/>
        <w:widowControl/>
        <w:spacing w:before="60" w:after="20"/>
      </w:pPr>
      <w:r>
        <w:rPr>
          <w:b/>
        </w:rPr>
        <w:t xml:space="preserve">Why retain or change it: </w:t>
      </w:r>
      <w:r>
        <w:t xml:space="preserve">Keep OPEN expert pathology review of primary and representative metastatic tissue, recording differentiation, Ki-67 hot spot, mitotic count and heterogeneity; use the highest representative confirmed grade, with rebiopsy only if clinically indicated. Advance only with known portal-drained GEP primary, well-differentiated G1/G2 and Ki-67 &lt;20%, cleared primary and extrahepatic disease, and at least six months control/NED of resected extrahepatic sites. Ki-67 exactly 20% is HOLD for pathology/allocation clarification, not automatically renamed G3. Active G3, NEC, unknown/nonportal primary or active extrahepatic disease stays outside this pathway; prior lung/bone/solid-organ metastasis stays outside current exception guidance. Cleared regional nodes may be reconsidered after documented six months NED, not ignored. PRRT response does not waive these boundaries. Decision remains blank.</w:t>
      </w:r>
    </w:p>
    <w:p>
      <w:pPr>
        <w:pStyle w:val="Heading3"/>
        <w:keepNext/>
        <w:widowControl/>
      </w:pPr>
      <w:r>
        <w:t xml:space="preserve">Information required before the decision</w:t>
      </w:r>
    </w:p>
    <w:p>
      <w:pPr>
        <w:pStyle w:val="Normal"/>
        <w:widowControl/>
        <w:spacing w:before="60" w:after="20"/>
      </w:pPr>
      <w:r>
        <w:t xml:space="preserve">Expert grade/Ki-67/mitoses and primary origin; SSTR staging and cross-sectional imaging; complete primary/node/EHD clearance history; three-assessment timeline.</w:t>
      </w:r>
    </w:p>
    <w:p>
      <w:pPr>
        <w:pStyle w:val="Normal"/>
        <w:widowControl/>
        <w:spacing w:before="60" w:after="20"/>
      </w:pPr>
      <w:r>
        <w:rPr>
          <w:b/>
        </w:rPr>
        <w:t xml:space="preserve">Clinical versus allocation: </w:t>
      </w:r>
      <w:r>
        <w:t xml:space="preserve">Current NET guidance and clinical consensus differ on some boundaries; favorable guidance does not remove the need to prove B1 benefit.</w:t>
      </w:r>
    </w:p>
    <w:p>
      <w:pPr>
        <w:pStyle w:val="Normal"/>
        <w:widowControl/>
        <w:spacing w:before="60" w:after="20"/>
      </w:pPr>
      <w:r>
        <w:rPr>
          <w:b/>
        </w:rPr>
        <w:t xml:space="preserve">Roadmap / protocol reconciliation: </w:t>
      </w:r>
      <w:r>
        <w:t xml:space="preserve">Preserve the roadmap’s distinction between well-differentiated G3 NET and poorly differentiated NEC; neither gains LT eligibility from systemic/PRRT response alone.</w:t>
      </w:r>
    </w:p>
    <w:p>
      <w:pPr>
        <w:pStyle w:val="Normal"/>
        <w:widowControl/>
        <w:spacing w:before="60" w:after="20"/>
      </w:pPr>
      <w:hyperlink r:id="rId69">
        <w:r>
          <w:rPr>
            <w:color w:val="77230C"/>
            <w:sz w:val="20"/>
            <w:u w:val="single"/>
          </w:rPr>
          <w:t>Meeting record: NET-B2</w:t>
        </w:r>
      </w:hyperlink>
      <w:r>
        <w:t xml:space="preserve">  |  </w:t>
      </w:r>
      <w:hyperlink r:id="rId70">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3" w:name="NET_B3"/>
      <w:r>
        <w:t xml:space="preserve">NET-B3 — Should age or burden remain local selection factors without being called national rules?</w:t>
      </w:r>
      <w:bookmarkEnd w:id="3"/>
    </w:p>
    <w:p>
      <w:pPr>
        <w:pStyle w:val="Heading3"/>
        <w:keepNext/>
        <w:widowControl/>
      </w:pPr>
      <w:r>
        <w:t xml:space="preserve">Question and comparison</w:t>
      </w:r>
    </w:p>
    <w:p>
      <w:pPr>
        <w:pStyle w:val="Normal"/>
        <w:widowControl/>
        <w:spacing w:before="60" w:after="20"/>
      </w:pPr>
      <w:r>
        <w:t xml:space="preserve">Should age, liver tumour burden and stability be hard selection thresholds, and how should modest-burden versus &gt;50% involvement influence the benefit decision?</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Single-centre comparative Milan-NET study, 88 eligible patients: 42 LT and 46 non-LT, 1995–2010 era, nonrandomized.</w:t>
            </w:r>
          </w:p>
          <w:p>
            <w:pPr>
              <w:pStyle w:val="Normal"/>
              <w:widowControl/>
              <w:spacing w:before="60" w:after="20"/>
            </w:pPr>
            <w:hyperlink r:id="rId71">
              <w:r>
                <w:rPr>
                  <w:color w:val="77230C"/>
                  <w:sz w:val="20"/>
                  <w:u w:val="single"/>
                </w:rPr>
                <w:t>Primary source</w:t>
              </w:r>
            </w:hyperlink>
            <w:r>
              <w:t xml:space="preserve"> | </w:t>
            </w:r>
            <w:hyperlink r:id="rId72">
              <w:r>
                <w:rPr>
                  <w:color w:val="77230C"/>
                  <w:sz w:val="20"/>
                  <w:u w:val="single"/>
                </w:rPr>
                <w:t>Full-text PDF</w:t>
              </w:r>
            </w:hyperlink>
          </w:p>
          <w:p>
            <w:pPr>
              <w:pStyle w:val="Normal"/>
              <w:widowControl/>
              <w:spacing w:before="60" w:after="20"/>
            </w:pPr>
            <w:r>
              <w:t xml:space="preserve">Locator: Am J Transplant 2016;16:2892–2902; full PDF Methods statistical time origin/left truncation, Tables 1–2 eligibility/characteristics, survival and restricted-mean analyses.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pStyle w:val="Normal"/>
              <w:widowControl/>
              <w:spacing w:before="60" w:after="20"/>
            </w:pPr>
            <w:r>
              <w:rPr>
                <w:b/>
              </w:rPr>
              <w:t xml:space="preserve">Do not infer: </w:t>
            </w:r>
            <w:r>
              <w:t xml:space="preserve">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Maspero 2022 · Milan long-term</w:t>
            </w:r>
            <w:r>
              <w:t xml:space="preserve"> </w:t>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Single-centre retrospective analysis of consecutive prospective surgical series 1984–2019: 53 LT and 96 LR; 48 LT/56 LR met Milan criteria on preoperative staging. Criteria: portal-drained resected primary, G1/G2, &lt;50% burden, no extrahepatic disease, ≥6-month stability, age &lt;60 relative. Required ≥6 months postoperative follow-up. Resection versus LT chosen for technical feasibility; estimated &gt;3% perioperative mortality for complex regenerative resection was this centre's definition, not a validated universal threshold.</w:t>
            </w:r>
          </w:p>
          <w:p>
            <w:pPr>
              <w:pStyle w:val="Normal"/>
              <w:widowControl/>
              <w:spacing w:before="60" w:after="20"/>
            </w:pPr>
            <w:hyperlink r:id="rId73">
              <w:r>
                <w:rPr>
                  <w:color w:val="77230C"/>
                  <w:sz w:val="20"/>
                  <w:u w:val="single"/>
                </w:rPr>
                <w:t>Primary source</w:t>
              </w:r>
            </w:hyperlink>
            <w:r>
              <w:t xml:space="preserve"> | </w:t>
            </w:r>
            <w:hyperlink r:id="rId74">
              <w:r>
                <w:rPr>
                  <w:color w:val="77230C"/>
                  <w:sz w:val="20"/>
                  <w:u w:val="single"/>
                </w:rPr>
                <w:t>Full-text PDF</w:t>
              </w:r>
            </w:hyperlink>
          </w:p>
          <w:p>
            <w:pPr>
              <w:pStyle w:val="Normal"/>
              <w:widowControl/>
              <w:spacing w:before="60" w:after="20"/>
            </w:pPr>
            <w:r>
              <w:t xml:space="preserve">Locator: Methods/Milan definitions p 2599; outcomes p 2600; nodal analysis p 2601; Tables 2–3 p 2602; limitations pp 2605–2606.</w:t>
            </w:r>
          </w:p>
          <w:p>
            <w:pPr>
              <w:pStyle w:val="Normal"/>
              <w:widowControl/>
              <w:spacing w:before="60" w:after="20"/>
            </w:pPr>
            <w:r>
              <w:t xml:space="preserve">Review depth: Complete ten-page main paper read. All numerical results were taken from the labelled text/tables rather than estimating plotted curves.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OS/DFS from surgery, not listing or primary diagnosis. Median follow-up 158 months LT and 126 LR. Time primary resection-to-liver surgery 38.5 versus 6.5 months, introducing major test-of-time selection. Five-/ten-year OS 95.5%/93% LT versus 90%/75% LR; ten-year DFS 52% versus 18%. LT-associated univariate HR for OS 0.35 (0.16–0.78), not an adjusted causal effect. Recurrence 25/48 LT versus 42/56 LR; median time to recurrence among recurrence cases 78 versus 24 months, not median DFS for the entire group. LT recurrence range 13–204 months demonstrates very late risk. LT recurrence more often multisite (12/25 versus 5/42), nodal/bone; LR mostly involved liver (37/42 versus 2/25). Postrecurrence five-year survival 72% versus 69%. Nine deaths after LT: three NET-related and six other causes (three new solid cancers, sepsis, lymphoproliferative disease, cardiovascular event). Perioperative risk cannot be assessed reliably from a cohort requiring six-month follow-up. Despite preoperative Milan selection, postoperative Table 2 includes seven &gt;50% burden, two G3 and 16 hilar node-positive LT recipients. This is pathological upstaging/occult findings, not prospective validation of knowingly transplanting these categories. Hilar node positivity was associated with worse OS in a univariate LT analysis, HR 5.7 (1.3–24), P=0.004. DFS HR 2.6 (1.1–5.9) is printed with P=0.22, an internal inconsistency; do not silently correct to 0.022.</w:t>
            </w:r>
          </w:p>
          <w:p>
            <w:pPr>
              <w:pStyle w:val="Normal"/>
              <w:widowControl/>
              <w:spacing w:before="60" w:after="20"/>
            </w:pPr>
            <w:r>
              <w:rPr>
                <w:b/>
              </w:rPr>
              <w:t xml:space="preserve">Do not infer: </w:t>
            </w:r>
            <w:r>
              <w:t xml:space="preserve">Historical single-centre nonrandom selection, no ITT or wait-list dropout data, imbalanced ages/burden/timing; overlap with Milan 2016 and later multicentre series. At least six-month postoperative follow-up criterion risks under-representing early harms. Univariate analyses cannot establish independent risk-adjusted benefit. Only four excluded high-burden cases and one excluded G3 at preoperative selection; failure to find associations in tiny posthoc groups does not validate expanded eligibility. No LT patient &gt;60 was added in the age-expanded comparison (LT remained 48, LR increased to 89), so this is not direct evidence for LT above 60. Supplement access: No separate supplemental file cited; figures and all tables included.</w:t>
            </w:r>
          </w:p>
        </w:tc>
      </w:tr>
      <w:tr>
        <w:trPr/>
        <w:tc>
          <w:tcPr>
            <w:tcW w:w="3400" w:type="dxa"/>
            <w:tcMar>
              <w:top w:w="90" w:type="dxa"/>
              <w:left w:w="90" w:type="dxa"/>
              <w:bottom w:w="90" w:type="dxa"/>
              <w:right w:w="90" w:type="dxa"/>
            </w:tcMar>
          </w:tcPr>
          <w:p>
            <w:pPr>
              <w:pStyle w:val="Normal"/>
              <w:widowControl/>
              <w:spacing w:before="60" w:after="20"/>
            </w:pPr>
            <w:r>
              <w:rPr>
                <w:b/>
              </w:rPr>
              <w:t xml:space="preserve">Eshmuminov 2023 · LT versus resection</w:t>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Retrospective 15-centre study 1988–2021, 455 surgically treated patients (225 LT, 230 LR). Centre-specific selection varied. Propensity matching on age, grade and primary location yielded 96 LT and 96 R0-resected LR patients, with persistent marked lesion-number imbalance. Prior systemic treatment details were unavailable. Twenty-seven percent of LT patients lacked grade; only 10 overall LT recipients had G3, without modern WD-G3 versus NEC discrimination.</w:t>
            </w:r>
          </w:p>
          <w:p>
            <w:pPr>
              <w:pStyle w:val="Normal"/>
              <w:widowControl/>
              <w:spacing w:before="60" w:after="20"/>
            </w:pPr>
            <w:hyperlink r:id="rId75">
              <w:r>
                <w:rPr>
                  <w:color w:val="77230C"/>
                  <w:sz w:val="20"/>
                  <w:u w:val="single"/>
                </w:rPr>
                <w:t>Primary source</w:t>
              </w:r>
            </w:hyperlink>
            <w:r>
              <w:t xml:space="preserve"> | </w:t>
            </w:r>
            <w:hyperlink r:id="rId76">
              <w:r>
                <w:rPr>
                  <w:color w:val="77230C"/>
                  <w:sz w:val="20"/>
                  <w:u w:val="single"/>
                </w:rPr>
                <w:t>Full-text PDF</w:t>
              </w:r>
            </w:hyperlink>
          </w:p>
          <w:p>
            <w:pPr>
              <w:pStyle w:val="Normal"/>
              <w:widowControl/>
              <w:spacing w:before="60" w:after="20"/>
            </w:pPr>
            <w:r>
              <w:t xml:space="preserve">Locator: Methods e1064; unmatched outcomes/Table 1 e1065; grading e1066; matched Results/Table 4 e1067 and Figure 3 e1068; limitations e1069.</w:t>
            </w:r>
          </w:p>
          <w:p>
            <w:pPr>
              <w:pStyle w:val="Normal"/>
              <w:widowControl/>
              <w:spacing w:before="60" w:after="20"/>
            </w:pPr>
            <w:r>
              <w:t xml:space="preserve">Review depth: All nine pages of the complete published main paper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OS/PFS start at operation, not diagnosis, eligibility or treatment assignment; median follow-up 97 months overall, 93 LT and 102 LR. No all-screened or wait-list comparison. Matched analysis n=192. Use main Results/Figure 3, not contradictory abstract: matched five-year OS 75% LT versus 68.3% LR; median OS 205 versus 120 months; HR 0.56 (95% CI 0.35–0.90), P=0.015. Matched five-year PFS 64.2% versus 14.2%; median 107 versus 18 months; HR 0.25 (0.16–0.39). Matched outside-Milan comparison HR 0.64 (0.31–1.33), P=0.24: uncertain benefit, not proof of no benefit. Matched within-Milan HR 0.18 (0.06–0.52). Among LT recipients, G2 versus G1 adjusted OS HR 2.52 (1.15–5.52); five-year OS 70.0% versus 92.9%. Median-derived Ki-67 split 5% is exploratory, not a validated new exclusion threshold. 90-day mortality 13/225 (5.8%) LT versus 3/230 (1.3%) LR overall; matched 7/96 (7.3%) versus 2/96 (2.1%).</w:t>
            </w:r>
          </w:p>
          <w:p>
            <w:pPr>
              <w:pStyle w:val="Normal"/>
              <w:widowControl/>
              <w:spacing w:before="60" w:after="20"/>
            </w:pPr>
            <w:r>
              <w:rPr>
                <w:b/>
              </w:rPr>
              <w:t xml:space="preserve">Do not infer: </w:t>
            </w:r>
            <w:r>
              <w:t xml:space="preserve">Abstract's matched five-year OS 73% versus 52.8%, median 197 versus 119 and HR 0.59 differ from the labelled main Results/Figure 3. Do not blend them. Retrospective selection, substantial missing grade/stage, broad historical era, residual confounding and surgery-time origin; cannot infer causal superiority over resection or modern nonoperative therapy for an individual. Main tables contain other transcription inconsistencies (e.g. grade count/percent, primary-site labels); use internally concordant main outcomes and state reporting limitations. Milan-centre patients overlap other Milan reports. G3 subset insufficient to support expansion. Post-LT mTOR discussion is extrapolative, not a comparative NET regimen trial. Supplement access: Supplementary Material 1, http://links.lww.com/SLA/E183, not included in this download.</w:t>
            </w:r>
          </w:p>
        </w:tc>
      </w:tr>
      <w:tr>
        <w:trPr/>
        <w:tc>
          <w:tcPr>
            <w:tcW w:w="3400" w:type="dxa"/>
            <w:tcMar>
              <w:top w:w="90" w:type="dxa"/>
              <w:left w:w="90" w:type="dxa"/>
              <w:bottom w:w="90" w:type="dxa"/>
              <w:right w:w="90" w:type="dxa"/>
            </w:tcMar>
          </w:tcPr>
          <w:p>
            <w:pPr>
              <w:pStyle w:val="Normal"/>
              <w:widowControl/>
              <w:spacing w:before="60" w:after="20"/>
            </w:pPr>
            <w:r>
              <w:rPr>
                <w:b/>
              </w:rPr>
              <w:t xml:space="preserve">Kjaer 2023 · eligible non-LT panNET</w:t>
            </w:r>
            <w:r>
              <w:t xml:space="preserve"> </w:t>
            </w:r>
            <w:r>
              <w:t xml:space="preserve"> </w:t>
            </w:r>
            <w:r>
              <w:fldChar w:fldCharType="begin"/>
            </w:r>
            <w:r>
              <w:instrText xml:space="preserve"> ADDIN EN.CITE </w:instrText>
            </w:r>
            <w:r>
              <w:fldChar w:fldCharType="begin">
                <w:fldData>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IENvbXBsZXRlIGVpZ2h0LXBhZ2UgcHVibGlzaGVkIG1haW4gcGFwZXIgcmVhZCwgaW5jbHVkaW5nIGFsbCBtZXRob2RzLCB0YWJsZXMsIGZpZ3VyZXMsIGRpc2N1c3Npb24gYW5kIHJlZmVyZW5jZXMuIFY4IGV4dHJhY3Rpb24gYW5kIGxpbWl0YXRpb25zOiBzb3VyY2UvbWV0YXN0YXNlc19mdWxsdGV4dF9yZXZpZXcuanNvbjwvbm90ZXM+PHVybHM+PHJlbGF0ZWQtdXJscz48dXJsPmh0dHBzOi8vZG9pLm9yZy8xMC4xMDA3L3MwMDI2OC0wMjItMDY3MzYtM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Retrospective Swedish tertiary-centre pan-NET cohort, 519 screened (2000–2021), 41 with resected primary, G1/G2, liver metastases and no extra-abdominal disease included. Sixteen satisfied one or more study-adapted LT definitions: Milan 11, ENETS 8, UNOS 13 (overlapping). These were not literal current allocation criteria: Milan age extended to &lt;65; two patients with suspicious persistent but stable regional nodes were counted UNOS-eligible after three-month follow-up.</w:t>
            </w:r>
          </w:p>
          <w:p>
            <w:pPr>
              <w:pStyle w:val="Normal"/>
              <w:widowControl/>
              <w:spacing w:before="60" w:after="20"/>
            </w:pPr>
            <w:hyperlink r:id="rId77">
              <w:r>
                <w:rPr>
                  <w:color w:val="77230C"/>
                  <w:sz w:val="20"/>
                  <w:u w:val="single"/>
                </w:rPr>
                <w:t>Primary source</w:t>
              </w:r>
            </w:hyperlink>
            <w:r>
              <w:t xml:space="preserve"> | </w:t>
            </w:r>
            <w:hyperlink r:id="rId78">
              <w:r>
                <w:rPr>
                  <w:color w:val="77230C"/>
                  <w:sz w:val="20"/>
                  <w:u w:val="single"/>
                </w:rPr>
                <w:t>Full-text PDF</w:t>
              </w:r>
            </w:hyperlink>
          </w:p>
          <w:p>
            <w:pPr>
              <w:pStyle w:val="Normal"/>
              <w:widowControl/>
              <w:spacing w:before="60" w:after="20"/>
            </w:pPr>
            <w:r>
              <w:t xml:space="preserve">Locator: Methods/time zero p 341; modified eligibility definitions p 342; baseline/treatments/outcomes pp 343–344; interpretation/limitations pp 345–346.</w:t>
            </w:r>
          </w:p>
          <w:p>
            <w:pPr>
              <w:pStyle w:val="Normal"/>
              <w:widowControl/>
              <w:spacing w:before="60" w:after="20"/>
            </w:pPr>
            <w:r>
              <w:t xml:space="preserve">Review depth: Complete eight-page published main paper read, including all methods, tables,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set at eligibility for each LT-criteria group; otherwise after first centre visit, primary resection and liver metastasis presence. Mean follow-up 5.4 years; 23 deaths. No actual LT comparator. Eligibility time zero reduces one form of immortal-time bias but retrospective selection remains. All 41: median OS 9.3 years (95% CI 6.8–11.7); five-year OS 64.7% (48.2–81.2). Milan-adapted n=11 five-year OS 64.9% (32.2–97.6); ENETS n=8 85.7% (59.8–100); UNOS-adapted n=13 55.4% (26.0–84.8). Treatment was multimodal, not medical therapy alone: five hepatic resections, 15 ablations, six embolizations, systemic therapy in 40 and later-line PRRT. No standardised toxicity or quality-of-life comparison reported. Most patients had small maximum lesions (overall median 1.5 cm); eligibility/low-burden biology differs from refractory high-burden transplant candidates.</w:t>
            </w:r>
          </w:p>
          <w:p>
            <w:pPr>
              <w:pStyle w:val="Normal"/>
              <w:widowControl/>
              <w:spacing w:before="60" w:after="20"/>
            </w:pPr>
            <w:r>
              <w:rPr>
                <w:b/>
              </w:rPr>
              <w:t xml:space="preserve">Do not infer: </w:t>
            </w:r>
            <w:r>
              <w:t xml:space="preserve">Very small overlapping subgroups, broad CIs, nonrandom historical comparisons; cannot conclude non-LT superiority or that LT is ineffective. Study-adapted UNOS/Milan rules and old ENETS 2012 definitions should not be relabelled as current guidance. A stable suspicious node is not proof of cleared extrahepatic disease. Some percentages/table entries are internally inconsistent; use counts and survival estimates rather than erroneous derived percentages. Source authors' strong anti-LT conclusion exceeds what this uncontrolled non-LT series can establish. Supplement access: No supplementary file cited.</w:t>
            </w:r>
          </w:p>
        </w:tc>
      </w:tr>
      <w:tr>
        <w:trPr/>
        <w:tc>
          <w:tcPr>
            <w:tcW w:w="3400" w:type="dxa"/>
            <w:tcMar>
              <w:top w:w="90" w:type="dxa"/>
              <w:left w:w="90" w:type="dxa"/>
              <w:bottom w:w="90" w:type="dxa"/>
              <w:right w:w="90" w:type="dxa"/>
            </w:tcMar>
          </w:tcPr>
          <w:p>
            <w:pPr>
              <w:pStyle w:val="Normal"/>
              <w:widowControl/>
              <w:spacing w:before="60" w:after="20"/>
            </w:pPr>
            <w:r>
              <w:rPr>
                <w:b/>
              </w:rPr>
              <w:t xml:space="preserve">Boscà 2026 · Spain</w:t>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Spanish 13-centre retrospective series of 91 NET LT recipients, 1995–2024; 41 transplanted before 2007; 71 Milan-IN and 20 Milan-OUT.</w:t>
            </w:r>
          </w:p>
          <w:p>
            <w:pPr>
              <w:pStyle w:val="Normal"/>
              <w:widowControl/>
              <w:spacing w:before="60" w:after="20"/>
            </w:pPr>
            <w:hyperlink r:id="rId79">
              <w:r>
                <w:rPr>
                  <w:color w:val="77230C"/>
                  <w:sz w:val="20"/>
                  <w:u w:val="single"/>
                </w:rPr>
                <w:t>Primary source</w:t>
              </w:r>
            </w:hyperlink>
            <w:r>
              <w:t xml:space="preserve"> | </w:t>
            </w:r>
            <w:hyperlink r:id="rId80">
              <w:r>
                <w:rPr>
                  <w:color w:val="77230C"/>
                  <w:sz w:val="20"/>
                  <w:u w:val="single"/>
                </w:rPr>
                <w:t>Full-text PDF</w:t>
              </w:r>
            </w:hyperlink>
          </w:p>
          <w:p>
            <w:pPr>
              <w:pStyle w:val="Normal"/>
              <w:widowControl/>
              <w:spacing w:before="60" w:after="20"/>
            </w:pPr>
            <w:r>
              <w:t xml:space="preserve">Locator: J Clin Med 2026;15:938; complete PDF Results, Tables 2–5, postoperative mortality/retransplantation and limitations.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LT; median follow-up 6.5 years. Table 5: five-year OS 71.0% IN versus 58.7% OUT, ten-year 55.5% versus 32.0%, fifteen-year 52.2% versus 16.0% (OS comparison P=0.03). Five-year DFS 58.8% versus 36.3%, not statistically significant. Recurrence 52/91; ninety-day mortality 9/91 (9.9%). Nine retransplants: two primary nonfunction, six hepatic artery thrombosis, one rejection.</w:t>
            </w:r>
          </w:p>
          <w:p>
            <w:pPr>
              <w:pStyle w:val="Normal"/>
              <w:widowControl/>
              <w:spacing w:before="60" w:after="20"/>
            </w:pPr>
            <w:r>
              <w:rPr>
                <w:b/>
              </w:rPr>
              <w:t xml:space="preserve">Do not infer: </w:t>
            </w:r>
            <w:r>
              <w:t xml:space="preserve">Era, missing pathology, small OUT group and composite deviations preclude validating 50–70% burden, age ≥60, G3 or extrahepatic expansion individually. Nonsignificant DFS is not equivalence. The abstract rounds OUT five-year OS differently; use Table 5 value with locator.</w:t>
            </w:r>
          </w:p>
        </w:tc>
      </w:tr>
      <w:tr>
        <w:trPr/>
        <w:tc>
          <w:tcPr>
            <w:tcW w:w="3400" w:type="dxa"/>
            <w:tcMar>
              <w:top w:w="90" w:type="dxa"/>
              <w:left w:w="90" w:type="dxa"/>
              <w:bottom w:w="90" w:type="dxa"/>
              <w:right w:w="90" w:type="dxa"/>
            </w:tcMar>
          </w:tcPr>
          <w:p>
            <w:pPr>
              <w:pStyle w:val="Normal"/>
              <w:widowControl/>
              <w:spacing w:before="60" w:after="20"/>
            </w:pPr>
            <w:r>
              <w:rPr>
                <w:b/>
              </w:rPr>
              <w:t xml:space="preserve">Le Treut 2013 · ELTR</w:t>
            </w:r>
            <w:r>
              <w:t xml:space="preserve"> </w:t>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p>
          <w:p>
            <w:pPr>
              <w:pStyle w:val="Normal"/>
              <w:widowControl/>
              <w:spacing w:before="60" w:after="20"/>
            </w:pPr>
            <w:r>
              <w:t xml:space="preserve">Retrospective 35-centre/11-country ELTR case collection, 213 LT recipients 1982–2009 (approximately half the European NET transplants in that period). Mixed primary sites including bronchial, unknown and pancreas; 29 primary sites unknown before LT, 17 never found; 22 poorly differentiated cases. Baseline Ki-67 and treatment-response/stability data were too sparse for analysis. Eligibility differs fundamentally from current NLRB selection.</w:t>
            </w:r>
          </w:p>
          <w:p>
            <w:pPr>
              <w:pStyle w:val="Normal"/>
              <w:widowControl/>
              <w:spacing w:before="60" w:after="20"/>
            </w:pPr>
            <w:hyperlink r:id="rId81">
              <w:r>
                <w:rPr>
                  <w:color w:val="77230C"/>
                  <w:sz w:val="20"/>
                  <w:u w:val="single"/>
                </w:rPr>
                <w:t>Primary source</w:t>
              </w:r>
            </w:hyperlink>
            <w:r>
              <w:t xml:space="preserve"> | </w:t>
            </w:r>
            <w:hyperlink r:id="rId82">
              <w:r>
                <w:rPr>
                  <w:color w:val="77230C"/>
                  <w:sz w:val="20"/>
                  <w:u w:val="single"/>
                </w:rPr>
                <w:t>Full-text PDF</w:t>
              </w:r>
            </w:hyperlink>
          </w:p>
          <w:p>
            <w:pPr>
              <w:pStyle w:val="Normal"/>
              <w:widowControl/>
              <w:spacing w:before="60" w:after="20"/>
            </w:pPr>
            <w:r>
              <w:t xml:space="preserve">Locator: Methods p 808; primary/burden/indication p 809; perioperative harms p 810; adjusted models p 811; Table 6 p 812; historical selection discussion pp 813–815.</w:t>
            </w:r>
          </w:p>
          <w:p>
            <w:pPr>
              <w:pStyle w:val="Normal"/>
              <w:widowControl/>
              <w:spacing w:before="60" w:after="20"/>
            </w:pPr>
            <w:r>
              <w:t xml:space="preserve">Review depth: Complete nine-page published paper read, including all eight tables, methods, outcome curves,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107 before 2000 and 106 during 2000–2009. Median liver-metastasis diagnosis-to-LT 25 months. Follow-up to December 2010; mean follow-up 56 months. Survival must be labelled by time zero: five-year OS 52% from LT versus 73% from liver-metastasis diagnosis; the latter contains pretransplant survivor selection. Five-year OS/DFS 52%/30%; median OS/DFS 67/24 months. In 2000–2009 subgroup, five-year OS/DFS 59%/39%. Three-month mortality 21/213 (10%). Retransplantation 24/213 (11%), including 16 early; early retransplant deaths 6/16. Thirty-seven (17%) died from early/late transplant complications without recurrence over follow-up. Whole-cohort multivariable adverse associations: major concurrent resection HR 3.1 (95% CI 1.9–5.3), poor differentiation HR 2.7 (1.5–4.7), hepatomegaly HR 2.3 (1.5–3.7). Hepatomegaly was retrospectively explant size ≥125% predicted liver volume, not simply tumour replacement &gt;50%. Post-2000 model: hepatomegaly HR 2.6 (1.3–5.1), P=0.006; age &gt;45 HR 2.0 (0.9–4.3), P=0.073; any concurrent resection HR 1.9 (1.0–3.7), P=0.058. The latter two are not conventionally statistically significant despite abstract language. Univariate five-year OS ≤50% burden 61% (109 patients) versus &gt;50% 42% (91); estimated &gt;80% group 42% (31). These are historical unadjusted outcomes, not a validated safe upper boundary. Node-positive 66 had five-year OS 41% versus 62% in 91 node-negative; location/clearance detail inadequate for a current eligibility rule. Poorly differentiated 22 had five-year OS 27%, not evidence for modern WD-G3. Nine LT indications followed severe TACE complications (four liver failure, five ischaemic cholangitis); historical rescue experience does not justify deliberate treatment injury.</w:t>
            </w:r>
          </w:p>
          <w:p>
            <w:pPr>
              <w:pStyle w:val="Normal"/>
              <w:widowControl/>
              <w:spacing w:before="60" w:after="20"/>
            </w:pPr>
            <w:r>
              <w:rPr>
                <w:b/>
              </w:rPr>
              <w:t xml:space="preserve">Do not infer: </w:t>
            </w:r>
            <w:r>
              <w:t xml:space="preserve">Strong era, centre and recipient selection, no non-LT comparator, incomplete data and extensive overlap with earlier European/French cohorts. No stable-versus-progressive or Ki-67 threshold validation. Historical poorly differentiated NEC should not be conflated with well-differentiated G3. Abstract says 30 minor concurrent resections, whereas Methods/Table 4 show 60 minor and 24 major (84 total). Histological category counts also have transcription discrepancies; prefer internally supported Table 6 whole-cohort categories. The post-2000 age threshold is exploratory, not an absolute age ban; authors explicitly warn against denying LT solely to older patients with hepatomegaly. Supplement access: No separate supplemental file cited.</w:t>
            </w:r>
          </w:p>
        </w:tc>
      </w:tr>
      <w:tr>
        <w:trPr/>
        <w:tc>
          <w:tcPr>
            <w:tcW w:w="3400" w:type="dxa"/>
            <w:tcMar>
              <w:top w:w="90" w:type="dxa"/>
              <w:left w:w="90" w:type="dxa"/>
              <w:bottom w:w="90" w:type="dxa"/>
              <w:right w:w="90" w:type="dxa"/>
            </w:tcMar>
          </w:tcPr>
          <w:p>
            <w:pPr>
              <w:pStyle w:val="Normal"/>
              <w:widowControl/>
              <w:spacing w:before="60" w:after="20"/>
            </w:pPr>
            <w:r>
              <w:rPr>
                <w:b/>
              </w:rPr>
              <w:t xml:space="preserve">ENETS 2026</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ENETS 2026 position statement explicitly addressing controversies; expert, hypothesis-generating framework rather than original comparative outcome study.</w:t>
            </w:r>
          </w:p>
          <w:p>
            <w:pPr>
              <w:pStyle w:val="Normal"/>
              <w:widowControl/>
              <w:spacing w:before="60" w:after="20"/>
            </w:pPr>
            <w:hyperlink r:id="rId83">
              <w:r>
                <w:rPr>
                  <w:color w:val="77230C"/>
                  <w:sz w:val="20"/>
                  <w:u w:val="single"/>
                </w:rPr>
                <w:t>Primary source</w:t>
              </w:r>
            </w:hyperlink>
            <w:r>
              <w:t xml:space="preserve"> | </w:t>
            </w:r>
            <w:hyperlink r:id="rId84">
              <w:r>
                <w:rPr>
                  <w:color w:val="77230C"/>
                  <w:sz w:val="20"/>
                  <w:u w:val="single"/>
                </w:rPr>
                <w:t>Full-text PDF</w:t>
              </w:r>
            </w:hyperlink>
          </w:p>
          <w:p>
            <w:pPr>
              <w:pStyle w:val="Normal"/>
              <w:widowControl/>
              <w:spacing w:before="60" w:after="20"/>
            </w:pPr>
            <w:r>
              <w:t xml:space="preserve">Locator: J Neuroendocrinol 2026;38:e70250; complete position-statement PDF burden, benefit, age, stability and extrahepatic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outcome denominator. Proposed liver-burden bands around 25–70%, age &lt;60 as relative and six-month stability are pragmatic concepts. Illustrative non-LT five-year survival &lt;30% versus post-LT ≥70% are not a calibrated individual benefit model.</w:t>
            </w:r>
          </w:p>
          <w:p>
            <w:pPr>
              <w:pStyle w:val="Normal"/>
              <w:widowControl/>
              <w:spacing w:before="60" w:after="20"/>
            </w:pPr>
            <w:r>
              <w:rPr>
                <w:b/>
              </w:rPr>
              <w:t xml:space="preserve">Do not infer: </w:t>
            </w:r>
            <w:r>
              <w:t xml:space="preserve">Do not turn an expert future-oriented proposal into validated numerical gates. Suggested controllable extrahepatic disease, including bone, conflicts with current NLRB solid-organ-metastasis exclusion. It identifies research needs rather than approving an expansion.</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2021</w:t>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YjcyMjMwNzItMzFiNy01NDQwLWFjZDktNmRkYjNjMjM2Yzlk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Single-centre retrospective analysis of post-LT NET recurrence among prospectively followed recipients: 53 total LT recipients, 32 recurrent cases meeting ≥6 months of postrecurrence follow-up, 2004–2018.</w:t>
            </w:r>
          </w:p>
          <w:p>
            <w:pPr>
              <w:pStyle w:val="Normal"/>
              <w:widowControl/>
              <w:spacing w:before="60" w:after="20"/>
            </w:pPr>
            <w:hyperlink r:id="rId85">
              <w:r>
                <w:rPr>
                  <w:color w:val="77230C"/>
                  <w:sz w:val="20"/>
                  <w:u w:val="single"/>
                </w:rPr>
                <w:t>Primary source</w:t>
              </w:r>
            </w:hyperlink>
            <w:r>
              <w:t xml:space="preserve"> | </w:t>
            </w:r>
            <w:hyperlink r:id="rId86">
              <w:r>
                <w:rPr>
                  <w:color w:val="77230C"/>
                  <w:sz w:val="20"/>
                  <w:u w:val="single"/>
                </w:rPr>
                <w:t>Full-text PDF</w:t>
              </w:r>
            </w:hyperlink>
          </w:p>
          <w:p>
            <w:pPr>
              <w:pStyle w:val="Normal"/>
              <w:widowControl/>
              <w:spacing w:before="60" w:after="20"/>
            </w:pPr>
            <w:r>
              <w:t xml:space="preserve">Locator: PDF pp 3–14 main text; Tables 1–3 pp 19–22; Figures 1–3 pp 23–25, especially Fig 3D P=.062. Published pp 2579–2586.</w:t>
            </w:r>
          </w:p>
          <w:p>
            <w:pPr>
              <w:pStyle w:val="Normal"/>
              <w:widowControl/>
              <w:spacing w:before="60" w:after="20"/>
            </w:pPr>
            <w:r>
              <w:t xml:space="preserve">Review depth: Complete 25-page accepted manuscript read, including all main text, tables, figure legends, references and visual inspection of Figures 1–3 on PDF pages 23–25.</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Twenty-five of 32 were within Milan criteria at listing. Primary sites were intestinal 20, pancreatic 11, unknown one. All received deceased-donor grafts; 21/32 had positive hilar nodes at LT, which does not establish acceptability of known active nodes before selection.; Median time to recurrence was 82.9 months. Overall survival here starts at RECURRENCE, not LT: median 81 months, five-/ten-year OS 76.3%/45.5%, with median postrecurrence follow-up 73.7 months.; Fourteen underwent surgery; complete resection at initial salvage in 13. Surgery versus other therapy five-year OS 90.9% versus 64.5%, P=.062; the overall comparison did not reach statistical significance.; The seven early-recurrence cases (within 24 months) had five-year postrecurrence OS 0% versus 89.5% in 25 later recurrences; this very small nonrandomized subgroup is prognostic, not a validated 24-month prohibition on salvage.; At last follow-up four were disease-free, 17 alive with disease and 11 deceased (seven NET-related, four other causes). Rising proliferation across primary, LT and recurrence biopsies supports reassessing heterogeneous biology.; All were switched to an mTOR inhibitor upon recurrence. No non-switch comparator exists to establish antitumour benefit. Two received PRRT; this is descriptive post-LT experience, not controlled safety/efficacy evidence.</w:t>
            </w:r>
          </w:p>
          <w:p>
            <w:pPr>
              <w:pStyle w:val="Normal"/>
              <w:widowControl/>
              <w:spacing w:before="60" w:after="20"/>
            </w:pPr>
            <w:r>
              <w:rPr>
                <w:b/>
              </w:rPr>
              <w:t xml:space="preserve">Do not infer: </w:t>
            </w:r>
            <w:r>
              <w:t xml:space="preserve">Selection requires survival/follow-up for at least six months after recurrence, potentially underrepresenting very early deaths; only 32 recurrent patients and no adjusted causal comparison.; Treatment selection, late-recurrence biology and resectability confound surgical comparisons. Overlap with other Milan reports means outcomes are not independent replication.; Abstract and body have slightly different recurrence-time IQRs. The abstract's 59.4% nodal figure combines abdominal and thoracic single-site nodal recurrences; do not label all 19 as abdominal.; The &lt; versus ≤24-month boundary differs between text/table; use 'within 24 months' descriptively without creating a precise validated gate.; Study protocol's three-month observation before salvage surgery and systematic NET lymphadenectomy are centre practices, not mandatory CRLM or universal NET standards.</w:t>
            </w:r>
          </w:p>
        </w:tc>
      </w:tr>
    </w:tbl>
    <w:p>
      <w:pPr>
        <w:pStyle w:val="Heading3"/>
        <w:keepNext/>
        <w:widowControl/>
      </w:pPr>
      <w:r>
        <w:t xml:space="preserve">Synthesis and evidence that challenges the proposal</w:t>
      </w:r>
    </w:p>
    <w:p>
      <w:pPr>
        <w:pStyle w:val="Normal"/>
        <w:widowControl/>
        <w:spacing w:before="60" w:after="20"/>
      </w:pPr>
      <w:r>
        <w:t xml:space="preserve">The &lt;50% burden and relative age &lt;60 Milan framework has selected-cohort lineage, not a sharp validated treatment-benefit boundary. In ELTR's post-2000 model, age &gt;45 had HR 2.0 (95% CI 0.9–4.3), P=.073: it was not a statistically significant independent predictor, contrary to the abstract implication. Hepatomegaly was an explant-based size measure, not synonymous with tumour replacement. Burden &gt;50% had poorer unadjusted historical survival, but no precise 70% futility boundary or safety through 75–80% is established. Maspero added no older LT recipients in its age-expanded comparison and occult postoperative high burden cannot validate preoperative expansion. Low burden may produce good post-LT survival but little incremental benefit.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IENvbXBsZXRlIGVpZ2h0LXBhZ2UgcHVibGlzaGVkIG1haW4gcGFwZXIgcmVhZCwgaW5jbHVkaW5nIGFsbCBtZXRob2RzLCB0YWJsZXMsIGZpZ3VyZXMsIGRpc2N1c3Npb24gYW5kIHJlZmVyZW5jZXMuIFY4IGV4dHJhY3Rpb24gYW5kIGxpbWl0YXRpb25zOiBzb3VyY2UvbWV0YXN0YXNlc19mdWxsdGV4dF9yZXZpZXcuanNvbjwvbm90ZXM+PHVybHM+PHJlbGF0ZWQtdXJscz48dXJsPmh0dHBzOi8vZG9pLm9yZy8xMC4xMDA3L3MwMDI2OC0wMjItMDY3MzYtM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YjcyMjMwNzItMzFiNy01NDQwLWFjZDktNmRkYjNjMjM2Yzlk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spacing w:before="60" w:after="20"/>
      </w:pPr>
      <w:r>
        <w:t xml:space="preserve">Spanish Milan-OUT survival is lower, but OUT combines many deviations and cannot isolate &gt;50% burden or age ≥60. Matched outside-Milan confidence intervals are wide, not proof of futility. Kjaer's non-LT survival cautions against assuming any eligible patient needs LT. ENETS 25–70% proposal is an expert benefit-oriented hypothesis, not outcome-validated proof that 70% is a biological ceiling.</w:t>
      </w:r>
    </w:p>
    <w:p>
      <w:pPr>
        <w:pStyle w:val="Normal"/>
        <w:widowControl/>
        <w:spacing w:before="60" w:after="20"/>
      </w:pPr>
      <w:r>
        <w:rPr>
          <w:b/>
        </w:rPr>
        <w:t xml:space="preserve">Certainty / applicability: </w:t>
      </w:r>
      <w:r>
        <w:t xml:space="preserve">Low certainty for any causal age/burden threshold; moderate confidence that these variables and liver function must be measured and followed. No prospective trial validates 25%, 50%, 70% or age 60 as a universal increment-benefit boundary.</w:t>
      </w:r>
    </w:p>
    <w:p>
      <w:pPr>
        <w:pStyle w:val="Heading3"/>
        <w:keepNext/>
        <w:widowControl/>
      </w:pPr>
      <w:r>
        <w:t xml:space="preserve">Where each proposed threshold comes from</w:t>
      </w:r>
    </w:p>
    <w:p>
      <w:pPr>
        <w:pStyle w:val="Normal"/>
        <w:widowControl/>
        <w:numPr>
          <w:ilvl w:val="0"/>
          <w:numId w:val="3"/>
        </w:numPr>
        <w:spacing w:before="60" w:after="20"/>
      </w:pPr>
      <w:r>
        <w:t xml:space="preserve">&lt;50% and age &lt;60 relative originate in Milan selection; age &gt;45 is historical prognostic association, not selection validation. ENETS 25–70% and six-month stability are pragmatic proposals. The V6 50–70% unopened stratum and &gt;70% initial closure are local conservative design choices. Serial volumetry and trajectory matter more than a single imprecise percentage.</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“Metastatic diffusion to &lt;50% of the total liver volume”</w:t>
            </w:r>
          </w:p>
          <w:p>
            <w:pPr>
              <w:pStyle w:val="Normal"/>
              <w:widowControl/>
              <w:spacing w:before="60" w:after="20"/>
            </w:pPr>
            <w:r>
              <w:t xml:space="preserve">Milan-NET, Table 1, PDF p2 / journal p2893</w:t>
            </w:r>
          </w:p>
          <w:p>
            <w:pPr>
              <w:pStyle w:val="Normal"/>
              <w:widowControl/>
              <w:spacing w:before="60" w:after="20"/>
            </w:pPr>
            <w:hyperlink r:id="rId87">
              <w:r>
                <w:rPr>
                  <w:color w:val="77230C"/>
                  <w:sz w:val="20"/>
                  <w:u w:val="single"/>
                </w:rPr>
                <w:t>Source</w:t>
              </w:r>
            </w:hyperlink>
            <w:r>
              <w:t xml:space="preserve"> | </w:t>
            </w:r>
            <w:hyperlink r:id="rId88">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selection criterion in the Milan framework, not a national allocation ceiling.</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ENETS 2026</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“Age &lt;60 years may be considered a relative, not absolute, factor.”</w:t>
            </w:r>
          </w:p>
          <w:p>
            <w:pPr>
              <w:pStyle w:val="Normal"/>
              <w:widowControl/>
              <w:spacing w:before="60" w:after="20"/>
            </w:pPr>
            <w:r>
              <w:t xml:space="preserve">2026 full-text PDF p5, Table 2</w:t>
            </w:r>
          </w:p>
          <w:p>
            <w:pPr>
              <w:pStyle w:val="Normal"/>
              <w:widowControl/>
              <w:spacing w:before="60" w:after="20"/>
            </w:pPr>
            <w:hyperlink r:id="rId89">
              <w:r>
                <w:rPr>
                  <w:color w:val="77230C"/>
                  <w:sz w:val="20"/>
                  <w:u w:val="single"/>
                </w:rPr>
                <w:t>Source</w:t>
              </w:r>
            </w:hyperlink>
            <w:r>
              <w:t xml:space="preserve"> | </w:t>
            </w:r>
            <w:hyperlink r:id="rId90">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Supports individualized benefit/fitness assessment rather than an automatic age exclusion.</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age as a review trigger, not an absolute exclusion; retain a conservative opening burden and a separately declared expansion band.</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IENvbXBsZXRlIGVpZ2h0LXBhZ2UgcHVibGlzaGVkIG1haW4gcGFwZXIgcmVhZCwgaW5jbHVkaW5nIGFsbCBtZXRob2RzLCB0YWJsZXMsIGZpZ3VyZXMsIGRpc2N1c3Npb24gYW5kIHJlZmVyZW5jZXMuIFY4IGV4dHJhY3Rpb24gYW5kIGxpbWl0YXRpb25zOiBzb3VyY2UvbWV0YXN0YXNlc19mdWxsdGV4dF9yZXZpZXcuanNvbjwvbm90ZXM+PHVybHM+PHJlbGF0ZWQtdXJscz48dXJsPmh0dHBzOi8vZG9pLm9yZy8xMC4xMDA3L3MwMDI2OC0wMjItMDY3MzYtM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YjcyMjMwNzItMzFiNy01NDQwLWFjZDktNmRkYjNjMjM2Yzlk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Age ≥60 triggers explicit physiological-reserve, competing-mortality and benefit review; no absolute chronological-age ceiling or invented NET-specific frailty score is adopted.</w:t>
      </w:r>
    </w:p>
    <w:p>
      <w:pPr>
        <w:pStyle w:val="Normal"/>
        <w:widowControl/>
        <w:numPr>
          <w:ilvl w:val="0"/>
          <w:numId w:val="3"/>
        </w:numPr>
      </w:pPr>
      <w:r>
        <w:t xml:space="preserve">Reproducibly estimate liver involvement. &lt;50% is the conservative Milan-derived reference; exactly 50% through 70% is a separate prospective expansion stratum, not automatically active. &gt;70% is outside the initial local program for conservative risk control, not because published evidence proves futility.</w:t>
      </w:r>
    </w:p>
    <w:p>
      <w:pPr>
        <w:pStyle w:val="Normal"/>
        <w:widowControl/>
        <w:numPr>
          <w:ilvl w:val="1"/>
          <w:numId w:val="3"/>
        </w:numPr>
        <w:spacing w:before="60" w:after="20"/>
      </w:pPr>
      <w:r>
        <w:t xml:space="preserve">The 50–70/&gt;70 choices are local proposals, not national limits.</w:t>
      </w:r>
    </w:p>
    <w:p>
      <w:pPr>
        <w:pStyle w:val="Normal"/>
        <w:widowControl/>
        <w:numPr>
          <w:ilvl w:val="0"/>
          <w:numId w:val="3"/>
        </w:numPr>
      </w:pPr>
      <w:r>
        <w:t xml:space="preserve">Low burden, particularly &lt;25%, defaults to non-LT care unless a documented NET-B1 benefit trigger overrides that default.</w:t>
      </w:r>
    </w:p>
    <w:p>
      <w:pPr>
        <w:pStyle w:val="Normal"/>
        <w:widowControl/>
        <w:numPr>
          <w:ilvl w:val="1"/>
          <w:numId w:val="3"/>
        </w:numPr>
        <w:spacing w:before="60" w:after="20"/>
      </w:pPr>
      <w:r>
        <w:t xml:space="preserve">Do not give harmful downstaging solely to cross a percentage boundary.</w:t>
      </w:r>
    </w:p>
    <w:p>
      <w:pPr>
        <w:pStyle w:val="Normal"/>
        <w:widowControl/>
        <w:numPr>
          <w:ilvl w:val="0"/>
          <w:numId w:val="3"/>
        </w:numPr>
      </w:pPr>
      <w:r>
        <w:t xml:space="preserve">Do not cite age &gt;45 as an exclusion or postoperative occult upstaging as prospective validation.</w:t>
      </w:r>
    </w:p>
    <w:p>
      <w:pPr>
        <w:pStyle w:val="Normal"/>
        <w:widowControl/>
        <w:numPr>
          <w:ilvl w:val="1"/>
          <w:numId w:val="3"/>
        </w:numPr>
        <w:spacing w:before="60" w:after="20"/>
      </w:pPr>
      <w:r>
        <w:t xml:space="preserve">Explicitly label the proposed 50–70% expansion and &gt;70% opening restriction as local, unapproved research boundaries, not national or trial-validated cutoffs.</w:t>
      </w:r>
    </w:p>
    <w:p>
      <w:pPr>
        <w:pStyle w:val="Normal"/>
        <w:widowControl/>
        <w:spacing w:before="60" w:after="20"/>
      </w:pPr>
      <w:r>
        <w:rPr>
          <w:b/>
        </w:rPr>
        <w:t xml:space="preserve">Why retain or change it: </w:t>
      </w:r>
      <w:r>
        <w:t xml:space="preserve">Keep OPEN age ≥60 as an enhanced fitness/competing-risk and benefit review, not an automatic exclusion. Retain &lt;50% estimated hepatic involvement as the initial cohort reference, with central imaging method and uncertainty documented. Proposed 50–70% cases should remain a separately designed, unopened research stratum; &gt;70% remains outside the initial programme for conservative risk control, not because published data prove futility. Low burden &lt;25% generally favours continued effective non-LT management unless B1 provides a compelling symptom/function/future-control rationale. Do not permit burden alone to overrule grade, extrahepatic disease or donor risk. Decision remains blank.</w:t>
      </w:r>
    </w:p>
    <w:p>
      <w:pPr>
        <w:pStyle w:val="Heading3"/>
        <w:keepNext/>
        <w:widowControl/>
      </w:pPr>
      <w:r>
        <w:t xml:space="preserve">Information required before the decision</w:t>
      </w:r>
    </w:p>
    <w:p>
      <w:pPr>
        <w:pStyle w:val="Normal"/>
        <w:widowControl/>
        <w:spacing w:before="60" w:after="20"/>
      </w:pPr>
      <w:r>
        <w:t xml:space="preserve">Method/date of volumetric burden; functional reserve/frailty; competing illness; symptom/benefit trigger; current treatment alternatives.</w:t>
      </w:r>
    </w:p>
    <w:p>
      <w:pPr>
        <w:pStyle w:val="Normal"/>
        <w:widowControl/>
        <w:spacing w:before="60" w:after="20"/>
      </w:pPr>
      <w:r>
        <w:rPr>
          <w:b/>
        </w:rPr>
        <w:t xml:space="preserve">Clinical versus allocation: </w:t>
      </w:r>
      <w:r>
        <w:t xml:space="preserve">NLRB guidance has no explicit age or liver-percentage ceiling; identify these as local clinical/research choices.</w:t>
      </w:r>
    </w:p>
    <w:p>
      <w:pPr>
        <w:pStyle w:val="Normal"/>
        <w:widowControl/>
        <w:spacing w:before="60" w:after="20"/>
      </w:pPr>
      <w:r>
        <w:rPr>
          <w:b/>
        </w:rPr>
        <w:t xml:space="preserve">Roadmap / protocol reconciliation: </w:t>
      </w:r>
      <w:r>
        <w:t xml:space="preserve">Use the NET roadmap’s symptom control and systemic/liver-directed options, with volumetric follow-up rather than visual percentage guesses.</w:t>
      </w:r>
    </w:p>
    <w:p>
      <w:pPr>
        <w:pStyle w:val="Normal"/>
        <w:widowControl/>
        <w:spacing w:before="60" w:after="20"/>
      </w:pPr>
      <w:hyperlink r:id="rId91">
        <w:r>
          <w:rPr>
            <w:color w:val="77230C"/>
            <w:sz w:val="20"/>
            <w:u w:val="single"/>
          </w:rPr>
          <w:t>Meeting record: NET-B3</w:t>
        </w:r>
      </w:hyperlink>
      <w:r>
        <w:t xml:space="preserve">  |  </w:t>
      </w:r>
      <w:hyperlink r:id="rId9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3 Individualized treatment and reassessment</w:t>
      </w:r>
    </w:p>
    <w:p>
      <w:pPr>
        <w:pStyle w:val="Normal"/>
        <w:widowControl/>
        <w:numPr>
          <w:ilvl w:val="0"/>
          <w:numId w:val="3"/>
        </w:numPr>
      </w:pPr>
      <w:r>
        <w:t xml:space="preserve">Review resection/ablation, somatostatin analogs, PRRT, systemic therapy and liver-directed options with NET oncology, nuclear medicine and HPB/IR. Choose according to primary site, differentiation, receptor expression, tempo, symptoms and prior exposure. Do not mandate one neoadjuvant modality to qualify for LT.</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For SSTR-positive disease, PRRT may be an appropriate disease-control option. Use the current nuclear-medicine dosing and renal/marrow-protection program. There is no validated universal PRRT-to-LT washout: document marrow, renal and hepatic recovery, dosimetry and operative timing.</w:t>
      </w:r>
      <w:r>
        <w:t xml:space="preserve"> </w:t>
      </w:r>
      <w:r>
        <w:t xml:space="preserve"> </w:t>
      </w:r>
      <w:r>
        <w:fldChar w:fldCharType="begin"/>
      </w:r>
      <w:r>
        <w:instrText xml:space="preserve"> ADDIN EN.CITE </w:instrText>
      </w:r>
      <w:r>
        <w:fldChar w:fldCharType="begin">
          <w:fldData>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QpMDA3MDE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Normal"/>
        <w:widowControl/>
        <w:numPr>
          <w:ilvl w:val="0"/>
          <w:numId w:val="3"/>
        </w:numPr>
      </w:pPr>
      <w:r>
        <w:t xml:space="preserve">CAPTEM, everolimus and other systemic treatments must follow the tumor-specific oncology plan. Oncology-dose everolimus is not interchangeable with transplant immunosuppression. Record a perioperative hold and recovery plan with pharmacy; do not prescribe simultaneous unreviewed combinations.</w:t>
      </w:r>
    </w:p>
    <w:p>
      <w:pPr>
        <w:pStyle w:val="Normal"/>
        <w:widowControl/>
        <w:numPr>
          <w:ilvl w:val="0"/>
          <w:numId w:val="3"/>
        </w:numPr>
      </w:pPr>
      <w:r>
        <w:t xml:space="preserve">Proposed local assessment: cross-sectional imaging approximately every three months during treatment/observation, with symptom, nutrition, liver function and syndrome-specific biochemical review. Use RECIST 1.1 and retain the original burden/site map. Functional imaging is repeated to answer staging or biological discordance, not at an arbitrary universal frequency.</w:t>
      </w:r>
    </w:p>
    <w:p>
      <w:pPr>
        <w:pStyle w:val="Normal"/>
        <w:widowControl/>
      </w:pPr>
      <w:r>
        <w:t xml:space="preserve">Advance to final selection only when the primary is controlled, the relevant disease-free interval is complete, there is no active extrahepatic disease, liver disease is controlled, complete non-LT clearance is not feasible, and an explicit benefit/fitness review favors LT within the intended pathway.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Hold for uncertain grade, unknown primary/drainage, discordant SSTR/FDG lesions, unclear nodal clearance or insufficient observation. Progressive metastatic disease, NEC or an unapproved G3/nonportal expansion stops this proposed route. Do not translate a chemotherapy or PRRT response into automatic transplant eligibility.</w:t>
      </w:r>
    </w:p>
    <w:p>
      <w:pPr>
        <w:pStyle w:val="Heading2"/>
        <w:keepNext/>
        <w:widowControl/>
      </w:pPr>
      <w:r>
        <w:t xml:space="preserve">4 Allocation and donor selection</w:t>
      </w:r>
    </w:p>
    <w:p>
      <w:pPr>
        <w:pStyle w:val="Normal"/>
        <w:widowControl/>
        <w:numPr>
          <w:ilvl w:val="0"/>
          <w:numId w:val="3"/>
        </w:numPr>
      </w:pPr>
      <w:r>
        <w:t xml:space="preserve">The current NET route is nonstandard NLRB consideration, generally MMaT minus 3 for candidates meeting the described guidance. It is not automatic standardized priority. Submit the actual primary, histology, proliferation, resection and negative-staging record.</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E1PC9SZWNOdW0+PERpc3BsYXlUZXh0PltWMTYtMTVdPC9EaXNwbGF5VGV4dD48cmVjb3JkPjxyZWMtbnVtYmVyPjE1PC9yZWMtbnVtYmVyPjxmb3JlaWduLWtleXM+PGtleSBhcHA9IkVOIiBkYi1pZD0iYjcyMjMwNzItMzFiNy01NDQwLWFjZDktNmRkYjNjMjM2YzlkIiB0aW1lc3RhbXA9IjE3OTMyODM2ODYiPjE1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E1PC9SZWNOdW0+PERpc3BsYXlUZXh0PltWMTYtMTVdPC9EaXNwbGF5VGV4dD48cmVjb3JkPjxyZWMtbnVtYmVyPjE1PC9yZWMtbnVtYmVyPjxmb3JlaWduLWtleXM+PGtleSBhcHA9IkVOIiBkYi1pZD0iYjcyMjMwNzItMzFiNy01NDQwLWFjZDktNmRkYjNjMjM2YzlkIiB0aW1lc3RhbXA9IjE3OTMyODM2ODYiPjE1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p>
    <w:p>
      <w:pPr>
        <w:pStyle w:val="Heading3"/>
        <w:keepNext/>
        <w:widowControl/>
      </w:pPr>
      <w:bookmarkStart w:id="4" w:name="ALLOC_B1"/>
      <w: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A8L1JlY051bT48RGlzcGxheVRleHQ+W1YxNi0yMF08L0Rpc3BsYXlUZXh0PjxyZWNvcmQ+PHJlYy1udW1iZXI+MjA8L3JlYy1udW1iZXI+PGZvcmVpZ24ta2V5cz48a2V5IGFwcD0iRU4iIGRiLWlkPSJiNzIyMzA3Mi0zMWI3LTU0NDAtYWNkOS02ZGRiM2MyMzZjOWQiIHRpbWVzdGFtcD0iMTc5MzI4MzY4NiI+MjA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E8L1JlY051bT48RGlzcGxheVRleHQ+W1YxNi0yMV08L0Rpc3BsYXlUZXh0PjxyZWNvcmQ+PHJlYy1udW1iZXI+MjE8L3JlYy1udW1iZXI+PGZvcmVpZ24ta2V5cz48a2V5IGFwcD0iRU4iIGRiLWlkPSJiNzIyMzA3Mi0zMWI3LTU0NDAtYWNkOS02ZGRiM2MyMzZjOWQiIHRpbWVzdGFtcD0iMTc5MzI4MzY4NiI+MjE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A8L1JlY051bT48RGlzcGxheVRleHQ+W1YxNi0yMF08L0Rpc3BsYXlUZXh0PjxyZWNvcmQ+PHJlYy1udW1iZXI+MjA8L3JlYy1udW1iZXI+PGZvcmVpZ24ta2V5cz48a2V5IGFwcD0iRU4iIGRiLWlkPSJiNzIyMzA3Mi0zMWI3LTU0NDAtYWNkOS02ZGRiM2MyMzZjOWQiIHRpbWVzdGFtcD0iMTc5MzI4MzY4NiI+MjA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E8L1JlY051bT48RGlzcGxheVRleHQ+W1YxNi0yMV08L0Rpc3BsYXlUZXh0PjxyZWNvcmQ+PHJlYy1udW1iZXI+MjE8L3JlYy1udW1iZXI+PGZvcmVpZ24ta2V5cz48a2V5IGFwcD0iRU4iIGRiLWlkPSJiNzIyMzA3Mi0zMWI3LTU0NDAtYWNkOS02ZGRiM2MyMzZjOWQiIHRpbWVzdGFtcD0iMTc5MzI4MzY4NiI+MjE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93">
        <w:r>
          <w:rPr>
            <w:color w:val="77230C"/>
            <w:sz w:val="20"/>
            <w:u w:val="single"/>
          </w:rPr>
          <w:t>Meeting record: ALLOC-B1</w:t>
        </w:r>
      </w:hyperlink>
      <w:r>
        <w:t xml:space="preserve">  |  </w:t>
      </w:r>
      <w:hyperlink r:id="rId94">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2"/>
      <w: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E8L1JlY051bT48RGlzcGxheVRleHQ+W1YxNi0yMV08L0Rpc3BsYXlUZXh0PjxyZWNvcmQ+PHJlYy1udW1iZXI+MjE8L3JlYy1udW1iZXI+PGZvcmVpZ24ta2V5cz48a2V5IGFwcD0iRU4iIGRiLWlkPSJiNzIyMzA3Mi0zMWI3LTU0NDAtYWNkOS02ZGRiM2MyMzZjOWQiIHRpbWVzdGFtcD0iMTc5MzI4MzY4NiI+MjE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MbG92ZXQ8L0F1dGhvcj48WWVhcj4yMDI2PC9ZZWFyPjxSZWNOdW0+MjI8L1JlY051bT48RGlzcGxheVRleHQ+W1YxNi0yMl08L0Rpc3BsYXlUZXh0PjxyZWNvcmQ+PHJlYy1udW1iZXI+MjI8L3JlYy1udW1iZXI+PGZvcmVpZ24ta2V5cz48a2V5IGFwcD0iRU4iIGRiLWlkPSJiNzIyMzA3Mi0zMWI3LTU0NDAtYWNkOS02ZGRiM2MyMzZjOWQiIHRpbWVzdGFtcD0iMTc5MzI4MzY4NiI+MjI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yMDwvWWVhcj48UmVjTnVtPjIzPC9SZWNOdW0+PERpc3BsYXlUZXh0PltWMTYtMjNdPC9EaXNwbGF5VGV4dD48cmVjb3JkPjxyZWMtbnVtYmVyPjIzPC9yZWMtbnVtYmVyPjxmb3JlaWduLWtleXM+PGtleSBhcHA9IkVOIiBkYi1pZD0iYjcyMjMwNzItMzFiNy01NDQwLWFjZDktNmRkYjNjMjM2YzlkIiB0aW1lc3RhbXA9IjE3OTMyODM2ODYiPjIz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I0PC9SZWNOdW0+PERpc3BsYXlUZXh0PltWMTYtMjRdPC9EaXNwbGF5VGV4dD48cmVjb3JkPjxyZWMtbnVtYmVyPjI0PC9yZWMtbnVtYmVyPjxmb3JlaWduLWtleXM+PGtleSBhcHA9IkVOIiBkYi1pZD0iYjcyMjMwNzItMzFiNy01NDQwLWFjZDktNmRkYjNjMjM2YzlkIiB0aW1lc3RhbXA9IjE3OTMyODM2ODYiPjI0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[V16-24]</w:t>
      </w:r>
      <w:r>
        <w:fldChar w:fldCharType="end"/>
      </w:r>
      <w:r>
        <w:t xml:space="preserve"> </w:t>
      </w:r>
      <w:r>
        <w:t xml:space="preserve"> </w:t>
      </w:r>
      <w:r>
        <w:fldChar w:fldCharType="begin"/>
      </w:r>
      <w:r>
        <w:instrText xml:space="preserve"> ADDIN EN.CITE </w:instrText>
      </w:r>
      <w:r>
        <w:fldChar w:fldCharType="begin">
          <w:fldData>PEVuZE5vdGU+PENpdGU+PEF1dGhvcj5BbGxlbjwvQXV0aG9yPjxZZWFyPjIwMjQ8L1llYXI+PFJlY051bT4yNTwvUmVjTnVtPjxEaXNwbGF5VGV4dD5bVjE2LTI1XTwvRGlzcGxheVRleHQ+PHJlY29yZD48cmVjLW51bWJlcj4yNTwvcmVjLW51bWJlcj48Zm9yZWlnbi1rZXlzPjxrZXkgYXBwPSJFTiIgZGItaWQ9ImI3MjIzMDcyLTMxYjctNTQ0MC1hY2Q5LTZkZGIzYzIzNmM5ZCIgdGltZXN0YW1wPSIxNzkzMjgzNjg2Ij4yNT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fldChar w:fldCharType="begin"/>
      </w:r>
      <w:r>
        <w:instrText xml:space="preserve"> ADDIN EN.CITE </w:instrText>
      </w:r>
      <w:r>
        <w:fldChar w:fldCharType="begin">
          <w:fldData>PEVuZE5vdGU+PENpdGU+PEF1dGhvcj5BZGFtPC9BdXRob3I+PFllYXI+MjAyNDwvWWVhcj48UmVjTnVtPjI0PC9SZWNOdW0+PERpc3BsYXlUZXh0PltWMTYtMjRdPC9EaXNwbGF5VGV4dD48cmVjb3JkPjxyZWMtbnVtYmVyPjI0PC9yZWMtbnVtYmVyPjxmb3JlaWduLWtleXM+PGtleSBhcHA9IkVOIiBkYi1pZD0iYjcyMjMwNzItMzFiNy01NDQwLWFjZDktNmRkYjNjMjM2YzlkIiB0aW1lc3RhbXA9IjE3OTMyODM2ODYiPjI0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[V16-24]</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E8L1JlY051bT48RGlzcGxheVRleHQ+W1YxNi0yMV08L0Rpc3BsYXlUZXh0PjxyZWNvcmQ+PHJlYy1udW1iZXI+MjE8L3JlYy1udW1iZXI+PGZvcmVpZ24ta2V5cz48a2V5IGFwcD0iRU4iIGRiLWlkPSJiNzIyMzA3Mi0zMWI3LTU0NDAtYWNkOS02ZGRiM2MyMzZjOWQiIHRpbWVzdGFtcD0iMTc5MzI4MzY4NiI+MjE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MbG92ZXQ8L0F1dGhvcj48WWVhcj4yMDI2PC9ZZWFyPjxSZWNOdW0+MjI8L1JlY051bT48RGlzcGxheVRleHQ+W1YxNi0yMl08L0Rpc3BsYXlUZXh0PjxyZWNvcmQ+PHJlYy1udW1iZXI+MjI8L3JlYy1udW1iZXI+PGZvcmVpZ24ta2V5cz48a2V5IGFwcD0iRU4iIGRiLWlkPSJiNzIyMzA3Mi0zMWI3LTU0NDAtYWNkOS02ZGRiM2MyMzZjOWQiIHRpbWVzdGFtcD0iMTc5MzI4MzY4NiI+MjI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yMDwvWWVhcj48UmVjTnVtPjIzPC9SZWNOdW0+PERpc3BsYXlUZXh0PltWMTYtMjNdPC9EaXNwbGF5VGV4dD48cmVjb3JkPjxyZWMtbnVtYmVyPjIzPC9yZWMtbnVtYmVyPjxmb3JlaWduLWtleXM+PGtleSBhcHA9IkVOIiBkYi1pZD0iYjcyMjMwNzItMzFiNy01NDQwLWFjZDktNmRkYjNjMjM2YzlkIiB0aW1lc3RhbXA9IjE3OTMyODM2ODYiPjIz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fldChar w:fldCharType="begin"/>
      </w:r>
      <w:r>
        <w:instrText xml:space="preserve"> ADDIN EN.CITE </w:instrText>
      </w:r>
      <w:r>
        <w:fldChar w:fldCharType="begin">
          <w:fldData>PEVuZE5vdGU+PENpdGU+PEF1dGhvcj5BbGxlbjwvQXV0aG9yPjxZZWFyPjIwMjQ8L1llYXI+PFJlY051bT4yNTwvUmVjTnVtPjxEaXNwbGF5VGV4dD5bVjE2LTI1XTwvRGlzcGxheVRleHQ+PHJlY29yZD48cmVjLW51bWJlcj4yNTwvcmVjLW51bWJlcj48Zm9yZWlnbi1rZXlzPjxrZXkgYXBwPSJFTiIgZGItaWQ9ImI3MjIzMDcyLTMxYjctNTQ0MC1hY2Q5LTZkZGIzYzIzNmM5ZCIgdGltZXN0YW1wPSIxNzkzMjgzNjg2Ij4yNT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95">
        <w:r>
          <w:rPr>
            <w:color w:val="77230C"/>
            <w:sz w:val="20"/>
            <w:u w:val="single"/>
          </w:rPr>
          <w:t>Meeting record: ALLOC-B2</w:t>
        </w:r>
      </w:hyperlink>
      <w:r>
        <w:t xml:space="preserve">  |  </w:t>
      </w:r>
      <w:hyperlink r:id="rId96">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ALLOC_B3"/>
      <w: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BYmVjYXNzaXM8L0F1dGhvcj48WWVhcj4yMDEyPC9ZZWFyPjxSZWNOdW0+MjY8L1JlY051bT48RGlzcGxheVRleHQ+W1YxNi0yNl08L0Rpc3BsYXlUZXh0PjxyZWNvcmQ+PHJlYy1udW1iZXI+MjY8L3JlYy1udW1iZXI+PGZvcmVpZ24ta2V5cz48a2V5IGFwcD0iRU4iIGRiLWlkPSJiNzIyMzA3Mi0zMWI3LTU0NDAtYWNkOS02ZGRiM2MyMzZjOWQiIHRpbWVzdGFtcD0iMTc5MzI4MzY4NiI+MjY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fldChar w:fldCharType="begin"/>
      </w:r>
      <w:r>
        <w:instrText xml:space="preserve"> ADDIN EN.CITE </w:instrText>
      </w:r>
      <w:r>
        <w:fldChar w:fldCharType="begin">
          <w:fldData>PEVuZE5vdGU+PENpdGU+PEF1dGhvcj5EaU1hcnRpbmk8L0F1dGhvcj48WWVhcj4yMDE3PC9ZZWFyPjxSZWNOdW0+Mjc8L1JlY051bT48RGlzcGxheVRleHQ+W1YxNi0yN108L0Rpc3BsYXlUZXh0PjxyZWNvcmQ+PHJlYy1udW1iZXI+Mjc8L3JlYy1udW1iZXI+PGZvcmVpZ24ta2V5cz48a2V5IGFwcD0iRU4iIGRiLWlkPSJiNzIyMzA3Mi0zMWI3LTU0NDAtYWNkOS02ZGRiM2MyMzZjOWQiIHRpbWVzdGFtcD0iMTc5MzI4MzY4NiI+Mjc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[V16-27]</w:t>
      </w:r>
      <w:r>
        <w:fldChar w:fldCharType="end"/>
      </w:r>
      <w:r>
        <w:t xml:space="preserve"> </w:t>
      </w:r>
      <w:r>
        <w:t xml:space="preserve"> </w:t>
      </w:r>
      <w:r>
        <w:fldChar w:fldCharType="begin"/>
      </w:r>
      <w:r>
        <w:instrText xml:space="preserve"> ADDIN EN.CITE </w:instrText>
      </w:r>
      <w:r>
        <w:fldChar w:fldCharType="begin">
          <w:fldData>PEVuZE5vdGU+PENpdGU+PEF1dGhvcj5YaWFvPC9BdXRob3I+PFllYXI+MjAyNDwvWWVhcj48UmVjTnVtPjI4PC9SZWNOdW0+PERpc3BsYXlUZXh0PltWMTYtMjhdPC9EaXNwbGF5VGV4dD48cmVjb3JkPjxyZWMtbnVtYmVyPjI4PC9yZWMtbnVtYmVyPjxmb3JlaWduLWtleXM+PGtleSBhcHA9IkVOIiBkYi1pZD0iYjcyMjMwNzItMzFiNy01NDQwLWFjZDktNmRkYjNjMjM2YzlkIiB0aW1lc3RhbXA9IjE3OTMyODM2ODYiPjI4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BYmVjYXNzaXM8L0F1dGhvcj48WWVhcj4yMDEyPC9ZZWFyPjxSZWNOdW0+MjY8L1JlY051bT48RGlzcGxheVRleHQ+W1YxNi0yNl08L0Rpc3BsYXlUZXh0PjxyZWNvcmQ+PHJlYy1udW1iZXI+MjY8L3JlYy1udW1iZXI+PGZvcmVpZ24ta2V5cz48a2V5IGFwcD0iRU4iIGRiLWlkPSJiNzIyMzA3Mi0zMWI3LTU0NDAtYWNkOS02ZGRiM2MyMzZjOWQiIHRpbWVzdGFtcD0iMTc5MzI4MzY4NiI+MjY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fldChar w:fldCharType="begin"/>
      </w:r>
      <w:r>
        <w:instrText xml:space="preserve"> ADDIN EN.CITE </w:instrText>
      </w:r>
      <w:r>
        <w:fldChar w:fldCharType="begin">
          <w:fldData>PEVuZE5vdGU+PENpdGU+PEF1dGhvcj5EaU1hcnRpbmk8L0F1dGhvcj48WWVhcj4yMDE3PC9ZZWFyPjxSZWNOdW0+Mjc8L1JlY051bT48RGlzcGxheVRleHQ+W1YxNi0yN108L0Rpc3BsYXlUZXh0PjxyZWNvcmQ+PHJlYy1udW1iZXI+Mjc8L3JlYy1udW1iZXI+PGZvcmVpZ24ta2V5cz48a2V5IGFwcD0iRU4iIGRiLWlkPSJiNzIyMzA3Mi0zMWI3LTU0NDAtYWNkOS02ZGRiM2MyMzZjOWQiIHRpbWVzdGFtcD0iMTc5MzI4MzY4NiI+Mjc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[V16-27]</w:t>
      </w:r>
      <w:r>
        <w:fldChar w:fldCharType="end"/>
      </w:r>
      <w:r>
        <w:t xml:space="preserve"> </w:t>
      </w:r>
      <w:r>
        <w:t xml:space="preserve"> </w:t>
      </w:r>
      <w:r>
        <w:fldChar w:fldCharType="begin"/>
      </w:r>
      <w:r>
        <w:instrText xml:space="preserve"> ADDIN EN.CITE </w:instrText>
      </w:r>
      <w:r>
        <w:fldChar w:fldCharType="begin">
          <w:fldData>PEVuZE5vdGU+PENpdGU+PEF1dGhvcj5YaWFvPC9BdXRob3I+PFllYXI+MjAyNDwvWWVhcj48UmVjTnVtPjI4PC9SZWNOdW0+PERpc3BsYXlUZXh0PltWMTYtMjhdPC9EaXNwbGF5VGV4dD48cmVjb3JkPjxyZWMtbnVtYmVyPjI4PC9yZWMtbnVtYmVyPjxmb3JlaWduLWtleXM+PGtleSBhcHA9IkVOIiBkYi1pZD0iYjcyMjMwNzItMzFiNy01NDQwLWFjZDktNmRkYjNjMjM2YzlkIiB0aW1lc3RhbXA9IjE3OTMyODM2ODYiPjI4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97">
        <w:r>
          <w:rPr>
            <w:color w:val="77230C"/>
            <w:sz w:val="20"/>
            <w:u w:val="single"/>
          </w:rPr>
          <w:t>Meeting record: ALLOC-B3</w:t>
        </w:r>
      </w:hyperlink>
      <w:r>
        <w:t xml:space="preserve">  |  </w:t>
      </w:r>
      <w:hyperlink r:id="rId98">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numPr>
          <w:ilvl w:val="0"/>
          <w:numId w:val="3"/>
        </w:numPr>
      </w:pPr>
      <w:r>
        <w:t xml:space="preserve">Do not use an abstract-only mixed-malignancy LDLT survival figure to counsel a NET candidate or justify a donor. Counseling must name the relevant NET population, modern alternatives and uncertainty about incremental benefit.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Heading2"/>
        <w:keepNext/>
        <w:widowControl/>
      </w:pPr>
      <w:r>
        <w:t xml:space="preserve">5 Operative evaluation and surgery</w:t>
      </w:r>
    </w:p>
    <w:p>
      <w:pPr>
        <w:pStyle w:val="Normal"/>
        <w:widowControl/>
        <w:numPr>
          <w:ilvl w:val="0"/>
          <w:numId w:val="3"/>
        </w:numPr>
      </w:pPr>
      <w:r>
        <w:t xml:space="preserve">Plan LT only after final staging and all approvals. Inspect and sample suspicious extrahepatic or hilar nodal findings; malignant extrahepatic disease prevents proceeding under the liver-only pathway. NLRB guidance does not require exploratory laparoscopy/laparotomy solely before an exception request.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Define any further nodal sampling by actual findings and the approved surgical plan, not an automatic extended lymphadenectomy. Record explant grade, Ki-67, burden and treatment response.</w:t>
      </w:r>
    </w:p>
    <w:p>
      <w:pPr>
        <w:pStyle w:val="Normal"/>
        <w:widowControl/>
        <w:numPr>
          <w:ilvl w:val="0"/>
          <w:numId w:val="3"/>
        </w:numPr>
      </w:pPr>
      <w:r>
        <w:t xml:space="preserve">Multivisceral transplantation for mesenteric disease is outside this protocol and requires separate intestinal-transplant, evidence, donor and allocation review.</w:t>
      </w:r>
    </w:p>
    <w:p>
      <w:pPr>
        <w:pStyle w:val="Heading2"/>
        <w:keepNext/>
        <w:widowControl/>
      </w:pPr>
      <w:r>
        <w:t xml:space="preserve">6 Immunosuppression and graft care</w:t>
      </w:r>
    </w:p>
    <w:p>
      <w:pPr>
        <w:pStyle w:val="Normal"/>
        <w:widowControl/>
        <w:numPr>
          <w:ilvl w:val="0"/>
          <w:numId w:val="3"/>
        </w:numPr>
      </w:pPr>
      <w:r>
        <w:t xml:space="preserve">Follow institutional induction, corticosteroid and maintenance protocols. No NET-specific regimen has proven recurrence benefit. Consider mTOR modification only after appropriate healing/vascular assessment and pharmacy review; individualize calcineurin exposure to graft, renal, infection and oncologic risks.</w:t>
      </w:r>
      <w:r>
        <w:t xml:space="preserve"> </w:t>
      </w:r>
      <w:r>
        <w:t xml:space="preserve"> </w:t>
      </w:r>
      <w:r>
        <w:fldChar w:fldCharType="begin"/>
      </w:r>
      <w:r>
        <w:instrText xml:space="preserve"> ADDIN EN.CITE </w:instrText>
      </w:r>
      <w:r>
        <w:fldChar w:fldCharType="begin">
          <w:fldData>PEVuZE5vdGU+PENpdGU+PEF1dGhvcj5Eb3ZlPC9BdXRob3I+PFllYXI+MjAyNjwvWWVhcj48UmVjTnVtPjE1PC9SZWNOdW0+PERpc3BsYXlUZXh0PltWMTYtMTVdPC9EaXNwbGF5VGV4dD48cmVjb3JkPjxyZWMtbnVtYmVyPjE1PC9yZWMtbnVtYmVyPjxmb3JlaWduLWtleXM+PGtleSBhcHA9IkVOIiBkYi1pZD0iYjcyMjMwNzItMzFiNy01NDQwLWFjZDktNmRkYjNjMjM2YzlkIiB0aW1lc3RhbXA9IjE3OTMyODM2ODYiPjE1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Normal"/>
        <w:widowControl/>
        <w:numPr>
          <w:ilvl w:val="0"/>
          <w:numId w:val="3"/>
        </w:numPr>
      </w:pPr>
      <w:r>
        <w:t xml:space="preserve">Review all anticancer, hormonal and immunosuppressive drug interactions. Document graft monitoring and for-cause investigation of abnormal liver tests; do not prescribe an unvalidated routine biopsy schedule.</w:t>
      </w:r>
    </w:p>
    <w:p>
      <w:pPr>
        <w:pStyle w:val="Heading2"/>
        <w:keepNext/>
        <w:widowControl/>
      </w:pPr>
      <w:r>
        <w:t xml:space="preserve">7 Surveillance</w:t>
      </w:r>
    </w:p>
    <w:p>
      <w:pPr>
        <w:pStyle w:val="Normal"/>
        <w:widowControl/>
        <w:numPr>
          <w:ilvl w:val="0"/>
          <w:numId w:val="3"/>
        </w:numPr>
      </w:pPr>
      <w:r>
        <w:t xml:space="preserve">Proposed local schedule for approval: chest/abdomen/pelvis cross-sectional imaging every 3–6 months for two years, every 6–12 months through year five, then individualized long-term assessment. NET recurrence can be late; the decision to reduce imaging should consider grade, prior tempo and treatment opportunities.</w:t>
      </w:r>
    </w:p>
    <w:p>
      <w:pPr>
        <w:pStyle w:val="Normal"/>
        <w:widowControl/>
        <w:numPr>
          <w:ilvl w:val="0"/>
          <w:numId w:val="3"/>
        </w:numPr>
      </w:pPr>
      <w:r>
        <w:t xml:space="preserve">Use syndrome-specific markers and SSTR/FDG imaging when indicated. A nonspecific biomarker elevation alone does not diagnose recurrence; interpret renal function, medication effects and clinical context.</w:t>
      </w:r>
    </w:p>
    <w:p>
      <w:pPr>
        <w:pStyle w:val="Heading2"/>
        <w:keepNext/>
        <w:widowControl/>
      </w:pPr>
      <w:r>
        <w:t xml:space="preserve">8 Recurrence management</w:t>
      </w:r>
    </w:p>
    <w:p>
      <w:pPr>
        <w:pStyle w:val="Normal"/>
        <w:widowControl/>
        <w:numPr>
          <w:ilvl w:val="0"/>
          <w:numId w:val="3"/>
        </w:numPr>
      </w:pPr>
      <w:r>
        <w:t xml:space="preserve">Confirm and restage recurrence, with tissue when needed to assess grade change. The NET/transplant MDT may consider local therapy, SSA, PRRT or systemic treatment according to extent, grade, receptor status, graft function and patient priorities.</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Post-LT PRRT reports are small selected case series, not proof of a universal safe or effective salvage strategy. Review marrow, renal and graft safety explicitly.</w:t>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YjcyMjMwNzItMzFiNy01NDQwLWFjZDktNmRkYjNjMjM2Yzlk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Heading2"/>
        <w:keepNext/>
        <w:widowControl/>
      </w:pPr>
      <w:r>
        <w:t xml:space="preserve">9 Outcomes and safety oversight</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7" w:name="ALLOC_B4"/>
      <w: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fldChar w:fldCharType="begin"/>
      </w:r>
      <w:r>
        <w:instrText xml:space="preserve"> ADDIN EN.CITE </w:instrText>
      </w:r>
      <w:r>
        <w:fldChar w:fldCharType="begin">
          <w:fldData>PEVuZE5vdGU+PENpdGU+PEF1dGhvcj5MbG92ZXQ8L0F1dGhvcj48WWVhcj4yMDI2PC9ZZWFyPjxSZWNOdW0+MjI8L1JlY051bT48RGlzcGxheVRleHQ+W1YxNi0yMl08L0Rpc3BsYXlUZXh0PjxyZWNvcmQ+PHJlYy1udW1iZXI+MjI8L3JlYy1udW1iZXI+PGZvcmVpZ24ta2V5cz48a2V5IGFwcD0iRU4iIGRiLWlkPSJiNzIyMzA3Mi0zMWI3LTU0NDAtYWNkOS02ZGRiM2MyMzZjOWQiIHRpbWVzdGFtcD0iMTc5MzI4MzY4NiI+MjI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fldChar w:fldCharType="begin"/>
      </w:r>
      <w:r>
        <w:instrText xml:space="preserve"> ADDIN EN.CITE </w:instrText>
      </w:r>
      <w:r>
        <w:fldChar w:fldCharType="begin">
          <w:fldData>PEVuZE5vdGU+PENpdGU+PEF1dGhvcj5FbGRyaWRnZTwvQXV0aG9yPjxZZWFyPjIwMTY8L1llYXI+PFJlY051bT4yOTwvUmVjTnVtPjxEaXNwbGF5VGV4dD5bVjE2LTI5XTwvRGlzcGxheVRleHQ+PHJlY29yZD48cmVjLW51bWJlcj4yOTwvcmVjLW51bWJlcj48Zm9yZWlnbi1rZXlzPjxrZXkgYXBwPSJFTiIgZGItaWQ9ImI3MjIzMDcyLTMxYjctNTQ0MC1hY2Q5LTZkZGIzYzIzNmM5ZCIgdGltZXN0YW1wPSIxNzkzMjgzNjg2Ij4yOT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[V16-29]</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A8L1JlY051bT48RGlzcGxheVRleHQ+W1YxNi0yMF08L0Rpc3BsYXlUZXh0PjxyZWNvcmQ+PHJlYy1udW1iZXI+MjA8L3JlYy1udW1iZXI+PGZvcmVpZ24ta2V5cz48a2V5IGFwcD0iRU4iIGRiLWlkPSJiNzIyMzA3Mi0zMWI3LTU0NDAtYWNkOS02ZGRiM2MyMzZjOWQiIHRpbWVzdGFtcD0iMTc5MzI4MzY4NiI+MjA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MwPC9SZWNOdW0+PERpc3BsYXlUZXh0PltWMTYtMzBdPC9EaXNwbGF5VGV4dD48cmVjb3JkPjxyZWMtbnVtYmVyPjMwPC9yZWMtbnVtYmVyPjxmb3JlaWduLWtleXM+PGtleSBhcHA9IkVOIiBkYi1pZD0iYjcyMjMwNzItMzFiNy01NDQwLWFjZDktNmRkYjNjMjM2YzlkIiB0aW1lc3RhbXA9IjE3OTMyODM2ODYiPjMw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[V16-30]</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zMTwvUmVjTnVtPjxEaXNwbGF5VGV4dD5bVjE2LTMxXTwvRGlzcGxheVRleHQ+PHJlY29yZD48cmVjLW51bWJlcj4zMTwvcmVjLW51bWJlcj48Zm9yZWlnbi1rZXlzPjxrZXkgYXBwPSJFTiIgZGItaWQ9ImI3MjIzMDcyLTMxYjctNTQ0MC1hY2Q5LTZkZGIzYzIzNmM5ZCIgdGltZXN0YW1wPSIxNzkzMjgzNjg2Ij4zMT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fldChar w:fldCharType="begin"/>
      </w:r>
      <w:r>
        <w:instrText xml:space="preserve"> ADDIN EN.CITE </w:instrText>
      </w:r>
      <w:r>
        <w:fldChar w:fldCharType="begin">
          <w:fldData>PEVuZE5vdGU+PENpdGU+PEF1dGhvcj5MbG92ZXQ8L0F1dGhvcj48WWVhcj4yMDI2PC9ZZWFyPjxSZWNOdW0+MjI8L1JlY051bT48RGlzcGxheVRleHQ+W1YxNi0yMl08L0Rpc3BsYXlUZXh0PjxyZWNvcmQ+PHJlYy1udW1iZXI+MjI8L3JlYy1udW1iZXI+PGZvcmVpZ24ta2V5cz48a2V5IGFwcD0iRU4iIGRiLWlkPSJiNzIyMzA3Mi0zMWI3LTU0NDAtYWNkOS02ZGRiM2MyMzZjOWQiIHRpbWVzdGFtcD0iMTc5MzI4MzY4NiI+MjI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fldChar w:fldCharType="begin"/>
      </w:r>
      <w:r>
        <w:instrText xml:space="preserve"> ADDIN EN.CITE </w:instrText>
      </w:r>
      <w:r>
        <w:fldChar w:fldCharType="begin">
          <w:fldData>PEVuZE5vdGU+PENpdGU+PEF1dGhvcj5FbGRyaWRnZTwvQXV0aG9yPjxZZWFyPjIwMTY8L1llYXI+PFJlY051bT4yOTwvUmVjTnVtPjxEaXNwbGF5VGV4dD5bVjE2LTI5XTwvRGlzcGxheVRleHQ+PHJlY29yZD48cmVjLW51bWJlcj4yOTwvcmVjLW51bWJlcj48Zm9yZWlnbi1rZXlzPjxrZXkgYXBwPSJFTiIgZGItaWQ9ImI3MjIzMDcyLTMxYjctNTQ0MC1hY2Q5LTZkZGIzYzIzNmM5ZCIgdGltZXN0YW1wPSIxNzkzMjgzNjg2Ij4yOT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[V16-29]</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A8L1JlY051bT48RGlzcGxheVRleHQ+W1YxNi0yMF08L0Rpc3BsYXlUZXh0PjxyZWNvcmQ+PHJlYy1udW1iZXI+MjA8L3JlYy1udW1iZXI+PGZvcmVpZ24ta2V5cz48a2V5IGFwcD0iRU4iIGRiLWlkPSJiNzIyMzA3Mi0zMWI3LTU0NDAtYWNkOS02ZGRiM2MyMzZjOWQiIHRpbWVzdGFtcD0iMTc5MzI4MzY4NiI+MjA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MwPC9SZWNOdW0+PERpc3BsYXlUZXh0PltWMTYtMzBdPC9EaXNwbGF5VGV4dD48cmVjb3JkPjxyZWMtbnVtYmVyPjMwPC9yZWMtbnVtYmVyPjxmb3JlaWduLWtleXM+PGtleSBhcHA9IkVOIiBkYi1pZD0iYjcyMjMwNzItMzFiNy01NDQwLWFjZDktNmRkYjNjMjM2YzlkIiB0aW1lc3RhbXA9IjE3OTMyODM2ODYiPjMw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[V16-30]</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zMTwvUmVjTnVtPjxEaXNwbGF5VGV4dD5bVjE2LTMxXTwvRGlzcGxheVRleHQ+PHJlY29yZD48cmVjLW51bWJlcj4zMTwvcmVjLW51bWJlcj48Zm9yZWlnbi1rZXlzPjxrZXkgYXBwPSJFTiIgZGItaWQ9ImI3MjIzMDcyLTMxYjctNTQ0MC1hY2Q5LTZkZGIzYzIzNmM5ZCIgdGltZXN0YW1wPSIxNzkzMjgzNjg2Ij4zMT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99">
        <w:r>
          <w:rPr>
            <w:color w:val="77230C"/>
            <w:sz w:val="20"/>
            <w:u w:val="single"/>
          </w:rPr>
          <w:t>Meeting record: ALLOC-B4</w:t>
        </w:r>
      </w:hyperlink>
      <w:r>
        <w:t xml:space="preserve">  |  </w:t>
      </w:r>
      <w:hyperlink r:id="rId100">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pPr>
      <w:r>
        <w:t xml:space="preserve">Resolve NET-B1–B3 and ALLOC-B1–B4 before changing the eligible population. Include long-term symptom control, quality of life, donor recovery and graft/retransplant use in addition to recipient survival.</w:t>
      </w:r>
    </w:p>
    <w:p>
      <w:pPr>
        <w:pStyle w:val="Normal"/>
        <w:widowControl/>
      </w:pPr>
      <w:r>
        <w:t xml:space="preserve">Evidence review record: </w:t>
      </w:r>
      <w:hyperlink r:id="rId101">
        <w:r>
          <w:rPr>
            <w:color w:val="77230C"/>
            <w:sz w:val="20"/>
            <w:u w:val="single"/>
          </w:rPr>
          <w:t>Five analyst comments and reconciliation</w:t>
        </w:r>
      </w:hyperlink>
      <w:r>
        <w:t xml:space="preserve">  |  </w:t>
      </w:r>
      <w:hyperlink r:id="rId102">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High-risk and expanded-cohort clarification. Previously treated extrahepatic disease is not admitted by any cohort in this protocol unless a stratum below says otherwise; every such stratum is proposed, not active.</w:t>
      </w:r>
    </w:p>
    <w:p>
      <w:pPr>
        <w:pStyle w:val="Heading2"/>
        <w:widowControl/>
        <w:keepNext/>
      </w:pPr>
      <w:bookmarkStart w:id="16010" w:name="NET_B4"/>
      <w:r>
        <w:t xml:space="preserve">NET-B4 — Previously treated extrahepatic disease</w:t>
      </w:r>
      <w:bookmarkEnd w:id="16010"/>
    </w:p>
    <w:p>
      <w:pPr>
        <w:pStyle w:val="Normal"/>
        <w:widowControl/>
        <w:spacing w:after="120"/>
      </w:pPr>
      <w:r>
        <w:t xml:space="preserve">Status: Resected regional nodes only, after clearance. OPEN proposal for multidisciplinary review; not activated.</w:t>
      </w:r>
    </w:p>
    <w:p>
      <w:pPr>
        <w:pStyle w:val="Normal"/>
        <w:widowControl/>
        <w:spacing w:after="120"/>
      </w:pPr>
      <w:r>
        <w:t xml:space="preserve">Question: Which previously treated extrahepatic NET sites may enter the transplant route: resected regional nodes only, or also distant nodes and a solitary treated bone lesion as ENETS 2026 suggests?</w:t>
      </w:r>
    </w:p>
    <w:p>
      <w:pPr>
        <w:pStyle w:val="Normal"/>
        <w:widowControl/>
        <w:spacing w:after="120"/>
      </w:pPr>
      <w:r>
        <w:t xml:space="preserve">Proposed position (OPEN): Previously resected regional nodal disease is already within Milan-NET when the primary and all extrahepatic deposits were removed in a separate curative operation and restaging at least 6 months later shows no disease. Previously resected distant nodes need individual review. Previous lung, bone or other solid-organ metastasis stays closed, including after complete treatment; ENETS 2026 would accept a solitary locally treated bone lesion as expert opinion, recorded as a disagreement.</w:t>
      </w:r>
    </w:p>
    <w:p>
      <w:pPr>
        <w:pStyle w:val="Heading3"/>
        <w:widowControl/>
        <w:keepNext/>
      </w:pPr>
      <w:r>
        <w:t xml:space="preserve">Proposed rules</w:t>
      </w:r>
    </w:p>
    <w:p>
      <w:pPr>
        <w:pStyle w:val="Normal"/>
        <w:widowControl/>
        <w:spacing w:after="120"/>
        <w:numPr>
          <w:ilvl w:val="0"/>
          <w:numId w:val="4"/>
        </w:numPr>
      </w:pPr>
      <w:r>
        <w:t xml:space="preserve">Regional (mesenteric, peripancreatic) nodes resected with the primary in a separate operation: eligible after ≥6 months without recurrence and negative SSTR-PET with CT/MRI within 3 months of transplant consideration.</w:t>
      </w:r>
    </w:p>
    <w:p>
      <w:pPr>
        <w:pStyle w:val="Normal"/>
        <w:widowControl/>
        <w:spacing w:after="120"/>
        <w:numPr>
          <w:ilvl w:val="0"/>
          <w:numId w:val="4"/>
        </w:numPr>
      </w:pPr>
      <w:r>
        <w:t xml:space="preserve">Distant nodes previously resected, or nodal disease cleared only by PRRT, ablation or radiotherapy: individual review only, with SSTR-PET-negative status for ≥6 months.</w:t>
      </w:r>
    </w:p>
    <w:p>
      <w:pPr>
        <w:pStyle w:val="Normal"/>
        <w:widowControl/>
        <w:spacing w:after="120"/>
        <w:numPr>
          <w:ilvl w:val="0"/>
          <w:numId w:val="4"/>
        </w:numPr>
      </w:pPr>
      <w:r>
        <w:t xml:space="preserve">Lung, bone (including a solitary treated lesion), peritoneal or other organ metastasis: closed. Spinal or brain metastases and unresectable mesenteric root disease: closed in every framework.</w:t>
      </w:r>
    </w:p>
    <w:p>
      <w:pPr>
        <w:pStyle w:val="Normal"/>
        <w:widowControl/>
        <w:spacing w:after="120"/>
        <w:numPr>
          <w:ilvl w:val="0"/>
          <w:numId w:val="4"/>
        </w:numPr>
      </w:pPr>
      <w:r>
        <w:t xml:space="preserve">Stage the primary and any major organ resection before transplantation, not at it. Plan hilar lymphadenectomy; counsel that nodal involvement on final pathology is associated with worse survival.</w:t>
      </w:r>
    </w:p>
    <w:p>
      <w:pPr>
        <w:pStyle w:val="Normal"/>
        <w:widowControl/>
        <w:spacing w:after="120"/>
      </w:pPr>
      <w:r>
        <w:t xml:space="preserve">Why: Milan-NET itself requires all extrahepatic deposits removed before transplant consideration, and 81% of the Milan recipients had resected node-positive primaries. No series in this evidence set reports outcomes after previously treated distant disease; the registry series did not record pre-transplant extrahepatic status. Bone metastases are independently adverse and rarely cleared.</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Mazzaferro 2016 · Milan-NET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Milan prospective cohort, 88 eligible (42 transplanted). Milan-NET: primary removed “with all extrahepatic deposits in a separate curative resection prior to transplant consideration”; restaging 6 months after removal.</w:t>
            </w:r>
          </w:p>
        </w:tc>
        <w:tc>
          <w:tcPr>
            <w:tcW w:w="3743" w:type="dxa"/>
            <w:vAlign w:val="top"/>
            <w:shd w:fill="F1F5F8"/>
          </w:tcPr>
          <w:p>
            <w:pPr>
              <w:pStyle w:val="Normal"/>
              <w:widowControl/>
              <w:spacing w:after="55" w:line="240" w:lineRule="auto"/>
              <w:keepNext w:val="0"/>
              <w:keepLines/>
            </w:pPr>
            <w:r>
              <w:rPr>
                <w:sz w:val="21"/>
                <w:szCs w:val="21"/>
              </w:rPr>
              <w:t xml:space="preserve">Results: 81% of recipients had node-positive primaries and 57% hilar node-positive; 5- and 10-year survival 97.2% and 88.8%.</w:t>
            </w:r>
          </w:p>
          <w:p>
            <w:pPr>
              <w:pStyle w:val="Normal"/>
              <w:widowControl/>
              <w:spacing w:after="55" w:line="240" w:lineRule="auto"/>
              <w:keepNext w:val="0"/>
              <w:keepLines/>
            </w:pPr>
            <w:r>
              <w:rPr>
                <w:sz w:val="21"/>
                <w:szCs w:val="21"/>
              </w:rPr>
              <w:t xml:space="preserve">Limits: Non-randomized; no outcome split by nodal status.</w:t>
            </w:r>
          </w:p>
          <w:p>
            <w:pPr>
              <w:pStyle w:val="Normal"/>
              <w:widowControl/>
              <w:spacing w:after="55" w:line="240" w:lineRule="auto"/>
              <w:keepNext w:val="0"/>
              <w:keepLines/>
            </w:pPr>
            <w:r>
              <w:rPr>
                <w:sz w:val="21"/>
                <w:szCs w:val="21"/>
              </w:rPr>
              <w:t xml:space="preserve">Am J Transplant 2016; Tables 1–3.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163">
              <w:r>
                <w:rPr>
                  <w:color w:val="0563C1"/>
                  <w:u w:val="single"/>
                </w:rPr>
                <w:t>Source</w:t>
              </w:r>
            </w:hyperlink>
            <w:r>
              <w:t xml:space="preserve"> · </w:t>
            </w:r>
            <w:hyperlink r:id="rId164">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Maspero 2022 · LT vs resection, Milan</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Milan, 48 transplants vs 56 resections. Exclusion of extrahepatic disease; hilar lymphadenectomy at transplant.</w:t>
            </w:r>
          </w:p>
        </w:tc>
        <w:tc>
          <w:tcPr>
            <w:tcW w:w="3743" w:type="dxa"/>
            <w:vAlign w:val="top"/>
            <w:shd w:fill="FFFFFF"/>
          </w:tcPr>
          <w:p>
            <w:pPr>
              <w:pStyle w:val="Normal"/>
              <w:widowControl/>
              <w:spacing w:after="55" w:line="240" w:lineRule="auto"/>
              <w:keepNext w:val="0"/>
              <w:keepLines/>
            </w:pPr>
            <w:r>
              <w:rPr>
                <w:sz w:val="21"/>
                <w:szCs w:val="21"/>
              </w:rPr>
              <w:t xml:space="preserve">Results: Nodal involvement on final pathology: survival HR 5.7 (1.3–24), univariate; after transplantation, first recurrences most often involved distant nodes (16 of 25, 64%) and bone (9 of 25, 36%).</w:t>
            </w:r>
          </w:p>
          <w:p>
            <w:pPr>
              <w:pStyle w:val="Normal"/>
              <w:widowControl/>
              <w:spacing w:after="55" w:line="240" w:lineRule="auto"/>
              <w:keepNext w:val="0"/>
              <w:keepLines/>
            </w:pPr>
            <w:r>
              <w:rPr>
                <w:sz w:val="21"/>
                <w:szCs w:val="21"/>
              </w:rPr>
              <w:t xml:space="preserve">Limits: Univariate only.</w:t>
            </w:r>
          </w:p>
          <w:p>
            <w:pPr>
              <w:pStyle w:val="Normal"/>
              <w:widowControl/>
              <w:spacing w:after="55" w:line="240" w:lineRule="auto"/>
              <w:keepNext w:val="0"/>
              <w:keepLines/>
            </w:pPr>
            <w:r>
              <w:rPr>
                <w:sz w:val="21"/>
                <w:szCs w:val="21"/>
              </w:rPr>
              <w:t xml:space="preserve">Am J Transplant 2022; Tables 2–3.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165">
              <w:r>
                <w:rPr>
                  <w:color w:val="0563C1"/>
                  <w:u w:val="single"/>
                </w:rPr>
                <w:t>Source</w:t>
              </w:r>
            </w:hyperlink>
            <w:r>
              <w:t xml:space="preserve"> · </w:t>
            </w:r>
            <w:hyperlink r:id="rId166">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ENETS 2026 position statement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ENETS 2026 position statement. Replace “no extrahepatic disease” with “no macroscopic, non-targetable” disease; examples: isolated resectable nodes or a solitary bone lesion amenable to local treatment.</w:t>
            </w:r>
          </w:p>
        </w:tc>
        <w:tc>
          <w:tcPr>
            <w:tcW w:w="3743" w:type="dxa"/>
            <w:vAlign w:val="top"/>
            <w:shd w:fill="F1F5F8"/>
          </w:tcPr>
          <w:p>
            <w:pPr>
              <w:pStyle w:val="Normal"/>
              <w:widowControl/>
              <w:spacing w:after="55" w:line="240" w:lineRule="auto"/>
              <w:keepNext w:val="0"/>
              <w:keepLines/>
            </w:pPr>
            <w:r>
              <w:rPr>
                <w:sz w:val="21"/>
                <w:szCs w:val="21"/>
              </w:rPr>
              <w:t xml:space="preserve">Results: Excludes unresectable mesenteric nodes, spinal and brain metastases; sets no interval after extrahepatic treatment.</w:t>
            </w:r>
          </w:p>
          <w:p>
            <w:pPr>
              <w:pStyle w:val="Normal"/>
              <w:widowControl/>
              <w:spacing w:after="55" w:line="240" w:lineRule="auto"/>
              <w:keepNext w:val="0"/>
              <w:keepLines/>
            </w:pPr>
            <w:r>
              <w:rPr>
                <w:sz w:val="21"/>
                <w:szCs w:val="21"/>
              </w:rPr>
              <w:t xml:space="preserve">Limits: Expert opinion; not outcome-validated.</w:t>
            </w:r>
          </w:p>
          <w:p>
            <w:pPr>
              <w:pStyle w:val="Normal"/>
              <w:widowControl/>
              <w:spacing w:after="55" w:line="240" w:lineRule="auto"/>
              <w:keepNext w:val="0"/>
              <w:keepLines/>
            </w:pPr>
            <w:r>
              <w:rPr>
                <w:sz w:val="21"/>
                <w:szCs w:val="21"/>
              </w:rPr>
              <w:t xml:space="preserve">J Neuroendocrinol 2026; Sections 4 and 7.</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br/>
            </w:r>
            <w:hyperlink r:id="rId167">
              <w:r>
                <w:rPr>
                  <w:color w:val="0563C1"/>
                  <w:u w:val="single"/>
                </w:rPr>
                <w:t>Source</w:t>
              </w:r>
            </w:hyperlink>
            <w:r>
              <w:t xml:space="preserve"> · </w:t>
            </w:r>
            <w:hyperlink r:id="rId168">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Wedin 2025 · bone metastases in SI-NET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Two Swedish centres, 138 with bone metastases. Bone metastases on SSTR-PET; rarely biopsied; never curatively treated.</w:t>
            </w:r>
          </w:p>
        </w:tc>
        <w:tc>
          <w:tcPr>
            <w:tcW w:w="3743" w:type="dxa"/>
            <w:vAlign w:val="top"/>
            <w:shd w:fill="FFFFFF"/>
          </w:tcPr>
          <w:p>
            <w:pPr>
              <w:pStyle w:val="Normal"/>
              <w:widowControl/>
              <w:spacing w:after="55" w:line="240" w:lineRule="auto"/>
              <w:keepNext w:val="0"/>
              <w:keepLines/>
            </w:pPr>
            <w:r>
              <w:rPr>
                <w:sz w:val="21"/>
                <w:szCs w:val="21"/>
              </w:rPr>
              <w:t xml:space="preserve">Results: Any bone metastasis HR 1.94; 21% with ≤5 lesions progressed to &gt;5.</w:t>
            </w:r>
          </w:p>
          <w:p>
            <w:pPr>
              <w:pStyle w:val="Normal"/>
              <w:widowControl/>
              <w:spacing w:after="55" w:line="240" w:lineRule="auto"/>
              <w:keepNext w:val="0"/>
              <w:keepLines/>
            </w:pPr>
            <w:r>
              <w:rPr>
                <w:sz w:val="21"/>
                <w:szCs w:val="21"/>
              </w:rPr>
              <w:t xml:space="preserve">Limits: Small-intestine NET only.</w:t>
            </w:r>
          </w:p>
          <w:p>
            <w:pPr>
              <w:pStyle w:val="Normal"/>
              <w:widowControl/>
              <w:spacing w:after="55" w:line="240" w:lineRule="auto"/>
              <w:keepNext w:val="0"/>
              <w:keepLines/>
            </w:pPr>
            <w:r>
              <w:rPr>
                <w:sz w:val="21"/>
                <w:szCs w:val="21"/>
              </w:rPr>
              <w:t xml:space="preserve">J Neuroendocrinol 2025; Results, Table 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am5lLjcwMDczPC91cmw+PC9yZWxhdGVkLXVybHM+PC91cmxzPjwvcmVjb3JkPjwvQ2l0ZT48L0VuZE5vdGU+</w:fldData>
              </w:fldChar>
            </w:r>
            <w:r>
              <w:instrText xml:space="preserve"> ADDIN EN.CITE.DATA </w:instrText>
            </w:r>
            <w:r>
              <w:fldChar w:fldCharType="end"/>
            </w:r>
            <w:r>
              <w:fldChar w:fldCharType="separate"/>
            </w:r>
            <w:r>
              <w:t xml:space="preserve">[V16-32]</w:t>
            </w:r>
            <w:r>
              <w:fldChar w:fldCharType="end"/>
            </w:r>
            <w:r>
              <w:br/>
            </w:r>
            <w:hyperlink r:id="rId169">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Le Treut 2013 · ELTR NET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European registry, 213 transplants. Concurrent surgery at transplant (84 patients) included extended lymphadenectomy (38), primary resection (29), organ resections and peritonectomy.</w:t>
            </w:r>
          </w:p>
        </w:tc>
        <w:tc>
          <w:tcPr>
            <w:tcW w:w="3743" w:type="dxa"/>
            <w:vAlign w:val="top"/>
            <w:shd w:fill="F1F5F8"/>
          </w:tcPr>
          <w:p>
            <w:pPr>
              <w:pStyle w:val="Normal"/>
              <w:widowControl/>
              <w:spacing w:after="55" w:line="240" w:lineRule="auto"/>
              <w:keepNext w:val="0"/>
              <w:keepLines/>
            </w:pPr>
            <w:r>
              <w:rPr>
                <w:sz w:val="21"/>
                <w:szCs w:val="21"/>
              </w:rPr>
              <w:t xml:space="preserve">Results: Major concurrent resection HR 3.1 (all eras); after 2000, any concurrent resection HR 1.9 (p=0.058).</w:t>
            </w:r>
          </w:p>
          <w:p>
            <w:pPr>
              <w:pStyle w:val="Normal"/>
              <w:widowControl/>
              <w:spacing w:after="55" w:line="240" w:lineRule="auto"/>
              <w:keepNext w:val="0"/>
              <w:keepLines/>
            </w:pPr>
            <w:r>
              <w:rPr>
                <w:sz w:val="21"/>
                <w:szCs w:val="21"/>
              </w:rPr>
              <w:t xml:space="preserve">Limits: Pre-transplant extrahepatic status not recorded.</w:t>
            </w:r>
          </w:p>
          <w:p>
            <w:pPr>
              <w:pStyle w:val="Normal"/>
              <w:widowControl/>
              <w:spacing w:after="55" w:line="240" w:lineRule="auto"/>
              <w:keepNext w:val="0"/>
              <w:keepLines/>
            </w:pPr>
            <w:r>
              <w:rPr>
                <w:sz w:val="21"/>
                <w:szCs w:val="21"/>
              </w:rPr>
              <w:t xml:space="preserve">Ann Surg 2013; Tables 4–6.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br/>
            </w:r>
            <w:hyperlink r:id="rId170">
              <w:r>
                <w:rPr>
                  <w:color w:val="0563C1"/>
                  <w:u w:val="single"/>
                </w:rPr>
                <w:t>Source</w:t>
              </w:r>
            </w:hyperlink>
            <w:r>
              <w:t xml:space="preserve"> · </w:t>
            </w:r>
            <w:hyperlink r:id="rId171">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Sher 2015 · US multicentre NET LT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28 centres (mostly US, also Canadian and European), 85 transplants. “Extent of resection” = concurrent primary or multivisceral surgery, not metastasis clearance.</w:t>
            </w:r>
          </w:p>
        </w:tc>
        <w:tc>
          <w:tcPr>
            <w:tcW w:w="3743" w:type="dxa"/>
            <w:vAlign w:val="top"/>
            <w:shd w:fill="FFFFFF"/>
          </w:tcPr>
          <w:p>
            <w:pPr>
              <w:pStyle w:val="Normal"/>
              <w:widowControl/>
              <w:spacing w:after="55" w:line="240" w:lineRule="auto"/>
              <w:keepNext w:val="0"/>
              <w:keepLines/>
            </w:pPr>
            <w:r>
              <w:rPr>
                <w:sz w:val="21"/>
                <w:szCs w:val="21"/>
              </w:rPr>
              <w:t xml:space="preserve">Results: Extensive concurrent surgery associated with worse survival (p=0.015).</w:t>
            </w:r>
          </w:p>
          <w:p>
            <w:pPr>
              <w:pStyle w:val="Normal"/>
              <w:widowControl/>
              <w:spacing w:after="55" w:line="240" w:lineRule="auto"/>
              <w:keepNext w:val="0"/>
              <w:keepLines/>
            </w:pPr>
            <w:r>
              <w:rPr>
                <w:sz w:val="21"/>
                <w:szCs w:val="21"/>
              </w:rPr>
              <w:t xml:space="preserve">Limits: No extrahepatic-disease variable.</w:t>
            </w:r>
          </w:p>
          <w:p>
            <w:pPr>
              <w:pStyle w:val="Normal"/>
              <w:widowControl/>
              <w:spacing w:after="55" w:line="240" w:lineRule="auto"/>
              <w:keepNext w:val="0"/>
              <w:keepLines/>
            </w:pPr>
            <w:r>
              <w:rPr>
                <w:sz w:val="21"/>
                <w:szCs w:val="21"/>
              </w:rPr>
              <w:t xml:space="preserve">J Surg Oncol 2015; Methods.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AyL2pzby4yMzk3MzwvdXJsPjwvcmVsYXRlZC11cmxzPjwvdXJscz48L3JlY29yZD48L0NpdGU+PC9FbmROb3RlPg==</w:fldData>
              </w:fldChar>
            </w:r>
            <w:r>
              <w:instrText xml:space="preserve"> ADDIN EN.CITE.DATA </w:instrText>
            </w:r>
            <w:r>
              <w:fldChar w:fldCharType="end"/>
            </w:r>
            <w:r>
              <w:fldChar w:fldCharType="separate"/>
            </w:r>
            <w:r>
              <w:t xml:space="preserve">[V16-33]</w:t>
            </w:r>
            <w:r>
              <w:fldChar w:fldCharType="end"/>
            </w:r>
            <w:r>
              <w:br/>
            </w:r>
            <w:hyperlink r:id="rId172">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Frilling 2010 · 68Ga-DOTATOC PET before LT</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68Ga-DOTATOC PET before transplantation. Transplant candidates.</w:t>
            </w:r>
          </w:p>
        </w:tc>
        <w:tc>
          <w:tcPr>
            <w:tcW w:w="3743" w:type="dxa"/>
            <w:vAlign w:val="top"/>
            <w:shd w:fill="F1F5F8"/>
          </w:tcPr>
          <w:p>
            <w:pPr>
              <w:pStyle w:val="Normal"/>
              <w:widowControl/>
              <w:spacing w:after="55" w:line="240" w:lineRule="auto"/>
              <w:keepNext w:val="0"/>
              <w:keepLines/>
            </w:pPr>
            <w:r>
              <w:rPr>
                <w:sz w:val="21"/>
                <w:szCs w:val="21"/>
              </w:rPr>
              <w:t xml:space="preserve">Results: PET removed 7 of 15 candidates.</w:t>
            </w:r>
          </w:p>
          <w:p>
            <w:pPr>
              <w:pStyle w:val="Normal"/>
              <w:widowControl/>
              <w:spacing w:after="55" w:line="240" w:lineRule="auto"/>
              <w:keepNext w:val="0"/>
              <w:keepLines/>
            </w:pPr>
            <w:r>
              <w:rPr>
                <w:sz w:val="21"/>
                <w:szCs w:val="21"/>
              </w:rPr>
              <w:t xml:space="preserve">Limits: Small.</w:t>
            </w:r>
          </w:p>
          <w:p>
            <w:pPr>
              <w:pStyle w:val="Normal"/>
              <w:widowControl/>
              <w:spacing w:after="55" w:line="240" w:lineRule="auto"/>
              <w:keepNext w:val="0"/>
              <w:keepLines/>
            </w:pPr>
            <w:r>
              <w:rPr>
                <w:sz w:val="21"/>
                <w:szCs w:val="21"/>
              </w:rPr>
              <w:t xml:space="preserve">Ann Surg 2010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</w:fldData>
              </w:fldChar>
            </w:r>
            <w:r>
              <w:instrText xml:space="preserve"> ADDIN EN.CITE.DATA </w:instrText>
            </w:r>
            <w:r>
              <w:fldChar w:fldCharType="end"/>
            </w:r>
            <w:r>
              <w:fldChar w:fldCharType="separate"/>
            </w:r>
            <w:r>
              <w:t xml:space="preserve">[V16-34]</w:t>
            </w:r>
            <w:r>
              <w:fldChar w:fldCharType="end"/>
            </w:r>
            <w:r>
              <w:br/>
            </w:r>
            <w:hyperlink r:id="rId173">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ENETS 2026 and some series suggest limited bone disease may not worsen survival; the bone exclusion is a conservative local choice.</w:t>
      </w:r>
    </w:p>
    <w:p>
      <w:pPr>
        <w:pStyle w:val="Normal"/>
        <w:widowControl/>
        <w:spacing w:after="120"/>
      </w:pPr>
      <w:r>
        <w:t xml:space="preserve">Certainty: Low for resected regional nodes after a recurrence-free interval; very low for distant nodes, PRRT-only clearance and solid-organ metastases.</w:t>
      </w:r>
    </w:p>
    <w:p>
      <w:pPr>
        <w:pStyle w:val="Normal"/>
        <w:widowControl/>
        <w:spacing w:after="120"/>
      </w:pPr>
      <w:r>
        <w:t xml:space="preserve">What would change the answer: Transplant outcomes in recipients with previously treated distant or bone disease.</w:t>
      </w:r>
    </w:p>
    <w:p>
      <w:pPr>
        <w:pStyle w:val="Normal"/>
        <w:widowControl/>
        <w:spacing w:after="120"/>
      </w:pPr>
      <w:r>
        <w:t xml:space="preserve">Meeting question NET-B4,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Selected or occult postoperative high-risk NET features could be mistaken for validated pre-LT expansion criteria. </w:t>
      </w:r>
      <w:r>
        <w:rPr>
          <w:b/>
        </w:rPr>
        <w:t xml:space="preserve">Correction and reason: </w:t>
      </w:r>
      <w:r>
        <w:t xml:space="preserve">Distinguished preoperative selection from explant upstaging, removed overstated age evidence and added late recurrence and post-LT PRRT hematologic toxicity.</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174">
        <w:r>
          <w:rPr>
            <w:color w:val="0563C1"/>
            <w:u w:val="single"/>
          </w:rPr>
          <w:t>Source</w:t>
        </w:r>
      </w:hyperlink>
      <w:r>
        <w:t xml:space="preserve"> | </w:t>
      </w:r>
      <w:hyperlink r:id="rId175">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176">
        <w:r>
          <w:rPr>
            <w:color w:val="0563C1"/>
            <w:u w:val="single"/>
          </w:rPr>
          <w:t>Source</w:t>
        </w:r>
      </w:hyperlink>
      <w:r>
        <w:t xml:space="preserve"> | </w:t>
      </w:r>
      <w:hyperlink r:id="rId177">
        <w:r>
          <w:rPr>
            <w:color w:val="0563C1"/>
            <w:u w:val="single"/>
          </w:rPr>
          <w:t>Full-text access</w:t>
        </w:r>
      </w:hyperlink>
    </w:p>
    <w:p>
      <w:pPr>
        <w:pStyle w:val="Normal"/>
        <w:widowControl/>
        <w:spacing w:after="120"/>
      </w:pPr>
      <w:r>
        <w:t xml:space="preserve"/>
      </w:r>
      <w:r>
        <w:t xml:space="preserve">[V16-3] Mazzaferro, V; Sposito, C; Coppa, J; et al. The Long-Term Benefit of Liver Transplantation for Hepatic Metastases From Neuroendocrine Tumors. American journal of transplantation : official journal of the American Society of Transplantation and the American Society of Transplant Surgeons. 2016; 16(10):2892-2902. </w:t>
      </w:r>
      <w:hyperlink r:id="rId178">
        <w:r>
          <w:rPr>
            <w:color w:val="0563C1"/>
            <w:u w:val="single"/>
          </w:rPr>
          <w:t>Source</w:t>
        </w:r>
      </w:hyperlink>
      <w:r>
        <w:t xml:space="preserve"> | </w:t>
      </w:r>
      <w:hyperlink r:id="rId179">
        <w:r>
          <w:rPr>
            <w:color w:val="0563C1"/>
            <w:u w:val="single"/>
          </w:rPr>
          <w:t>Full-text access</w:t>
        </w:r>
      </w:hyperlink>
    </w:p>
    <w:p>
      <w:pPr>
        <w:pStyle w:val="Normal"/>
        <w:widowControl/>
        <w:spacing w:after="120"/>
      </w:pPr>
      <w:r>
        <w:t xml:space="preserve"/>
      </w:r>
      <w:r>
        <w:t xml:space="preserve">[V16-4] Stålberg, Peter; McNamara, Mairéad G; Grozinsky-Glasberg, Simona; et al. Controversies in NEN: An ENETS position statement on the role of liver transplantation (LT) in patients with advanced small-intestinal and pancreatic NETs. Journal of neuroendocrinology. 2026; 38(10):e70250. </w:t>
      </w:r>
      <w:hyperlink r:id="rId180">
        <w:r>
          <w:rPr>
            <w:color w:val="0563C1"/>
            <w:u w:val="single"/>
          </w:rPr>
          <w:t>Source</w:t>
        </w:r>
      </w:hyperlink>
      <w:r>
        <w:t xml:space="preserve"> | </w:t>
      </w:r>
      <w:hyperlink r:id="rId181">
        <w:r>
          <w:rPr>
            <w:color w:val="0563C1"/>
            <w:u w:val="single"/>
          </w:rPr>
          <w:t>Full-text access</w:t>
        </w:r>
      </w:hyperlink>
    </w:p>
    <w:p>
      <w:pPr>
        <w:pStyle w:val="Normal"/>
        <w:widowControl/>
        <w:spacing w:after="120"/>
      </w:pPr>
      <w:r>
        <w:t xml:space="preserve"/>
      </w:r>
      <w:r>
        <w:t xml:space="preserve">[V16-5] Boscà, Andrea; Montalvá, Eva M; Vila-Tura, Marina; et al. Should We Continue Liver Transplantation in Spain for Hepatic Metastases from Neuroendocrine Tumors?. Journal of clinical medicine. 2026; 15(3):938. </w:t>
      </w:r>
      <w:hyperlink r:id="rId182">
        <w:r>
          <w:rPr>
            <w:color w:val="0563C1"/>
            <w:u w:val="single"/>
          </w:rPr>
          <w:t>Source</w:t>
        </w:r>
      </w:hyperlink>
      <w:r>
        <w:t xml:space="preserve"> | </w:t>
      </w:r>
      <w:hyperlink r:id="rId183">
        <w:r>
          <w:rPr>
            <w:color w:val="0563C1"/>
            <w:u w:val="single"/>
          </w:rPr>
          <w:t>Full-text access</w:t>
        </w:r>
      </w:hyperlink>
    </w:p>
    <w:p>
      <w:pPr>
        <w:pStyle w:val="Normal"/>
        <w:widowControl/>
        <w:spacing w:after="120"/>
      </w:pPr>
      <w:r>
        <w:t xml:space="preserve"/>
      </w:r>
      <w:r>
        <w:t xml:space="preserve">[V16-6] Eshmuminov, Dilmurodjon; Studer, Debora J.; Lopez Lopez, Victor; et al. Controversy Over Liver Transplantation or Resection for Neuroendocrine Liver Metastasis: Tumor Biology Cuts the Deal. Annals of Surgery. 2023; 277(5):e1063-e1071. </w:t>
      </w:r>
      <w:hyperlink r:id="rId184">
        <w:r>
          <w:rPr>
            <w:color w:val="0563C1"/>
            <w:u w:val="single"/>
          </w:rPr>
          <w:t>Source</w:t>
        </w:r>
      </w:hyperlink>
      <w:r>
        <w:t xml:space="preserve"> | </w:t>
      </w:r>
      <w:hyperlink r:id="rId185">
        <w:r>
          <w:rPr>
            <w:color w:val="0563C1"/>
            <w:u w:val="single"/>
          </w:rPr>
          <w:t>Full-text access</w:t>
        </w:r>
      </w:hyperlink>
    </w:p>
    <w:p>
      <w:pPr>
        <w:pStyle w:val="Normal"/>
        <w:widowControl/>
        <w:spacing w:after="120"/>
      </w:pPr>
      <w:r>
        <w:t xml:space="preserve"/>
      </w:r>
      <w:r>
        <w:t xml:space="preserve">[V16-7] Maspero, Marianna; Rossi, Roberta Elisa; Sposito, Carlo; et al. Long-term outcomes of resection versus transplantation for neuroendocrine liver metastases meeting the Milan criteria. American Journal of Transplantation. 2022; 22(11):2598-2607. </w:t>
      </w:r>
      <w:hyperlink r:id="rId186">
        <w:r>
          <w:rPr>
            <w:color w:val="0563C1"/>
            <w:u w:val="single"/>
          </w:rPr>
          <w:t>Source</w:t>
        </w:r>
      </w:hyperlink>
      <w:r>
        <w:t xml:space="preserve"> | </w:t>
      </w:r>
      <w:hyperlink r:id="rId187">
        <w:r>
          <w:rPr>
            <w:color w:val="0563C1"/>
            <w:u w:val="single"/>
          </w:rPr>
          <w:t>Full-text access</w:t>
        </w:r>
      </w:hyperlink>
    </w:p>
    <w:p>
      <w:pPr>
        <w:pStyle w:val="Normal"/>
        <w:widowControl/>
        <w:spacing w:after="120"/>
      </w:pPr>
      <w:r>
        <w:t xml:space="preserve"/>
      </w:r>
      <w:r>
        <w:t xml:space="preserve">[V16-8] Kjaer, Josefine; Smith, Sara; Hellman, Per; et al. Overall Survival in Patients with Stage IV Pan-NET Eligible for Liver Transplantation. World Journal of Surgery. 2023. </w:t>
      </w:r>
      <w:hyperlink r:id="rId188">
        <w:r>
          <w:rPr>
            <w:color w:val="0563C1"/>
            <w:u w:val="single"/>
          </w:rPr>
          <w:t>Source</w:t>
        </w:r>
      </w:hyperlink>
      <w:r>
        <w:t xml:space="preserve"> | </w:t>
      </w:r>
      <w:hyperlink r:id="rId189">
        <w:r>
          <w:rPr>
            <w:color w:val="0563C1"/>
            <w:u w:val="single"/>
          </w:rPr>
          <w:t>Full-text access</w:t>
        </w:r>
      </w:hyperlink>
    </w:p>
    <w:p>
      <w:pPr>
        <w:pStyle w:val="Normal"/>
        <w:widowControl/>
        <w:spacing w:after="120"/>
      </w:pPr>
      <w:r>
        <w:t xml:space="preserve"/>
      </w:r>
      <w:r>
        <w:t xml:space="preserve">[V16-9] Chan JA; Geyer S; Zemla T; et al. Phase 3 Trial of Cabozantinib to Treat Advanced Neuroendocrine Tumors.. The New England journal of medicine. 2025; 392(7):653-665. </w:t>
      </w:r>
      <w:hyperlink r:id="rId190">
        <w:r>
          <w:rPr>
            <w:color w:val="0563C1"/>
            <w:u w:val="single"/>
          </w:rPr>
          <w:t>Source</w:t>
        </w:r>
      </w:hyperlink>
      <w:r>
        <w:t xml:space="preserve"> | </w:t>
      </w:r>
      <w:hyperlink r:id="rId191">
        <w:r>
          <w:rPr>
            <w:color w:val="0563C1"/>
            <w:u w:val="single"/>
          </w:rPr>
          <w:t>Full-text access</w:t>
        </w:r>
      </w:hyperlink>
    </w:p>
    <w:p>
      <w:pPr>
        <w:pStyle w:val="Normal"/>
        <w:widowControl/>
        <w:spacing w:after="120"/>
      </w:pPr>
      <w:r>
        <w:t xml:space="preserve"/>
      </w:r>
      <w:r>
        <w:t xml:space="preserve">[V16-10] Caplin ME; Pavel M; Ćwikła JB; et al. Lanreotide in metastatic enteropancreatic neuroendocrine tumors.. The New England journal of medicine. 2014; 371(3):224-33. </w:t>
      </w:r>
      <w:hyperlink r:id="rId192">
        <w:r>
          <w:rPr>
            <w:color w:val="0563C1"/>
            <w:u w:val="single"/>
          </w:rPr>
          <w:t>Source</w:t>
        </w:r>
      </w:hyperlink>
      <w:r>
        <w:t xml:space="preserve"> | </w:t>
      </w:r>
      <w:hyperlink r:id="rId193">
        <w:r>
          <w:rPr>
            <w:color w:val="0563C1"/>
            <w:u w:val="single"/>
          </w:rPr>
          <w:t>Full-text access</w:t>
        </w:r>
      </w:hyperlink>
    </w:p>
    <w:p>
      <w:pPr>
        <w:pStyle w:val="Normal"/>
        <w:widowControl/>
        <w:spacing w:after="120"/>
      </w:pPr>
      <w:r>
        <w:t xml:space="preserve"/>
      </w:r>
      <w:r>
        <w:t xml:space="preserve">[V16-11] Strosberg, Jonathan R; Caplin, Martyn E; Kunz, Pamela L; et al. 177Lu-Dotatate plus long-acting octreotide versus high‑dose long-acting octreotide in patients with midgut neuroendocrine tumours (NETTER-1): final overall survival and long-term safety results from an open-label, randomised, controlled, phase 3 trial. The Lancet Oncology. 2021; 22(12):1752-1763. </w:t>
      </w:r>
      <w:hyperlink r:id="rId194">
        <w:r>
          <w:rPr>
            <w:color w:val="0563C1"/>
            <w:u w:val="single"/>
          </w:rPr>
          <w:t>Source</w:t>
        </w:r>
      </w:hyperlink>
      <w:r>
        <w:t xml:space="preserve"> | </w:t>
      </w:r>
      <w:hyperlink r:id="rId195">
        <w:r>
          <w:rPr>
            <w:color w:val="0563C1"/>
            <w:u w:val="single"/>
          </w:rPr>
          <w:t>Full-text access</w:t>
        </w:r>
      </w:hyperlink>
    </w:p>
    <w:p>
      <w:pPr>
        <w:pStyle w:val="Normal"/>
        <w:widowControl/>
        <w:spacing w:after="120"/>
      </w:pPr>
      <w:r>
        <w:t xml:space="preserve"/>
      </w:r>
      <w:r>
        <w:t xml:space="preserve">[V16-12] National Comprehensive Cancer Network. NCCN Clinical Practice Guidelines in Oncology: Neuroendocrine and Adrenal Tumors, Version 1.2026 (21 April 2026). . 2026. </w:t>
      </w:r>
      <w:hyperlink r:id="rId196">
        <w:r>
          <w:rPr>
            <w:color w:val="0563C1"/>
            <w:u w:val="single"/>
          </w:rPr>
          <w:t>Source</w:t>
        </w:r>
      </w:hyperlink>
      <w:r>
        <w:t xml:space="preserve"> | </w:t>
      </w:r>
      <w:hyperlink r:id="rId197">
        <w:r>
          <w:rPr>
            <w:color w:val="0563C1"/>
            <w:u w:val="single"/>
          </w:rPr>
          <w:t>Full-text access</w:t>
        </w:r>
      </w:hyperlink>
    </w:p>
    <w:p>
      <w:pPr>
        <w:pStyle w:val="Normal"/>
        <w:widowControl/>
        <w:spacing w:after="120"/>
      </w:pPr>
      <w:r>
        <w:t xml:space="preserve"/>
      </w:r>
      <w:r>
        <w:t xml:space="preserve">[V16-13] Kasai, Yosuke; Ito, Takashi; Masui, Toshihiko; et al. Liver transplantation for gastroenteropancreatic neuroendocrine liver metastasis: optimal patient selection and perioperative management in the era of multimodal treatments. Journal of Gastroenterology. 2024; 60(1):1-9. </w:t>
      </w:r>
      <w:hyperlink r:id="rId198">
        <w:r>
          <w:rPr>
            <w:color w:val="0563C1"/>
            <w:u w:val="single"/>
          </w:rPr>
          <w:t>Source</w:t>
        </w:r>
      </w:hyperlink>
      <w:r>
        <w:t xml:space="preserve"> | </w:t>
      </w:r>
      <w:hyperlink r:id="rId199">
        <w:r>
          <w:rPr>
            <w:color w:val="0563C1"/>
            <w:u w:val="single"/>
          </w:rPr>
          <w:t>Full-text access</w:t>
        </w:r>
      </w:hyperlink>
    </w:p>
    <w:p>
      <w:pPr>
        <w:pStyle w:val="Normal"/>
        <w:widowControl/>
        <w:spacing w:after="120"/>
      </w:pPr>
      <w:r>
        <w:t xml:space="preserve"/>
      </w:r>
      <w:r>
        <w:t xml:space="preserve">[V16-14] Singh S; Halperin D; Myrehaug S; et al. [177Lu]Lu-DOTA-TATE plus long-acting octreotide versus high‑dose long-acting octreotide for the treatment of newly diagnosed, advanced grade 2–3, well-differentiated, gastroenteropancreatic neuroendocrine tumours (NETTER-2): an open-label, randomised, phase 3 study. Lancet (London, England). 2024; 403(10446):2807-2817. </w:t>
      </w:r>
      <w:hyperlink r:id="rId200">
        <w:r>
          <w:rPr>
            <w:color w:val="0563C1"/>
            <w:u w:val="single"/>
          </w:rPr>
          <w:t>Source</w:t>
        </w:r>
      </w:hyperlink>
      <w:r>
        <w:t xml:space="preserve"> | </w:t>
      </w:r>
      <w:hyperlink r:id="rId201">
        <w:r>
          <w:rPr>
            <w:color w:val="0563C1"/>
            <w:u w:val="single"/>
          </w:rPr>
          <w:t>Full-text access</w:t>
        </w:r>
      </w:hyperlink>
    </w:p>
    <w:p>
      <w:pPr>
        <w:pStyle w:val="Normal"/>
        <w:widowControl/>
        <w:spacing w:after="120"/>
      </w:pPr>
      <w:r>
        <w:t xml:space="preserve"/>
      </w:r>
      <w:r>
        <w:t xml:space="preserve">[V16-15] Dove, Lorna; Chadha, Ryan M.; Lai, Jennifer C.; et al. AASLD AST Practice Guideline on adult liver transplantation: Candidate evaluation. Hepatology. 2026; 83(6):1609-1645. </w:t>
      </w:r>
      <w:hyperlink r:id="rId202">
        <w:r>
          <w:rPr>
            <w:color w:val="0563C1"/>
            <w:u w:val="single"/>
          </w:rPr>
          <w:t>Source</w:t>
        </w:r>
      </w:hyperlink>
      <w:r>
        <w:t xml:space="preserve"> | </w:t>
      </w:r>
      <w:hyperlink r:id="rId203">
        <w:r>
          <w:rPr>
            <w:color w:val="0563C1"/>
            <w:u w:val="single"/>
          </w:rPr>
          <w:t>Full-text access</w:t>
        </w:r>
      </w:hyperlink>
    </w:p>
    <w:p>
      <w:pPr>
        <w:pStyle w:val="Normal"/>
        <w:widowControl/>
        <w:spacing w:after="120"/>
      </w:pPr>
      <w:r>
        <w:t xml:space="preserve"/>
      </w:r>
      <w:r>
        <w:t xml:space="preserve">[V16-16] Le Treut, Yves Patrice; Grégoire, Emilie; Klempnauer, Jürgen; et al. Liver Transplantation for Neuroendocrine Tumors in Europe—Results and Trends in Patient Selection. Annals of Surgery. 2013; 257(5):807-815. </w:t>
      </w:r>
      <w:hyperlink r:id="rId204">
        <w:r>
          <w:rPr>
            <w:color w:val="0563C1"/>
            <w:u w:val="single"/>
          </w:rPr>
          <w:t>Source</w:t>
        </w:r>
      </w:hyperlink>
      <w:r>
        <w:t xml:space="preserve"> | </w:t>
      </w:r>
      <w:hyperlink r:id="rId205">
        <w:r>
          <w:rPr>
            <w:color w:val="0563C1"/>
            <w:u w:val="single"/>
          </w:rPr>
          <w:t>Full-text access</w:t>
        </w:r>
      </w:hyperlink>
    </w:p>
    <w:p>
      <w:pPr>
        <w:pStyle w:val="Normal"/>
        <w:widowControl/>
        <w:spacing w:after="120"/>
      </w:pPr>
      <w:r>
        <w:t xml:space="preserve"/>
      </w:r>
      <w:r>
        <w:t xml:space="preserve">[V16-17] Chen, Chiyi; Zheng, Qiming; Zhang, Li; et al. Peptide Receptor Radionuclide Therapy for Recurrent Neuroendocrine Tumor Liver Metastases After Liver transplantation: A Case Series. Transplantation proceedings. 2026; 58(3):526-531. </w:t>
      </w:r>
      <w:hyperlink r:id="rId206">
        <w:r>
          <w:rPr>
            <w:color w:val="0563C1"/>
            <w:u w:val="single"/>
          </w:rPr>
          <w:t>Source</w:t>
        </w:r>
      </w:hyperlink>
      <w:r>
        <w:t xml:space="preserve"> | </w:t>
      </w:r>
      <w:hyperlink r:id="rId207">
        <w:r>
          <w:rPr>
            <w:color w:val="0563C1"/>
            <w:u w:val="single"/>
          </w:rPr>
          <w:t>Full-text access</w:t>
        </w:r>
      </w:hyperlink>
    </w:p>
    <w:p>
      <w:pPr>
        <w:pStyle w:val="Normal"/>
        <w:widowControl/>
        <w:spacing w:after="120"/>
      </w:pPr>
      <w:r>
        <w:t xml:space="preserve"/>
      </w:r>
      <w:r>
        <w:t xml:space="preserve">[V16-18] Sposito, Carlo; Rossi, Roberta Elisa; Monteleone, Michela; et al. Postrecurrence Survival After Liver Transplantation for Liver Metastases From Neuroendocrine Tumors. Transplantation. 2021; 105(12):2579-2586. </w:t>
      </w:r>
      <w:hyperlink r:id="rId208">
        <w:r>
          <w:rPr>
            <w:color w:val="0563C1"/>
            <w:u w:val="single"/>
          </w:rPr>
          <w:t>Source</w:t>
        </w:r>
      </w:hyperlink>
      <w:r>
        <w:t xml:space="preserve"> | </w:t>
      </w:r>
      <w:hyperlink r:id="rId209">
        <w:r>
          <w:rPr>
            <w:color w:val="0563C1"/>
            <w:u w:val="single"/>
          </w:rPr>
          <w:t>Full-text access</w:t>
        </w:r>
      </w:hyperlink>
    </w:p>
    <w:p>
      <w:pPr>
        <w:pStyle w:val="Normal"/>
        <w:widowControl/>
        <w:spacing w:after="120"/>
      </w:pPr>
      <w:r>
        <w:t xml:space="preserve"/>
      </w:r>
      <w:r>
        <w:t xml:space="preserve">[V16-19] Kelly, Morgan E.; Truby, Tianna M.; Lai, Jennifer C.; et al. Three Decades of Living Liver Donor Outcomes: A National Cohort Analysis of Patterns in Mortality and Recovery. Journal of Transplantation. 2026; 2026(1):2545887. </w:t>
      </w:r>
      <w:hyperlink r:id="rId210">
        <w:r>
          <w:rPr>
            <w:color w:val="0563C1"/>
            <w:u w:val="single"/>
          </w:rPr>
          <w:t>Source</w:t>
        </w:r>
      </w:hyperlink>
      <w:r>
        <w:t xml:space="preserve"> | </w:t>
      </w:r>
      <w:hyperlink r:id="rId211">
        <w:r>
          <w:rPr>
            <w:color w:val="0563C1"/>
            <w:u w:val="single"/>
          </w:rPr>
          <w:t>Full-text access</w:t>
        </w:r>
      </w:hyperlink>
    </w:p>
    <w:p>
      <w:pPr>
        <w:pStyle w:val="Normal"/>
        <w:widowControl/>
        <w:spacing w:after="120"/>
      </w:pPr>
      <w:r>
        <w:t xml:space="preserve"/>
      </w:r>
      <w:r>
        <w:t xml:space="preserve">[V16-20] US Department of Health and Human Services. 45 CFR 46.111: Criteria for IRB approval of research. . 2018. </w:t>
      </w:r>
      <w:hyperlink r:id="rId212">
        <w:r>
          <w:rPr>
            <w:color w:val="0563C1"/>
            <w:u w:val="single"/>
          </w:rPr>
          <w:t>Source</w:t>
        </w:r>
      </w:hyperlink>
      <w:r>
        <w:t xml:space="preserve"> | Local PDF not available in this update</w:t>
      </w:r>
    </w:p>
    <w:p>
      <w:pPr>
        <w:pStyle w:val="Normal"/>
        <w:widowControl/>
        <w:spacing w:after="120"/>
      </w:pPr>
      <w:r>
        <w:t xml:space="preserve"/>
      </w:r>
      <w:r>
        <w:t xml:space="preserve">[V16-21] OPTN Ethics Committee. Ethical Principles in the Allocation of Human Organs. . 2015. </w:t>
      </w:r>
      <w:hyperlink r:id="rId213">
        <w:r>
          <w:rPr>
            <w:color w:val="0563C1"/>
            <w:u w:val="single"/>
          </w:rPr>
          <w:t>Source</w:t>
        </w:r>
      </w:hyperlink>
      <w:r>
        <w:t xml:space="preserve"> | Local PDF not available in this update</w:t>
      </w:r>
    </w:p>
    <w:p>
      <w:pPr>
        <w:pStyle w:val="Normal"/>
        <w:widowControl/>
        <w:spacing w:after="120"/>
      </w:pPr>
      <w:r>
        <w:t xml:space="preserve"/>
      </w:r>
      <w:r>
        <w:t xml:space="preserve">[V16-22] Llovet, Josep M; Mauro, Ezequiel; Rimassa, Lorenza; et al. Trial design and end points in hepatocellular carcinoma: an EASL-AASLD-ILCA consensus statement. Nature reviews. Clinical oncology. 2026; 23(8):619-647. </w:t>
      </w:r>
      <w:hyperlink r:id="rId214">
        <w:r>
          <w:rPr>
            <w:color w:val="0563C1"/>
            <w:u w:val="single"/>
          </w:rPr>
          <w:t>Source</w:t>
        </w:r>
      </w:hyperlink>
      <w:r>
        <w:t xml:space="preserve"> | </w:t>
      </w:r>
      <w:hyperlink r:id="rId215">
        <w:r>
          <w:rPr>
            <w:color w:val="0563C1"/>
            <w:u w:val="single"/>
          </w:rPr>
          <w:t>Full-text access</w:t>
        </w:r>
      </w:hyperlink>
    </w:p>
    <w:p>
      <w:pPr>
        <w:pStyle w:val="Normal"/>
        <w:widowControl/>
        <w:spacing w:after="120"/>
      </w:pPr>
      <w:r>
        <w:t xml:space="preserve"/>
      </w:r>
      <w:r>
        <w:t xml:space="preserve">[V16-23] Mazzaferro, Vincenzo; Citterio, Davide; Bhoori, Sherrie; et al. Liver transplantation in hepatocellular carcinoma after tumour downstaging (XXL): a randomised, controlled, phase 2b/3 trial. The Lancet Oncology. 2020; 21(7):947-956. </w:t>
      </w:r>
      <w:hyperlink r:id="rId216">
        <w:r>
          <w:rPr>
            <w:color w:val="0563C1"/>
            <w:u w:val="single"/>
          </w:rPr>
          <w:t>Source</w:t>
        </w:r>
      </w:hyperlink>
      <w:r>
        <w:t xml:space="preserve"> | </w:t>
      </w:r>
      <w:hyperlink r:id="rId217">
        <w:r>
          <w:rPr>
            <w:color w:val="0563C1"/>
            <w:u w:val="single"/>
          </w:rPr>
          <w:t>Full-text access</w:t>
        </w:r>
      </w:hyperlink>
    </w:p>
    <w:p>
      <w:pPr>
        <w:pStyle w:val="Normal"/>
        <w:widowControl/>
        <w:spacing w:after="120"/>
      </w:pPr>
      <w:r>
        <w:t xml:space="preserve"/>
      </w:r>
      <w:r>
        <w:t xml:space="preserve">[V16-24]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218">
        <w:r>
          <w:rPr>
            <w:color w:val="0563C1"/>
            <w:u w:val="single"/>
          </w:rPr>
          <w:t>Source</w:t>
        </w:r>
      </w:hyperlink>
      <w:r>
        <w:t xml:space="preserve"> | </w:t>
      </w:r>
      <w:hyperlink r:id="rId219">
        <w:r>
          <w:rPr>
            <w:color w:val="0563C1"/>
            <w:u w:val="single"/>
          </w:rPr>
          <w:t>Full-text access</w:t>
        </w:r>
      </w:hyperlink>
    </w:p>
    <w:p>
      <w:pPr>
        <w:pStyle w:val="Normal"/>
        <w:widowControl/>
        <w:spacing w:after="120"/>
      </w:pPr>
      <w:r>
        <w:t xml:space="preserve"/>
      </w:r>
      <w:r>
        <w:t xml:space="preserve">[V16-25] Allen, Elisa; Taylor, Rhiannon; Gimson, Alexander; et al. Transplant benefit-based offering of deceased donor livers in the United Kingdom. Journal of Hepatology. 2024; 81(3):471-478. </w:t>
      </w:r>
      <w:hyperlink r:id="rId220">
        <w:r>
          <w:rPr>
            <w:color w:val="0563C1"/>
            <w:u w:val="single"/>
          </w:rPr>
          <w:t>Source</w:t>
        </w:r>
      </w:hyperlink>
      <w:r>
        <w:t xml:space="preserve"> | </w:t>
      </w:r>
      <w:hyperlink r:id="rId221">
        <w:r>
          <w:rPr>
            <w:color w:val="0563C1"/>
            <w:u w:val="single"/>
          </w:rPr>
          <w:t>Full-text access</w:t>
        </w:r>
      </w:hyperlink>
    </w:p>
    <w:p>
      <w:pPr>
        <w:pStyle w:val="Normal"/>
        <w:widowControl/>
        <w:spacing w:after="120"/>
      </w:pPr>
      <w:r>
        <w:t xml:space="preserve"/>
      </w:r>
      <w:r>
        <w:t xml:space="preserve">[V16-26] Abecassis, M.M.; Fisher, R.A.; Olthoff, K.M.; et al. Complications of Living Donor Hepatic Lobectomy—A Comprehensive Report. American Journal of Transplantation. 2012; 12(5):1208-1217. </w:t>
      </w:r>
      <w:hyperlink r:id="rId222">
        <w:r>
          <w:rPr>
            <w:color w:val="0563C1"/>
            <w:u w:val="single"/>
          </w:rPr>
          <w:t>Source</w:t>
        </w:r>
      </w:hyperlink>
      <w:r>
        <w:t xml:space="preserve"> | </w:t>
      </w:r>
      <w:hyperlink r:id="rId223">
        <w:r>
          <w:rPr>
            <w:color w:val="0563C1"/>
            <w:u w:val="single"/>
          </w:rPr>
          <w:t>Full-text access</w:t>
        </w:r>
      </w:hyperlink>
    </w:p>
    <w:p>
      <w:pPr>
        <w:pStyle w:val="Normal"/>
        <w:widowControl/>
        <w:spacing w:after="120"/>
      </w:pPr>
      <w:r>
        <w:t xml:space="preserve"/>
      </w:r>
      <w:r>
        <w:t xml:space="preserve">[V16-27] DiMartini, A.; Dew, M.A.; Liu, Q.; et al. Social and Financial Outcomes of Living Liver Donation: A Prospective Investigation Within the Adult-to-Adult Living Donor Liver Transplantation Cohort Study 2 (A2ALL-2). American Journal of Transplantation. 2017; 17(4):1081-1096. </w:t>
      </w:r>
      <w:hyperlink r:id="rId224">
        <w:r>
          <w:rPr>
            <w:color w:val="0563C1"/>
            <w:u w:val="single"/>
          </w:rPr>
          <w:t>Source</w:t>
        </w:r>
      </w:hyperlink>
      <w:r>
        <w:t xml:space="preserve"> | </w:t>
      </w:r>
      <w:hyperlink r:id="rId225">
        <w:r>
          <w:rPr>
            <w:color w:val="0563C1"/>
            <w:u w:val="single"/>
          </w:rPr>
          <w:t>Full-text access</w:t>
        </w:r>
      </w:hyperlink>
    </w:p>
    <w:p>
      <w:pPr>
        <w:pStyle w:val="Normal"/>
        <w:widowControl/>
        <w:spacing w:after="120"/>
      </w:pPr>
      <w:r>
        <w:t xml:space="preserve"/>
      </w:r>
      <w:r>
        <w:t xml:space="preserve">[V16-28] Xiao, Jieling; Zeng, Rebecca Wenling; Lim, Wen Hui; et al. The incidence of adverse outcome in donors after living donor liver transplantation: A meta-analysis of 60,829 donors. Liver Transplantation. 2024; 30(5):493-504. </w:t>
      </w:r>
      <w:hyperlink r:id="rId226">
        <w:r>
          <w:rPr>
            <w:color w:val="0563C1"/>
            <w:u w:val="single"/>
          </w:rPr>
          <w:t>Source</w:t>
        </w:r>
      </w:hyperlink>
      <w:r>
        <w:t xml:space="preserve"> | </w:t>
      </w:r>
      <w:hyperlink r:id="rId227">
        <w:r>
          <w:rPr>
            <w:color w:val="0563C1"/>
            <w:u w:val="single"/>
          </w:rPr>
          <w:t>Full-text access</w:t>
        </w:r>
      </w:hyperlink>
    </w:p>
    <w:p>
      <w:pPr>
        <w:pStyle w:val="Normal"/>
        <w:widowControl/>
        <w:spacing w:after="120"/>
      </w:pPr>
      <w:r>
        <w:t xml:space="preserve"/>
      </w:r>
      <w:r>
        <w:t xml:space="preserve">[V16-29] Eldridge, Sandra M; Chan, Claire L; Campbell, Michael J; et al. CONSORT 2010 statement: extension to randomised pilot and feasibility trials. BMJ. 2016; :i5239. </w:t>
      </w:r>
      <w:hyperlink r:id="rId228">
        <w:r>
          <w:rPr>
            <w:color w:val="0563C1"/>
            <w:u w:val="single"/>
          </w:rPr>
          <w:t>Source</w:t>
        </w:r>
      </w:hyperlink>
      <w:r>
        <w:t xml:space="preserve"> | </w:t>
      </w:r>
      <w:hyperlink r:id="rId229">
        <w:r>
          <w:rPr>
            <w:color w:val="0563C1"/>
            <w:u w:val="single"/>
          </w:rPr>
          <w:t>Full-text access</w:t>
        </w:r>
      </w:hyperlink>
    </w:p>
    <w:p>
      <w:pPr>
        <w:pStyle w:val="Normal"/>
        <w:widowControl/>
        <w:spacing w:after="120"/>
      </w:pPr>
      <w:r>
        <w:t xml:space="preserve"/>
      </w:r>
      <w:r>
        <w:t xml:space="preserve">[V16-30]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230">
        <w:r>
          <w:rPr>
            <w:color w:val="0563C1"/>
            <w:u w:val="single"/>
          </w:rPr>
          <w:t>Source</w:t>
        </w:r>
      </w:hyperlink>
      <w:r>
        <w:t xml:space="preserve"> | </w:t>
      </w:r>
      <w:hyperlink r:id="rId231">
        <w:r>
          <w:rPr>
            <w:color w:val="0563C1"/>
            <w:u w:val="single"/>
          </w:rPr>
          <w:t>Full-text access</w:t>
        </w:r>
      </w:hyperlink>
    </w:p>
    <w:p>
      <w:pPr>
        <w:pStyle w:val="Normal"/>
        <w:widowControl/>
        <w:spacing w:after="120"/>
      </w:pPr>
      <w:r>
        <w:t xml:space="preserve"/>
      </w:r>
      <w:r>
        <w:t xml:space="preserve">[V16-31] Yaqub, Sheraz; Busund, Sondre; Smedman, Tor Magnus; et al. Liver transplantation for locally advanced non-resectable intrahepatic cholangiocarcinoma treated with neoadjuvant therapy: early results from the TESLA trial. British Journal of Surgery. 2025. </w:t>
      </w:r>
      <w:hyperlink r:id="rId232">
        <w:r>
          <w:rPr>
            <w:color w:val="0563C1"/>
            <w:u w:val="single"/>
          </w:rPr>
          <w:t>Source</w:t>
        </w:r>
      </w:hyperlink>
      <w:r>
        <w:t xml:space="preserve"> | </w:t>
      </w:r>
      <w:hyperlink r:id="rId233">
        <w:r>
          <w:rPr>
            <w:color w:val="0563C1"/>
            <w:u w:val="single"/>
          </w:rPr>
          <w:t>Full-text access</w:t>
        </w:r>
      </w:hyperlink>
    </w:p>
    <w:p>
      <w:pPr>
        <w:pStyle w:val="Normal"/>
        <w:widowControl/>
        <w:spacing w:after="120"/>
      </w:pPr>
      <w:r>
        <w:t xml:space="preserve"/>
      </w:r>
      <w:r>
        <w:t xml:space="preserve">[V16-32] Wedin, Maria; Janson, Eva Tiensuu; Wallin, Göran; et al. Impact on symptoms and survival of bone metastases in patients with small-intestinal neuroendocrine tumours. Journal of neuroendocrinology. 2025; 37(10):e70073. </w:t>
      </w:r>
      <w:hyperlink r:id="rId234">
        <w:r>
          <w:rPr>
            <w:color w:val="0563C1"/>
            <w:u w:val="single"/>
          </w:rPr>
          <w:t>Source</w:t>
        </w:r>
      </w:hyperlink>
      <w:r>
        <w:t xml:space="preserve"> | Local PDF not available in this update</w:t>
      </w:r>
    </w:p>
    <w:p>
      <w:pPr>
        <w:pStyle w:val="Normal"/>
        <w:widowControl/>
        <w:spacing w:after="120"/>
      </w:pPr>
      <w:r>
        <w:t xml:space="preserve"/>
      </w:r>
      <w:r>
        <w:t xml:space="preserve">[V16-33] Sher, Linda S; Levi, David M; Wecsler, Julie S; et al. Liver transplantation for metastatic neuroendocrine tumors: Outcomes and prognostic variables. Journal of surgical oncology. 2015; 112(2):125-32. </w:t>
      </w:r>
      <w:hyperlink r:id="rId235">
        <w:r>
          <w:rPr>
            <w:color w:val="0563C1"/>
            <w:u w:val="single"/>
          </w:rPr>
          <w:t>Source</w:t>
        </w:r>
      </w:hyperlink>
      <w:r>
        <w:t xml:space="preserve"> | Local PDF not available in this update</w:t>
      </w:r>
    </w:p>
    <w:p>
      <w:pPr>
        <w:pStyle w:val="Normal"/>
        <w:widowControl/>
        <w:spacing w:after="120"/>
      </w:pPr>
      <w:r>
        <w:t xml:space="preserve"/>
      </w:r>
      <w:r>
        <w:t xml:space="preserve">[V16-34] Frilling. The impact of 68Ga-DOTATOC positron emission tomography/computed tomography on the multimodal management of patients with neuroendocrine tumors. Annals of surgery. 2010. </w:t>
      </w:r>
      <w:hyperlink r:id="rId236">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NET-B4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6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color="auto" w:fill="E84C2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color="auto" w:fill="FADAD2"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77230C" w:themeColor="accent1" w:themeShade="7F"/>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B43412" w:themeColor="accent1" w:themeShade="BF"/>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B43412" w:themeColor="accent1" w:themeShade="BF"/>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B43412" w:themeColor="accent1" w:themeShade="BF"/>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B43412" w:themeColor="accent1" w:themeShade="BF"/>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E84C2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8C56FB"/>
    <w:rPr>
      <w:b/>
      <w:bCs/>
      <w:caps/>
      <w:color w:val="FFFFFF" w:themeColor="background1"/>
      <w:spacing w:val="15"/>
      <w:shd w:val="clear" w:color="auto" w:fill="E84C22" w:themeFill="accent1"/>
    </w:rPr>
  </w:style>
  <w:style w:type="character" w:customStyle="1" w:styleId="Heading2Char">
    <w:name w:val="Heading 2 Char"/>
    <w:basedOn w:val="DefaultParagraphFont"/>
    <w:link w:val="Heading2"/>
    <w:uiPriority w:val="9"/>
    <w:rsid w:val="008C56FB"/>
    <w:rPr>
      <w:caps/>
      <w:spacing w:val="15"/>
      <w:shd w:val="clear" w:color="auto" w:fill="FADAD2" w:themeFill="accent1" w:themeFillTint="33"/>
    </w:rPr>
  </w:style>
  <w:style w:type="character" w:customStyle="1" w:styleId="Heading3Char">
    <w:name w:val="Heading 3 Char"/>
    <w:basedOn w:val="DefaultParagraphFont"/>
    <w:link w:val="Heading3"/>
    <w:uiPriority w:val="9"/>
    <w:rsid w:val="008C56FB"/>
    <w:rPr>
      <w:caps/>
      <w:color w:val="77230C" w:themeColor="accent1" w:themeShade="7F"/>
      <w:spacing w:val="15"/>
    </w:rPr>
  </w:style>
  <w:style w:type="character" w:customStyle="1" w:styleId="Heading4Char">
    <w:name w:val="Heading 4 Char"/>
    <w:basedOn w:val="DefaultParagraphFont"/>
    <w:link w:val="Heading4"/>
    <w:uiPriority w:val="9"/>
    <w:semiHidden/>
    <w:rsid w:val="008C56FB"/>
    <w:rPr>
      <w:caps/>
      <w:color w:val="B43412" w:themeColor="accent1" w:themeShade="BF"/>
      <w:spacing w:val="10"/>
    </w:rPr>
  </w:style>
  <w:style w:type="character" w:customStyle="1" w:styleId="Heading5Char">
    <w:name w:val="Heading 5 Char"/>
    <w:basedOn w:val="DefaultParagraphFont"/>
    <w:link w:val="Heading5"/>
    <w:uiPriority w:val="9"/>
    <w:semiHidden/>
    <w:rsid w:val="008C56FB"/>
    <w:rPr>
      <w:caps/>
      <w:color w:val="B43412" w:themeColor="accent1" w:themeShade="BF"/>
      <w:spacing w:val="10"/>
    </w:rPr>
  </w:style>
  <w:style w:type="character" w:customStyle="1" w:styleId="Heading6Char">
    <w:name w:val="Heading 6 Char"/>
    <w:basedOn w:val="DefaultParagraphFont"/>
    <w:link w:val="Heading6"/>
    <w:uiPriority w:val="9"/>
    <w:semiHidden/>
    <w:rsid w:val="008C56FB"/>
    <w:rPr>
      <w:caps/>
      <w:color w:val="B43412" w:themeColor="accent1" w:themeShade="BF"/>
      <w:spacing w:val="10"/>
    </w:rPr>
  </w:style>
  <w:style w:type="character" w:customStyle="1" w:styleId="Heading7Char">
    <w:name w:val="Heading 7 Char"/>
    <w:basedOn w:val="DefaultParagraphFont"/>
    <w:link w:val="Heading7"/>
    <w:uiPriority w:val="9"/>
    <w:semiHidden/>
    <w:rsid w:val="008C56FB"/>
    <w:rPr>
      <w:caps/>
      <w:color w:val="B43412" w:themeColor="accent1" w:themeShade="BF"/>
      <w:spacing w:val="10"/>
    </w:rPr>
  </w:style>
  <w:style w:type="character" w:customStyle="1" w:styleId="Heading8Char">
    <w:name w:val="Heading 8 Char"/>
    <w:basedOn w:val="DefaultParagraphFont"/>
    <w:link w:val="Heading8"/>
    <w:uiPriority w:val="9"/>
    <w:semiHidden/>
    <w:rsid w:val="008C56FB"/>
    <w:rPr>
      <w:caps/>
      <w:spacing w:val="10"/>
      <w:sz w:val="18"/>
      <w:szCs w:val="18"/>
    </w:rPr>
  </w:style>
  <w:style w:type="character" w:customStyle="1" w:styleId="Heading9Char">
    <w:name w:val="Heading 9 Char"/>
    <w:basedOn w:val="DefaultParagraphFont"/>
    <w:link w:val="Heading9"/>
    <w:uiPriority w:val="9"/>
    <w:semiHidden/>
    <w:rsid w:val="008C56FB"/>
    <w:rPr>
      <w:i/>
      <w:caps/>
      <w:spacing w:val="10"/>
      <w:sz w:val="18"/>
      <w:szCs w:val="18"/>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name w:val="Title Char"/>
    <w:basedOn w:val="DefaultParagraphFont"/>
    <w:link w:val="Title"/>
    <w:uiPriority w:val="10"/>
    <w:rsid w:val="008C56FB"/>
    <w:rPr>
      <w:caps/>
      <w:color w:val="E84C22" w:themeColor="accent1"/>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C56FB"/>
    <w:rPr>
      <w:caps/>
      <w:color w:val="595959" w:themeColor="text1" w:themeTint="A6"/>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C56FB"/>
    <w:rPr>
      <w:sz w:val="20"/>
      <w:szCs w:val="20"/>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s-wdsufqyxf2rxmes6dj" Type="http://schemas.openxmlformats.org/officeDocument/2006/relationships/hyperlink" Target="https://doi.org/10.1097/HEP.0000000000001644" TargetMode="External"/><Relationship Id="rIdtcfr3obbkkcbhxhuzpwy-" Type="http://schemas.openxmlformats.org/officeDocument/2006/relationships/hyperlink" Target="https://jamanetwork.com/journals/jamasurgery/fullarticle/10.1001/jamasurg.2023.6083?utm_source=openevidence&amp;utm_medium=referral" TargetMode="External"/><Relationship Id="rIdeznrhtsq7h54sptqk9n88" Type="http://schemas.openxmlformats.org/officeDocument/2006/relationships/hyperlink" Target="https://pubmed.ncbi.nlm.nih.gov/39547997" TargetMode="External"/><Relationship Id="rIdrqftlgqc6gh4johdfomxs" Type="http://schemas.openxmlformats.org/officeDocument/2006/relationships/hyperlink" Target="https://pubmed.ncbi.nlm.nih.gov/35975918" TargetMode="External"/><Relationship Id="rIdsexfqrynmopwsnzwcaeby" Type="http://schemas.openxmlformats.org/officeDocument/2006/relationships/hyperlink" Target="https://pubmed.ncbi.nlm.nih.gov/24384494" TargetMode="External"/><Relationship Id="rIdqqjatj-j_qy8ssb2ncq4x" Type="http://schemas.openxmlformats.org/officeDocument/2006/relationships/hyperlink" Target="https://www.nccn.org/professionals/physician_gls/pdf/neuroendocrine.pdf#page=85" TargetMode="External"/><Relationship Id="rIdwnn-irhqxyamozrph8ip0" Type="http://schemas.openxmlformats.org/officeDocument/2006/relationships/hyperlink" Target="https://meetings.asco.org/abstracts-presentations/265146" TargetMode="External"/><Relationship Id="rIdpeghdabylkcldl_men63k" Type="http://schemas.openxmlformats.org/officeDocument/2006/relationships/hyperlink" Target="https://pubmed.ncbi.nlm.nih.gov/32520679" TargetMode="External"/><Relationship Id="rIduotsek3z0zjbexxxhz4ed" Type="http://schemas.openxmlformats.org/officeDocument/2006/relationships/hyperlink" Target="https://pubmed.ncbi.nlm.nih.gov/39306468" TargetMode="External"/><Relationship Id="rId6ich49yccmu90slafwzqn" Type="http://schemas.openxmlformats.org/officeDocument/2006/relationships/hyperlink" Target="https://pubmed.ncbi.nlm.nih.gov/28230639" TargetMode="External"/><Relationship Id="rIdmk6hdw8gnueekylov--lw" Type="http://schemas.openxmlformats.org/officeDocument/2006/relationships/hyperlink" Target="https://doi.org/10.1097/LVT.0000000000000715" TargetMode="External"/><Relationship Id="rId_j0ycn_h3oziqsj3ofsz8" Type="http://schemas.openxmlformats.org/officeDocument/2006/relationships/hyperlink" Target="https://pubmed.ncbi.nlm.nih.gov/33908381" TargetMode="External"/><Relationship Id="rIdyrr_m5zb_ygx24k-h0q47" Type="http://schemas.openxmlformats.org/officeDocument/2006/relationships/hyperlink" Target="https://pubmed.ncbi.nlm.nih.gov/41760506" TargetMode="External"/><Relationship Id="rIdjetizatnpmv9j7si54kpj" Type="http://schemas.openxmlformats.org/officeDocument/2006/relationships/hyperlink" Target="https://pubmed.ncbi.nlm.nih.gov/37208101" TargetMode="External"/><Relationship Id="rIdw1jzn_g1vtqsmv9yqhjte" Type="http://schemas.openxmlformats.org/officeDocument/2006/relationships/hyperlink" Target="https://pubmed.ncbi.nlm.nih.gov/42234009" TargetMode="External"/><Relationship Id="rIdvicdzinwhbffzc-amx4ne" Type="http://schemas.openxmlformats.org/officeDocument/2006/relationships/hyperlink" Target="https://pubmed.ncbi.nlm.nih.gov/32213292" TargetMode="External"/><Relationship Id="rId22" Type="http://schemas.openxmlformats.org/officeDocument/2006/relationships/fontTable" Target="fontTable.xml"/><Relationship Id="rId23" Type="http://schemas.openxmlformats.org/officeDocument/2006/relationships/hyperlink" Target="https://doi.org/10.1111/ajt.13831"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97/SLA.0000000000005663"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111/ajt.17156"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007/s00268-022-06736-1"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56/NEJMoa2403991"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056/NEJMoa1316158"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16/S1470-2045(21)00572-6"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oi.org/10.1111/jne.70250"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www.nccn.org/professionals/physician_gls/pdf/neuroendocrine.pdf#page=85"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pubmed.ncbi.nlm.nih.gov/39547997"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1111/jne.70250"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111/ajt.13831"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oi.org/10.1097/SLA.0000000000005663"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oi.org/10.3390/jcm15030938"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97/SLA.0b013e31828ee17c"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doi.org/10.1016/S0140-6736(24)00701-3"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doi.org/10.1016/j.transproceed.2026.02.019"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www.hrsa.gov/sites/default/files/hrsa/optn/adult-meld-exception-transplant-oncology-review-guidance.pdf" TargetMode="External"/><Relationship Id="rId60" Type="http://schemas.openxmlformats.org/officeDocument/2006/relationships/hyperlink" Target="https://drliuhao.github.io/mh-liver-pathways/evidence-libraries/" TargetMode="External"/><Relationship Id="rId61" Type="http://schemas.openxmlformats.org/officeDocument/2006/relationships/hyperlink" Target="https://doi.org/10.1111/jne.70250"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www.hrsa.gov/sites/default/files/hrsa/optn/adult-meld-exception-transplant-oncology-review-guidance.pdf" TargetMode="External"/><Relationship Id="rId64" Type="http://schemas.openxmlformats.org/officeDocument/2006/relationships/hyperlink" Target="https://drliuhao.github.io/mh-liver-pathways/evidence-libraries/" TargetMode="External"/><Relationship Id="rId65" Type="http://schemas.openxmlformats.org/officeDocument/2006/relationships/hyperlink" Target="https://doi.org/10.1111/ajt.13831"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1111/jne.70250"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oi.org/10.1111/ajt.13831"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doi.org/10.1111/ajt.17156"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doi.org/10.1097/SLA.0000000000005663"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doi.org/10.1007/s00268-022-06736-1"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3390/jcm15030938"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097/SLA.0b013e31828ee17c"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doi.org/10.1111/jne.70250"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pubmed.ncbi.nlm.nih.gov/33908381"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oi.org/10.1111/ajt.13831"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1111/jne.70250"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drliuhao.github.io/mh-liver-pathways/evidence-libraries/" TargetMode="External"/><Relationship Id="rId103" Type="http://schemas.openxmlformats.org/officeDocument/2006/relationships/hyperlink" Target="https://www.hrsa.gov/sites/default/files/hrsa/optn/optn_policies.pdf"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www.hrsa.gov/sites/default/files/hrsa/optn/adult-meld-exception-transplant-oncology-review-guidance.pdf" TargetMode="External"/><Relationship Id="rId106" Type="http://schemas.openxmlformats.org/officeDocument/2006/relationships/hyperlink" Target="https://drliuhao.github.io/mh-liver-pathways/evidence-libraries/" TargetMode="External"/><Relationship Id="rId107" Type="http://schemas.openxmlformats.org/officeDocument/2006/relationships/hyperlink" Target="https://doi.org/10.1111/ajt.13831" TargetMode="External"/><Relationship Id="rId108" Type="http://schemas.openxmlformats.org/officeDocument/2006/relationships/hyperlink" Target="https://drliuhao.github.io/mh-liver-pathways/evidence-libraries/" TargetMode="External"/><Relationship Id="rId109" Type="http://schemas.openxmlformats.org/officeDocument/2006/relationships/hyperlink" Target="https://doi.org/10.1111/jne.70250" TargetMode="External"/><Relationship Id="rId110" Type="http://schemas.openxmlformats.org/officeDocument/2006/relationships/hyperlink" Target="https://drliuhao.github.io/mh-liver-pathways/evidence-libraries/" TargetMode="External"/><Relationship Id="rId111" Type="http://schemas.openxmlformats.org/officeDocument/2006/relationships/hyperlink" Target="https://doi.org/10.3390/jcm15030938" TargetMode="External"/><Relationship Id="rId112" Type="http://schemas.openxmlformats.org/officeDocument/2006/relationships/hyperlink" Target="https://drliuhao.github.io/mh-liver-pathways/evidence-libraries/" TargetMode="External"/><Relationship Id="rId113" Type="http://schemas.openxmlformats.org/officeDocument/2006/relationships/hyperlink" Target="https://doi.org/10.1097/SLA.0000000000005663" TargetMode="External"/><Relationship Id="rId114" Type="http://schemas.openxmlformats.org/officeDocument/2006/relationships/hyperlink" Target="https://drliuhao.github.io/mh-liver-pathways/evidence-libraries/" TargetMode="External"/><Relationship Id="rId115" Type="http://schemas.openxmlformats.org/officeDocument/2006/relationships/hyperlink" Target="https://doi.org/10.1111/ajt.17156" TargetMode="External"/><Relationship Id="rId116" Type="http://schemas.openxmlformats.org/officeDocument/2006/relationships/hyperlink" Target="https://drliuhao.github.io/mh-liver-pathways/evidence-libraries/" TargetMode="External"/><Relationship Id="rId117" Type="http://schemas.openxmlformats.org/officeDocument/2006/relationships/hyperlink" Target="https://doi.org/10.1007/s00268-022-06736-1" TargetMode="External"/><Relationship Id="rId118" Type="http://schemas.openxmlformats.org/officeDocument/2006/relationships/hyperlink" Target="https://drliuhao.github.io/mh-liver-pathways/evidence-libraries/" TargetMode="External"/><Relationship Id="rId119" Type="http://schemas.openxmlformats.org/officeDocument/2006/relationships/hyperlink" Target="https://doi.org/10.1056/NEJMoa2403991"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doi.org/10.1056/NEJMoa1316158" TargetMode="External"/><Relationship Id="rId122" Type="http://schemas.openxmlformats.org/officeDocument/2006/relationships/hyperlink" Target="https://drliuhao.github.io/mh-liver-pathways/evidence-libraries/" TargetMode="External"/><Relationship Id="rId123" Type="http://schemas.openxmlformats.org/officeDocument/2006/relationships/hyperlink" Target="https://doi.org/10.1016/S1470-2045(21)00572-6" TargetMode="External"/><Relationship Id="rId124" Type="http://schemas.openxmlformats.org/officeDocument/2006/relationships/hyperlink" Target="https://drliuhao.github.io/mh-liver-pathways/evidence-libraries/" TargetMode="External"/><Relationship Id="rId125" Type="http://schemas.openxmlformats.org/officeDocument/2006/relationships/hyperlink" Target="https://www.nccn.org/professionals/physician_gls/pdf/neuroendocrine.pdf#page=85"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pubmed.ncbi.nlm.nih.gov/39547997" TargetMode="External"/><Relationship Id="rId128" Type="http://schemas.openxmlformats.org/officeDocument/2006/relationships/hyperlink" Target="https://drliuhao.github.io/mh-liver-pathways/evidence-libraries/" TargetMode="External"/><Relationship Id="rId129" Type="http://schemas.openxmlformats.org/officeDocument/2006/relationships/hyperlink" Target="https://doi.org/10.1016/S0140-6736(24)00701-3" TargetMode="External"/><Relationship Id="rId130" Type="http://schemas.openxmlformats.org/officeDocument/2006/relationships/hyperlink" Target="https://drliuhao.github.io/mh-liver-pathways/evidence-libraries/" TargetMode="External"/><Relationship Id="rId131" Type="http://schemas.openxmlformats.org/officeDocument/2006/relationships/hyperlink" Target="https://doi.org/10.1097/HEP.0000000000001644" TargetMode="External"/><Relationship Id="rId132" Type="http://schemas.openxmlformats.org/officeDocument/2006/relationships/hyperlink" Target="https://drliuhao.github.io/mh-liver-pathways/evidence-libraries/" TargetMode="External"/><Relationship Id="rId133" Type="http://schemas.openxmlformats.org/officeDocument/2006/relationships/hyperlink" Target="https://doi.org/10.1097/SLA.0b013e31828ee17c" TargetMode="External"/><Relationship Id="rId134" Type="http://schemas.openxmlformats.org/officeDocument/2006/relationships/hyperlink" Target="https://drliuhao.github.io/mh-liver-pathways/evidence-libraries/" TargetMode="External"/><Relationship Id="rId135" Type="http://schemas.openxmlformats.org/officeDocument/2006/relationships/hyperlink" Target="https://doi.org/10.1016/j.transproceed.2026.02.019" TargetMode="External"/><Relationship Id="rId136" Type="http://schemas.openxmlformats.org/officeDocument/2006/relationships/hyperlink" Target="https://drliuhao.github.io/mh-liver-pathways/evidence-libraries/" TargetMode="External"/><Relationship Id="rId137" Type="http://schemas.openxmlformats.org/officeDocument/2006/relationships/hyperlink" Target="https://pubmed.ncbi.nlm.nih.gov/33908381" TargetMode="External"/><Relationship Id="rId138" Type="http://schemas.openxmlformats.org/officeDocument/2006/relationships/hyperlink" Target="https://drliuhao.github.io/mh-liver-pathways/evidence-libraries/" TargetMode="External"/><Relationship Id="rId139" Type="http://schemas.openxmlformats.org/officeDocument/2006/relationships/hyperlink" Target="https://doi.org/10.1155/joot/2545887" TargetMode="External"/><Relationship Id="rId140" Type="http://schemas.openxmlformats.org/officeDocument/2006/relationships/hyperlink" Target="https://drliuhao.github.io/mh-liver-pathways/evidence-libraries/" TargetMode="External"/><Relationship Id="rId141" Type="http://schemas.openxmlformats.org/officeDocument/2006/relationships/hyperlink" Target="https://www.ecfr.gov/current/title-45/subtitle-A/subchapter-A/part-46/subpart-A/section-46.111" TargetMode="External"/><Relationship Id="rId142" Type="http://schemas.openxmlformats.org/officeDocument/2006/relationships/hyperlink" Target="https://www.hrsa.gov/optn/professionals/resources/ethical-considerations/ethical-principles-in-the-allocation-of-human-organs" TargetMode="External"/><Relationship Id="rId143" Type="http://schemas.openxmlformats.org/officeDocument/2006/relationships/hyperlink" Target="https://doi.org/10.1038/s41571-026-01160-z" TargetMode="External"/><Relationship Id="rId144" Type="http://schemas.openxmlformats.org/officeDocument/2006/relationships/hyperlink" Target="https://drliuhao.github.io/mh-liver-pathways/evidence-libraries/" TargetMode="External"/><Relationship Id="rId145" Type="http://schemas.openxmlformats.org/officeDocument/2006/relationships/hyperlink" Target="https://doi.org/10.1016/S1470-2045(20)30224-2" TargetMode="External"/><Relationship Id="rId146" Type="http://schemas.openxmlformats.org/officeDocument/2006/relationships/hyperlink" Target="https://drliuhao.github.io/mh-liver-pathways/evidence-libraries/" TargetMode="External"/><Relationship Id="rId147" Type="http://schemas.openxmlformats.org/officeDocument/2006/relationships/hyperlink" Target="https://doi.org/10.1016/S0140-6736(24)01595-2" TargetMode="External"/><Relationship Id="rId148" Type="http://schemas.openxmlformats.org/officeDocument/2006/relationships/hyperlink" Target="https://drliuhao.github.io/mh-liver-pathways/evidence-libraries/" TargetMode="External"/><Relationship Id="rId149" Type="http://schemas.openxmlformats.org/officeDocument/2006/relationships/hyperlink" Target="https://doi.org/10.1016/j.jhep.2024.03.020" TargetMode="External"/><Relationship Id="rId150" Type="http://schemas.openxmlformats.org/officeDocument/2006/relationships/hyperlink" Target="https://drliuhao.github.io/mh-liver-pathways/evidence-libraries/" TargetMode="External"/><Relationship Id="rId151" Type="http://schemas.openxmlformats.org/officeDocument/2006/relationships/hyperlink" Target="https://doi.org/10.1111/j.1600-6143.2011.03972.x" TargetMode="External"/><Relationship Id="rId152" Type="http://schemas.openxmlformats.org/officeDocument/2006/relationships/hyperlink" Target="https://drliuhao.github.io/mh-liver-pathways/evidence-libraries/" TargetMode="External"/><Relationship Id="rId153" Type="http://schemas.openxmlformats.org/officeDocument/2006/relationships/hyperlink" Target="https://doi.org/10.1111/ajt.14055" TargetMode="External"/><Relationship Id="rId154" Type="http://schemas.openxmlformats.org/officeDocument/2006/relationships/hyperlink" Target="https://drliuhao.github.io/mh-liver-pathways/evidence-libraries/" TargetMode="External"/><Relationship Id="rId155" Type="http://schemas.openxmlformats.org/officeDocument/2006/relationships/hyperlink" Target="https://doi.org/10.1097/LVT.0000000000000303"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doi.org/10.1136/bmj.i5239"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doi.org/10.3389/ti.2024.13641" TargetMode="External"/><Relationship Id="rId160" Type="http://schemas.openxmlformats.org/officeDocument/2006/relationships/hyperlink" Target="https://drliuhao.github.io/mh-liver-pathways/evidence-libraries/" TargetMode="External"/><Relationship Id="rId161" Type="http://schemas.openxmlformats.org/officeDocument/2006/relationships/hyperlink" Target="https://academic.oup.com/bjs/article/112/3/znaf054/8083032" TargetMode="External"/><Relationship Id="rId162" Type="http://schemas.openxmlformats.org/officeDocument/2006/relationships/hyperlink" Target="https://drliuhao.github.io/mh-liver-pathways/evidence-libraries/" TargetMode="External"/><Relationship Id="rId163" Type="http://schemas.openxmlformats.org/officeDocument/2006/relationships/hyperlink" Target="https://doi.org/10.1111/ajt.13831" TargetMode="External"/><Relationship Id="rId164" Type="http://schemas.openxmlformats.org/officeDocument/2006/relationships/hyperlink" Target="https://drliuhao.github.io/mh-liver-pathways/evidence-libraries/" TargetMode="External"/><Relationship Id="rId165" Type="http://schemas.openxmlformats.org/officeDocument/2006/relationships/hyperlink" Target="https://doi.org/10.1111/ajt.17156" TargetMode="External"/><Relationship Id="rId166" Type="http://schemas.openxmlformats.org/officeDocument/2006/relationships/hyperlink" Target="https://drliuhao.github.io/mh-liver-pathways/evidence-libraries/" TargetMode="External"/><Relationship Id="rId167" Type="http://schemas.openxmlformats.org/officeDocument/2006/relationships/hyperlink" Target="https://doi.org/10.1111/jne.70250" TargetMode="External"/><Relationship Id="rId168" Type="http://schemas.openxmlformats.org/officeDocument/2006/relationships/hyperlink" Target="https://drliuhao.github.io/mh-liver-pathways/evidence-libraries/" TargetMode="External"/><Relationship Id="rId169" Type="http://schemas.openxmlformats.org/officeDocument/2006/relationships/hyperlink" Target="https://doi.org/10.1111/jne.70073" TargetMode="External"/><Relationship Id="rId170" Type="http://schemas.openxmlformats.org/officeDocument/2006/relationships/hyperlink" Target="https://doi.org/10.1097/SLA.0b013e31828ee17c" TargetMode="External"/><Relationship Id="rId171" Type="http://schemas.openxmlformats.org/officeDocument/2006/relationships/hyperlink" Target="https://drliuhao.github.io/mh-liver-pathways/evidence-libraries/" TargetMode="External"/><Relationship Id="rId172" Type="http://schemas.openxmlformats.org/officeDocument/2006/relationships/hyperlink" Target="https://doi.org/10.1002/jso.23973" TargetMode="External"/><Relationship Id="rId173" Type="http://schemas.openxmlformats.org/officeDocument/2006/relationships/hyperlink" Target="https://doi.org/10.1097/SLA.0b013e3181fd37e8" TargetMode="External"/><Relationship Id="rId174" Type="http://schemas.openxmlformats.org/officeDocument/2006/relationships/hyperlink" Target="https://www.hrsa.gov/sites/default/files/hrsa/optn/optn_policies.pdf" TargetMode="External"/><Relationship Id="rId175" Type="http://schemas.openxmlformats.org/officeDocument/2006/relationships/hyperlink" Target="https://drliuhao.github.io/mh-liver-pathways/evidence-libraries/" TargetMode="External"/><Relationship Id="rId176" Type="http://schemas.openxmlformats.org/officeDocument/2006/relationships/hyperlink" Target="https://www.hrsa.gov/sites/default/files/hrsa/optn/adult-meld-exception-transplant-oncology-review-guidance.pdf" TargetMode="External"/><Relationship Id="rId177" Type="http://schemas.openxmlformats.org/officeDocument/2006/relationships/hyperlink" Target="https://drliuhao.github.io/mh-liver-pathways/evidence-libraries/" TargetMode="External"/><Relationship Id="rId178" Type="http://schemas.openxmlformats.org/officeDocument/2006/relationships/hyperlink" Target="https://doi.org/10.1111/ajt.13831" TargetMode="External"/><Relationship Id="rId179" Type="http://schemas.openxmlformats.org/officeDocument/2006/relationships/hyperlink" Target="https://drliuhao.github.io/mh-liver-pathways/evidence-libraries/" TargetMode="External"/><Relationship Id="rId180" Type="http://schemas.openxmlformats.org/officeDocument/2006/relationships/hyperlink" Target="https://doi.org/10.1111/jne.70250" TargetMode="External"/><Relationship Id="rId181" Type="http://schemas.openxmlformats.org/officeDocument/2006/relationships/hyperlink" Target="https://drliuhao.github.io/mh-liver-pathways/evidence-libraries/" TargetMode="External"/><Relationship Id="rId182" Type="http://schemas.openxmlformats.org/officeDocument/2006/relationships/hyperlink" Target="https://doi.org/10.3390/jcm15030938" TargetMode="External"/><Relationship Id="rId183" Type="http://schemas.openxmlformats.org/officeDocument/2006/relationships/hyperlink" Target="https://drliuhao.github.io/mh-liver-pathways/evidence-libraries/" TargetMode="External"/><Relationship Id="rId184" Type="http://schemas.openxmlformats.org/officeDocument/2006/relationships/hyperlink" Target="https://doi.org/10.1097/SLA.0000000000005663" TargetMode="External"/><Relationship Id="rId185" Type="http://schemas.openxmlformats.org/officeDocument/2006/relationships/hyperlink" Target="https://drliuhao.github.io/mh-liver-pathways/evidence-libraries/" TargetMode="External"/><Relationship Id="rId186" Type="http://schemas.openxmlformats.org/officeDocument/2006/relationships/hyperlink" Target="https://doi.org/10.1111/ajt.17156" TargetMode="External"/><Relationship Id="rId187" Type="http://schemas.openxmlformats.org/officeDocument/2006/relationships/hyperlink" Target="https://drliuhao.github.io/mh-liver-pathways/evidence-libraries/" TargetMode="External"/><Relationship Id="rId188" Type="http://schemas.openxmlformats.org/officeDocument/2006/relationships/hyperlink" Target="https://doi.org/10.1007/s00268-022-06736-1" TargetMode="External"/><Relationship Id="rId189" Type="http://schemas.openxmlformats.org/officeDocument/2006/relationships/hyperlink" Target="https://drliuhao.github.io/mh-liver-pathways/evidence-libraries/" TargetMode="External"/><Relationship Id="rId190" Type="http://schemas.openxmlformats.org/officeDocument/2006/relationships/hyperlink" Target="https://doi.org/10.1056/NEJMoa2403991" TargetMode="External"/><Relationship Id="rId191" Type="http://schemas.openxmlformats.org/officeDocument/2006/relationships/hyperlink" Target="https://drliuhao.github.io/mh-liver-pathways/evidence-libraries/" TargetMode="External"/><Relationship Id="rId192" Type="http://schemas.openxmlformats.org/officeDocument/2006/relationships/hyperlink" Target="https://doi.org/10.1056/NEJMoa1316158" TargetMode="External"/><Relationship Id="rId193" Type="http://schemas.openxmlformats.org/officeDocument/2006/relationships/hyperlink" Target="https://drliuhao.github.io/mh-liver-pathways/evidence-libraries/" TargetMode="External"/><Relationship Id="rId194" Type="http://schemas.openxmlformats.org/officeDocument/2006/relationships/hyperlink" Target="https://doi.org/10.1016/S1470-2045(21)00572-6" TargetMode="External"/><Relationship Id="rId195" Type="http://schemas.openxmlformats.org/officeDocument/2006/relationships/hyperlink" Target="https://drliuhao.github.io/mh-liver-pathways/evidence-libraries/" TargetMode="External"/><Relationship Id="rId196" Type="http://schemas.openxmlformats.org/officeDocument/2006/relationships/hyperlink" Target="https://www.nccn.org/professionals/physician_gls/pdf/neuroendocrine.pdf#page=85" TargetMode="External"/><Relationship Id="rId197" Type="http://schemas.openxmlformats.org/officeDocument/2006/relationships/hyperlink" Target="https://drliuhao.github.io/mh-liver-pathways/evidence-libraries/" TargetMode="External"/><Relationship Id="rId198" Type="http://schemas.openxmlformats.org/officeDocument/2006/relationships/hyperlink" Target="https://pubmed.ncbi.nlm.nih.gov/39547997" TargetMode="External"/><Relationship Id="rId199" Type="http://schemas.openxmlformats.org/officeDocument/2006/relationships/hyperlink" Target="https://drliuhao.github.io/mh-liver-pathways/evidence-libraries/" TargetMode="External"/><Relationship Id="rId200" Type="http://schemas.openxmlformats.org/officeDocument/2006/relationships/hyperlink" Target="https://doi.org/10.1016/S0140-6736(24)00701-3" TargetMode="External"/><Relationship Id="rId201" Type="http://schemas.openxmlformats.org/officeDocument/2006/relationships/hyperlink" Target="https://drliuhao.github.io/mh-liver-pathways/evidence-libraries/" TargetMode="External"/><Relationship Id="rId202" Type="http://schemas.openxmlformats.org/officeDocument/2006/relationships/hyperlink" Target="https://doi.org/10.1097/HEP.0000000000001644" TargetMode="External"/><Relationship Id="rId203" Type="http://schemas.openxmlformats.org/officeDocument/2006/relationships/hyperlink" Target="https://drliuhao.github.io/mh-liver-pathways/evidence-libraries/" TargetMode="External"/><Relationship Id="rId204" Type="http://schemas.openxmlformats.org/officeDocument/2006/relationships/hyperlink" Target="https://doi.org/10.1097/SLA.0b013e31828ee17c" TargetMode="External"/><Relationship Id="rId205" Type="http://schemas.openxmlformats.org/officeDocument/2006/relationships/hyperlink" Target="https://drliuhao.github.io/mh-liver-pathways/evidence-libraries/" TargetMode="External"/><Relationship Id="rId206" Type="http://schemas.openxmlformats.org/officeDocument/2006/relationships/hyperlink" Target="https://doi.org/10.1016/j.transproceed.2026.02.019" TargetMode="External"/><Relationship Id="rId207" Type="http://schemas.openxmlformats.org/officeDocument/2006/relationships/hyperlink" Target="https://drliuhao.github.io/mh-liver-pathways/evidence-libraries/" TargetMode="External"/><Relationship Id="rId208" Type="http://schemas.openxmlformats.org/officeDocument/2006/relationships/hyperlink" Target="https://pubmed.ncbi.nlm.nih.gov/33908381" TargetMode="External"/><Relationship Id="rId209" Type="http://schemas.openxmlformats.org/officeDocument/2006/relationships/hyperlink" Target="https://drliuhao.github.io/mh-liver-pathways/evidence-libraries/" TargetMode="External"/><Relationship Id="rId210" Type="http://schemas.openxmlformats.org/officeDocument/2006/relationships/hyperlink" Target="https://doi.org/10.1155/joot/2545887" TargetMode="External"/><Relationship Id="rId211" Type="http://schemas.openxmlformats.org/officeDocument/2006/relationships/hyperlink" Target="https://drliuhao.github.io/mh-liver-pathways/evidence-libraries/" TargetMode="External"/><Relationship Id="rId212" Type="http://schemas.openxmlformats.org/officeDocument/2006/relationships/hyperlink" Target="https://www.ecfr.gov/current/title-45/subtitle-A/subchapter-A/part-46/subpart-A/section-46.111" TargetMode="External"/><Relationship Id="rId213" Type="http://schemas.openxmlformats.org/officeDocument/2006/relationships/hyperlink" Target="https://www.hrsa.gov/optn/professionals/resources/ethical-considerations/ethical-principles-in-the-allocation-of-human-organs" TargetMode="External"/><Relationship Id="rId214" Type="http://schemas.openxmlformats.org/officeDocument/2006/relationships/hyperlink" Target="https://doi.org/10.1038/s41571-026-01160-z" TargetMode="External"/><Relationship Id="rId215" Type="http://schemas.openxmlformats.org/officeDocument/2006/relationships/hyperlink" Target="https://drliuhao.github.io/mh-liver-pathways/evidence-libraries/" TargetMode="External"/><Relationship Id="rId216" Type="http://schemas.openxmlformats.org/officeDocument/2006/relationships/hyperlink" Target="https://doi.org/10.1016/S1470-2045(20)30224-2" TargetMode="External"/><Relationship Id="rId217" Type="http://schemas.openxmlformats.org/officeDocument/2006/relationships/hyperlink" Target="https://drliuhao.github.io/mh-liver-pathways/evidence-libraries/" TargetMode="External"/><Relationship Id="rId218" Type="http://schemas.openxmlformats.org/officeDocument/2006/relationships/hyperlink" Target="https://doi.org/10.1016/S0140-6736(24)01595-2" TargetMode="External"/><Relationship Id="rId219" Type="http://schemas.openxmlformats.org/officeDocument/2006/relationships/hyperlink" Target="https://drliuhao.github.io/mh-liver-pathways/evidence-libraries/" TargetMode="External"/><Relationship Id="rId220" Type="http://schemas.openxmlformats.org/officeDocument/2006/relationships/hyperlink" Target="https://doi.org/10.1016/j.jhep.2024.03.020" TargetMode="External"/><Relationship Id="rId221" Type="http://schemas.openxmlformats.org/officeDocument/2006/relationships/hyperlink" Target="https://drliuhao.github.io/mh-liver-pathways/evidence-libraries/" TargetMode="External"/><Relationship Id="rId222" Type="http://schemas.openxmlformats.org/officeDocument/2006/relationships/hyperlink" Target="https://doi.org/10.1111/j.1600-6143.2011.03972.x" TargetMode="External"/><Relationship Id="rId223" Type="http://schemas.openxmlformats.org/officeDocument/2006/relationships/hyperlink" Target="https://drliuhao.github.io/mh-liver-pathways/evidence-libraries/" TargetMode="External"/><Relationship Id="rId224" Type="http://schemas.openxmlformats.org/officeDocument/2006/relationships/hyperlink" Target="https://doi.org/10.1111/ajt.14055" TargetMode="External"/><Relationship Id="rId225" Type="http://schemas.openxmlformats.org/officeDocument/2006/relationships/hyperlink" Target="https://drliuhao.github.io/mh-liver-pathways/evidence-libraries/" TargetMode="External"/><Relationship Id="rId226" Type="http://schemas.openxmlformats.org/officeDocument/2006/relationships/hyperlink" Target="https://doi.org/10.1097/LVT.0000000000000303" TargetMode="External"/><Relationship Id="rId227" Type="http://schemas.openxmlformats.org/officeDocument/2006/relationships/hyperlink" Target="https://drliuhao.github.io/mh-liver-pathways/evidence-libraries/" TargetMode="External"/><Relationship Id="rId228" Type="http://schemas.openxmlformats.org/officeDocument/2006/relationships/hyperlink" Target="https://doi.org/10.1136/bmj.i5239" TargetMode="External"/><Relationship Id="rId229" Type="http://schemas.openxmlformats.org/officeDocument/2006/relationships/hyperlink" Target="https://drliuhao.github.io/mh-liver-pathways/evidence-libraries/" TargetMode="External"/><Relationship Id="rId230" Type="http://schemas.openxmlformats.org/officeDocument/2006/relationships/hyperlink" Target="https://doi.org/10.3389/ti.2024.13641" TargetMode="External"/><Relationship Id="rId231" Type="http://schemas.openxmlformats.org/officeDocument/2006/relationships/hyperlink" Target="https://drliuhao.github.io/mh-liver-pathways/evidence-libraries/" TargetMode="External"/><Relationship Id="rId232" Type="http://schemas.openxmlformats.org/officeDocument/2006/relationships/hyperlink" Target="https://academic.oup.com/bjs/article/112/3/znaf054/8083032" TargetMode="External"/><Relationship Id="rId233" Type="http://schemas.openxmlformats.org/officeDocument/2006/relationships/hyperlink" Target="https://drliuhao.github.io/mh-liver-pathways/evidence-libraries/" TargetMode="External"/><Relationship Id="rId234" Type="http://schemas.openxmlformats.org/officeDocument/2006/relationships/hyperlink" Target="https://doi.org/10.1111/jne.70073" TargetMode="External"/><Relationship Id="rId235" Type="http://schemas.openxmlformats.org/officeDocument/2006/relationships/hyperlink" Target="https://doi.org/10.1002/jso.23973" TargetMode="External"/><Relationship Id="rId236" Type="http://schemas.openxmlformats.org/officeDocument/2006/relationships/hyperlink" Target="https://doi.org/10.1097/SLA.0b013e3181fd37e8"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2026-07-15T23:24:18.551Z</dcterms:created>
  <dcterms:modified xsi:type="dcterms:W3CDTF">2026-10-29T14:21:26Z</dcterms:modified>
  <dc:title>UTHealth Houston and Memorial Hermann High Risk Liver Transplant Protocol for Neuroendocrine Liver Metastases V8</dc:title>
  <dc:subject>Investigational NET pathway outside NLRB guidance criteria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