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Neuroendocrine liver metastases — High-risk transplant protocol: questions for consensus</w:t>
      </w:r>
    </w:p>
    <w:p>
      <w:pPr>
        <w:spacing w:after="80"/>
      </w:pPr>
      <w:r>
        <w:rPr>
          <w:b w:val="0"/>
          <w:i w:val="0"/>
          <w:color w:val="5A6069"/>
          <w:sz w:val="18"/>
        </w:rPr>
        <w:t>UTHealth Houston and Memorial Hermann · HPB oncology · 29 October 2026 · V17 standardized documents</w:t>
      </w:r>
    </w:p>
    <w:p>
      <w:pPr>
        <w:spacing w:after="80"/>
      </w:pPr>
      <w:r>
        <w:rPr>
          <w:b w:val="0"/>
          <w:i w:val="0"/>
        </w:rPr>
        <w:t>Every question in the high-risk transplant protocol that still needs a consensus answer. Each one shows what guidelines, trials and papers say, our proposed selection, and space for the group decision. All proposals are OPEN; nothing in this document is activated or approved.</w:t>
      </w:r>
    </w:p>
    <w:p>
      <w:pPr>
        <w:spacing w:after="80"/>
      </w:pPr>
      <w:r>
        <w:rPr>
          <w:b w:val="0"/>
          <w:i w:val="0"/>
        </w:rPr>
        <w:t>Web page: https://drliuhao.github.io/mh-liver-pathways/transplant/nelm/#high-risk</w:t>
      </w:r>
    </w:p>
    <w:p>
      <w:pPr>
        <w:spacing w:after="160"/>
      </w:pPr>
      <w:r>
        <w:rPr>
          <w:b/>
          <w:i w:val="0"/>
        </w:rPr>
        <w:t xml:space="preserve">Companion files: </w:t>
      </w:r>
      <w:r>
        <w:rPr>
          <w:b w:val="0"/>
          <w:i w:val="0"/>
          <w:sz w:val="20"/>
        </w:rPr>
        <w:t xml:space="preserve">Full content: </w:t>
      </w:r>
      <w:r>
        <w:rPr>
          <w:b w:val="0"/>
          <w:i/>
        </w:rPr>
        <w:t>NELM_5_High_Risk_Transplant_Protocol.docx</w:t>
      </w:r>
      <w:r>
        <w:rPr>
          <w:b w:val="0"/>
          <w:i w:val="0"/>
          <w:sz w:val="20"/>
        </w:rPr>
        <w:t xml:space="preserve"> · Decision discussion for all settings: </w:t>
      </w:r>
      <w:r>
        <w:rPr>
          <w:b w:val="0"/>
          <w:i/>
        </w:rPr>
        <w:t>NELM_7_Decision_Discussion.docx</w:t>
      </w:r>
    </w:p>
    <w:p>
      <w:pPr>
        <w:pStyle w:val="Heading1"/>
        <w:keepNext/>
        <w:spacing w:before="280" w:after="80"/>
      </w:pPr>
      <w:r>
        <w:rPr>
          <w:b w:val="0"/>
          <w:i w:val="0"/>
        </w:rPr>
        <w:t>Summary</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300"/>
        <w:gridCol w:w="3500"/>
        <w:gridCol w:w="3780"/>
        <w:gridCol w:w="1500"/>
      </w:tblGrid>
      <w:tr>
        <w:trPr>
          <w:tblHeader/>
        </w:trPr>
        <w:tc>
          <w:tcPr>
            <w:tcW w:type="dxa" w:w="2520"/>
            <w:tcW w:w="1300" w:type="dxa"/>
            <w:shd w:val="clear" w:color="auto" w:fill="17365D"/>
          </w:tcPr>
          <w:p>
            <w:r>
              <w:rPr>
                <w:b/>
                <w:i w:val="0"/>
                <w:color w:val="FFFFFF"/>
                <w:sz w:val="19"/>
              </w:rPr>
              <w:t>ID</w:t>
            </w:r>
          </w:p>
        </w:tc>
        <w:tc>
          <w:tcPr>
            <w:tcW w:type="dxa" w:w="2520"/>
            <w:tcW w:w="3500" w:type="dxa"/>
            <w:shd w:val="clear" w:color="auto" w:fill="17365D"/>
          </w:tcPr>
          <w:p>
            <w:r>
              <w:rPr>
                <w:b/>
                <w:i w:val="0"/>
                <w:color w:val="FFFFFF"/>
                <w:sz w:val="19"/>
              </w:rPr>
              <w:t>Question</w:t>
            </w:r>
          </w:p>
        </w:tc>
        <w:tc>
          <w:tcPr>
            <w:tcW w:type="dxa" w:w="2520"/>
            <w:tcW w:w="3780" w:type="dxa"/>
            <w:shd w:val="clear" w:color="auto" w:fill="17365D"/>
          </w:tcPr>
          <w:p>
            <w:r>
              <w:rPr>
                <w:b/>
                <w:i w:val="0"/>
                <w:color w:val="FFFFFF"/>
                <w:sz w:val="19"/>
              </w:rPr>
              <w:t>Proposed selection (summary)</w:t>
            </w:r>
          </w:p>
        </w:tc>
        <w:tc>
          <w:tcPr>
            <w:tcW w:type="dxa" w:w="2520"/>
            <w:tcW w:w="1500" w:type="dxa"/>
            <w:shd w:val="clear" w:color="auto" w:fill="17365D"/>
          </w:tcPr>
          <w:p>
            <w:r>
              <w:rPr>
                <w:b/>
                <w:i w:val="0"/>
                <w:color w:val="FFFFFF"/>
                <w:sz w:val="19"/>
              </w:rPr>
              <w:t>Status</w:t>
            </w:r>
          </w:p>
        </w:tc>
      </w:tr>
      <w:tr>
        <w:trPr>
          <w:cantSplit/>
        </w:trPr>
        <w:tc>
          <w:tcPr>
            <w:tcW w:type="dxa" w:w="2520"/>
            <w:tcW w:w="1300" w:type="dxa"/>
            <w:shd w:val="clear" w:color="auto" w:fill="F1F5F8"/>
          </w:tcPr>
          <w:p>
            <w:pPr>
              <w:spacing w:after="0"/>
            </w:pPr>
            <w:r>
              <w:rPr>
                <w:b/>
                <w:i w:val="0"/>
                <w:sz w:val="19"/>
              </w:rPr>
              <w:t>NET-B1</w:t>
            </w:r>
          </w:p>
        </w:tc>
        <w:tc>
          <w:tcPr>
            <w:tcW w:type="dxa" w:w="2520"/>
            <w:tcW w:w="3500" w:type="dxa"/>
            <w:shd w:val="clear" w:color="auto" w:fill="F1F5F8"/>
          </w:tcPr>
          <w:p>
            <w:pPr>
              <w:spacing w:after="0"/>
            </w:pPr>
            <w:r>
              <w:rPr>
                <w:b w:val="0"/>
                <w:i w:val="0"/>
                <w:sz w:val="19"/>
              </w:rPr>
              <w:t>Which patients gain enough over modern non-LT treatment?</w:t>
            </w:r>
          </w:p>
        </w:tc>
        <w:tc>
          <w:tcPr>
            <w:tcW w:type="dxa" w:w="2520"/>
            <w:tcW w:w="3780" w:type="dxa"/>
            <w:shd w:val="clear" w:color="auto" w:fill="F1F5F8"/>
          </w:tcPr>
          <w:p>
            <w:pPr>
              <w:spacing w:after="0"/>
            </w:pPr>
            <w:r>
              <w:rPr>
                <w:b w:val="0"/>
                <w:i w:val="0"/>
                <w:sz w:val="19"/>
              </w:rPr>
              <w:t>Require a demonstrable benefit trigger; excellent predicted post-LT survival alone is not enough.</w:t>
            </w:r>
          </w:p>
        </w:tc>
        <w:tc>
          <w:tcPr>
            <w:tcW w:type="dxa" w:w="2520"/>
            <w:tcW w:w="1500" w:type="dxa"/>
            <w:shd w:val="clear" w:color="auto" w:fill="F1F5F8"/>
          </w:tcPr>
          <w:p>
            <w:pPr>
              <w:spacing w:after="0"/>
            </w:pPr>
            <w:r>
              <w:rPr>
                <w:b w:val="0"/>
                <w:i w:val="0"/>
                <w:color w:val="5A6069"/>
                <w:sz w:val="18"/>
              </w:rPr>
              <w:t>Review expected benefit · not activated</w:t>
            </w:r>
          </w:p>
        </w:tc>
      </w:tr>
      <w:tr>
        <w:trPr>
          <w:cantSplit/>
        </w:trPr>
        <w:tc>
          <w:tcPr>
            <w:tcW w:type="dxa" w:w="2520"/>
            <w:tcW w:w="1300" w:type="dxa"/>
            <w:shd w:val="clear" w:color="auto" w:fill="FFFFFF"/>
          </w:tcPr>
          <w:p>
            <w:pPr>
              <w:spacing w:after="0"/>
            </w:pPr>
            <w:r>
              <w:rPr>
                <w:b/>
                <w:i w:val="0"/>
                <w:sz w:val="19"/>
              </w:rPr>
              <w:t>NET-B2</w:t>
            </w:r>
          </w:p>
        </w:tc>
        <w:tc>
          <w:tcPr>
            <w:tcW w:type="dxa" w:w="2520"/>
            <w:tcW w:w="3500" w:type="dxa"/>
            <w:shd w:val="clear" w:color="auto" w:fill="FFFFFF"/>
          </w:tcPr>
          <w:p>
            <w:pPr>
              <w:spacing w:after="0"/>
            </w:pPr>
            <w:r>
              <w:rPr>
                <w:b w:val="0"/>
                <w:i w:val="0"/>
                <w:sz w:val="19"/>
              </w:rPr>
              <w:t>What is guideline-aligned versus an expanded-risk proposal?</w:t>
            </w:r>
          </w:p>
        </w:tc>
        <w:tc>
          <w:tcPr>
            <w:tcW w:type="dxa" w:w="2520"/>
            <w:tcW w:w="3780" w:type="dxa"/>
            <w:shd w:val="clear" w:color="auto" w:fill="FFFFFF"/>
          </w:tcPr>
          <w:p>
            <w:pPr>
              <w:spacing w:after="0"/>
            </w:pPr>
            <w:r>
              <w:rPr>
                <w:b w:val="0"/>
                <w:i w:val="0"/>
                <w:sz w:val="19"/>
              </w:rPr>
              <w:t>Activate only well-differentiated G1/G2 disease from a known portal-drained GEP primary; retain a six-month biology test.</w:t>
            </w:r>
          </w:p>
        </w:tc>
        <w:tc>
          <w:tcPr>
            <w:tcW w:type="dxa" w:w="2520"/>
            <w:tcW w:w="1500" w:type="dxa"/>
            <w:shd w:val="clear" w:color="auto" w:fill="FFFFFF"/>
          </w:tcPr>
          <w:p>
            <w:pPr>
              <w:spacing w:after="0"/>
            </w:pPr>
            <w:r>
              <w:rPr>
                <w:b w:val="0"/>
                <w:i w:val="0"/>
                <w:color w:val="5A6069"/>
                <w:sz w:val="18"/>
              </w:rPr>
              <w:t>Review initial selection limits · not activated</w:t>
            </w:r>
          </w:p>
        </w:tc>
      </w:tr>
      <w:tr>
        <w:trPr>
          <w:cantSplit/>
        </w:trPr>
        <w:tc>
          <w:tcPr>
            <w:tcW w:type="dxa" w:w="2520"/>
            <w:tcW w:w="1300" w:type="dxa"/>
            <w:shd w:val="clear" w:color="auto" w:fill="F1F5F8"/>
          </w:tcPr>
          <w:p>
            <w:pPr>
              <w:spacing w:after="0"/>
            </w:pPr>
            <w:r>
              <w:rPr>
                <w:b/>
                <w:i w:val="0"/>
                <w:sz w:val="19"/>
              </w:rPr>
              <w:t>NET-B3</w:t>
            </w:r>
          </w:p>
        </w:tc>
        <w:tc>
          <w:tcPr>
            <w:tcW w:type="dxa" w:w="2520"/>
            <w:tcW w:w="3500" w:type="dxa"/>
            <w:shd w:val="clear" w:color="auto" w:fill="F1F5F8"/>
          </w:tcPr>
          <w:p>
            <w:pPr>
              <w:spacing w:after="0"/>
            </w:pPr>
            <w:r>
              <w:rPr>
                <w:b w:val="0"/>
                <w:i w:val="0"/>
                <w:sz w:val="19"/>
              </w:rPr>
              <w:t>Should age or burden remain local selection factors without being called national rules?</w:t>
            </w:r>
          </w:p>
        </w:tc>
        <w:tc>
          <w:tcPr>
            <w:tcW w:type="dxa" w:w="2520"/>
            <w:tcW w:w="3780" w:type="dxa"/>
            <w:shd w:val="clear" w:color="auto" w:fill="F1F5F8"/>
          </w:tcPr>
          <w:p>
            <w:pPr>
              <w:spacing w:after="0"/>
            </w:pPr>
            <w:r>
              <w:rPr>
                <w:b w:val="0"/>
                <w:i w:val="0"/>
                <w:sz w:val="19"/>
              </w:rPr>
              <w:t>Use age as a review trigger, not an absolute exclusion; retain a conservative opening burden and a separately declared expansion band.</w:t>
            </w:r>
          </w:p>
        </w:tc>
        <w:tc>
          <w:tcPr>
            <w:tcW w:type="dxa" w:w="2520"/>
            <w:tcW w:w="1500" w:type="dxa"/>
            <w:shd w:val="clear" w:color="auto" w:fill="F1F5F8"/>
          </w:tcPr>
          <w:p>
            <w:pPr>
              <w:spacing w:after="0"/>
            </w:pPr>
            <w:r>
              <w:rPr>
                <w:b w:val="0"/>
                <w:i w:val="0"/>
                <w:color w:val="5A6069"/>
                <w:sz w:val="18"/>
              </w:rPr>
              <w:t>Individual review · expansion not activated · not activated</w:t>
            </w:r>
          </w:p>
        </w:tc>
      </w:tr>
      <w:tr>
        <w:trPr>
          <w:cantSplit/>
        </w:trPr>
        <w:tc>
          <w:tcPr>
            <w:tcW w:type="dxa" w:w="2520"/>
            <w:tcW w:w="1300" w:type="dxa"/>
            <w:shd w:val="clear" w:color="auto" w:fill="FFFFFF"/>
          </w:tcPr>
          <w:p>
            <w:pPr>
              <w:spacing w:after="0"/>
            </w:pPr>
            <w:r>
              <w:rPr>
                <w:b/>
                <w:i w:val="0"/>
                <w:sz w:val="19"/>
              </w:rPr>
              <w:t>NET-B4</w:t>
            </w:r>
          </w:p>
        </w:tc>
        <w:tc>
          <w:tcPr>
            <w:tcW w:type="dxa" w:w="2520"/>
            <w:tcW w:w="3500" w:type="dxa"/>
            <w:shd w:val="clear" w:color="auto" w:fill="FFFFFF"/>
          </w:tcPr>
          <w:p>
            <w:pPr>
              <w:spacing w:after="0"/>
            </w:pPr>
            <w:r>
              <w:rPr>
                <w:b w:val="0"/>
                <w:i w:val="0"/>
                <w:sz w:val="19"/>
              </w:rPr>
              <w:t>Which previously treated extrahepatic NET sites may enter the transplant route: resected regional nodes only, or also distant nodes and a solitary treated bone lesion as ENETS 2026 suggests?</w:t>
            </w:r>
          </w:p>
        </w:tc>
        <w:tc>
          <w:tcPr>
            <w:tcW w:type="dxa" w:w="2520"/>
            <w:tcW w:w="3780" w:type="dxa"/>
            <w:shd w:val="clear" w:color="auto" w:fill="FFFFFF"/>
          </w:tcPr>
          <w:p>
            <w:pPr>
              <w:spacing w:after="0"/>
            </w:pPr>
            <w:r>
              <w:rPr>
                <w:b w:val="0"/>
                <w:i w:val="0"/>
                <w:sz w:val="19"/>
              </w:rPr>
              <w:t>Allow previously resected nodal disease after complete clearance and ≥6 months without recurrence. Keep previous lung, bone or other solid-organ metastases closed. Nodal disease cleared only by non-surgical treatment needs…</w:t>
            </w:r>
          </w:p>
        </w:tc>
        <w:tc>
          <w:tcPr>
            <w:tcW w:type="dxa" w:w="2520"/>
            <w:tcW w:w="1500" w:type="dxa"/>
            <w:shd w:val="clear" w:color="auto" w:fill="FFFFFF"/>
          </w:tcPr>
          <w:p>
            <w:pPr>
              <w:spacing w:after="0"/>
            </w:pPr>
            <w:r>
              <w:rPr>
                <w:b w:val="0"/>
                <w:i w:val="0"/>
                <w:color w:val="5A6069"/>
                <w:sz w:val="18"/>
              </w:rPr>
              <w:t>Resected nodes only, after clearance · not activated</w:t>
            </w:r>
          </w:p>
        </w:tc>
      </w:tr>
    </w:tbl>
    <w:p>
      <w:pPr>
        <w:spacing w:after="40"/>
      </w:pPr>
    </w:p>
    <w:p>
      <w:pPr>
        <w:pStyle w:val="Heading1"/>
        <w:keepNext/>
        <w:spacing w:before="280" w:after="80"/>
      </w:pPr>
      <w:r>
        <w:rPr>
          <w:b w:val="0"/>
          <w:i w:val="0"/>
        </w:rPr>
        <w:t>Questions</w:t>
      </w:r>
    </w:p>
    <w:p>
      <w:pPr>
        <w:pStyle w:val="Heading2"/>
        <w:keepNext/>
        <w:spacing w:before="200" w:after="80"/>
      </w:pPr>
      <w:r>
        <w:rPr>
          <w:b w:val="0"/>
          <w:i w:val="0"/>
        </w:rPr>
        <w:t>NET-B1 — Does transplantation offer enough additional benefit?</w:t>
      </w:r>
    </w:p>
    <w:p>
      <w:pPr>
        <w:spacing w:after="80"/>
      </w:pPr>
      <w:r>
        <w:rPr>
          <w:b w:val="0"/>
          <w:i w:val="0"/>
          <w:color w:val="5A6069"/>
          <w:sz w:val="18"/>
        </w:rPr>
        <w:t>Review expected benefit · not activated · High-risk review</w:t>
      </w:r>
    </w:p>
    <w:p>
      <w:pPr>
        <w:spacing w:after="80"/>
      </w:pPr>
      <w:r>
        <w:rPr>
          <w:b/>
          <w:i w:val="0"/>
        </w:rPr>
        <w:t xml:space="preserve">Question: </w:t>
      </w:r>
      <w:r>
        <w:rPr>
          <w:b w:val="0"/>
          <w:i w:val="0"/>
        </w:rPr>
        <w:t>Which patients gain enough over modern non-LT treatment?</w:t>
      </w:r>
    </w:p>
    <w:p>
      <w:pPr>
        <w:spacing w:after="80"/>
      </w:pPr>
      <w:r>
        <w:rPr>
          <w:b/>
          <w:i w:val="0"/>
        </w:rPr>
        <w:t xml:space="preserve">When it applies: </w:t>
      </w:r>
      <w:r>
        <w:rPr>
          <w:b w:val="0"/>
          <w:i w:val="0"/>
        </w:rPr>
        <w:t>Establish what additional benefit transplantation offers over available treatment or surveillance.</w:t>
      </w:r>
    </w:p>
    <w:p>
      <w:pPr>
        <w:spacing w:after="80"/>
      </w:pPr>
      <w:r>
        <w:rPr>
          <w:b/>
          <w:i w:val="0"/>
        </w:rPr>
        <w:t xml:space="preserve">Where it is decided: </w:t>
      </w:r>
      <w:hyperlink r:id="rId6">
        <w:r>
          <w:rPr>
            <w:color w:val="0563C1"/>
            <w:u w:val="single"/>
          </w:rPr>
          <w:t xml:space="preserve">Compare treatment options</w:t>
        </w:r>
      </w:hyperlink>
    </w:p>
    <w:p>
      <w:pPr>
        <w:spacing w:after="120"/>
      </w:pPr>
      <w:r>
        <w:rPr>
          <w:b/>
          <w:i w:val="0"/>
          <w:sz w:val="18"/>
        </w:rPr>
        <w:t xml:space="preserve">Web page: </w:t>
      </w:r>
      <w:hyperlink r:id="rId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ENETS 2026</w:t>
            </w:r>
          </w:p>
        </w:tc>
        <w:tc>
          <w:tcPr>
            <w:tcW w:type="dxa" w:w="3360"/>
            <w:tcW w:w="5480" w:type="dxa"/>
            <w:shd w:val="clear" w:color="auto" w:fill="F1F5F8"/>
          </w:tcPr>
          <w:p>
            <w:pPr>
              <w:spacing w:after="0"/>
            </w:pPr>
            <w:r>
              <w:rPr>
                <w:b w:val="0"/>
                <w:i w:val="0"/>
                <w:sz w:val="19"/>
              </w:rPr>
              <w:t>“expert-driven and hypothesis-generating framework (not outcome-validated)” Illustrative survival figures are discussion aids, not calibrated individual eligibility thresholds.</w:t>
            </w:r>
          </w:p>
        </w:tc>
        <w:tc>
          <w:tcPr>
            <w:tcW w:type="dxa" w:w="3360"/>
            <w:tcW w:w="2400" w:type="dxa"/>
            <w:shd w:val="clear" w:color="auto" w:fill="F1F5F8"/>
          </w:tcPr>
          <w:p>
            <w:pPr>
              <w:spacing w:after="0"/>
            </w:pPr>
            <w:r>
              <w:rPr>
                <w:b w:val="0"/>
                <w:i w:val="0"/>
                <w:color w:val="5A6069"/>
                <w:sz w:val="18"/>
              </w:rPr>
              <w:t>2026 full-text PDF p3, transplant-benefit discussion</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Mazzaferro 2016 · Milan-NET</w:t>
            </w:r>
          </w:p>
        </w:tc>
        <w:tc>
          <w:tcPr>
            <w:tcW w:type="dxa" w:w="3360"/>
            <w:tcW w:w="3900" w:type="dxa"/>
            <w:shd w:val="clear" w:color="auto" w:fill="F1F5F8"/>
          </w:tcPr>
          <w:p>
            <w:pPr>
              <w:spacing w:after="0"/>
            </w:pPr>
            <w:r>
              <w:rPr>
                <w:b w:val="0"/>
                <w:i w:val="0"/>
                <w:sz w:val="19"/>
              </w:rPr>
              <w:t>Single-centre comparative Milan-NET study, 88 eligible patients: 42 LT and 46 non-LT, 1995–2010 era, nonrandomized. Well-differentiated portal-drained GEP primary, primary/extrahepatic disease removed, limited hepatic burden, at least six months stability; age &lt;60 was relative. LT recipients were substantially younger (median 40.5 versus 55.5), and post hoc grading differed, including four G3 in non-LT versus none in LT. Primary regional nodes had been positive in 34/42 LT recipients; this is not evidence supporting active uncleared extrahepatic disease at LT.</w:t>
            </w:r>
          </w:p>
        </w:tc>
        <w:tc>
          <w:tcPr>
            <w:tcW w:type="dxa" w:w="3360"/>
            <w:tcW w:w="4180" w:type="dxa"/>
            <w:shd w:val="clear" w:color="auto" w:fill="F1F5F8"/>
          </w:tcPr>
          <w:p>
            <w:pPr>
              <w:spacing w:after="0"/>
            </w:pPr>
            <w:r>
              <w:rPr>
                <w:b w:val="0"/>
                <w:i w:val="0"/>
                <w:sz w:val="19"/>
              </w:rPr>
              <w:t>Median follow-up 122 months. Five-/ten-year OS 97.2%/88.8% LT versus 50.9%/22.4% non-LT. Time origin was primary-tumour resection; authors used left-truncated Cox models to account for delayed LT entry. Propensity-adjusted restricted mean survival gain was 6.82 months at five years and 38.43 months at ten years. These are cohort estimates, not individual calculators.</w:t>
            </w:r>
          </w:p>
          <w:p>
            <w:pPr>
              <w:spacing w:after="0"/>
            </w:pPr>
            <w:r>
              <w:rPr>
                <w:b w:val="0"/>
                <w:i/>
                <w:sz w:val="19"/>
              </w:rPr>
              <w:t>Limits: Major selection/age/treatment-era differences, small numbers and residual confounding remain despite statistical handling of delayed treatment. Only 4/46 non-LT patients received PRRT, so this is not a modern sequential-care comparator. Patients overlap subsequent Milan series and some multicentre LT studies; do not sum them as independent evidence.</w:t>
            </w:r>
          </w:p>
          <w:p>
            <w:pPr>
              <w:spacing w:after="0"/>
            </w:pPr>
            <w:r>
              <w:rPr>
                <w:b w:val="0"/>
                <w:i w:val="0"/>
                <w:color w:val="5A6069"/>
                <w:sz w:val="18"/>
              </w:rPr>
              <w:t>Am J Transplant 2016;16:2892–2902; full PDF Methods statistical time origin/left truncation, Tables 1–2 eligibility/characteristics, survival and restricted-mean analyses.</w:t>
            </w:r>
          </w:p>
        </w:tc>
      </w:tr>
      <w:tr>
        <w:trPr>
          <w:cantSplit/>
        </w:trPr>
        <w:tc>
          <w:tcPr>
            <w:tcW w:type="dxa" w:w="3360"/>
            <w:tcW w:w="2000" w:type="dxa"/>
            <w:shd w:val="clear" w:color="auto" w:fill="FFFFFF"/>
          </w:tcPr>
          <w:p>
            <w:pPr>
              <w:spacing w:after="0"/>
            </w:pPr>
            <w:r>
              <w:rPr>
                <w:b/>
                <w:i w:val="0"/>
                <w:sz w:val="19"/>
              </w:rPr>
              <w:t>Eshmuminov 2023 · LT versus resection</w:t>
            </w:r>
          </w:p>
        </w:tc>
        <w:tc>
          <w:tcPr>
            <w:tcW w:type="dxa" w:w="3360"/>
            <w:tcW w:w="3900" w:type="dxa"/>
            <w:shd w:val="clear" w:color="auto" w:fill="FFFFFF"/>
          </w:tcPr>
          <w:p>
            <w:pPr>
              <w:spacing w:after="0"/>
            </w:pPr>
            <w:r>
              <w:rPr>
                <w:b w:val="0"/>
                <w:i w:val="0"/>
                <w:sz w:val="19"/>
              </w:rPr>
              <w:t>International retrospective comparison from 15 centres, 1988–2021: 455 patients (225 LT, 230 liver resection); median follow-up 97 months. Propensity matching produced 96 patients per group. Surgically selected patients, matched on age, grade and primary location. Twenty-seven percent of LT cases had unknown grade; burden, era and treatment history remain imperfectly controlled. Resection and LT do not necessarily address anatomically interchangeable patients.</w:t>
            </w:r>
          </w:p>
        </w:tc>
        <w:tc>
          <w:tcPr>
            <w:tcW w:type="dxa" w:w="3360"/>
            <w:tcW w:w="4180" w:type="dxa"/>
            <w:shd w:val="clear" w:color="auto" w:fill="FFFFFF"/>
          </w:tcPr>
          <w:p>
            <w:pPr>
              <w:spacing w:after="0"/>
            </w:pPr>
            <w:r>
              <w:rPr>
                <w:b w:val="0"/>
                <w:i w:val="0"/>
                <w:sz w:val="19"/>
              </w:rPr>
              <w:t>Use main Results p.e1067/Table 4: matched five-year OS 75% LT versus 68.3% LR, HR 0.56 (95% CI 0.35–0.90); five-year PFS 64.2% versus 14.2%, HR 0.25 (0.16–0.39), measured from operation. Ninety-day deaths 13/225 LT (5.8%) versus 3/230 LR (1.3%). LT G1 versus G2 five-year OS 92.9% versus 70%; adjusted G2 HR 2.52 (1.15–5.52). Outside-Milan matched OS HR 0.64 (0.31–1.33), not statistically conclusive.</w:t>
            </w:r>
          </w:p>
          <w:p>
            <w:pPr>
              <w:spacing w:after="0"/>
            </w:pPr>
            <w:r>
              <w:rPr>
                <w:b w:val="0"/>
                <w:i/>
                <w:sz w:val="19"/>
              </w:rPr>
              <w:t>Limits: Material abstract/body discrepancy: abstract reports matched five-year OS 73% versus 52.8%, whereas main Results/Table 4 report 75% versus 68.3%. The latter is used with explicit discrepancy flag; clarification would be desirable. Matching does not remove unmeasured confounding, missing pathology, era or selection bias. The nonsignificant outside-Milan estimate does not prove no benefit, and ten G3 cases do not validate G3 LT. Overlaps centre cohorts including Milan.</w:t>
            </w:r>
          </w:p>
          <w:p>
            <w:pPr>
              <w:spacing w:after="0"/>
            </w:pPr>
            <w:r>
              <w:rPr>
                <w:b w:val="0"/>
                <w:i w:val="0"/>
                <w:color w:val="5A6069"/>
                <w:sz w:val="18"/>
              </w:rPr>
              <w:t>Ann Surg 2023 DOI10.1097/SLA.0000000000005663; PDF main Results printed p.e1067/Table 4 for matched outcomes; earlier Tables 1–3 for grade and mortality; abstract on first page differs.</w:t>
            </w:r>
          </w:p>
        </w:tc>
      </w:tr>
      <w:tr>
        <w:trPr>
          <w:cantSplit/>
        </w:trPr>
        <w:tc>
          <w:tcPr>
            <w:tcW w:type="dxa" w:w="3360"/>
            <w:tcW w:w="2000" w:type="dxa"/>
            <w:shd w:val="clear" w:color="auto" w:fill="F1F5F8"/>
          </w:tcPr>
          <w:p>
            <w:pPr>
              <w:spacing w:after="0"/>
            </w:pPr>
            <w:r>
              <w:rPr>
                <w:b/>
                <w:i w:val="0"/>
                <w:sz w:val="19"/>
              </w:rPr>
              <w:t>Maspero 2022 · Milan long-term</w:t>
            </w:r>
          </w:p>
        </w:tc>
        <w:tc>
          <w:tcPr>
            <w:tcW w:type="dxa" w:w="3360"/>
            <w:tcW w:w="3900" w:type="dxa"/>
            <w:shd w:val="clear" w:color="auto" w:fill="F1F5F8"/>
          </w:tcPr>
          <w:p>
            <w:pPr>
              <w:spacing w:after="0"/>
            </w:pPr>
            <w:r>
              <w:rPr>
                <w:b w:val="0"/>
                <w:i w:val="0"/>
                <w:sz w:val="19"/>
              </w:rPr>
              <w:t>Retrospective Milan single-centre series, 1984–2019: 149 liver operations (53 LT, 96 LR), with 104 Milan-eligible cases analysed (48 LT, 56 LR). Portal-drained G1/G2 primary previously resected, no extrahepatic disease, &lt;50% hepatic involvement, at least six months stable disease, age &lt;60 relative. LT and resection had different resectability/age indications. Minimum six-month follow-up inclusion needs care when interpreting early risk; this is not an all-referral cohort.</w:t>
            </w:r>
          </w:p>
        </w:tc>
        <w:tc>
          <w:tcPr>
            <w:tcW w:type="dxa" w:w="3360"/>
            <w:tcW w:w="4180" w:type="dxa"/>
            <w:shd w:val="clear" w:color="auto" w:fill="F1F5F8"/>
          </w:tcPr>
          <w:p>
            <w:pPr>
              <w:spacing w:after="0"/>
            </w:pPr>
            <w:r>
              <w:rPr>
                <w:b w:val="0"/>
                <w:i w:val="0"/>
                <w:sz w:val="19"/>
              </w:rPr>
              <w:t>Time zero liver operation; median follow-up 158 months LT and 126 LR. Five-year OS 95.5% versus 90%; ten-year OS 93% versus 75%. Ten-year DFS 52% versus 18%; recurrence 25/48 versus 42/56 and median recurrence time 78 versus 24 months. LT recurrence was more often multisite; LR recurrence predominantly liver. Nine LT deaths included three cancer and six non-cancer deaths, including new malignancy, sepsis/lymphoproliferative and cardiovascular causes.</w:t>
            </w:r>
          </w:p>
          <w:p>
            <w:pPr>
              <w:spacing w:after="0"/>
            </w:pPr>
            <w:r>
              <w:rPr>
                <w:b w:val="0"/>
                <w:i/>
                <w:sz w:val="19"/>
              </w:rPr>
              <w:t>Limits: Not randomized or anatomically exchangeable; prolonged selected follow-up and differing age can favor LT. Strong overlap with 2016 Milan-NET makes it long-term/alternative-comparator information, not independent confirmation. Late recurrence and immunosuppression-related competing causes matter even with excellent survival.</w:t>
            </w:r>
          </w:p>
          <w:p>
            <w:pPr>
              <w:spacing w:after="0"/>
            </w:pPr>
            <w:r>
              <w:rPr>
                <w:b w:val="0"/>
                <w:i w:val="0"/>
                <w:color w:val="5A6069"/>
                <w:sz w:val="18"/>
              </w:rPr>
              <w:t>Am J Transplant 2022 DOI10.1111/ajt.17156; complete PDF pp.2–4 methods/time origin/cohort; later survival figures, recurrence table and Discussion.</w:t>
            </w:r>
          </w:p>
        </w:tc>
      </w:tr>
      <w:tr>
        <w:trPr>
          <w:cantSplit/>
        </w:trPr>
        <w:tc>
          <w:tcPr>
            <w:tcW w:type="dxa" w:w="3360"/>
            <w:tcW w:w="2000" w:type="dxa"/>
            <w:shd w:val="clear" w:color="auto" w:fill="FFFFFF"/>
          </w:tcPr>
          <w:p>
            <w:pPr>
              <w:spacing w:after="0"/>
            </w:pPr>
            <w:r>
              <w:rPr>
                <w:b/>
                <w:i w:val="0"/>
                <w:sz w:val="19"/>
              </w:rPr>
              <w:t>Kjaer 2023 · eligible non-LT panNET</w:t>
            </w:r>
          </w:p>
        </w:tc>
        <w:tc>
          <w:tcPr>
            <w:tcW w:type="dxa" w:w="3360"/>
            <w:tcW w:w="3900" w:type="dxa"/>
            <w:shd w:val="clear" w:color="auto" w:fill="FFFFFF"/>
          </w:tcPr>
          <w:p>
            <w:pPr>
              <w:spacing w:after="0"/>
            </w:pPr>
            <w:r>
              <w:rPr>
                <w:b w:val="0"/>
                <w:i w:val="0"/>
                <w:sz w:val="19"/>
              </w:rPr>
              <w:t>Single-centre retrospective non-LT panNET cohort, 2000–2021: 519 screened, 41 G1/G2 metastatic patients included; 16 met at least one historical LT framework (Milan 11, ENETS 8, UNOS 13, overlapping). Resected primary, liver metastases, no extra-abdominal disease, age ≤75 and no G3. Definitions modified historical criteria, including Milan age &lt;65 and two 'UNOS' patients with stable regional nodes, so not all meet today's NLRB requirements. Multimodal care included five liver resections, 15 ablations, six embolizations and later-line PRRT, not purely medical therapy.</w:t>
            </w:r>
          </w:p>
        </w:tc>
        <w:tc>
          <w:tcPr>
            <w:tcW w:type="dxa" w:w="3360"/>
            <w:tcW w:w="4180" w:type="dxa"/>
            <w:shd w:val="clear" w:color="auto" w:fill="FFFFFF"/>
          </w:tcPr>
          <w:p>
            <w:pPr>
              <w:spacing w:after="0"/>
            </w:pPr>
            <w:r>
              <w:rPr>
                <w:b w:val="0"/>
                <w:i w:val="0"/>
                <w:sz w:val="19"/>
              </w:rPr>
              <w:t>Time zero was date LT criteria fulfilled (for remaining patients, initial institutional visit after primary resection with liver metastases). Mean follow-up 5.4 years. Overall 41-patient median OS 9.3 years; five-year OS 64.7% (95% CI 48.2–81.2). Milan subset five-year OS 64.9% (32.2–97.6), ENETS 85.7% (59.8–100), historical UNOS 55.4% (26.0–84.8).</w:t>
            </w:r>
          </w:p>
          <w:p>
            <w:pPr>
              <w:spacing w:after="0"/>
            </w:pPr>
            <w:r>
              <w:rPr>
                <w:b w:val="0"/>
                <w:i/>
                <w:sz w:val="19"/>
              </w:rPr>
              <w:t>Limits: Small retrospective selected subgroups with very wide intervals; no internal LT comparator and treatment-era limitations. It challenges the assumption that eligible stage IV NET has uniformly poor non-LT survival; it cannot prove that non-LT is superior to LT. Avoid comparing its eligibility-based survival directly with post-LT curves as if randomized.</w:t>
            </w:r>
          </w:p>
          <w:p>
            <w:pPr>
              <w:spacing w:after="0"/>
            </w:pPr>
            <w:r>
              <w:rPr>
                <w:b w:val="0"/>
                <w:i w:val="0"/>
                <w:color w:val="5A6069"/>
                <w:sz w:val="18"/>
              </w:rPr>
              <w:t>World J Surg 2023 DOI10.1007/s00268-022-06736-1; complete PDF pp.2–5 methods, time origin, eligibility modifications, treatments and survival tables.</w:t>
            </w:r>
          </w:p>
        </w:tc>
      </w:tr>
      <w:tr>
        <w:trPr>
          <w:cantSplit/>
        </w:trPr>
        <w:tc>
          <w:tcPr>
            <w:tcW w:type="dxa" w:w="3360"/>
            <w:tcW w:w="2000" w:type="dxa"/>
            <w:shd w:val="clear" w:color="auto" w:fill="F1F5F8"/>
          </w:tcPr>
          <w:p>
            <w:pPr>
              <w:spacing w:after="0"/>
            </w:pPr>
            <w:r>
              <w:rPr>
                <w:b/>
                <w:i w:val="0"/>
                <w:sz w:val="19"/>
              </w:rPr>
              <w:t>Chan 2025 · CABINET</w:t>
            </w:r>
          </w:p>
        </w:tc>
        <w:tc>
          <w:tcPr>
            <w:tcW w:type="dxa" w:w="3360"/>
            <w:tcW w:w="3900" w:type="dxa"/>
            <w:shd w:val="clear" w:color="auto" w:fill="F1F5F8"/>
          </w:tcPr>
          <w:p>
            <w:pPr>
              <w:spacing w:after="0"/>
            </w:pPr>
            <w:r>
              <w:rPr>
                <w:b w:val="0"/>
                <w:i w:val="0"/>
                <w:sz w:val="19"/>
              </w:rPr>
              <w:t>CABINET double-blind phase III randomized trial, 298 previously treated progressive well-differentiated NET patients: independent extrapancreatic cohort n=203 and pancreatic cohort n=95, 2:1 cabozantinib versus placebo. Prior PRRT and/or targeted therapy; advanced progressive disease, not specifically liver-only Milan-eligible transplant candidates. Different disease strata and prior-treatment burden preclude direct comparison with LT series.</w:t>
            </w:r>
          </w:p>
        </w:tc>
        <w:tc>
          <w:tcPr>
            <w:tcW w:type="dxa" w:w="3360"/>
            <w:tcW w:w="4180" w:type="dxa"/>
            <w:shd w:val="clear" w:color="auto" w:fill="F1F5F8"/>
          </w:tcPr>
          <w:p>
            <w:pPr>
              <w:spacing w:after="0"/>
            </w:pPr>
            <w:r>
              <w:rPr>
                <w:b w:val="0"/>
                <w:i w:val="0"/>
                <w:sz w:val="19"/>
              </w:rPr>
              <w:t>Time zero randomization. Median PFS 8.4 versus 3.9 months in extrapancreatic NET (HR 0.38, 95% CI 0.25–0.59), 13.8 versus 4.4 months in panNET (HR 0.23, 0.12–0.42). Objective response 5% and 19% in respective cabozantinib cohorts versus 0% placebo. Grade ≥3 adverse events approximately 62–65% versus 23–27%. The primary report does not establish an LT-comparable OS benefit.</w:t>
            </w:r>
          </w:p>
          <w:p>
            <w:pPr>
              <w:spacing w:after="0"/>
            </w:pPr>
            <w:r>
              <w:rPr>
                <w:b w:val="0"/>
                <w:i/>
                <w:sz w:val="19"/>
              </w:rPr>
              <w:t>Limits: High-quality evidence for this systemic-treatment setting, indirect for transplant benefit. A treatment's availability does not mean every candidate must receive it before LT, and its toxicities/tempo must enter individualized comparison. PFS is not OS and placebo control does not represent an entire modern lifetime sequence.</w:t>
            </w:r>
          </w:p>
          <w:p>
            <w:pPr>
              <w:spacing w:after="0"/>
            </w:pPr>
            <w:r>
              <w:rPr>
                <w:b w:val="0"/>
                <w:i w:val="0"/>
                <w:color w:val="5A6069"/>
                <w:sz w:val="18"/>
              </w:rPr>
              <w:t>N Engl J Med 2025;392:653–665, online 2024; local complete PDF Methods, primary Results, response and safety tables.</w:t>
            </w:r>
          </w:p>
        </w:tc>
      </w:tr>
      <w:tr>
        <w:trPr>
          <w:cantSplit/>
        </w:trPr>
        <w:tc>
          <w:tcPr>
            <w:tcW w:type="dxa" w:w="3360"/>
            <w:tcW w:w="2000" w:type="dxa"/>
            <w:shd w:val="clear" w:color="auto" w:fill="FFFFFF"/>
          </w:tcPr>
          <w:p>
            <w:pPr>
              <w:spacing w:after="0"/>
            </w:pPr>
            <w:r>
              <w:rPr>
                <w:b/>
                <w:i w:val="0"/>
                <w:sz w:val="19"/>
              </w:rPr>
              <w:t>Caplin 2014 · CLARINET</w:t>
            </w:r>
          </w:p>
        </w:tc>
        <w:tc>
          <w:tcPr>
            <w:tcW w:type="dxa" w:w="3360"/>
            <w:tcW w:w="3900" w:type="dxa"/>
            <w:shd w:val="clear" w:color="auto" w:fill="FFFFFF"/>
          </w:tcPr>
          <w:p>
            <w:pPr>
              <w:spacing w:after="0"/>
            </w:pPr>
            <w:r>
              <w:rPr>
                <w:b w:val="0"/>
                <w:i w:val="0"/>
                <w:sz w:val="19"/>
              </w:rPr>
              <w:t>CLARINET randomized double-blind trial, 204 nonfunctioning advanced enteropancreatic NET patients (101 lanreotide, 103 placebo). SSTR-positive G1/G2 with Ki-67 &lt;10%; 96% had stable disease over the prior 3–6 months; one-third had hepatic burden &gt;25%. It represents indolent disease biology, not all progressive transplant candidates.</w:t>
            </w:r>
          </w:p>
        </w:tc>
        <w:tc>
          <w:tcPr>
            <w:tcW w:type="dxa" w:w="3360"/>
            <w:tcW w:w="4180" w:type="dxa"/>
            <w:shd w:val="clear" w:color="auto" w:fill="FFFFFF"/>
          </w:tcPr>
          <w:p>
            <w:pPr>
              <w:spacing w:after="0"/>
            </w:pPr>
            <w:r>
              <w:rPr>
                <w:b w:val="0"/>
                <w:i w:val="0"/>
                <w:sz w:val="19"/>
              </w:rPr>
              <w:t>From randomization, median PFS not reached with lanreotide versus 18 months placebo; HR 0.47 (95% CI 0.30–0.73). Twenty-four-month PFS 65.1% versus 33.0%. No significant OS or QoL difference in the primary report. Diarrhea 26% versus 9%.</w:t>
            </w:r>
          </w:p>
          <w:p>
            <w:pPr>
              <w:spacing w:after="0"/>
            </w:pPr>
            <w:r>
              <w:rPr>
                <w:b w:val="0"/>
                <w:i/>
                <w:sz w:val="19"/>
              </w:rPr>
              <w:t>Limits: Shows that stability and substantial survival without LT are plausible; does not estimate the added benefit of transplant or support treating all stable low-burden NET. G2 up to 20% and G3 are not represented by this &lt;10% trial threshold.</w:t>
            </w:r>
          </w:p>
          <w:p>
            <w:pPr>
              <w:spacing w:after="0"/>
            </w:pPr>
            <w:r>
              <w:rPr>
                <w:b w:val="0"/>
                <w:i w:val="0"/>
                <w:color w:val="5A6069"/>
                <w:sz w:val="18"/>
              </w:rPr>
              <w:t>N Engl J Med 2014;371:224–233; local complete PDF eligibility, Results and adverse-event table.</w:t>
            </w:r>
          </w:p>
        </w:tc>
      </w:tr>
      <w:tr>
        <w:trPr>
          <w:cantSplit/>
        </w:trPr>
        <w:tc>
          <w:tcPr>
            <w:tcW w:type="dxa" w:w="3360"/>
            <w:tcW w:w="2000" w:type="dxa"/>
            <w:shd w:val="clear" w:color="auto" w:fill="F1F5F8"/>
          </w:tcPr>
          <w:p>
            <w:pPr>
              <w:spacing w:after="0"/>
            </w:pPr>
            <w:r>
              <w:rPr>
                <w:b/>
                <w:i w:val="0"/>
                <w:sz w:val="19"/>
              </w:rPr>
              <w:t>Strosberg 2021 · NETTER-1 final OS</w:t>
            </w:r>
          </w:p>
        </w:tc>
        <w:tc>
          <w:tcPr>
            <w:tcW w:type="dxa" w:w="3360"/>
            <w:tcW w:w="3900" w:type="dxa"/>
            <w:shd w:val="clear" w:color="auto" w:fill="F1F5F8"/>
          </w:tcPr>
          <w:p>
            <w:pPr>
              <w:spacing w:after="0"/>
            </w:pPr>
            <w:r>
              <w:rPr>
                <w:b w:val="0"/>
                <w:i w:val="0"/>
                <w:sz w:val="19"/>
              </w:rPr>
              <w:t>NETTER-1 phase III randomized trial final OS follow-up: 360 assessed, 231 randomized (117 Lu-177-Dotatate, 114 high-dose octreotide), 223 treated in safety population. Progressive, well-differentiated G1/G2 SSTR-positive midgut NET on somatostatin analogue; not a liver-only transplant comparison. Corrected publisher version dated January 2022 reviewed.</w:t>
            </w:r>
          </w:p>
        </w:tc>
        <w:tc>
          <w:tcPr>
            <w:tcW w:type="dxa" w:w="3360"/>
            <w:tcW w:w="4180" w:type="dxa"/>
            <w:shd w:val="clear" w:color="auto" w:fill="F1F5F8"/>
          </w:tcPr>
          <w:p>
            <w:pPr>
              <w:spacing w:after="0"/>
            </w:pPr>
            <w:r>
              <w:rPr>
                <w:b w:val="0"/>
                <w:i w:val="0"/>
                <w:sz w:val="19"/>
              </w:rPr>
              <w:t>Time zero randomization; median follow-up about 76 months. Median OS 48.0 versus 36.3 months, HR 0.84 (95% CI 0.60–1.17), P=0.30; primary final OS endpoint not met. Forty-one of 114 controls (36%) crossed to PRRT. Two of 111 Lu-treated safety patients developed myelodysplastic syndrome, one fatal. Previously established PFS benefit and long-term tolerability remain relevant despite nonsignificant OS.</w:t>
            </w:r>
          </w:p>
          <w:p>
            <w:pPr>
              <w:spacing w:after="0"/>
            </w:pPr>
            <w:r>
              <w:rPr>
                <w:b w:val="0"/>
                <w:i/>
                <w:sz w:val="19"/>
              </w:rPr>
              <w:t>Limits: Crossover, additional therapies, attrition and distinct population prevent using median OS as a transplant counterfactual. Do not equate nonsignificant OS with no clinical activity, or assume PRRT has no long-term marrow risk.</w:t>
            </w:r>
          </w:p>
          <w:p>
            <w:pPr>
              <w:spacing w:after="0"/>
            </w:pPr>
            <w:r>
              <w:rPr>
                <w:b w:val="0"/>
                <w:i w:val="0"/>
                <w:color w:val="5A6069"/>
                <w:sz w:val="18"/>
              </w:rPr>
              <w:t>Lancet Oncol 2021;22:1752–1763; local corrected PDF pp.5–6 participant flow/crossover/OS; safety Results and Discussion.</w:t>
            </w:r>
          </w:p>
        </w:tc>
      </w:tr>
      <w:tr>
        <w:trPr>
          <w:cantSplit/>
        </w:trPr>
        <w:tc>
          <w:tcPr>
            <w:tcW w:type="dxa" w:w="3360"/>
            <w:tcW w:w="2000" w:type="dxa"/>
            <w:shd w:val="clear" w:color="auto" w:fill="FFFFFF"/>
          </w:tcPr>
          <w:p>
            <w:pPr>
              <w:spacing w:after="0"/>
            </w:pPr>
            <w:r>
              <w:rPr>
                <w:b/>
                <w:i w:val="0"/>
                <w:sz w:val="19"/>
              </w:rPr>
              <w:t>ENETS 2026</w:t>
            </w:r>
          </w:p>
        </w:tc>
        <w:tc>
          <w:tcPr>
            <w:tcW w:type="dxa" w:w="3360"/>
            <w:tcW w:w="3900" w:type="dxa"/>
            <w:shd w:val="clear" w:color="auto" w:fill="FFFFFF"/>
          </w:tcPr>
          <w:p>
            <w:pPr>
              <w:spacing w:after="0"/>
            </w:pPr>
            <w:r>
              <w:rPr>
                <w:b w:val="0"/>
                <w:i w:val="0"/>
                <w:sz w:val="19"/>
              </w:rPr>
              <w:t>ENETS 2026 position statement explicitly addressing controversies; expert, hypothesis-generating framework rather than original comparative outcome study. Reorients toward incremental benefit and proposes substantial liver burden, young/fit patients and selected controllable extrahepatic disease; broadens beyond traditional Milan in some respects.</w:t>
            </w:r>
          </w:p>
        </w:tc>
        <w:tc>
          <w:tcPr>
            <w:tcW w:type="dxa" w:w="3360"/>
            <w:tcW w:w="4180" w:type="dxa"/>
            <w:shd w:val="clear" w:color="auto" w:fill="FFFFFF"/>
          </w:tcPr>
          <w:p>
            <w:pPr>
              <w:spacing w:after="0"/>
            </w:pPr>
            <w:r>
              <w:rPr>
                <w:b w:val="0"/>
                <w:i w:val="0"/>
                <w:sz w:val="19"/>
              </w:rPr>
              <w:t>No original outcome denominator. Proposed liver-burden bands around 25–70%, age &lt;60 as relative and six-month stability are pragmatic concepts. Illustrative non-LT five-year survival &lt;30% versus post-LT ≥70% are not a calibrated individual benefit model.</w:t>
            </w:r>
          </w:p>
          <w:p>
            <w:pPr>
              <w:spacing w:after="0"/>
            </w:pPr>
            <w:r>
              <w:rPr>
                <w:b w:val="0"/>
                <w:i/>
                <w:sz w:val="19"/>
              </w:rPr>
              <w:t>Limits: Do not turn an expert future-oriented proposal into validated numerical gates. Suggested controllable extrahepatic disease, including bone, conflicts with current NLRB solid-organ-metastasis exclusion. It identifies research needs rather than approving an expansion.</w:t>
            </w:r>
          </w:p>
          <w:p>
            <w:pPr>
              <w:spacing w:after="0"/>
            </w:pPr>
            <w:r>
              <w:rPr>
                <w:b w:val="0"/>
                <w:i w:val="0"/>
                <w:color w:val="5A6069"/>
                <w:sz w:val="18"/>
              </w:rPr>
              <w:t>J Neuroendocrinol 2026;38:e70250; complete position-statement PDF burden, benefit, age, stability and extrahepatic discussion.</w:t>
            </w:r>
          </w:p>
        </w:tc>
      </w:tr>
    </w:tbl>
    <w:p>
      <w:pPr>
        <w:spacing w:after="40"/>
      </w:pPr>
    </w:p>
    <w:p>
      <w:pPr>
        <w:pStyle w:val="Heading3"/>
        <w:keepNext/>
        <w:spacing w:before="120" w:after="80"/>
      </w:pPr>
      <w:r>
        <w:rPr>
          <w:b w:val="0"/>
          <w:i w:val="0"/>
        </w:rPr>
        <w:t>Our proposed selection (OPEN)</w:t>
      </w:r>
    </w:p>
    <w:p>
      <w:pPr>
        <w:spacing w:after="80"/>
      </w:pPr>
      <w:r>
        <w:rPr>
          <w:b w:val="0"/>
          <w:i w:val="0"/>
        </w:rPr>
        <w:t>Require a demonstrable benefit trigger; excellent predicted post-LT survival alone is not enough.</w:t>
      </w:r>
    </w:p>
    <w:p>
      <w:pPr>
        <w:numPr>
          <w:ilvl w:val="0"/>
          <w:numId w:val="5"/>
        </w:numPr>
        <w:spacing w:after="40"/>
      </w:pPr>
      <w:r>
        <w:rPr>
          <w:b w:val="0"/>
          <w:i w:val="0"/>
        </w:rPr>
        <w:t>Proposed requirements: favorable-biology unresectable liver disease with controlled primary, plus at least one trigger—refractory functioning syndrome, clinically meaningful liver-related functional compromise, or a prospectively documented credible threat to durable hepatic control despite reasonable alternatives. Do not require established irreversible failure before assessing benefit.</w:t>
      </w:r>
    </w:p>
    <w:p>
      <w:pPr>
        <w:numPr>
          <w:ilvl w:val="0"/>
          <w:numId w:val="5"/>
        </w:numPr>
        <w:spacing w:after="40"/>
      </w:pPr>
      <w:r>
        <w:rPr>
          <w:b w:val="0"/>
          <w:i w:val="0"/>
        </w:rPr>
        <w:t>NET oncology and an independent transplant/HPB reviewer must agree that LT offers meaningful additional survival or symptom/function benefit over the patient’s accessible options, with B2 biological stability satisfied.</w:t>
      </w:r>
    </w:p>
    <w:p>
      <w:pPr>
        <w:numPr>
          <w:ilvl w:val="0"/>
          <w:numId w:val="5"/>
        </w:numPr>
        <w:spacing w:after="40"/>
      </w:pPr>
      <w:r>
        <w:rPr>
          <w:b w:val="0"/>
          <w:i w:val="0"/>
        </w:rPr>
        <w:t>Asymptomatic stable low-burden disease with preserved hepatic function and reasonable durable options defaults to continued non-LT care/observation. Evaluate at least one appropriate treatment strategy; do not require two failures or exhaustion of every therapy. Do not use ENETS illustrative &lt;30%/≥70% figures as a validated calculator.</w:t>
      </w:r>
    </w:p>
    <w:p>
      <w:pPr>
        <w:spacing w:after="80"/>
      </w:pPr>
      <w:r>
        <w:rPr>
          <w:b/>
          <w:i w:val="0"/>
        </w:rPr>
        <w:t xml:space="preserve">Why: </w:t>
      </w:r>
      <w:r>
        <w:rPr>
          <w:b w:val="0"/>
          <w:i w:val="0"/>
        </w:rPr>
        <w:t>Selected NET recipients can have excellent long-term survival, and comparative cohorts suggest potential benefit, especially over a decade. However, good post-LT survival is not synonymous with large incremental benefit: non-LT eligible patients can also live many years. The best Milan comparison adjusted delayed LT entry but remains confounded and predates most modern sequencing. The multicentre main-body matched OS difference is smaller than its abstract suggests. A credible benefit assessment must include both long-term hepatic threat and competing treatment/transplant harms.</w:t>
      </w:r>
    </w:p>
    <w:p>
      <w:pPr>
        <w:spacing w:after="80"/>
      </w:pPr>
      <w:r>
        <w:rPr>
          <w:b/>
          <w:i w:val="0"/>
        </w:rPr>
        <w:t xml:space="preserve">Against, or uncertain: </w:t>
      </w:r>
      <w:r>
        <w:rPr>
          <w:b w:val="0"/>
          <w:i w:val="0"/>
        </w:rPr>
        <w:t>Kjaer's eligibility-based non-LT cohort had substantial long-term survival; CLARINET supports prolonged control for indolent Ki-67 &lt;10% disease. CABINET and PRRT offer additional disease-control options, but none is a randomized comparator to LT. Conversely, requiring every systemic option to fail may forfeit the transplant window and is not tested. Maspero documents late multisite recurrence and non-cancer deaths despite excellent LT survival.</w:t>
      </w:r>
    </w:p>
    <w:p>
      <w:pPr>
        <w:spacing w:after="80"/>
      </w:pPr>
      <w:r>
        <w:rPr>
          <w:b/>
          <w:i w:val="0"/>
        </w:rPr>
        <w:t xml:space="preserve">Certainty: </w:t>
      </w:r>
      <w:r>
        <w:rPr>
          <w:b w:val="0"/>
          <w:i w:val="0"/>
        </w:rPr>
        <w:t>Low certainty for a causal LT benefit magnitude and any individual benefit cutoff; moderate certainty that NET biology and modern alternatives vary greatly. High-quality systemic-trial efficacy is indirect for transplant selection. No validated calculator supports the ENETS illustrative 30%/70% survival targets.</w:t>
      </w:r>
    </w:p>
    <w:p>
      <w:pPr>
        <w:spacing w:after="80"/>
      </w:pPr>
      <w:r>
        <w:rPr>
          <w:b/>
          <w:i w:val="0"/>
        </w:rPr>
        <w:t xml:space="preserve">Tests and records: </w:t>
      </w:r>
      <w:r>
        <w:rPr>
          <w:b w:val="0"/>
          <w:i w:val="0"/>
        </w:rPr>
        <w:t>Functional syndrome and treatment response; symptoms/liver reserve; growth trajectory; SSTR status and treatment alternatives; patient goals; independent benefit review.</w:t>
      </w:r>
    </w:p>
    <w:p>
      <w:pPr>
        <w:spacing w:after="80"/>
      </w:pPr>
      <w:r>
        <w:rPr>
          <w:b/>
          <w:i w:val="0"/>
        </w:rPr>
        <w:t xml:space="preserve">Allocation: </w:t>
      </w:r>
      <w:r>
        <w:rPr>
          <w:b w:val="0"/>
          <w:i w:val="0"/>
        </w:rPr>
        <w:t>Favorable clinical prognosis does not establish urgency, exception entitlement or a reason to expose a healthy donor.</w:t>
      </w:r>
    </w:p>
    <w:p>
      <w:pPr>
        <w:spacing w:after="40"/>
      </w:pPr>
      <w:r>
        <w:rPr>
          <w:b/>
          <w:i w:val="0"/>
        </w:rPr>
        <w:t xml:space="preserve">Basis for the proposed thresholds: </w:t>
      </w:r>
    </w:p>
    <w:p>
      <w:pPr>
        <w:numPr>
          <w:ilvl w:val="0"/>
          <w:numId w:val="5"/>
        </w:numPr>
        <w:spacing w:after="40"/>
      </w:pPr>
      <w:r>
        <w:rPr>
          <w:b w:val="0"/>
          <w:i w:val="0"/>
        </w:rPr>
        <w:t>No randomized study validates a minimum survival-gain percentage, two-line failure count, or ENETS &lt;30% versus ≥70% prediction. Six-month observation screens biology but does not prove added benefit. Any local two-reviewer requirement and reassessment cadence are governance, not biological cutoffs.</w:t>
      </w:r>
    </w:p>
    <w:p>
      <w:pPr>
        <w:pStyle w:val="Heading3"/>
        <w:keepNext/>
        <w:spacing w:before="120" w:after="80"/>
      </w:pPr>
      <w:r>
        <w:rPr>
          <w:b w:val="0"/>
          <w:i w:val="0"/>
        </w:rPr>
        <w:t>NET-B1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NET-B2 — Primary site, grade and disease control</w:t>
      </w:r>
    </w:p>
    <w:p>
      <w:pPr>
        <w:spacing w:after="80"/>
      </w:pPr>
      <w:r>
        <w:rPr>
          <w:b w:val="0"/>
          <w:i w:val="0"/>
          <w:color w:val="5A6069"/>
          <w:sz w:val="18"/>
        </w:rPr>
        <w:t>Review initial selection limits · not activated · High-risk review</w:t>
      </w:r>
    </w:p>
    <w:p>
      <w:pPr>
        <w:spacing w:after="80"/>
      </w:pPr>
      <w:r>
        <w:rPr>
          <w:b/>
          <w:i w:val="0"/>
        </w:rPr>
        <w:t xml:space="preserve">Question: </w:t>
      </w:r>
      <w:r>
        <w:rPr>
          <w:b w:val="0"/>
          <w:i w:val="0"/>
        </w:rPr>
        <w:t>What is guideline-aligned versus an expanded-risk proposal?</w:t>
      </w:r>
    </w:p>
    <w:p>
      <w:pPr>
        <w:spacing w:after="80"/>
      </w:pPr>
      <w:r>
        <w:rPr>
          <w:b/>
          <w:i w:val="0"/>
        </w:rPr>
        <w:t xml:space="preserve">When it applies: </w:t>
      </w:r>
      <w:r>
        <w:rPr>
          <w:b w:val="0"/>
          <w:i w:val="0"/>
        </w:rPr>
        <w:t>Confirm differentiation, primary site and the duration of disease control. Previous extrahepatic disease has its own review (NET-B4).</w:t>
      </w:r>
    </w:p>
    <w:p>
      <w:pPr>
        <w:spacing w:after="80"/>
      </w:pPr>
      <w:r>
        <w:rPr>
          <w:b/>
          <w:i w:val="0"/>
        </w:rPr>
        <w:t xml:space="preserve">Where it is decided: </w:t>
      </w:r>
      <w:hyperlink r:id="rId10">
        <w:r>
          <w:rPr>
            <w:color w:val="0563C1"/>
            <w:u w:val="single"/>
          </w:rPr>
          <w:t xml:space="preserve">Confirm differentiation and grade</w:t>
        </w:r>
      </w:hyperlink>
      <w:r>
        <w:rPr>
          <w:b w:val="0"/>
          <w:i w:val="0"/>
        </w:rPr>
        <w:t xml:space="preserve"> · </w:t>
      </w:r>
      <w:hyperlink r:id="rId11">
        <w:r>
          <w:rPr>
            <w:color w:val="0563C1"/>
            <w:u w:val="single"/>
          </w:rPr>
          <w:t xml:space="preserve">Stage disease and confirm primary treatment</w:t>
        </w:r>
      </w:hyperlink>
      <w:r>
        <w:rPr>
          <w:b w:val="0"/>
          <w:i w:val="0"/>
        </w:rPr>
        <w:t xml:space="preserve"> · </w:t>
      </w:r>
      <w:hyperlink r:id="rId12">
        <w:r>
          <w:rPr>
            <w:color w:val="0563C1"/>
            <w:u w:val="single"/>
          </w:rPr>
          <w:t xml:space="preserve">Verify disease control</w:t>
        </w:r>
      </w:hyperlink>
    </w:p>
    <w:p>
      <w:pPr>
        <w:spacing w:after="120"/>
      </w:pPr>
      <w:r>
        <w:rPr>
          <w:b/>
          <w:i w:val="0"/>
          <w:sz w:val="18"/>
        </w:rPr>
        <w:t xml:space="preserve">Web page: </w:t>
      </w:r>
      <w:hyperlink r:id="rId1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oncology guidance</w:t>
            </w:r>
          </w:p>
        </w:tc>
        <w:tc>
          <w:tcPr>
            <w:tcW w:type="dxa" w:w="3360"/>
            <w:tcW w:w="5480" w:type="dxa"/>
            <w:shd w:val="clear" w:color="auto" w:fill="F1F5F8"/>
          </w:tcPr>
          <w:p>
            <w:pPr>
              <w:spacing w:after="0"/>
            </w:pPr>
            <w:r>
              <w:rPr>
                <w:b w:val="0"/>
                <w:i w:val="0"/>
                <w:sz w:val="19"/>
              </w:rPr>
              <w:t>“mitotic rate less than 20 per 10 HPF and index less than 20%.” Retain the exact published guidance threshold and clarify pathology sampling/measurement uncertainty.</w:t>
            </w:r>
          </w:p>
        </w:tc>
        <w:tc>
          <w:tcPr>
            <w:tcW w:type="dxa" w:w="3360"/>
            <w:tcW w:w="2400" w:type="dxa"/>
            <w:shd w:val="clear" w:color="auto" w:fill="F1F5F8"/>
          </w:tcPr>
          <w:p>
            <w:pPr>
              <w:spacing w:after="0"/>
            </w:pPr>
            <w:r>
              <w:rPr>
                <w:b w:val="0"/>
                <w:i w:val="0"/>
                <w:color w:val="5A6069"/>
                <w:sz w:val="18"/>
              </w:rPr>
              <w:t>December 2025 oncology guidance p8, NET criterion 3</w:t>
            </w:r>
          </w:p>
        </w:tc>
      </w:tr>
      <w:tr>
        <w:trPr>
          <w:cantSplit/>
        </w:trPr>
        <w:tc>
          <w:tcPr>
            <w:tcW w:type="dxa" w:w="3360"/>
            <w:tcW w:w="2200" w:type="dxa"/>
            <w:shd w:val="clear" w:color="auto" w:fill="FFFFFF"/>
          </w:tcPr>
          <w:p>
            <w:pPr>
              <w:spacing w:after="0"/>
            </w:pPr>
            <w:r>
              <w:rPr>
                <w:b/>
                <w:i w:val="0"/>
                <w:sz w:val="19"/>
              </w:rPr>
              <w:t>Mazzaferro 2016 · Milan-NET</w:t>
            </w:r>
          </w:p>
        </w:tc>
        <w:tc>
          <w:tcPr>
            <w:tcW w:type="dxa" w:w="3360"/>
            <w:tcW w:w="5480" w:type="dxa"/>
            <w:shd w:val="clear" w:color="auto" w:fill="FFFFFF"/>
          </w:tcPr>
          <w:p>
            <w:pPr>
              <w:spacing w:after="0"/>
            </w:pPr>
            <w:r>
              <w:rPr>
                <w:b w:val="0"/>
                <w:i w:val="0"/>
                <w:sz w:val="19"/>
              </w:rPr>
              <w:t>“Stable disease/response to therapies for at least 6 months prior to transplant consideration” A biological selection interval; the proposed three-scan workflow is not itself a validated benefit predictor.</w:t>
            </w:r>
          </w:p>
        </w:tc>
        <w:tc>
          <w:tcPr>
            <w:tcW w:type="dxa" w:w="3360"/>
            <w:tcW w:w="2400" w:type="dxa"/>
            <w:shd w:val="clear" w:color="auto" w:fill="FFFFFF"/>
          </w:tcPr>
          <w:p>
            <w:pPr>
              <w:spacing w:after="0"/>
            </w:pPr>
            <w:r>
              <w:rPr>
                <w:b w:val="0"/>
                <w:i w:val="0"/>
                <w:color w:val="5A6069"/>
                <w:sz w:val="18"/>
              </w:rPr>
              <w:t>Milan-NET, Table 1, PDF p2 / journal p2893</w:t>
            </w:r>
          </w:p>
        </w:tc>
      </w:tr>
      <w:tr>
        <w:trPr>
          <w:cantSplit/>
        </w:trPr>
        <w:tc>
          <w:tcPr>
            <w:tcW w:type="dxa" w:w="3360"/>
            <w:tcW w:w="2200" w:type="dxa"/>
            <w:shd w:val="clear" w:color="auto" w:fill="F1F5F8"/>
          </w:tcPr>
          <w:p>
            <w:pPr>
              <w:spacing w:after="0"/>
            </w:pPr>
            <w:r>
              <w:rPr>
                <w:b/>
                <w:i w:val="0"/>
                <w:sz w:val="19"/>
              </w:rPr>
              <w:t>ENETS 2026</w:t>
            </w:r>
          </w:p>
        </w:tc>
        <w:tc>
          <w:tcPr>
            <w:tcW w:type="dxa" w:w="3360"/>
            <w:tcW w:w="5480" w:type="dxa"/>
            <w:shd w:val="clear" w:color="auto" w:fill="F1F5F8"/>
          </w:tcPr>
          <w:p>
            <w:pPr>
              <w:spacing w:after="0"/>
            </w:pPr>
            <w:r>
              <w:rPr>
                <w:b w:val="0"/>
                <w:i w:val="0"/>
                <w:sz w:val="19"/>
              </w:rPr>
              <w:t>“solitary bone lesions amenable to local treatment” ENETS discusses selected controllable extrahepatic sites, including this example. Current NLRB solid-organ-metastasis exclusion is stricter. I favor no initial expansion despite this emerging clinical-consensus proposal.</w:t>
            </w:r>
          </w:p>
        </w:tc>
        <w:tc>
          <w:tcPr>
            <w:tcW w:type="dxa" w:w="3360"/>
            <w:tcW w:w="2400" w:type="dxa"/>
            <w:shd w:val="clear" w:color="auto" w:fill="F1F5F8"/>
          </w:tcPr>
          <w:p>
            <w:pPr>
              <w:spacing w:after="0"/>
            </w:pPr>
            <w:r>
              <w:rPr>
                <w:b w:val="0"/>
                <w:i w:val="0"/>
                <w:color w:val="5A6069"/>
                <w:sz w:val="18"/>
              </w:rPr>
              <w:t>2026 full-text PDF p3, section 4, proposed candidate profile</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Mazzaferro 2016 · Milan-NET</w:t>
            </w:r>
          </w:p>
        </w:tc>
        <w:tc>
          <w:tcPr>
            <w:tcW w:type="dxa" w:w="3360"/>
            <w:tcW w:w="3900" w:type="dxa"/>
            <w:shd w:val="clear" w:color="auto" w:fill="F1F5F8"/>
          </w:tcPr>
          <w:p>
            <w:pPr>
              <w:spacing w:after="0"/>
            </w:pPr>
            <w:r>
              <w:rPr>
                <w:b w:val="0"/>
                <w:i w:val="0"/>
                <w:sz w:val="19"/>
              </w:rPr>
              <w:t>Single-centre comparative Milan-NET study, 88 eligible patients: 42 LT and 46 non-LT, 1995–2010 era, nonrandomized. Well-differentiated portal-drained GEP primary, primary/extrahepatic disease removed, limited hepatic burden, at least six months stability; age &lt;60 was relative. LT recipients were substantially younger (median 40.5 versus 55.5), and post hoc grading differed, including four G3 in non-LT versus none in LT. Primary regional nodes had been positive in 34/42 LT recipients; this is not evidence supporting active uncleared extrahepatic disease at LT.</w:t>
            </w:r>
          </w:p>
        </w:tc>
        <w:tc>
          <w:tcPr>
            <w:tcW w:type="dxa" w:w="3360"/>
            <w:tcW w:w="4180" w:type="dxa"/>
            <w:shd w:val="clear" w:color="auto" w:fill="F1F5F8"/>
          </w:tcPr>
          <w:p>
            <w:pPr>
              <w:spacing w:after="0"/>
            </w:pPr>
            <w:r>
              <w:rPr>
                <w:b w:val="0"/>
                <w:i w:val="0"/>
                <w:sz w:val="19"/>
              </w:rPr>
              <w:t>Median follow-up 122 months. Five-/ten-year OS 97.2%/88.8% LT versus 50.9%/22.4% non-LT. Time origin was primary-tumour resection; authors used left-truncated Cox models to account for delayed LT entry. Propensity-adjusted restricted mean survival gain was 6.82 months at five years and 38.43 months at ten years. These are cohort estimates, not individual calculators.</w:t>
            </w:r>
          </w:p>
          <w:p>
            <w:pPr>
              <w:spacing w:after="0"/>
            </w:pPr>
            <w:r>
              <w:rPr>
                <w:b w:val="0"/>
                <w:i/>
                <w:sz w:val="19"/>
              </w:rPr>
              <w:t>Limits: Major selection/age/treatment-era differences, small numbers and residual confounding remain despite statistical handling of delayed treatment. Only 4/46 non-LT patients received PRRT, so this is not a modern sequential-care comparator. Patients overlap subsequent Milan series and some multicentre LT studies; do not sum them as independent evidence.</w:t>
            </w:r>
          </w:p>
          <w:p>
            <w:pPr>
              <w:spacing w:after="0"/>
            </w:pPr>
            <w:r>
              <w:rPr>
                <w:b w:val="0"/>
                <w:i w:val="0"/>
                <w:color w:val="5A6069"/>
                <w:sz w:val="18"/>
              </w:rPr>
              <w:t>Am J Transplant 2016;16:2892–2902; full PDF Methods statistical time origin/left truncation, Tables 1–2 eligibility/characteristics, survival and restricted-mean analyses.</w:t>
            </w:r>
          </w:p>
        </w:tc>
      </w:tr>
      <w:tr>
        <w:trPr>
          <w:cantSplit/>
        </w:trPr>
        <w:tc>
          <w:tcPr>
            <w:tcW w:type="dxa" w:w="3360"/>
            <w:tcW w:w="2000" w:type="dxa"/>
            <w:shd w:val="clear" w:color="auto" w:fill="FFFFFF"/>
          </w:tcPr>
          <w:p>
            <w:pPr>
              <w:spacing w:after="0"/>
            </w:pPr>
            <w:r>
              <w:rPr>
                <w:b/>
                <w:i w:val="0"/>
                <w:sz w:val="19"/>
              </w:rPr>
              <w:t>Eshmuminov 2023 · LT versus resection</w:t>
            </w:r>
          </w:p>
        </w:tc>
        <w:tc>
          <w:tcPr>
            <w:tcW w:type="dxa" w:w="3360"/>
            <w:tcW w:w="3900" w:type="dxa"/>
            <w:shd w:val="clear" w:color="auto" w:fill="FFFFFF"/>
          </w:tcPr>
          <w:p>
            <w:pPr>
              <w:spacing w:after="0"/>
            </w:pPr>
            <w:r>
              <w:rPr>
                <w:b w:val="0"/>
                <w:i w:val="0"/>
                <w:sz w:val="19"/>
              </w:rPr>
              <w:t>International retrospective comparison from 15 centres, 1988–2021: 455 patients (225 LT, 230 liver resection); median follow-up 97 months. Propensity matching produced 96 patients per group. Surgically selected patients, matched on age, grade and primary location. Twenty-seven percent of LT cases had unknown grade; burden, era and treatment history remain imperfectly controlled. Resection and LT do not necessarily address anatomically interchangeable patients.</w:t>
            </w:r>
          </w:p>
        </w:tc>
        <w:tc>
          <w:tcPr>
            <w:tcW w:type="dxa" w:w="3360"/>
            <w:tcW w:w="4180" w:type="dxa"/>
            <w:shd w:val="clear" w:color="auto" w:fill="FFFFFF"/>
          </w:tcPr>
          <w:p>
            <w:pPr>
              <w:spacing w:after="0"/>
            </w:pPr>
            <w:r>
              <w:rPr>
                <w:b w:val="0"/>
                <w:i w:val="0"/>
                <w:sz w:val="19"/>
              </w:rPr>
              <w:t>Use main Results p.e1067/Table 4: matched five-year OS 75% LT versus 68.3% LR, HR 0.56 (95% CI 0.35–0.90); five-year PFS 64.2% versus 14.2%, HR 0.25 (0.16–0.39), measured from operation. Ninety-day deaths 13/225 LT (5.8%) versus 3/230 LR (1.3%). LT G1 versus G2 five-year OS 92.9% versus 70%; adjusted G2 HR 2.52 (1.15–5.52). Outside-Milan matched OS HR 0.64 (0.31–1.33), not statistically conclusive.</w:t>
            </w:r>
          </w:p>
          <w:p>
            <w:pPr>
              <w:spacing w:after="0"/>
            </w:pPr>
            <w:r>
              <w:rPr>
                <w:b w:val="0"/>
                <w:i/>
                <w:sz w:val="19"/>
              </w:rPr>
              <w:t>Limits: Material abstract/body discrepancy: abstract reports matched five-year OS 73% versus 52.8%, whereas main Results/Table 4 report 75% versus 68.3%. The latter is used with explicit discrepancy flag; clarification would be desirable. Matching does not remove unmeasured confounding, missing pathology, era or selection bias. The nonsignificant outside-Milan estimate does not prove no benefit, and ten G3 cases do not validate G3 LT. Overlaps centre cohorts including Milan.</w:t>
            </w:r>
          </w:p>
          <w:p>
            <w:pPr>
              <w:spacing w:after="0"/>
            </w:pPr>
            <w:r>
              <w:rPr>
                <w:b w:val="0"/>
                <w:i w:val="0"/>
                <w:color w:val="5A6069"/>
                <w:sz w:val="18"/>
              </w:rPr>
              <w:t>Ann Surg 2023 DOI10.1097/SLA.0000000000005663; PDF main Results printed p.e1067/Table 4 for matched outcomes; earlier Tables 1–3 for grade and mortality; abstract on first page differs.</w:t>
            </w:r>
          </w:p>
        </w:tc>
      </w:tr>
      <w:tr>
        <w:trPr>
          <w:cantSplit/>
        </w:trPr>
        <w:tc>
          <w:tcPr>
            <w:tcW w:type="dxa" w:w="3360"/>
            <w:tcW w:w="2000" w:type="dxa"/>
            <w:shd w:val="clear" w:color="auto" w:fill="F1F5F8"/>
          </w:tcPr>
          <w:p>
            <w:pPr>
              <w:spacing w:after="0"/>
            </w:pPr>
            <w:r>
              <w:rPr>
                <w:b/>
                <w:i w:val="0"/>
                <w:sz w:val="19"/>
              </w:rPr>
              <w:t>Boscà 2026 · Spain</w:t>
            </w:r>
          </w:p>
        </w:tc>
        <w:tc>
          <w:tcPr>
            <w:tcW w:type="dxa" w:w="3360"/>
            <w:tcW w:w="3900" w:type="dxa"/>
            <w:shd w:val="clear" w:color="auto" w:fill="F1F5F8"/>
          </w:tcPr>
          <w:p>
            <w:pPr>
              <w:spacing w:after="0"/>
            </w:pPr>
            <w:r>
              <w:rPr>
                <w:b w:val="0"/>
                <w:i w:val="0"/>
                <w:sz w:val="19"/>
              </w:rPr>
              <w:t>Spanish 13-centre retrospective series of 91 NET LT recipients, 1995–2024; 41 transplanted before 2007; 71 Milan-IN and 20 Milan-OUT. Mixed primary sites/eras and deviations. Pathology data missing in more than 30%; Ki-67 available in 51, with only one documented &gt;20%. Milan-OUT combines different burden, primary, grade and other deviations; it is not a controlled trial of a single burden expansion.</w:t>
            </w:r>
          </w:p>
        </w:tc>
        <w:tc>
          <w:tcPr>
            <w:tcW w:type="dxa" w:w="3360"/>
            <w:tcW w:w="4180" w:type="dxa"/>
            <w:shd w:val="clear" w:color="auto" w:fill="F1F5F8"/>
          </w:tcPr>
          <w:p>
            <w:pPr>
              <w:spacing w:after="0"/>
            </w:pPr>
            <w:r>
              <w:rPr>
                <w:b w:val="0"/>
                <w:i w:val="0"/>
                <w:sz w:val="19"/>
              </w:rPr>
              <w:t>Time zero LT; median follow-up 6.5 years. Table 5: five-year OS 71.0% IN versus 58.7% OUT, ten-year 55.5% versus 32.0%, fifteen-year 52.2% versus 16.0% (OS comparison P=0.03). Five-year DFS 58.8% versus 36.3%, not statistically significant. Recurrence 52/91; ninety-day mortality 9/91 (9.9%). Nine retransplants: two primary nonfunction, six hepatic artery thrombosis, one rejection.</w:t>
            </w:r>
          </w:p>
          <w:p>
            <w:pPr>
              <w:spacing w:after="0"/>
            </w:pPr>
            <w:r>
              <w:rPr>
                <w:b w:val="0"/>
                <w:i/>
                <w:sz w:val="19"/>
              </w:rPr>
              <w:t>Limits: Era, missing pathology, small OUT group and composite deviations preclude validating 50–70% burden, age ≥60, G3 or extrahepatic expansion individually. Nonsignificant DFS is not equivalence. The abstract rounds OUT five-year OS differently; use Table 5 value with locator.</w:t>
            </w:r>
          </w:p>
          <w:p>
            <w:pPr>
              <w:spacing w:after="0"/>
            </w:pPr>
            <w:r>
              <w:rPr>
                <w:b w:val="0"/>
                <w:i w:val="0"/>
                <w:color w:val="5A6069"/>
                <w:sz w:val="18"/>
              </w:rPr>
              <w:t>J Clin Med 2026;15:938; complete PDF Results, Tables 2–5, postoperative mortality/retransplantation and limitations.</w:t>
            </w:r>
          </w:p>
        </w:tc>
      </w:tr>
      <w:tr>
        <w:trPr>
          <w:cantSplit/>
        </w:trPr>
        <w:tc>
          <w:tcPr>
            <w:tcW w:type="dxa" w:w="3360"/>
            <w:tcW w:w="2000" w:type="dxa"/>
            <w:shd w:val="clear" w:color="auto" w:fill="FFFFFF"/>
          </w:tcPr>
          <w:p>
            <w:pPr>
              <w:spacing w:after="0"/>
            </w:pPr>
            <w:r>
              <w:rPr>
                <w:b/>
                <w:i w:val="0"/>
                <w:sz w:val="19"/>
              </w:rPr>
              <w:t>Le Treut 2013 · ELTR</w:t>
            </w:r>
          </w:p>
        </w:tc>
        <w:tc>
          <w:tcPr>
            <w:tcW w:type="dxa" w:w="3360"/>
            <w:tcW w:w="3900" w:type="dxa"/>
            <w:shd w:val="clear" w:color="auto" w:fill="FFFFFF"/>
          </w:tcPr>
          <w:p>
            <w:pPr>
              <w:spacing w:after="0"/>
            </w:pPr>
            <w:r>
              <w:rPr>
                <w:b w:val="0"/>
                <w:i w:val="0"/>
                <w:sz w:val="19"/>
              </w:rPr>
              <w:t>European Liver Transplant Registry retrospective multicentre study, 213 recipients at 35 centres, 1982–2009; 107 before 2000 and 106 thereafter. Published primary abstract reviewed. Heterogeneous historical NET pathology and selection; 55% had hepatomegaly. Major additional resection in 24 and minor in 30. Historical poor differentiation is not interchangeable with modern well-differentiated G3.</w:t>
            </w:r>
          </w:p>
        </w:tc>
        <w:tc>
          <w:tcPr>
            <w:tcW w:type="dxa" w:w="3360"/>
            <w:tcW w:w="4180" w:type="dxa"/>
            <w:shd w:val="clear" w:color="auto" w:fill="FFFFFF"/>
          </w:tcPr>
          <w:p>
            <w:pPr>
              <w:spacing w:after="0"/>
            </w:pPr>
            <w:r>
              <w:rPr>
                <w:b w:val="0"/>
                <w:i w:val="0"/>
                <w:sz w:val="19"/>
              </w:rPr>
              <w:t>Three-month mortality 10%. Five-year OS 52% measured from LT, versus 73% measured from liver-metastasis diagnosis; five-year DFS 30%. Post-2000 five-year OS 59%. Poor differentiation, hepatomegaly and concurrent major resection were adverse; age &gt;45 was adverse in a later-era analysis.</w:t>
            </w:r>
          </w:p>
          <w:p>
            <w:pPr>
              <w:spacing w:after="0"/>
            </w:pPr>
            <w:r>
              <w:rPr>
                <w:b w:val="0"/>
                <w:i/>
                <w:sz w:val="19"/>
              </w:rPr>
              <w:t>Limits: The striking time-origin difference illustrates why survival curves cannot be compared casually. Registry era, incomplete grading and nonrandom selection limit modern applicability. Age 45 association does not establish a biological exclusion threshold. Cohort overlap with later multicentre reports is likely.</w:t>
            </w:r>
          </w:p>
          <w:p>
            <w:pPr>
              <w:spacing w:after="0"/>
            </w:pPr>
            <w:r>
              <w:rPr>
                <w:b w:val="0"/>
                <w:i w:val="0"/>
                <w:color w:val="5A6069"/>
                <w:sz w:val="18"/>
              </w:rPr>
              <w:t>Ann Surg 2013 DOI10.1097/SLA.0b013e31828ee17c; PMID23532105 primary abstract; complete PDF not located.</w:t>
            </w:r>
          </w:p>
        </w:tc>
      </w:tr>
      <w:tr>
        <w:trPr>
          <w:cantSplit/>
        </w:trPr>
        <w:tc>
          <w:tcPr>
            <w:tcW w:type="dxa" w:w="3360"/>
            <w:tcW w:w="2000" w:type="dxa"/>
            <w:shd w:val="clear" w:color="auto" w:fill="F1F5F8"/>
          </w:tcPr>
          <w:p>
            <w:pPr>
              <w:spacing w:after="0"/>
            </w:pPr>
            <w:r>
              <w:rPr>
                <w:b/>
                <w:i w:val="0"/>
                <w:sz w:val="19"/>
              </w:rPr>
              <w:t>NETTER-2</w:t>
            </w:r>
          </w:p>
        </w:tc>
        <w:tc>
          <w:tcPr>
            <w:tcW w:type="dxa" w:w="3360"/>
            <w:tcW w:w="3900" w:type="dxa"/>
            <w:shd w:val="clear" w:color="auto" w:fill="F1F5F8"/>
          </w:tcPr>
          <w:p>
            <w:pPr>
              <w:spacing w:after="0"/>
            </w:pPr>
            <w:r>
              <w:rPr>
                <w:b w:val="0"/>
                <w:i w:val="0"/>
                <w:sz w:val="19"/>
              </w:rPr>
              <w:t>NETTER-2 open-label phase III randomized trial: 261 screened, 226 randomized, 151 Lu-177-Dotatate plus octreotide and 75 high-dose octreotide. Newly diagnosed advanced well-differentiated G2 Ki-67 10–20% and G3 &gt;20–55%, SSTR-positive in all target lesions. G3 NET is biologically distinct from poorly differentiated NEC. This was not a trial of transplant eligibility or transplant bridging.</w:t>
            </w:r>
          </w:p>
        </w:tc>
        <w:tc>
          <w:tcPr>
            <w:tcW w:type="dxa" w:w="3360"/>
            <w:tcW w:w="4180" w:type="dxa"/>
            <w:shd w:val="clear" w:color="auto" w:fill="F1F5F8"/>
          </w:tcPr>
          <w:p>
            <w:pPr>
              <w:spacing w:after="0"/>
            </w:pPr>
            <w:r>
              <w:rPr>
                <w:b w:val="0"/>
                <w:i w:val="0"/>
                <w:sz w:val="19"/>
              </w:rPr>
              <w:t>Time zero randomization. Median PFS 22.8 versus 8.5 months, HR 0.276 (95% CI 0.182–0.418); objective response 43% versus 9.3%. OS was not mature. Safety populations 147 and 73: any grade ≥3 events 35% versus 27%, related grade ≥3 events 16% versus 4%; one myelodysplastic syndrome case and three grade-3 nephrotoxicity events in Lu-treated patients; no drug-related deaths reported.</w:t>
            </w:r>
          </w:p>
          <w:p>
            <w:pPr>
              <w:spacing w:after="0"/>
            </w:pPr>
            <w:r>
              <w:rPr>
                <w:b w:val="0"/>
                <w:i/>
                <w:sz w:val="19"/>
              </w:rPr>
              <w:t>Limits: Compelling systemic disease-control evidence for selected well-differentiated G2/G3, not evidence that responding G3 becomes suitable for LT or that marrow/renal injury is irrelevant to future transplantation. No NEC efficacy extrapolation. Full article reviewed now, upgrading prior abstract-only status.</w:t>
            </w:r>
          </w:p>
          <w:p>
            <w:pPr>
              <w:spacing w:after="0"/>
            </w:pPr>
            <w:r>
              <w:rPr>
                <w:b w:val="0"/>
                <w:i w:val="0"/>
                <w:color w:val="5A6069"/>
                <w:sz w:val="18"/>
              </w:rPr>
              <w:t>Lancet 2024;403:2807–2817; complete PDF eligibility, efficacy, safety and Discussion.</w:t>
            </w:r>
          </w:p>
        </w:tc>
      </w:tr>
      <w:tr>
        <w:trPr>
          <w:cantSplit/>
        </w:trPr>
        <w:tc>
          <w:tcPr>
            <w:tcW w:type="dxa" w:w="3360"/>
            <w:tcW w:w="2000" w:type="dxa"/>
            <w:shd w:val="clear" w:color="auto" w:fill="FFFFFF"/>
          </w:tcPr>
          <w:p>
            <w:pPr>
              <w:spacing w:after="0"/>
            </w:pPr>
            <w:r>
              <w:rPr>
                <w:b/>
                <w:i w:val="0"/>
                <w:sz w:val="19"/>
              </w:rPr>
              <w:t>Chen 2026 · PRRT after LT</w:t>
            </w:r>
          </w:p>
        </w:tc>
        <w:tc>
          <w:tcPr>
            <w:tcW w:type="dxa" w:w="3360"/>
            <w:tcW w:w="3900" w:type="dxa"/>
            <w:shd w:val="clear" w:color="auto" w:fill="FFFFFF"/>
          </w:tcPr>
          <w:p>
            <w:pPr>
              <w:spacing w:after="0"/>
            </w:pPr>
            <w:r>
              <w:rPr>
                <w:b w:val="0"/>
                <w:i w:val="0"/>
                <w:sz w:val="19"/>
              </w:rPr>
              <w:t>Retrospective seven-recipient case series of PRRT for recurrent NET after LT; abstract-only verification. Post-LT recurrence, not pretransplant bridging or a selection study.</w:t>
            </w:r>
          </w:p>
        </w:tc>
        <w:tc>
          <w:tcPr>
            <w:tcW w:type="dxa" w:w="3360"/>
            <w:tcW w:w="4180" w:type="dxa"/>
            <w:shd w:val="clear" w:color="auto" w:fill="FFFFFF"/>
          </w:tcPr>
          <w:p>
            <w:pPr>
              <w:spacing w:after="0"/>
            </w:pPr>
            <w:r>
              <w:rPr>
                <w:b w:val="0"/>
                <w:i w:val="0"/>
                <w:sz w:val="19"/>
              </w:rPr>
              <w:t>One partial response, five stable disease, one progression. Two grade-III myelosuppression events, one treatment cessation; proteinuria in four. No rejection reported over limited follow-up.</w:t>
            </w:r>
          </w:p>
          <w:p>
            <w:pPr>
              <w:spacing w:after="0"/>
            </w:pPr>
            <w:r>
              <w:rPr>
                <w:b w:val="0"/>
                <w:i/>
                <w:sz w:val="19"/>
              </w:rPr>
              <w:t>Limits: No control, tiny denominator and short follow-up; does not demonstrate durable salvage, long-term graft safety, or justify enrolling G3/extrahepatic cases because PRRT is available later.</w:t>
            </w:r>
          </w:p>
          <w:p>
            <w:pPr>
              <w:spacing w:after="0"/>
            </w:pPr>
            <w:r>
              <w:rPr>
                <w:b w:val="0"/>
                <w:i w:val="0"/>
                <w:color w:val="5A6069"/>
                <w:sz w:val="18"/>
              </w:rPr>
              <w:t>Transplant Proc 2026;58:526–531; DOI10.1016/j.transproceed.2026.02.019, PMID41760506 abstract.</w:t>
            </w:r>
          </w:p>
        </w:tc>
      </w:tr>
      <w:tr>
        <w:trPr>
          <w:cantSplit/>
        </w:trPr>
        <w:tc>
          <w:tcPr>
            <w:tcW w:type="dxa" w:w="3360"/>
            <w:tcW w:w="2000" w:type="dxa"/>
            <w:shd w:val="clear" w:color="auto" w:fill="F1F5F8"/>
          </w:tcPr>
          <w:p>
            <w:pPr>
              <w:spacing w:after="0"/>
            </w:pPr>
            <w:r>
              <w:rPr>
                <w:b/>
                <w:i w:val="0"/>
                <w:sz w:val="19"/>
              </w:rPr>
              <w:t>NLRB oncology guidance</w:t>
            </w:r>
          </w:p>
        </w:tc>
        <w:tc>
          <w:tcPr>
            <w:tcW w:type="dxa" w:w="3360"/>
            <w:tcW w:w="3900" w:type="dxa"/>
            <w:shd w:val="clear" w:color="auto" w:fill="F1F5F8"/>
          </w:tcPr>
          <w:p>
            <w:pPr>
              <w:spacing w:after="0"/>
            </w:pPr>
            <w:r>
              <w:rPr>
                <w:b w:val="0"/>
                <w:i w:val="0"/>
                <w:sz w:val="19"/>
              </w:rPr>
              <w:t>Official Adult MELD Exceptions for Transplant Oncology guidance, December 2025 posting checked 24 October 2026. Allocation-review guidance, not national clinical policy or proof of efficacy. CRLM: BRAF wild type, microsatellite stable, R0 primary, at least 12 months from CRLM diagnosis and six months chemotherapy control; pretreatment largest lesion not &gt;10 cm; no post-primary-resection extrahepatic disease, including nodes outside the primary field. Initial CEA exclusion is &gt;80 ng/mL; extensions require &lt;80. NET: known portal-drained GEP primary, well-differentiated G1/G2, Ki-67 &lt;20%, primary and extrahepatic disease resected with at least six months NED; no active extrahepatic disease. Lung/bone/other solid-organ metastasis history is a permanent exception-guidance exclusion.</w:t>
            </w:r>
          </w:p>
        </w:tc>
        <w:tc>
          <w:tcPr>
            <w:tcW w:type="dxa" w:w="3360"/>
            <w:tcW w:w="4180" w:type="dxa"/>
            <w:shd w:val="clear" w:color="auto" w:fill="F1F5F8"/>
          </w:tcPr>
          <w:p>
            <w:pPr>
              <w:spacing w:after="0"/>
            </w:pPr>
            <w:r>
              <w:rPr>
                <w:b w:val="0"/>
                <w:i w:val="0"/>
                <w:sz w:val="19"/>
              </w:rPr>
              <w:t>No efficacy denominator. NET guidance has no explicit numerical age or hepatic-volume cutoff. CRLM wording excludes &gt;10% diameter growth or new lesions and labels this RECIST 1.1, although conventional RECIST 1.1 progression generally uses at least 20% summed-diameter increase plus an absolute change; record both, do not silently equate them.</w:t>
            </w:r>
          </w:p>
          <w:p>
            <w:pPr>
              <w:spacing w:after="0"/>
            </w:pPr>
            <w:r>
              <w:rPr>
                <w:b w:val="0"/>
                <w:i/>
                <w:sz w:val="19"/>
              </w:rPr>
              <w:t>Limits: Clinical judgment, exception endorsement and graft availability are distinct. A reasonable research hypothesis or living donor does not override allocation guidance or demonstrate acceptable benefit. At exactly CEA 80 the initial/extension wording differs; the draft's strict &lt;80 harmonization is a conservative local rule.</w:t>
            </w:r>
          </w:p>
          <w:p>
            <w:pPr>
              <w:spacing w:after="0"/>
            </w:pPr>
            <w:r>
              <w:rPr>
                <w:b w:val="0"/>
                <w:i w:val="0"/>
                <w:color w:val="5A6069"/>
                <w:sz w:val="18"/>
              </w:rPr>
              <w:t>Official PDF NET pp.8–9; CRLM pp.9–10; introduction on purpose/status.</w:t>
            </w:r>
          </w:p>
        </w:tc>
      </w:tr>
      <w:tr>
        <w:trPr>
          <w:cantSplit/>
        </w:trPr>
        <w:tc>
          <w:tcPr>
            <w:tcW w:type="dxa" w:w="3360"/>
            <w:tcW w:w="2000" w:type="dxa"/>
            <w:shd w:val="clear" w:color="auto" w:fill="FFFFFF"/>
          </w:tcPr>
          <w:p>
            <w:pPr>
              <w:spacing w:after="0"/>
            </w:pPr>
            <w:r>
              <w:rPr>
                <w:b/>
                <w:i w:val="0"/>
                <w:sz w:val="19"/>
              </w:rPr>
              <w:t>ENETS 2026</w:t>
            </w:r>
          </w:p>
        </w:tc>
        <w:tc>
          <w:tcPr>
            <w:tcW w:type="dxa" w:w="3360"/>
            <w:tcW w:w="3900" w:type="dxa"/>
            <w:shd w:val="clear" w:color="auto" w:fill="FFFFFF"/>
          </w:tcPr>
          <w:p>
            <w:pPr>
              <w:spacing w:after="0"/>
            </w:pPr>
            <w:r>
              <w:rPr>
                <w:b w:val="0"/>
                <w:i w:val="0"/>
                <w:sz w:val="19"/>
              </w:rPr>
              <w:t>ENETS 2026 position statement explicitly addressing controversies; expert, hypothesis-generating framework rather than original comparative outcome study. Reorients toward incremental benefit and proposes substantial liver burden, young/fit patients and selected controllable extrahepatic disease; broadens beyond traditional Milan in some respects.</w:t>
            </w:r>
          </w:p>
        </w:tc>
        <w:tc>
          <w:tcPr>
            <w:tcW w:type="dxa" w:w="3360"/>
            <w:tcW w:w="4180" w:type="dxa"/>
            <w:shd w:val="clear" w:color="auto" w:fill="FFFFFF"/>
          </w:tcPr>
          <w:p>
            <w:pPr>
              <w:spacing w:after="0"/>
            </w:pPr>
            <w:r>
              <w:rPr>
                <w:b w:val="0"/>
                <w:i w:val="0"/>
                <w:sz w:val="19"/>
              </w:rPr>
              <w:t>No original outcome denominator. Proposed liver-burden bands around 25–70%, age &lt;60 as relative and six-month stability are pragmatic concepts. Illustrative non-LT five-year survival &lt;30% versus post-LT ≥70% are not a calibrated individual benefit model.</w:t>
            </w:r>
          </w:p>
          <w:p>
            <w:pPr>
              <w:spacing w:after="0"/>
            </w:pPr>
            <w:r>
              <w:rPr>
                <w:b w:val="0"/>
                <w:i/>
                <w:sz w:val="19"/>
              </w:rPr>
              <w:t>Limits: Do not turn an expert future-oriented proposal into validated numerical gates. Suggested controllable extrahepatic disease, including bone, conflicts with current NLRB solid-organ-metastasis exclusion. It identifies research needs rather than approving an expansion.</w:t>
            </w:r>
          </w:p>
          <w:p>
            <w:pPr>
              <w:spacing w:after="0"/>
            </w:pPr>
            <w:r>
              <w:rPr>
                <w:b w:val="0"/>
                <w:i w:val="0"/>
                <w:color w:val="5A6069"/>
                <w:sz w:val="18"/>
              </w:rPr>
              <w:t>J Neuroendocrinol 2026;38:e70250; complete position-statement PDF burden, benefit, age, stability and extrahepatic discussion.</w:t>
            </w:r>
          </w:p>
        </w:tc>
      </w:tr>
    </w:tbl>
    <w:p>
      <w:pPr>
        <w:spacing w:after="40"/>
      </w:pPr>
    </w:p>
    <w:p>
      <w:pPr>
        <w:pStyle w:val="Heading3"/>
        <w:keepNext/>
        <w:spacing w:before="120" w:after="80"/>
      </w:pPr>
      <w:r>
        <w:rPr>
          <w:b w:val="0"/>
          <w:i w:val="0"/>
        </w:rPr>
        <w:t>Our proposed selection (OPEN)</w:t>
      </w:r>
    </w:p>
    <w:p>
      <w:pPr>
        <w:spacing w:after="80"/>
      </w:pPr>
      <w:r>
        <w:rPr>
          <w:b w:val="0"/>
          <w:i w:val="0"/>
        </w:rPr>
        <w:t>Activate only well-differentiated G1/G2 disease from a known portal-drained GEP primary; retain a six-month biology test.</w:t>
      </w:r>
    </w:p>
    <w:p>
      <w:pPr>
        <w:numPr>
          <w:ilvl w:val="0"/>
          <w:numId w:val="5"/>
        </w:numPr>
        <w:spacing w:after="40"/>
      </w:pPr>
      <w:r>
        <w:rPr>
          <w:b w:val="0"/>
          <w:i w:val="0"/>
        </w:rPr>
        <w:t>Require expert pathology with Ki-67 &lt;20% and the applicable mitotic criterion; use the highest reliable representative grade. Exactly 20%, rounding uncertainty or discordance is HOLD for adjudication, not rounding down. Do not impose an unsupported Ki-67 &lt;10 rule or blanket G2 ban.</w:t>
      </w:r>
    </w:p>
    <w:p>
      <w:pPr>
        <w:numPr>
          <w:ilvl w:val="0"/>
          <w:numId w:val="5"/>
        </w:numPr>
        <w:spacing w:after="40"/>
      </w:pPr>
      <w:r>
        <w:rPr>
          <w:b w:val="0"/>
          <w:i w:val="0"/>
        </w:rPr>
        <w:t>G3, NEC and unknown/nonportal primary have no active cohort in this edition. Extrahepatic disease, active or previously treated, follows NET-B4: resected nodes may qualify after clearance; previous solid-organ metastases do not.</w:t>
      </w:r>
    </w:p>
    <w:p>
      <w:pPr>
        <w:numPr>
          <w:ilvl w:val="0"/>
          <w:numId w:val="5"/>
        </w:numPr>
        <w:spacing w:after="40"/>
      </w:pPr>
      <w:r>
        <w:rPr>
          <w:b w:val="0"/>
          <w:i w:val="0"/>
        </w:rPr>
        <w:t>Require ≥6 months of stable/responding hepatic disease and ≥6 months without recurrence after primary/extrahepatic clearance. Proposed documentation: at least three comparable assessments spanning baseline, about three months and six months. A suspicious new site is HOLD; confirmed progression restarts observation.</w:t>
      </w:r>
    </w:p>
    <w:p>
      <w:pPr>
        <w:spacing w:after="80"/>
      </w:pPr>
      <w:r>
        <w:rPr>
          <w:b/>
          <w:i w:val="0"/>
        </w:rPr>
        <w:t xml:space="preserve">Why: </w:t>
      </w:r>
      <w:r>
        <w:rPr>
          <w:b w:val="0"/>
          <w:i w:val="0"/>
        </w:rPr>
        <w:t>Evidence supports carefully selected well-differentiated G1/G2 portal-drained GEP primaries with cleared primary/extrahepatic disease and observed control. G2 has worse prognosis than G1 in the multicentre series but still meaningful selected survival, so a universal Ki-67 &lt;10% rule would discard potentially suitable G2 without validation. Well-differentiated G3 and poorly differentiated NEC must be separated diagnostically, yet neither has an established LT-benefit pathway. Prior primary regional nodal positivity is not equivalent to active unresected extrahepatic disease.</w:t>
      </w:r>
    </w:p>
    <w:p>
      <w:pPr>
        <w:spacing w:after="80"/>
      </w:pPr>
      <w:r>
        <w:rPr>
          <w:b/>
          <w:i w:val="0"/>
        </w:rPr>
        <w:t xml:space="preserve">Against, or uncertain: </w:t>
      </w:r>
      <w:r>
        <w:rPr>
          <w:b w:val="0"/>
          <w:i w:val="0"/>
        </w:rPr>
        <w:t>Milan LT cohorts included many patients whose primary nodes had been positive, so 'ever node-positive means never LT' is too broad. However, retrospective final-pathology positive nodes do not negate the current cleared-disease requirement. Spanish OUT cases and the tiny G3 subgroup are too heterogeneous to validate expansion. NETTER-2 proves PRRT activity in selected G3, not LT efficacy after response; seven post-LT PRRT cases cannot guarantee safe salvage. ENETS controllable bone disease conflicts with NLRB's solid-organ exclusion.</w:t>
      </w:r>
    </w:p>
    <w:p>
      <w:pPr>
        <w:spacing w:after="80"/>
      </w:pPr>
      <w:r>
        <w:rPr>
          <w:b/>
          <w:i w:val="0"/>
        </w:rPr>
        <w:t xml:space="preserve">Certainty: </w:t>
      </w:r>
      <w:r>
        <w:rPr>
          <w:b w:val="0"/>
          <w:i w:val="0"/>
        </w:rPr>
        <w:t>Low-to-moderate certainty for G1/G2 prognostic distinction and cautious standard selection; very low certainty for G3, nonportal/unknown primary, active nodes or prior solid-organ metastasis expansions. Official allocation exclusions should be reported separately from biological evidence.</w:t>
      </w:r>
    </w:p>
    <w:p>
      <w:pPr>
        <w:spacing w:after="80"/>
      </w:pPr>
      <w:r>
        <w:rPr>
          <w:b/>
          <w:i w:val="0"/>
        </w:rPr>
        <w:t xml:space="preserve">Tests and records: </w:t>
      </w:r>
      <w:r>
        <w:rPr>
          <w:b w:val="0"/>
          <w:i w:val="0"/>
        </w:rPr>
        <w:t>Expert grade/Ki-67/mitoses and primary origin; SSTR staging and cross-sectional imaging; complete primary/node/EHD clearance history; three-assessment timeline.</w:t>
      </w:r>
    </w:p>
    <w:p>
      <w:pPr>
        <w:spacing w:after="80"/>
      </w:pPr>
      <w:r>
        <w:rPr>
          <w:b/>
          <w:i w:val="0"/>
        </w:rPr>
        <w:t xml:space="preserve">Allocation: </w:t>
      </w:r>
      <w:r>
        <w:rPr>
          <w:b w:val="0"/>
          <w:i w:val="0"/>
        </w:rPr>
        <w:t>Current NET guidance and clinical consensus differ on some boundaries; favorable guidance does not remove the need to prove B1 benefit.</w:t>
      </w:r>
    </w:p>
    <w:p>
      <w:pPr>
        <w:spacing w:after="40"/>
      </w:pPr>
      <w:r>
        <w:rPr>
          <w:b/>
          <w:i w:val="0"/>
        </w:rPr>
        <w:t xml:space="preserve">Basis for the proposed thresholds: </w:t>
      </w:r>
    </w:p>
    <w:p>
      <w:pPr>
        <w:numPr>
          <w:ilvl w:val="0"/>
          <w:numId w:val="5"/>
        </w:numPr>
        <w:spacing w:after="40"/>
      </w:pPr>
      <w:r>
        <w:rPr>
          <w:b w:val="0"/>
          <w:i w:val="0"/>
        </w:rPr>
        <w:t>Ki-67 &lt;20% and six months after primary/extrahepatic clearance reflect current NLRB wording; modern WHO grading and the exact-20 boundary need explicit reconciliation. Six months stability derives from selection traditions, not a randomized timing trial. Three serial scans at roughly 0/3/6 months are a proposed local demonstration schedule, not a national mandated scan count.</w:t>
      </w:r>
    </w:p>
    <w:p>
      <w:pPr>
        <w:pStyle w:val="Heading3"/>
        <w:keepNext/>
        <w:spacing w:before="120" w:after="80"/>
      </w:pPr>
      <w:r>
        <w:rPr>
          <w:b w:val="0"/>
          <w:i w:val="0"/>
        </w:rPr>
        <w:t>NET-B2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NET-B3 — Age and liver tumor burden</w:t>
      </w:r>
    </w:p>
    <w:p>
      <w:pPr>
        <w:spacing w:after="80"/>
      </w:pPr>
      <w:r>
        <w:rPr>
          <w:b w:val="0"/>
          <w:i w:val="0"/>
          <w:color w:val="5A6069"/>
          <w:sz w:val="18"/>
        </w:rPr>
        <w:t>Individual review · expansion not activated · not activated · High-risk review</w:t>
      </w:r>
    </w:p>
    <w:p>
      <w:pPr>
        <w:spacing w:after="80"/>
      </w:pPr>
      <w:r>
        <w:rPr>
          <w:b/>
          <w:i w:val="0"/>
        </w:rPr>
        <w:t xml:space="preserve">Question: </w:t>
      </w:r>
      <w:r>
        <w:rPr>
          <w:b w:val="0"/>
          <w:i w:val="0"/>
        </w:rPr>
        <w:t>Should age or burden remain local selection factors without being called national rules?</w:t>
      </w:r>
    </w:p>
    <w:p>
      <w:pPr>
        <w:spacing w:after="80"/>
      </w:pPr>
      <w:r>
        <w:rPr>
          <w:b/>
          <w:i w:val="0"/>
        </w:rPr>
        <w:t xml:space="preserve">When it applies: </w:t>
      </w:r>
      <w:r>
        <w:rPr>
          <w:b w:val="0"/>
          <w:i w:val="0"/>
        </w:rPr>
        <w:t>Age and liver replacement require individual benefit assessment; proposed expanded groups remain unactivated.</w:t>
      </w:r>
    </w:p>
    <w:p>
      <w:pPr>
        <w:spacing w:after="80"/>
      </w:pPr>
      <w:r>
        <w:rPr>
          <w:b/>
          <w:i w:val="0"/>
        </w:rPr>
        <w:t xml:space="preserve">Where it is decided: </w:t>
      </w:r>
      <w:hyperlink r:id="rId14">
        <w:r>
          <w:rPr>
            <w:color w:val="0563C1"/>
            <w:u w:val="single"/>
          </w:rPr>
          <w:t xml:space="preserve">Request and renew the MELD exception</w:t>
        </w:r>
      </w:hyperlink>
    </w:p>
    <w:p>
      <w:pPr>
        <w:spacing w:after="120"/>
      </w:pPr>
      <w:r>
        <w:rPr>
          <w:b/>
          <w:i w:val="0"/>
          <w:sz w:val="18"/>
        </w:rPr>
        <w:t xml:space="preserve">Web page: </w:t>
      </w:r>
      <w:hyperlink r:id="rId1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Mazzaferro 2016 · Milan-NET</w:t>
            </w:r>
          </w:p>
        </w:tc>
        <w:tc>
          <w:tcPr>
            <w:tcW w:type="dxa" w:w="3360"/>
            <w:tcW w:w="5480" w:type="dxa"/>
            <w:shd w:val="clear" w:color="auto" w:fill="F1F5F8"/>
          </w:tcPr>
          <w:p>
            <w:pPr>
              <w:spacing w:after="0"/>
            </w:pPr>
            <w:r>
              <w:rPr>
                <w:b w:val="0"/>
                <w:i w:val="0"/>
                <w:sz w:val="19"/>
              </w:rPr>
              <w:t>“Metastatic diffusion to &lt;50% of the total liver volume” A selection criterion in the Milan framework, not a national allocation ceiling.</w:t>
            </w:r>
          </w:p>
        </w:tc>
        <w:tc>
          <w:tcPr>
            <w:tcW w:type="dxa" w:w="3360"/>
            <w:tcW w:w="2400" w:type="dxa"/>
            <w:shd w:val="clear" w:color="auto" w:fill="F1F5F8"/>
          </w:tcPr>
          <w:p>
            <w:pPr>
              <w:spacing w:after="0"/>
            </w:pPr>
            <w:r>
              <w:rPr>
                <w:b w:val="0"/>
                <w:i w:val="0"/>
                <w:color w:val="5A6069"/>
                <w:sz w:val="18"/>
              </w:rPr>
              <w:t>Milan-NET, Table 1, PDF p2 / journal p2893</w:t>
            </w:r>
          </w:p>
        </w:tc>
      </w:tr>
      <w:tr>
        <w:trPr>
          <w:cantSplit/>
        </w:trPr>
        <w:tc>
          <w:tcPr>
            <w:tcW w:type="dxa" w:w="3360"/>
            <w:tcW w:w="2200" w:type="dxa"/>
            <w:shd w:val="clear" w:color="auto" w:fill="FFFFFF"/>
          </w:tcPr>
          <w:p>
            <w:pPr>
              <w:spacing w:after="0"/>
            </w:pPr>
            <w:r>
              <w:rPr>
                <w:b/>
                <w:i w:val="0"/>
                <w:sz w:val="19"/>
              </w:rPr>
              <w:t>ENETS 2026</w:t>
            </w:r>
          </w:p>
        </w:tc>
        <w:tc>
          <w:tcPr>
            <w:tcW w:type="dxa" w:w="3360"/>
            <w:tcW w:w="5480" w:type="dxa"/>
            <w:shd w:val="clear" w:color="auto" w:fill="FFFFFF"/>
          </w:tcPr>
          <w:p>
            <w:pPr>
              <w:spacing w:after="0"/>
            </w:pPr>
            <w:r>
              <w:rPr>
                <w:b w:val="0"/>
                <w:i w:val="0"/>
                <w:sz w:val="19"/>
              </w:rPr>
              <w:t>“Age &lt;60 years may be considered a relative, not absolute, factor.” Supports individualized benefit/fitness assessment rather than an automatic age exclusion.</w:t>
            </w:r>
          </w:p>
        </w:tc>
        <w:tc>
          <w:tcPr>
            <w:tcW w:type="dxa" w:w="3360"/>
            <w:tcW w:w="2400" w:type="dxa"/>
            <w:shd w:val="clear" w:color="auto" w:fill="FFFFFF"/>
          </w:tcPr>
          <w:p>
            <w:pPr>
              <w:spacing w:after="0"/>
            </w:pPr>
            <w:r>
              <w:rPr>
                <w:b w:val="0"/>
                <w:i w:val="0"/>
                <w:color w:val="5A6069"/>
                <w:sz w:val="18"/>
              </w:rPr>
              <w:t>2026 full-text PDF p5, Table 2</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Mazzaferro 2016 · Milan-NET</w:t>
            </w:r>
          </w:p>
        </w:tc>
        <w:tc>
          <w:tcPr>
            <w:tcW w:type="dxa" w:w="3360"/>
            <w:tcW w:w="3900" w:type="dxa"/>
            <w:shd w:val="clear" w:color="auto" w:fill="F1F5F8"/>
          </w:tcPr>
          <w:p>
            <w:pPr>
              <w:spacing w:after="0"/>
            </w:pPr>
            <w:r>
              <w:rPr>
                <w:b w:val="0"/>
                <w:i w:val="0"/>
                <w:sz w:val="19"/>
              </w:rPr>
              <w:t>Single-centre comparative Milan-NET study, 88 eligible patients: 42 LT and 46 non-LT, 1995–2010 era, nonrandomized. Well-differentiated portal-drained GEP primary, primary/extrahepatic disease removed, limited hepatic burden, at least six months stability; age &lt;60 was relative. LT recipients were substantially younger (median 40.5 versus 55.5), and post hoc grading differed, including four G3 in non-LT versus none in LT. Primary regional nodes had been positive in 34/42 LT recipients; this is not evidence supporting active uncleared extrahepatic disease at LT.</w:t>
            </w:r>
          </w:p>
        </w:tc>
        <w:tc>
          <w:tcPr>
            <w:tcW w:type="dxa" w:w="3360"/>
            <w:tcW w:w="4180" w:type="dxa"/>
            <w:shd w:val="clear" w:color="auto" w:fill="F1F5F8"/>
          </w:tcPr>
          <w:p>
            <w:pPr>
              <w:spacing w:after="0"/>
            </w:pPr>
            <w:r>
              <w:rPr>
                <w:b w:val="0"/>
                <w:i w:val="0"/>
                <w:sz w:val="19"/>
              </w:rPr>
              <w:t>Median follow-up 122 months. Five-/ten-year OS 97.2%/88.8% LT versus 50.9%/22.4% non-LT. Time origin was primary-tumour resection; authors used left-truncated Cox models to account for delayed LT entry. Propensity-adjusted restricted mean survival gain was 6.82 months at five years and 38.43 months at ten years. These are cohort estimates, not individual calculators.</w:t>
            </w:r>
          </w:p>
          <w:p>
            <w:pPr>
              <w:spacing w:after="0"/>
            </w:pPr>
            <w:r>
              <w:rPr>
                <w:b w:val="0"/>
                <w:i/>
                <w:sz w:val="19"/>
              </w:rPr>
              <w:t>Limits: Major selection/age/treatment-era differences, small numbers and residual confounding remain despite statistical handling of delayed treatment. Only 4/46 non-LT patients received PRRT, so this is not a modern sequential-care comparator. Patients overlap subsequent Milan series and some multicentre LT studies; do not sum them as independent evidence.</w:t>
            </w:r>
          </w:p>
          <w:p>
            <w:pPr>
              <w:spacing w:after="0"/>
            </w:pPr>
            <w:r>
              <w:rPr>
                <w:b w:val="0"/>
                <w:i w:val="0"/>
                <w:color w:val="5A6069"/>
                <w:sz w:val="18"/>
              </w:rPr>
              <w:t>Am J Transplant 2016;16:2892–2902; full PDF Methods statistical time origin/left truncation, Tables 1–2 eligibility/characteristics, survival and restricted-mean analyses.</w:t>
            </w:r>
          </w:p>
        </w:tc>
      </w:tr>
      <w:tr>
        <w:trPr>
          <w:cantSplit/>
        </w:trPr>
        <w:tc>
          <w:tcPr>
            <w:tcW w:type="dxa" w:w="3360"/>
            <w:tcW w:w="2000" w:type="dxa"/>
            <w:shd w:val="clear" w:color="auto" w:fill="FFFFFF"/>
          </w:tcPr>
          <w:p>
            <w:pPr>
              <w:spacing w:after="0"/>
            </w:pPr>
            <w:r>
              <w:rPr>
                <w:b/>
                <w:i w:val="0"/>
                <w:sz w:val="19"/>
              </w:rPr>
              <w:t>Maspero 2022 · Milan long-term</w:t>
            </w:r>
          </w:p>
        </w:tc>
        <w:tc>
          <w:tcPr>
            <w:tcW w:type="dxa" w:w="3360"/>
            <w:tcW w:w="3900" w:type="dxa"/>
            <w:shd w:val="clear" w:color="auto" w:fill="FFFFFF"/>
          </w:tcPr>
          <w:p>
            <w:pPr>
              <w:spacing w:after="0"/>
            </w:pPr>
            <w:r>
              <w:rPr>
                <w:b w:val="0"/>
                <w:i w:val="0"/>
                <w:sz w:val="19"/>
              </w:rPr>
              <w:t>Retrospective Milan single-centre series, 1984–2019: 149 liver operations (53 LT, 96 LR), with 104 Milan-eligible cases analysed (48 LT, 56 LR). Portal-drained G1/G2 primary previously resected, no extrahepatic disease, &lt;50% hepatic involvement, at least six months stable disease, age &lt;60 relative. LT and resection had different resectability/age indications. Minimum six-month follow-up inclusion needs care when interpreting early risk; this is not an all-referral cohort.</w:t>
            </w:r>
          </w:p>
        </w:tc>
        <w:tc>
          <w:tcPr>
            <w:tcW w:type="dxa" w:w="3360"/>
            <w:tcW w:w="4180" w:type="dxa"/>
            <w:shd w:val="clear" w:color="auto" w:fill="FFFFFF"/>
          </w:tcPr>
          <w:p>
            <w:pPr>
              <w:spacing w:after="0"/>
            </w:pPr>
            <w:r>
              <w:rPr>
                <w:b w:val="0"/>
                <w:i w:val="0"/>
                <w:sz w:val="19"/>
              </w:rPr>
              <w:t>Time zero liver operation; median follow-up 158 months LT and 126 LR. Five-year OS 95.5% versus 90%; ten-year OS 93% versus 75%. Ten-year DFS 52% versus 18%; recurrence 25/48 versus 42/56 and median recurrence time 78 versus 24 months. LT recurrence was more often multisite; LR recurrence predominantly liver. Nine LT deaths included three cancer and six non-cancer deaths, including new malignancy, sepsis/lymphoproliferative and cardiovascular causes.</w:t>
            </w:r>
          </w:p>
          <w:p>
            <w:pPr>
              <w:spacing w:after="0"/>
            </w:pPr>
            <w:r>
              <w:rPr>
                <w:b w:val="0"/>
                <w:i/>
                <w:sz w:val="19"/>
              </w:rPr>
              <w:t>Limits: Not randomized or anatomically exchangeable; prolonged selected follow-up and differing age can favor LT. Strong overlap with 2016 Milan-NET makes it long-term/alternative-comparator information, not independent confirmation. Late recurrence and immunosuppression-related competing causes matter even with excellent survival.</w:t>
            </w:r>
          </w:p>
          <w:p>
            <w:pPr>
              <w:spacing w:after="0"/>
            </w:pPr>
            <w:r>
              <w:rPr>
                <w:b w:val="0"/>
                <w:i w:val="0"/>
                <w:color w:val="5A6069"/>
                <w:sz w:val="18"/>
              </w:rPr>
              <w:t>Am J Transplant 2022 DOI10.1111/ajt.17156; complete PDF pp.2–4 methods/time origin/cohort; later survival figures, recurrence table and Discussion.</w:t>
            </w:r>
          </w:p>
        </w:tc>
      </w:tr>
      <w:tr>
        <w:trPr>
          <w:cantSplit/>
        </w:trPr>
        <w:tc>
          <w:tcPr>
            <w:tcW w:type="dxa" w:w="3360"/>
            <w:tcW w:w="2000" w:type="dxa"/>
            <w:shd w:val="clear" w:color="auto" w:fill="F1F5F8"/>
          </w:tcPr>
          <w:p>
            <w:pPr>
              <w:spacing w:after="0"/>
            </w:pPr>
            <w:r>
              <w:rPr>
                <w:b/>
                <w:i w:val="0"/>
                <w:sz w:val="19"/>
              </w:rPr>
              <w:t>Eshmuminov 2023 · LT versus resection</w:t>
            </w:r>
          </w:p>
        </w:tc>
        <w:tc>
          <w:tcPr>
            <w:tcW w:type="dxa" w:w="3360"/>
            <w:tcW w:w="3900" w:type="dxa"/>
            <w:shd w:val="clear" w:color="auto" w:fill="F1F5F8"/>
          </w:tcPr>
          <w:p>
            <w:pPr>
              <w:spacing w:after="0"/>
            </w:pPr>
            <w:r>
              <w:rPr>
                <w:b w:val="0"/>
                <w:i w:val="0"/>
                <w:sz w:val="19"/>
              </w:rPr>
              <w:t>International retrospective comparison from 15 centres, 1988–2021: 455 patients (225 LT, 230 liver resection); median follow-up 97 months. Propensity matching produced 96 patients per group. Surgically selected patients, matched on age, grade and primary location. Twenty-seven percent of LT cases had unknown grade; burden, era and treatment history remain imperfectly controlled. Resection and LT do not necessarily address anatomically interchangeable patients.</w:t>
            </w:r>
          </w:p>
        </w:tc>
        <w:tc>
          <w:tcPr>
            <w:tcW w:type="dxa" w:w="3360"/>
            <w:tcW w:w="4180" w:type="dxa"/>
            <w:shd w:val="clear" w:color="auto" w:fill="F1F5F8"/>
          </w:tcPr>
          <w:p>
            <w:pPr>
              <w:spacing w:after="0"/>
            </w:pPr>
            <w:r>
              <w:rPr>
                <w:b w:val="0"/>
                <w:i w:val="0"/>
                <w:sz w:val="19"/>
              </w:rPr>
              <w:t>Use main Results p.e1067/Table 4: matched five-year OS 75% LT versus 68.3% LR, HR 0.56 (95% CI 0.35–0.90); five-year PFS 64.2% versus 14.2%, HR 0.25 (0.16–0.39), measured from operation. Ninety-day deaths 13/225 LT (5.8%) versus 3/230 LR (1.3%). LT G1 versus G2 five-year OS 92.9% versus 70%; adjusted G2 HR 2.52 (1.15–5.52). Outside-Milan matched OS HR 0.64 (0.31–1.33), not statistically conclusive.</w:t>
            </w:r>
          </w:p>
          <w:p>
            <w:pPr>
              <w:spacing w:after="0"/>
            </w:pPr>
            <w:r>
              <w:rPr>
                <w:b w:val="0"/>
                <w:i/>
                <w:sz w:val="19"/>
              </w:rPr>
              <w:t>Limits: Material abstract/body discrepancy: abstract reports matched five-year OS 73% versus 52.8%, whereas main Results/Table 4 report 75% versus 68.3%. The latter is used with explicit discrepancy flag; clarification would be desirable. Matching does not remove unmeasured confounding, missing pathology, era or selection bias. The nonsignificant outside-Milan estimate does not prove no benefit, and ten G3 cases do not validate G3 LT. Overlaps centre cohorts including Milan.</w:t>
            </w:r>
          </w:p>
          <w:p>
            <w:pPr>
              <w:spacing w:after="0"/>
            </w:pPr>
            <w:r>
              <w:rPr>
                <w:b w:val="0"/>
                <w:i w:val="0"/>
                <w:color w:val="5A6069"/>
                <w:sz w:val="18"/>
              </w:rPr>
              <w:t>Ann Surg 2023 DOI10.1097/SLA.0000000000005663; PDF main Results printed p.e1067/Table 4 for matched outcomes; earlier Tables 1–3 for grade and mortality; abstract on first page differs.</w:t>
            </w:r>
          </w:p>
        </w:tc>
      </w:tr>
      <w:tr>
        <w:trPr>
          <w:cantSplit/>
        </w:trPr>
        <w:tc>
          <w:tcPr>
            <w:tcW w:type="dxa" w:w="3360"/>
            <w:tcW w:w="2000" w:type="dxa"/>
            <w:shd w:val="clear" w:color="auto" w:fill="FFFFFF"/>
          </w:tcPr>
          <w:p>
            <w:pPr>
              <w:spacing w:after="0"/>
            </w:pPr>
            <w:r>
              <w:rPr>
                <w:b/>
                <w:i w:val="0"/>
                <w:sz w:val="19"/>
              </w:rPr>
              <w:t>Kjaer 2023 · eligible non-LT panNET</w:t>
            </w:r>
          </w:p>
        </w:tc>
        <w:tc>
          <w:tcPr>
            <w:tcW w:type="dxa" w:w="3360"/>
            <w:tcW w:w="3900" w:type="dxa"/>
            <w:shd w:val="clear" w:color="auto" w:fill="FFFFFF"/>
          </w:tcPr>
          <w:p>
            <w:pPr>
              <w:spacing w:after="0"/>
            </w:pPr>
            <w:r>
              <w:rPr>
                <w:b w:val="0"/>
                <w:i w:val="0"/>
                <w:sz w:val="19"/>
              </w:rPr>
              <w:t>Single-centre retrospective non-LT panNET cohort, 2000–2021: 519 screened, 41 G1/G2 metastatic patients included; 16 met at least one historical LT framework (Milan 11, ENETS 8, UNOS 13, overlapping). Resected primary, liver metastases, no extra-abdominal disease, age ≤75 and no G3. Definitions modified historical criteria, including Milan age &lt;65 and two 'UNOS' patients with stable regional nodes, so not all meet today's NLRB requirements. Multimodal care included five liver resections, 15 ablations, six embolizations and later-line PRRT, not purely medical therapy.</w:t>
            </w:r>
          </w:p>
        </w:tc>
        <w:tc>
          <w:tcPr>
            <w:tcW w:type="dxa" w:w="3360"/>
            <w:tcW w:w="4180" w:type="dxa"/>
            <w:shd w:val="clear" w:color="auto" w:fill="FFFFFF"/>
          </w:tcPr>
          <w:p>
            <w:pPr>
              <w:spacing w:after="0"/>
            </w:pPr>
            <w:r>
              <w:rPr>
                <w:b w:val="0"/>
                <w:i w:val="0"/>
                <w:sz w:val="19"/>
              </w:rPr>
              <w:t>Time zero was date LT criteria fulfilled (for remaining patients, initial institutional visit after primary resection with liver metastases). Mean follow-up 5.4 years. Overall 41-patient median OS 9.3 years; five-year OS 64.7% (95% CI 48.2–81.2). Milan subset five-year OS 64.9% (32.2–97.6), ENETS 85.7% (59.8–100), historical UNOS 55.4% (26.0–84.8).</w:t>
            </w:r>
          </w:p>
          <w:p>
            <w:pPr>
              <w:spacing w:after="0"/>
            </w:pPr>
            <w:r>
              <w:rPr>
                <w:b w:val="0"/>
                <w:i/>
                <w:sz w:val="19"/>
              </w:rPr>
              <w:t>Limits: Small retrospective selected subgroups with very wide intervals; no internal LT comparator and treatment-era limitations. It challenges the assumption that eligible stage IV NET has uniformly poor non-LT survival; it cannot prove that non-LT is superior to LT. Avoid comparing its eligibility-based survival directly with post-LT curves as if randomized.</w:t>
            </w:r>
          </w:p>
          <w:p>
            <w:pPr>
              <w:spacing w:after="0"/>
            </w:pPr>
            <w:r>
              <w:rPr>
                <w:b w:val="0"/>
                <w:i w:val="0"/>
                <w:color w:val="5A6069"/>
                <w:sz w:val="18"/>
              </w:rPr>
              <w:t>World J Surg 2023 DOI10.1007/s00268-022-06736-1; complete PDF pp.2–5 methods, time origin, eligibility modifications, treatments and survival tables.</w:t>
            </w:r>
          </w:p>
        </w:tc>
      </w:tr>
      <w:tr>
        <w:trPr>
          <w:cantSplit/>
        </w:trPr>
        <w:tc>
          <w:tcPr>
            <w:tcW w:type="dxa" w:w="3360"/>
            <w:tcW w:w="2000" w:type="dxa"/>
            <w:shd w:val="clear" w:color="auto" w:fill="F1F5F8"/>
          </w:tcPr>
          <w:p>
            <w:pPr>
              <w:spacing w:after="0"/>
            </w:pPr>
            <w:r>
              <w:rPr>
                <w:b/>
                <w:i w:val="0"/>
                <w:sz w:val="19"/>
              </w:rPr>
              <w:t>Boscà 2026 · Spain</w:t>
            </w:r>
          </w:p>
        </w:tc>
        <w:tc>
          <w:tcPr>
            <w:tcW w:type="dxa" w:w="3360"/>
            <w:tcW w:w="3900" w:type="dxa"/>
            <w:shd w:val="clear" w:color="auto" w:fill="F1F5F8"/>
          </w:tcPr>
          <w:p>
            <w:pPr>
              <w:spacing w:after="0"/>
            </w:pPr>
            <w:r>
              <w:rPr>
                <w:b w:val="0"/>
                <w:i w:val="0"/>
                <w:sz w:val="19"/>
              </w:rPr>
              <w:t>Spanish 13-centre retrospective series of 91 NET LT recipients, 1995–2024; 41 transplanted before 2007; 71 Milan-IN and 20 Milan-OUT. Mixed primary sites/eras and deviations. Pathology data missing in more than 30%; Ki-67 available in 51, with only one documented &gt;20%. Milan-OUT combines different burden, primary, grade and other deviations; it is not a controlled trial of a single burden expansion.</w:t>
            </w:r>
          </w:p>
        </w:tc>
        <w:tc>
          <w:tcPr>
            <w:tcW w:type="dxa" w:w="3360"/>
            <w:tcW w:w="4180" w:type="dxa"/>
            <w:shd w:val="clear" w:color="auto" w:fill="F1F5F8"/>
          </w:tcPr>
          <w:p>
            <w:pPr>
              <w:spacing w:after="0"/>
            </w:pPr>
            <w:r>
              <w:rPr>
                <w:b w:val="0"/>
                <w:i w:val="0"/>
                <w:sz w:val="19"/>
              </w:rPr>
              <w:t>Time zero LT; median follow-up 6.5 years. Table 5: five-year OS 71.0% IN versus 58.7% OUT, ten-year 55.5% versus 32.0%, fifteen-year 52.2% versus 16.0% (OS comparison P=0.03). Five-year DFS 58.8% versus 36.3%, not statistically significant. Recurrence 52/91; ninety-day mortality 9/91 (9.9%). Nine retransplants: two primary nonfunction, six hepatic artery thrombosis, one rejection.</w:t>
            </w:r>
          </w:p>
          <w:p>
            <w:pPr>
              <w:spacing w:after="0"/>
            </w:pPr>
            <w:r>
              <w:rPr>
                <w:b w:val="0"/>
                <w:i/>
                <w:sz w:val="19"/>
              </w:rPr>
              <w:t>Limits: Era, missing pathology, small OUT group and composite deviations preclude validating 50–70% burden, age ≥60, G3 or extrahepatic expansion individually. Nonsignificant DFS is not equivalence. The abstract rounds OUT five-year OS differently; use Table 5 value with locator.</w:t>
            </w:r>
          </w:p>
          <w:p>
            <w:pPr>
              <w:spacing w:after="0"/>
            </w:pPr>
            <w:r>
              <w:rPr>
                <w:b w:val="0"/>
                <w:i w:val="0"/>
                <w:color w:val="5A6069"/>
                <w:sz w:val="18"/>
              </w:rPr>
              <w:t>J Clin Med 2026;15:938; complete PDF Results, Tables 2–5, postoperative mortality/retransplantation and limitations.</w:t>
            </w:r>
          </w:p>
        </w:tc>
      </w:tr>
      <w:tr>
        <w:trPr>
          <w:cantSplit/>
        </w:trPr>
        <w:tc>
          <w:tcPr>
            <w:tcW w:type="dxa" w:w="3360"/>
            <w:tcW w:w="2000" w:type="dxa"/>
            <w:shd w:val="clear" w:color="auto" w:fill="FFFFFF"/>
          </w:tcPr>
          <w:p>
            <w:pPr>
              <w:spacing w:after="0"/>
            </w:pPr>
            <w:r>
              <w:rPr>
                <w:b/>
                <w:i w:val="0"/>
                <w:sz w:val="19"/>
              </w:rPr>
              <w:t>Le Treut 2013 · ELTR</w:t>
            </w:r>
          </w:p>
        </w:tc>
        <w:tc>
          <w:tcPr>
            <w:tcW w:type="dxa" w:w="3360"/>
            <w:tcW w:w="3900" w:type="dxa"/>
            <w:shd w:val="clear" w:color="auto" w:fill="FFFFFF"/>
          </w:tcPr>
          <w:p>
            <w:pPr>
              <w:spacing w:after="0"/>
            </w:pPr>
            <w:r>
              <w:rPr>
                <w:b w:val="0"/>
                <w:i w:val="0"/>
                <w:sz w:val="19"/>
              </w:rPr>
              <w:t>European Liver Transplant Registry retrospective multicentre study, 213 recipients at 35 centres, 1982–2009; 107 before 2000 and 106 thereafter. Published primary abstract reviewed. Heterogeneous historical NET pathology and selection; 55% had hepatomegaly. Major additional resection in 24 and minor in 30. Historical poor differentiation is not interchangeable with modern well-differentiated G3.</w:t>
            </w:r>
          </w:p>
        </w:tc>
        <w:tc>
          <w:tcPr>
            <w:tcW w:type="dxa" w:w="3360"/>
            <w:tcW w:w="4180" w:type="dxa"/>
            <w:shd w:val="clear" w:color="auto" w:fill="FFFFFF"/>
          </w:tcPr>
          <w:p>
            <w:pPr>
              <w:spacing w:after="0"/>
            </w:pPr>
            <w:r>
              <w:rPr>
                <w:b w:val="0"/>
                <w:i w:val="0"/>
                <w:sz w:val="19"/>
              </w:rPr>
              <w:t>Three-month mortality 10%. Five-year OS 52% measured from LT, versus 73% measured from liver-metastasis diagnosis; five-year DFS 30%. Post-2000 five-year OS 59%. Poor differentiation, hepatomegaly and concurrent major resection were adverse; age &gt;45 was adverse in a later-era analysis.</w:t>
            </w:r>
          </w:p>
          <w:p>
            <w:pPr>
              <w:spacing w:after="0"/>
            </w:pPr>
            <w:r>
              <w:rPr>
                <w:b w:val="0"/>
                <w:i/>
                <w:sz w:val="19"/>
              </w:rPr>
              <w:t>Limits: The striking time-origin difference illustrates why survival curves cannot be compared casually. Registry era, incomplete grading and nonrandom selection limit modern applicability. Age 45 association does not establish a biological exclusion threshold. Cohort overlap with later multicentre reports is likely.</w:t>
            </w:r>
          </w:p>
          <w:p>
            <w:pPr>
              <w:spacing w:after="0"/>
            </w:pPr>
            <w:r>
              <w:rPr>
                <w:b w:val="0"/>
                <w:i w:val="0"/>
                <w:color w:val="5A6069"/>
                <w:sz w:val="18"/>
              </w:rPr>
              <w:t>Ann Surg 2013 DOI10.1097/SLA.0b013e31828ee17c; PMID23532105 primary abstract; complete PDF not located.</w:t>
            </w:r>
          </w:p>
        </w:tc>
      </w:tr>
      <w:tr>
        <w:trPr>
          <w:cantSplit/>
        </w:trPr>
        <w:tc>
          <w:tcPr>
            <w:tcW w:type="dxa" w:w="3360"/>
            <w:tcW w:w="2000" w:type="dxa"/>
            <w:shd w:val="clear" w:color="auto" w:fill="F1F5F8"/>
          </w:tcPr>
          <w:p>
            <w:pPr>
              <w:spacing w:after="0"/>
            </w:pPr>
            <w:r>
              <w:rPr>
                <w:b/>
                <w:i w:val="0"/>
                <w:sz w:val="19"/>
              </w:rPr>
              <w:t>ENETS 2026</w:t>
            </w:r>
          </w:p>
        </w:tc>
        <w:tc>
          <w:tcPr>
            <w:tcW w:type="dxa" w:w="3360"/>
            <w:tcW w:w="3900" w:type="dxa"/>
            <w:shd w:val="clear" w:color="auto" w:fill="F1F5F8"/>
          </w:tcPr>
          <w:p>
            <w:pPr>
              <w:spacing w:after="0"/>
            </w:pPr>
            <w:r>
              <w:rPr>
                <w:b w:val="0"/>
                <w:i w:val="0"/>
                <w:sz w:val="19"/>
              </w:rPr>
              <w:t>ENETS 2026 position statement explicitly addressing controversies; expert, hypothesis-generating framework rather than original comparative outcome study. Reorients toward incremental benefit and proposes substantial liver burden, young/fit patients and selected controllable extrahepatic disease; broadens beyond traditional Milan in some respects.</w:t>
            </w:r>
          </w:p>
        </w:tc>
        <w:tc>
          <w:tcPr>
            <w:tcW w:type="dxa" w:w="3360"/>
            <w:tcW w:w="4180" w:type="dxa"/>
            <w:shd w:val="clear" w:color="auto" w:fill="F1F5F8"/>
          </w:tcPr>
          <w:p>
            <w:pPr>
              <w:spacing w:after="0"/>
            </w:pPr>
            <w:r>
              <w:rPr>
                <w:b w:val="0"/>
                <w:i w:val="0"/>
                <w:sz w:val="19"/>
              </w:rPr>
              <w:t>No original outcome denominator. Proposed liver-burden bands around 25–70%, age &lt;60 as relative and six-month stability are pragmatic concepts. Illustrative non-LT five-year survival &lt;30% versus post-LT ≥70% are not a calibrated individual benefit model.</w:t>
            </w:r>
          </w:p>
          <w:p>
            <w:pPr>
              <w:spacing w:after="0"/>
            </w:pPr>
            <w:r>
              <w:rPr>
                <w:b w:val="0"/>
                <w:i/>
                <w:sz w:val="19"/>
              </w:rPr>
              <w:t>Limits: Do not turn an expert future-oriented proposal into validated numerical gates. Suggested controllable extrahepatic disease, including bone, conflicts with current NLRB solid-organ-metastasis exclusion. It identifies research needs rather than approving an expansion.</w:t>
            </w:r>
          </w:p>
          <w:p>
            <w:pPr>
              <w:spacing w:after="0"/>
            </w:pPr>
            <w:r>
              <w:rPr>
                <w:b w:val="0"/>
                <w:i w:val="0"/>
                <w:color w:val="5A6069"/>
                <w:sz w:val="18"/>
              </w:rPr>
              <w:t>J Neuroendocrinol 2026;38:e70250; complete position-statement PDF burden, benefit, age, stability and extrahepatic discussion.</w:t>
            </w:r>
          </w:p>
        </w:tc>
      </w:tr>
    </w:tbl>
    <w:p>
      <w:pPr>
        <w:spacing w:after="40"/>
      </w:pPr>
    </w:p>
    <w:p>
      <w:pPr>
        <w:pStyle w:val="Heading3"/>
        <w:keepNext/>
        <w:spacing w:before="120" w:after="80"/>
      </w:pPr>
      <w:r>
        <w:rPr>
          <w:b w:val="0"/>
          <w:i w:val="0"/>
        </w:rPr>
        <w:t>Our proposed selection (OPEN)</w:t>
      </w:r>
    </w:p>
    <w:p>
      <w:pPr>
        <w:spacing w:after="80"/>
      </w:pPr>
      <w:r>
        <w:rPr>
          <w:b w:val="0"/>
          <w:i w:val="0"/>
        </w:rPr>
        <w:t>Use age as a review trigger, not an absolute exclusion; retain a conservative opening burden and a separately declared expansion band.</w:t>
      </w:r>
    </w:p>
    <w:p>
      <w:pPr>
        <w:numPr>
          <w:ilvl w:val="0"/>
          <w:numId w:val="5"/>
        </w:numPr>
        <w:spacing w:after="40"/>
      </w:pPr>
      <w:r>
        <w:rPr>
          <w:b w:val="0"/>
          <w:i w:val="0"/>
        </w:rPr>
        <w:t>Age ≥60 triggers explicit physiological-reserve, competing-mortality and benefit review; no absolute chronological-age ceiling or invented NET-specific frailty score is adopted.</w:t>
      </w:r>
    </w:p>
    <w:p>
      <w:pPr>
        <w:numPr>
          <w:ilvl w:val="0"/>
          <w:numId w:val="5"/>
        </w:numPr>
        <w:spacing w:after="40"/>
      </w:pPr>
      <w:r>
        <w:rPr>
          <w:b w:val="0"/>
          <w:i w:val="0"/>
        </w:rPr>
        <w:t>Reproducibly estimate liver involvement. &lt;50% is the conservative Milan-derived reference; exactly 50% through 70% is a separate prospective expansion stratum, not automatically active. &gt;70% is outside the initial local program for conservative risk control, not because published evidence proves futility. The 50–70/&gt;70 choices are local proposals, not national limits.</w:t>
      </w:r>
    </w:p>
    <w:p>
      <w:pPr>
        <w:numPr>
          <w:ilvl w:val="0"/>
          <w:numId w:val="5"/>
        </w:numPr>
        <w:spacing w:after="40"/>
      </w:pPr>
      <w:r>
        <w:rPr>
          <w:b w:val="0"/>
          <w:i w:val="0"/>
        </w:rPr>
        <w:t>Low burden, particularly &lt;25%, defaults to non-LT care unless a documented NET-B1 benefit trigger overrides that default. Do not give harmful downstaging solely to cross a percentage boundary.</w:t>
      </w:r>
    </w:p>
    <w:p>
      <w:pPr>
        <w:spacing w:after="80"/>
      </w:pPr>
      <w:r>
        <w:rPr>
          <w:b/>
          <w:i w:val="0"/>
        </w:rPr>
        <w:t xml:space="preserve">Why: </w:t>
      </w:r>
      <w:r>
        <w:rPr>
          <w:b w:val="0"/>
          <w:i w:val="0"/>
        </w:rPr>
        <w:t>The &lt;50% burden and relative age &lt;60 framework has the best selected-cohort lineage, not proof of a sharp treatment-benefit boundary. Registry associations with age &gt;45 or hepatomegaly do not establish universal bans. More burden may increase need for organ replacement but also worsen prognosis; low burden may predict good post-LT survival while yielding little extra benefit. NLRB's lack of explicit age/burden limits does not validate any expansion.</w:t>
      </w:r>
    </w:p>
    <w:p>
      <w:pPr>
        <w:spacing w:after="80"/>
      </w:pPr>
      <w:r>
        <w:rPr>
          <w:b/>
          <w:i w:val="0"/>
        </w:rPr>
        <w:t xml:space="preserve">Against, or uncertain: </w:t>
      </w:r>
      <w:r>
        <w:rPr>
          <w:b w:val="0"/>
          <w:i w:val="0"/>
        </w:rPr>
        <w:t>Spanish Milan-OUT survival is lower, but OUT combines many deviations and cannot isolate &gt;50% burden or age ≥60. Matched outside-Milan confidence intervals are wide, not proof of futility. Kjaer's non-LT survival cautions against assuming any eligible patient needs LT. ENETS 25–70% proposal is an expert benefit-oriented hypothesis, not outcome-validated proof that 70% is a biological ceiling.</w:t>
      </w:r>
    </w:p>
    <w:p>
      <w:pPr>
        <w:spacing w:after="80"/>
      </w:pPr>
      <w:r>
        <w:rPr>
          <w:b/>
          <w:i w:val="0"/>
        </w:rPr>
        <w:t xml:space="preserve">Certainty: </w:t>
      </w:r>
      <w:r>
        <w:rPr>
          <w:b w:val="0"/>
          <w:i w:val="0"/>
        </w:rPr>
        <w:t>Low certainty for any causal age/burden threshold; moderate confidence that these variables and liver function must be measured and followed. No prospective trial validates 25%, 50%, 70% or age 60 as a universal increment-benefit boundary.</w:t>
      </w:r>
    </w:p>
    <w:p>
      <w:pPr>
        <w:spacing w:after="80"/>
      </w:pPr>
      <w:r>
        <w:rPr>
          <w:b/>
          <w:i w:val="0"/>
        </w:rPr>
        <w:t xml:space="preserve">Tests and records: </w:t>
      </w:r>
      <w:r>
        <w:rPr>
          <w:b w:val="0"/>
          <w:i w:val="0"/>
        </w:rPr>
        <w:t>Method/date of volumetric burden; functional reserve/frailty; competing illness; symptom/benefit trigger; current treatment alternatives.</w:t>
      </w:r>
    </w:p>
    <w:p>
      <w:pPr>
        <w:spacing w:after="80"/>
      </w:pPr>
      <w:r>
        <w:rPr>
          <w:b/>
          <w:i w:val="0"/>
        </w:rPr>
        <w:t xml:space="preserve">Allocation: </w:t>
      </w:r>
      <w:r>
        <w:rPr>
          <w:b w:val="0"/>
          <w:i w:val="0"/>
        </w:rPr>
        <w:t>NLRB guidance has no explicit age or liver-percentage ceiling; identify these as local clinical/research choices.</w:t>
      </w:r>
    </w:p>
    <w:p>
      <w:pPr>
        <w:spacing w:after="40"/>
      </w:pPr>
      <w:r>
        <w:rPr>
          <w:b/>
          <w:i w:val="0"/>
        </w:rPr>
        <w:t xml:space="preserve">Basis for the proposed thresholds: </w:t>
      </w:r>
    </w:p>
    <w:p>
      <w:pPr>
        <w:numPr>
          <w:ilvl w:val="0"/>
          <w:numId w:val="5"/>
        </w:numPr>
        <w:spacing w:after="40"/>
      </w:pPr>
      <w:r>
        <w:rPr>
          <w:b w:val="0"/>
          <w:i w:val="0"/>
        </w:rPr>
        <w:t>&lt;50% and age &lt;60 relative originate in Milan selection; age &gt;45 is historical prognostic association, not selection validation. ENETS 25–70% and six-month stability are pragmatic proposals. The V6 50–70% unopened stratum and &gt;70% initial closure are local conservative design choices. Serial volumetry and trajectory matter more than a single imprecise percentage.</w:t>
      </w:r>
    </w:p>
    <w:p>
      <w:pPr>
        <w:pStyle w:val="Heading3"/>
        <w:keepNext/>
        <w:spacing w:before="120" w:after="80"/>
      </w:pPr>
      <w:r>
        <w:rPr>
          <w:b w:val="0"/>
          <w:i w:val="0"/>
        </w:rPr>
        <w:t>NET-B3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NET-B4 — Previously treated extrahepatic disease</w:t>
      </w:r>
    </w:p>
    <w:p>
      <w:pPr>
        <w:spacing w:after="80"/>
      </w:pPr>
      <w:r>
        <w:rPr>
          <w:b w:val="0"/>
          <w:i w:val="0"/>
          <w:color w:val="5A6069"/>
          <w:sz w:val="18"/>
        </w:rPr>
        <w:t>Resected nodes only, after clearance · not activated · High-risk review</w:t>
      </w:r>
    </w:p>
    <w:p>
      <w:pPr>
        <w:spacing w:after="80"/>
      </w:pPr>
      <w:r>
        <w:rPr>
          <w:b/>
          <w:i w:val="0"/>
        </w:rPr>
        <w:t xml:space="preserve">Question: </w:t>
      </w:r>
      <w:r>
        <w:rPr>
          <w:b w:val="0"/>
          <w:i w:val="0"/>
        </w:rPr>
        <w:t>Which previously treated extrahepatic NET sites may enter the transplant route: resected regional nodes only, or also distant nodes and a solitary treated bone lesion as ENETS 2026 suggests?</w:t>
      </w:r>
    </w:p>
    <w:p>
      <w:pPr>
        <w:spacing w:after="80"/>
      </w:pPr>
      <w:r>
        <w:rPr>
          <w:b/>
          <w:i w:val="0"/>
        </w:rPr>
        <w:t xml:space="preserve">When it applies: </w:t>
      </w:r>
      <w:r>
        <w:rPr>
          <w:b w:val="0"/>
          <w:i w:val="0"/>
        </w:rPr>
        <w:t>Use when the neuroendocrine tumor has involved sites outside the liver other than the primary (regional or distant nodes, mesentery, lung, bone or other organs), including disease later resected or treated with PRRT, ablation or radiotherapy.</w:t>
      </w:r>
    </w:p>
    <w:p>
      <w:pPr>
        <w:spacing w:after="80"/>
      </w:pPr>
      <w:r>
        <w:rPr>
          <w:b/>
          <w:i w:val="0"/>
        </w:rPr>
        <w:t xml:space="preserve">Where it is decided: </w:t>
      </w:r>
      <w:hyperlink r:id="rId11">
        <w:r>
          <w:rPr>
            <w:color w:val="0563C1"/>
            <w:u w:val="single"/>
          </w:rPr>
          <w:t xml:space="preserve">Stage disease and confirm primary treatment</w:t>
        </w:r>
      </w:hyperlink>
      <w:r>
        <w:rPr>
          <w:b w:val="0"/>
          <w:i w:val="0"/>
        </w:rPr>
        <w:t xml:space="preserve"> · </w:t>
      </w:r>
      <w:hyperlink r:id="rId12">
        <w:r>
          <w:rPr>
            <w:color w:val="0563C1"/>
            <w:u w:val="single"/>
          </w:rPr>
          <w:t xml:space="preserve">Verify disease control</w:t>
        </w:r>
      </w:hyperlink>
    </w:p>
    <w:p>
      <w:pPr>
        <w:spacing w:after="120"/>
      </w:pPr>
      <w:r>
        <w:rPr>
          <w:b/>
          <w:i w:val="0"/>
          <w:sz w:val="18"/>
        </w:rPr>
        <w:t xml:space="preserve">Web page: </w:t>
      </w:r>
      <w:hyperlink r:id="rId1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Maspero 2022 · Milan long-term</w:t>
            </w:r>
          </w:p>
        </w:tc>
        <w:tc>
          <w:tcPr>
            <w:tcW w:type="dxa" w:w="3360"/>
            <w:tcW w:w="3900" w:type="dxa"/>
            <w:shd w:val="clear" w:color="auto" w:fill="F1F5F8"/>
          </w:tcPr>
          <w:p>
            <w:pPr>
              <w:spacing w:after="0"/>
            </w:pPr>
            <w:r>
              <w:rPr>
                <w:b w:val="0"/>
                <w:i w:val="0"/>
                <w:sz w:val="19"/>
              </w:rPr>
              <w:t>Milan retrospective comparison: 48 transplant and 56 resection patients with NET liver metastases. Portal-drained G1/G2 primary previously resected, no extrahepatic disease, &lt;50% liver involvement and at least six months of stable disease for transplantation.</w:t>
            </w:r>
          </w:p>
        </w:tc>
        <w:tc>
          <w:tcPr>
            <w:tcW w:type="dxa" w:w="3360"/>
            <w:tcW w:w="4180" w:type="dxa"/>
            <w:shd w:val="clear" w:color="auto" w:fill="F1F5F8"/>
          </w:tcPr>
          <w:p>
            <w:pPr>
              <w:spacing w:after="0"/>
            </w:pPr>
            <w:r>
              <w:rPr>
                <w:b w:val="0"/>
                <w:i w:val="0"/>
                <w:sz w:val="19"/>
              </w:rPr>
              <w:t>Node-positive primary in 19 of 24 transplanted patients with known nodal status (8 of 44 resected). Among recipients, nodal involvement on final pathology was associated with worse overall survival (HR 5.7, 95% CI 1.3–24). Recurrence after transplantation involved distant nodes in 16 of 25 and bone in 9 of 25.</w:t>
            </w:r>
          </w:p>
          <w:p>
            <w:pPr>
              <w:spacing w:after="0"/>
            </w:pPr>
            <w:r>
              <w:rPr>
                <w:b w:val="0"/>
                <w:i/>
                <w:sz w:val="19"/>
              </w:rPr>
              <w:t>Limits: Retrospective single centre; groups selected for different indications.</w:t>
            </w:r>
          </w:p>
          <w:p>
            <w:pPr>
              <w:spacing w:after="0"/>
            </w:pPr>
            <w:r>
              <w:rPr>
                <w:b w:val="0"/>
                <w:i w:val="0"/>
                <w:color w:val="5A6069"/>
                <w:sz w:val="18"/>
              </w:rPr>
              <w:t>Am J Transplant 2022; Tables 1 and 3, univariate analysis.</w:t>
            </w:r>
          </w:p>
        </w:tc>
      </w:tr>
      <w:tr>
        <w:trPr>
          <w:cantSplit/>
        </w:trPr>
        <w:tc>
          <w:tcPr>
            <w:tcW w:type="dxa" w:w="3360"/>
            <w:tcW w:w="2000" w:type="dxa"/>
            <w:shd w:val="clear" w:color="auto" w:fill="FFFFFF"/>
          </w:tcPr>
          <w:p>
            <w:pPr>
              <w:spacing w:after="0"/>
            </w:pPr>
            <w:r>
              <w:rPr>
                <w:b/>
                <w:i w:val="0"/>
                <w:sz w:val="19"/>
              </w:rPr>
              <w:t>Mazzaferro 2016 · Milan-NET</w:t>
            </w:r>
          </w:p>
        </w:tc>
        <w:tc>
          <w:tcPr>
            <w:tcW w:type="dxa" w:w="3360"/>
            <w:tcW w:w="3900" w:type="dxa"/>
            <w:shd w:val="clear" w:color="auto" w:fill="FFFFFF"/>
          </w:tcPr>
          <w:p>
            <w:pPr>
              <w:spacing w:after="0"/>
            </w:pPr>
            <w:r>
              <w:rPr>
                <w:b w:val="0"/>
                <w:i w:val="0"/>
                <w:sz w:val="19"/>
              </w:rPr>
              <w:t>Milan prospective transplant versus non-transplant comparison (Milan-NET criteria). Primary removed with all extrahepatic deposits in a separate curative resection before transplant consideration; restaging six months after removal; at least six months of stable disease.</w:t>
            </w:r>
          </w:p>
        </w:tc>
        <w:tc>
          <w:tcPr>
            <w:tcW w:type="dxa" w:w="3360"/>
            <w:tcW w:w="4180" w:type="dxa"/>
            <w:shd w:val="clear" w:color="auto" w:fill="FFFFFF"/>
          </w:tcPr>
          <w:p>
            <w:pPr>
              <w:spacing w:after="0"/>
            </w:pPr>
            <w:r>
              <w:rPr>
                <w:b w:val="0"/>
                <w:i w:val="0"/>
                <w:sz w:val="19"/>
              </w:rPr>
              <w:t>Five- and ten-year overall survival 97.2% and 88.8% with transplantation versus 50.9% and 22.4% without; 81% of recipients had node-positive primaries and 57% positive hilar nodes.</w:t>
            </w:r>
          </w:p>
          <w:p>
            <w:pPr>
              <w:spacing w:after="0"/>
            </w:pPr>
            <w:r>
              <w:rPr>
                <w:b w:val="0"/>
                <w:i/>
                <w:sz w:val="19"/>
              </w:rPr>
              <w:t>Limits: Benefit shown only within Milan-NET selection; previous solid-organ metastases were not included.</w:t>
            </w:r>
          </w:p>
          <w:p>
            <w:pPr>
              <w:spacing w:after="0"/>
            </w:pPr>
            <w:r>
              <w:rPr>
                <w:b w:val="0"/>
                <w:i w:val="0"/>
                <w:color w:val="5A6069"/>
                <w:sz w:val="18"/>
              </w:rPr>
              <w:t>Am J Transplant 2016; Tables 1–3 (full text).</w:t>
            </w:r>
          </w:p>
        </w:tc>
      </w:tr>
      <w:tr>
        <w:trPr>
          <w:cantSplit/>
        </w:trPr>
        <w:tc>
          <w:tcPr>
            <w:tcW w:type="dxa" w:w="3360"/>
            <w:tcW w:w="2000" w:type="dxa"/>
            <w:shd w:val="clear" w:color="auto" w:fill="F1F5F8"/>
          </w:tcPr>
          <w:p>
            <w:pPr>
              <w:spacing w:after="0"/>
            </w:pPr>
            <w:r>
              <w:rPr>
                <w:b/>
                <w:i w:val="0"/>
                <w:sz w:val="19"/>
              </w:rPr>
              <w:t>NLRB oncology guidance</w:t>
            </w:r>
          </w:p>
        </w:tc>
        <w:tc>
          <w:tcPr>
            <w:tcW w:type="dxa" w:w="3360"/>
            <w:tcW w:w="3900" w:type="dxa"/>
            <w:shd w:val="clear" w:color="auto" w:fill="F1F5F8"/>
          </w:tcPr>
          <w:p>
            <w:pPr>
              <w:spacing w:after="0"/>
            </w:pPr>
            <w:r>
              <w:rPr>
                <w:b w:val="0"/>
                <w:i w:val="0"/>
                <w:sz w:val="19"/>
              </w:rPr>
              <w:t>Official OPTN/NLRB guidance: Adult MELD Exceptions for Transplant Oncology. Resection of the primary and extrahepatic disease without recurrence for at least six months; negative metastatic workup including functional imaging; de-list on extrahepatic progression such as Ga-68-positive nodes; re-consider after extrahepatic disease is zeroed for at least six months; extrahepatic solid-organ metastases (lungs, bones) are a permanent exclusion.</w:t>
            </w:r>
          </w:p>
        </w:tc>
        <w:tc>
          <w:tcPr>
            <w:tcW w:type="dxa" w:w="3360"/>
            <w:tcW w:w="4180" w:type="dxa"/>
            <w:shd w:val="clear" w:color="auto" w:fill="F1F5F8"/>
          </w:tcPr>
          <w:p>
            <w:pPr>
              <w:spacing w:after="0"/>
            </w:pPr>
            <w:r>
              <w:rPr>
                <w:b w:val="0"/>
                <w:i w:val="0"/>
                <w:sz w:val="19"/>
              </w:rPr>
              <w:t>Allocation guidance; no outcome data.</w:t>
            </w:r>
          </w:p>
          <w:p>
            <w:pPr>
              <w:spacing w:after="0"/>
            </w:pPr>
            <w:r>
              <w:rPr>
                <w:b w:val="0"/>
                <w:i/>
                <w:sz w:val="19"/>
              </w:rPr>
              <w:t>Limits: Exception guidance, not an outcome-derived clinical rule.</w:t>
            </w:r>
          </w:p>
          <w:p>
            <w:pPr>
              <w:spacing w:after="0"/>
            </w:pPr>
            <w:r>
              <w:rPr>
                <w:b w:val="0"/>
                <w:i w:val="0"/>
                <w:color w:val="5A6069"/>
                <w:sz w:val="18"/>
              </w:rPr>
              <w:t>Official PDF, NET section.</w:t>
            </w:r>
          </w:p>
        </w:tc>
      </w:tr>
      <w:tr>
        <w:trPr>
          <w:cantSplit/>
        </w:trPr>
        <w:tc>
          <w:tcPr>
            <w:tcW w:type="dxa" w:w="3360"/>
            <w:tcW w:w="2000" w:type="dxa"/>
            <w:shd w:val="clear" w:color="auto" w:fill="FFFFFF"/>
          </w:tcPr>
          <w:p>
            <w:pPr>
              <w:spacing w:after="0"/>
            </w:pPr>
            <w:r>
              <w:rPr>
                <w:b/>
                <w:i w:val="0"/>
                <w:sz w:val="19"/>
              </w:rPr>
              <w:t>ENETS 2026</w:t>
            </w:r>
          </w:p>
        </w:tc>
        <w:tc>
          <w:tcPr>
            <w:tcW w:type="dxa" w:w="3360"/>
            <w:tcW w:w="3900" w:type="dxa"/>
            <w:shd w:val="clear" w:color="auto" w:fill="FFFFFF"/>
          </w:tcPr>
          <w:p>
            <w:pPr>
              <w:spacing w:after="0"/>
            </w:pPr>
            <w:r>
              <w:rPr>
                <w:b w:val="0"/>
                <w:i w:val="0"/>
                <w:sz w:val="19"/>
              </w:rPr>
              <w:t>2026 ENETS position statement on transplantation for advanced small-intestinal and pancreatic NET. Replace “no EHD” with “no macroscopic, non-targetable EHD”; limited, completely resectable or otherwise controllable extrahepatic disease may not be an absolute contraindication; unresectable mesenteric nodal disease, certain bone metastases and brain metastases remain high-risk.</w:t>
            </w:r>
          </w:p>
        </w:tc>
        <w:tc>
          <w:tcPr>
            <w:tcW w:type="dxa" w:w="3360"/>
            <w:tcW w:w="4180" w:type="dxa"/>
            <w:shd w:val="clear" w:color="auto" w:fill="FFFFFF"/>
          </w:tcPr>
          <w:p>
            <w:pPr>
              <w:spacing w:after="0"/>
            </w:pPr>
            <w:r>
              <w:rPr>
                <w:b w:val="0"/>
                <w:i w:val="0"/>
                <w:sz w:val="19"/>
              </w:rPr>
              <w:t>No original outcome data; imaging should ideally be repeated within three months of transplant consideration.</w:t>
            </w:r>
          </w:p>
          <w:p>
            <w:pPr>
              <w:spacing w:after="0"/>
            </w:pPr>
            <w:r>
              <w:rPr>
                <w:b w:val="0"/>
                <w:i/>
                <w:sz w:val="19"/>
              </w:rPr>
              <w:t>Limits: Expert opinion, explicitly not outcome-validated; conflicts with the NLRB solid-organ exclusion.</w:t>
            </w:r>
          </w:p>
          <w:p>
            <w:pPr>
              <w:spacing w:after="0"/>
            </w:pPr>
            <w:r>
              <w:rPr>
                <w:b w:val="0"/>
                <w:i w:val="0"/>
                <w:color w:val="5A6069"/>
                <w:sz w:val="18"/>
              </w:rPr>
              <w:t>J Neuroendocrinol 2026; updated selection principles.</w:t>
            </w:r>
          </w:p>
        </w:tc>
      </w:tr>
      <w:tr>
        <w:trPr>
          <w:cantSplit/>
        </w:trPr>
        <w:tc>
          <w:tcPr>
            <w:tcW w:type="dxa" w:w="3360"/>
            <w:tcW w:w="2000" w:type="dxa"/>
            <w:shd w:val="clear" w:color="auto" w:fill="F1F5F8"/>
          </w:tcPr>
          <w:p>
            <w:pPr>
              <w:spacing w:after="0"/>
            </w:pPr>
            <w:r>
              <w:rPr>
                <w:b/>
                <w:i w:val="0"/>
                <w:sz w:val="19"/>
              </w:rPr>
              <w:t>Frilling 2010 · 68Ga-DOTATOC PET</w:t>
            </w:r>
          </w:p>
        </w:tc>
        <w:tc>
          <w:tcPr>
            <w:tcW w:type="dxa" w:w="3360"/>
            <w:tcW w:w="3900" w:type="dxa"/>
            <w:shd w:val="clear" w:color="auto" w:fill="F1F5F8"/>
          </w:tcPr>
          <w:p>
            <w:pPr>
              <w:spacing w:after="0"/>
            </w:pPr>
            <w:r>
              <w:rPr>
                <w:b w:val="0"/>
                <w:i w:val="0"/>
                <w:sz w:val="19"/>
              </w:rPr>
              <w:t>Single-centre imaging study: 52 NET patients comparing 68Ga-DOTATOC PET/CT with CT and/or MRI. Fifteen were evaluated for transplantation.</w:t>
            </w:r>
          </w:p>
        </w:tc>
        <w:tc>
          <w:tcPr>
            <w:tcW w:type="dxa" w:w="3360"/>
            <w:tcW w:w="4180" w:type="dxa"/>
            <w:shd w:val="clear" w:color="auto" w:fill="F1F5F8"/>
          </w:tcPr>
          <w:p>
            <w:pPr>
              <w:spacing w:after="0"/>
            </w:pPr>
            <w:r>
              <w:rPr>
                <w:b w:val="0"/>
                <w:i w:val="0"/>
                <w:sz w:val="19"/>
              </w:rPr>
              <w:t>PET/CT found additional hepatic or extrahepatic metastases in 22 of 33 with liver metastases and removed 7 of 15 transplant candidates (46.6%) from further screening.</w:t>
            </w:r>
          </w:p>
          <w:p>
            <w:pPr>
              <w:spacing w:after="0"/>
            </w:pPr>
            <w:r>
              <w:rPr>
                <w:b w:val="0"/>
                <w:i/>
                <w:sz w:val="19"/>
              </w:rPr>
              <w:t>Limits: Small; older tracer and era.</w:t>
            </w:r>
          </w:p>
          <w:p>
            <w:pPr>
              <w:spacing w:after="0"/>
            </w:pPr>
            <w:r>
              <w:rPr>
                <w:b w:val="0"/>
                <w:i w:val="0"/>
                <w:color w:val="5A6069"/>
                <w:sz w:val="18"/>
              </w:rPr>
              <w:t>Ann Surg 2010; abstract.</w:t>
            </w:r>
          </w:p>
        </w:tc>
      </w:tr>
      <w:tr>
        <w:trPr>
          <w:cantSplit/>
        </w:trPr>
        <w:tc>
          <w:tcPr>
            <w:tcW w:type="dxa" w:w="3360"/>
            <w:tcW w:w="2000" w:type="dxa"/>
            <w:shd w:val="clear" w:color="auto" w:fill="FFFFFF"/>
          </w:tcPr>
          <w:p>
            <w:pPr>
              <w:spacing w:after="0"/>
            </w:pPr>
            <w:r>
              <w:rPr>
                <w:b/>
                <w:i w:val="0"/>
                <w:sz w:val="19"/>
              </w:rPr>
              <w:t>Le Treut 2013 · ELTR</w:t>
            </w:r>
          </w:p>
        </w:tc>
        <w:tc>
          <w:tcPr>
            <w:tcW w:type="dxa" w:w="3360"/>
            <w:tcW w:w="3900" w:type="dxa"/>
            <w:shd w:val="clear" w:color="auto" w:fill="FFFFFF"/>
          </w:tcPr>
          <w:p>
            <w:pPr>
              <w:spacing w:after="0"/>
            </w:pPr>
            <w:r>
              <w:rPr>
                <w:b w:val="0"/>
                <w:i w:val="0"/>
                <w:sz w:val="19"/>
              </w:rPr>
              <w:t>European Liver Transplant Registry: 213 transplants for NET. Twenty-four had major and 60 minor additional procedures at transplantation, including extended lymphadenectomy (38), removal of the primary (29), other organ resections (such as Whipple or exenteration) and peritonectomy.</w:t>
            </w:r>
          </w:p>
        </w:tc>
        <w:tc>
          <w:tcPr>
            <w:tcW w:type="dxa" w:w="3360"/>
            <w:tcW w:w="4180" w:type="dxa"/>
            <w:shd w:val="clear" w:color="auto" w:fill="FFFFFF"/>
          </w:tcPr>
          <w:p>
            <w:pPr>
              <w:spacing w:after="0"/>
            </w:pPr>
            <w:r>
              <w:rPr>
                <w:b w:val="0"/>
                <w:i w:val="0"/>
                <w:sz w:val="19"/>
              </w:rPr>
              <w:t>Major concurrent resection HR 3.1 across all eras; after 2000, any concurrent resection HR 1.9 (p=0.058); five-year overall survival 52% from transplantation.</w:t>
            </w:r>
          </w:p>
          <w:p>
            <w:pPr>
              <w:spacing w:after="0"/>
            </w:pPr>
            <w:r>
              <w:rPr>
                <w:b w:val="0"/>
                <w:i/>
                <w:sz w:val="19"/>
              </w:rPr>
              <w:t>Limits: Historical era; heterogeneous pathology.</w:t>
            </w:r>
          </w:p>
          <w:p>
            <w:pPr>
              <w:spacing w:after="0"/>
            </w:pPr>
            <w:r>
              <w:rPr>
                <w:b w:val="0"/>
                <w:i w:val="0"/>
                <w:color w:val="5A6069"/>
                <w:sz w:val="18"/>
              </w:rPr>
              <w:t>Ann Surg 2013; Tables 4–6 (full text).</w:t>
            </w:r>
          </w:p>
        </w:tc>
      </w:tr>
      <w:tr>
        <w:trPr>
          <w:cantSplit/>
        </w:trPr>
        <w:tc>
          <w:tcPr>
            <w:tcW w:type="dxa" w:w="3360"/>
            <w:tcW w:w="2000" w:type="dxa"/>
            <w:shd w:val="clear" w:color="auto" w:fill="F1F5F8"/>
          </w:tcPr>
          <w:p>
            <w:pPr>
              <w:spacing w:after="0"/>
            </w:pPr>
            <w:r>
              <w:rPr>
                <w:b/>
                <w:i w:val="0"/>
                <w:sz w:val="19"/>
              </w:rPr>
              <w:t>Wedin 2025 · bone metastases in SI-NET</w:t>
            </w:r>
          </w:p>
        </w:tc>
        <w:tc>
          <w:tcPr>
            <w:tcW w:type="dxa" w:w="3360"/>
            <w:tcW w:w="3900" w:type="dxa"/>
            <w:shd w:val="clear" w:color="auto" w:fill="F1F5F8"/>
          </w:tcPr>
          <w:p>
            <w:pPr>
              <w:spacing w:after="0"/>
            </w:pPr>
            <w:r>
              <w:rPr>
                <w:b w:val="0"/>
                <w:i w:val="0"/>
                <w:sz w:val="19"/>
              </w:rPr>
              <w:t>Two Swedish centres; 138 small-intestine NET patients with bone metastases. Bone metastases on SSTR-PET; rarely biopsied; never curatively treated.</w:t>
            </w:r>
          </w:p>
        </w:tc>
        <w:tc>
          <w:tcPr>
            <w:tcW w:type="dxa" w:w="3360"/>
            <w:tcW w:w="4180" w:type="dxa"/>
            <w:shd w:val="clear" w:color="auto" w:fill="F1F5F8"/>
          </w:tcPr>
          <w:p>
            <w:pPr>
              <w:spacing w:after="0"/>
            </w:pPr>
            <w:r>
              <w:rPr>
                <w:b w:val="0"/>
                <w:i w:val="0"/>
                <w:sz w:val="19"/>
              </w:rPr>
              <w:t>Any bone metastasis HR 1.94; more than five lesions: median survival 18 vs 75 months; 21% with five or fewer progressed beyond five.</w:t>
            </w:r>
          </w:p>
          <w:p>
            <w:pPr>
              <w:spacing w:after="0"/>
            </w:pPr>
            <w:r>
              <w:rPr>
                <w:b w:val="0"/>
                <w:i/>
                <w:sz w:val="19"/>
              </w:rPr>
              <w:t>Limits: Small-intestine NET only.</w:t>
            </w:r>
          </w:p>
          <w:p>
            <w:pPr>
              <w:spacing w:after="0"/>
            </w:pPr>
            <w:r>
              <w:rPr>
                <w:b w:val="0"/>
                <w:i w:val="0"/>
                <w:color w:val="5A6069"/>
                <w:sz w:val="18"/>
              </w:rPr>
              <w:t>J Neuroendocrinol 2025; Results, Table 5 (full text).</w:t>
            </w:r>
          </w:p>
        </w:tc>
      </w:tr>
      <w:tr>
        <w:trPr>
          <w:cantSplit/>
        </w:trPr>
        <w:tc>
          <w:tcPr>
            <w:tcW w:type="dxa" w:w="3360"/>
            <w:tcW w:w="2000" w:type="dxa"/>
            <w:shd w:val="clear" w:color="auto" w:fill="FFFFFF"/>
          </w:tcPr>
          <w:p>
            <w:pPr>
              <w:spacing w:after="0"/>
            </w:pPr>
            <w:r>
              <w:rPr>
                <w:b/>
                <w:i w:val="0"/>
                <w:sz w:val="19"/>
              </w:rPr>
              <w:t>Sher 2015 · US multicentre NET LT</w:t>
            </w:r>
          </w:p>
        </w:tc>
        <w:tc>
          <w:tcPr>
            <w:tcW w:type="dxa" w:w="3360"/>
            <w:tcW w:w="3900" w:type="dxa"/>
            <w:shd w:val="clear" w:color="auto" w:fill="FFFFFF"/>
          </w:tcPr>
          <w:p>
            <w:pPr>
              <w:spacing w:after="0"/>
            </w:pPr>
            <w:r>
              <w:rPr>
                <w:b w:val="0"/>
                <w:i w:val="0"/>
                <w:sz w:val="19"/>
              </w:rPr>
              <w:t>Multicentre cohort, 28 centres (mostly US, also Canadian and European); 85 transplants for NET. “Extent of resection” meant concurrent primary or multivisceral surgery at transplantation, not clearance of metastases.</w:t>
            </w:r>
          </w:p>
        </w:tc>
        <w:tc>
          <w:tcPr>
            <w:tcW w:type="dxa" w:w="3360"/>
            <w:tcW w:w="4180" w:type="dxa"/>
            <w:shd w:val="clear" w:color="auto" w:fill="FFFFFF"/>
          </w:tcPr>
          <w:p>
            <w:pPr>
              <w:spacing w:after="0"/>
            </w:pPr>
            <w:r>
              <w:rPr>
                <w:b w:val="0"/>
                <w:i w:val="0"/>
                <w:sz w:val="19"/>
              </w:rPr>
              <w:t>Extensive concurrent surgery associated with worse survival (p=0.015).</w:t>
            </w:r>
          </w:p>
          <w:p>
            <w:pPr>
              <w:spacing w:after="0"/>
            </w:pPr>
            <w:r>
              <w:rPr>
                <w:b w:val="0"/>
                <w:i/>
                <w:sz w:val="19"/>
              </w:rPr>
              <w:t>Limits: No extrahepatic-disease variable; historical era.</w:t>
            </w:r>
          </w:p>
          <w:p>
            <w:pPr>
              <w:spacing w:after="0"/>
            </w:pPr>
            <w:r>
              <w:rPr>
                <w:b w:val="0"/>
                <w:i w:val="0"/>
                <w:color w:val="5A6069"/>
                <w:sz w:val="18"/>
              </w:rPr>
              <w:t>J Surg Oncol 2015; Methods and Results (full text).</w:t>
            </w:r>
          </w:p>
        </w:tc>
      </w:tr>
    </w:tbl>
    <w:p>
      <w:pPr>
        <w:spacing w:after="40"/>
      </w:pPr>
    </w:p>
    <w:p>
      <w:pPr>
        <w:pStyle w:val="Heading3"/>
        <w:keepNext/>
        <w:spacing w:before="120" w:after="80"/>
      </w:pPr>
      <w:r>
        <w:rPr>
          <w:b w:val="0"/>
          <w:i w:val="0"/>
        </w:rPr>
        <w:t>Our proposed selection (OPEN)</w:t>
      </w:r>
    </w:p>
    <w:p>
      <w:pPr>
        <w:spacing w:after="80"/>
      </w:pPr>
      <w:r>
        <w:rPr>
          <w:b w:val="0"/>
          <w:i w:val="0"/>
        </w:rPr>
        <w:t>Allow previously resected nodal disease after complete clearance and ≥6 months without recurrence. Keep previous lung, bone or other solid-organ metastases closed. Nodal disease cleared only by non-surgical treatment needs individual review.</w:t>
      </w:r>
    </w:p>
    <w:p>
      <w:pPr>
        <w:numPr>
          <w:ilvl w:val="0"/>
          <w:numId w:val="5"/>
        </w:numPr>
        <w:spacing w:after="40"/>
      </w:pPr>
      <w:r>
        <w:rPr>
          <w:b w:val="0"/>
          <w:i w:val="0"/>
        </w:rPr>
        <w:t>Previously resected regional or mesenteric nodal disease may qualify after complete clearance, as Milan-NET requires: the primary and all extrahepatic deposits removed in a separate curative operation, no recurrence for ≥6 months after that resection, and negative SSTR PET with CT/MRI repeated within 3 months of transplant consideration. Document stations, pathology and dates.</w:t>
      </w:r>
    </w:p>
    <w:p>
      <w:pPr>
        <w:numPr>
          <w:ilvl w:val="0"/>
          <w:numId w:val="5"/>
        </w:numPr>
        <w:spacing w:after="40"/>
      </w:pPr>
      <w:r>
        <w:rPr>
          <w:b w:val="0"/>
          <w:i w:val="0"/>
        </w:rPr>
        <w:t>Nodal disease that resolved only after PRRT, ablation or radiotherapy is not equivalent to resection: individual review only, with SSTR-PET-negative status for ≥6 months. Persistent SSTR-avid or morphologically visible disease is active disease.</w:t>
      </w:r>
    </w:p>
    <w:p>
      <w:pPr>
        <w:numPr>
          <w:ilvl w:val="0"/>
          <w:numId w:val="5"/>
        </w:numPr>
        <w:spacing w:after="40"/>
      </w:pPr>
      <w:r>
        <w:rPr>
          <w:b w:val="0"/>
          <w:i w:val="0"/>
        </w:rPr>
        <w:t>Previous lung, bone (including a solitary treated bone lesion) or other solid-organ metastasis remains closed, including after complete treatment. The ENETS 2026 position (no macroscopic, non-targetable extrahepatic disease) is recorded as a dissent, not adopted.</w:t>
      </w:r>
    </w:p>
    <w:p>
      <w:pPr>
        <w:numPr>
          <w:ilvl w:val="0"/>
          <w:numId w:val="5"/>
        </w:numPr>
        <w:spacing w:after="40"/>
      </w:pPr>
      <w:r>
        <w:rPr>
          <w:b w:val="0"/>
          <w:i w:val="0"/>
        </w:rPr>
        <w:t>Extrahepatic progression during observation or on the waiting list removes the patient from the route; re-entry needs renewed clearance and a new ≥6-month recurrence-free interval. Plan hilar lymphadenectomy at transplantation, and clear extrahepatic disease in a staged operation rather than combining major extrahepatic resection with transplantation.</w:t>
      </w:r>
    </w:p>
    <w:p>
      <w:pPr>
        <w:spacing w:after="80"/>
      </w:pPr>
      <w:r>
        <w:rPr>
          <w:b/>
          <w:i w:val="0"/>
        </w:rPr>
        <w:t xml:space="preserve">Why: </w:t>
      </w:r>
      <w:r>
        <w:rPr>
          <w:b w:val="0"/>
          <w:i w:val="0"/>
        </w:rPr>
        <w:t>Milan-NET requires the primary to be removed with all extrahepatic deposits in a separate curative resection before transplant consideration, with restaging six months later; in the Milan cohort, 81% of recipients had node-positive primaries and 57% had positive hilar nodes, with 10-year survival 88.8%. Previously resected regional nodal disease is therefore part of Milan-NET, not an expansion. NLRB guidance encodes the same approach, de-lists on extrahepatic progression and allows re-consideration only after extrahepatic disease has been zeroed for six months. Functional imaging changes candidacy: 68Ga-DOTATOC PET removed 7 of 15 transplant candidates because of deposits not seen on CT or MRI.</w:t>
      </w:r>
    </w:p>
    <w:p>
      <w:pPr>
        <w:spacing w:after="80"/>
      </w:pPr>
      <w:r>
        <w:rPr>
          <w:b/>
          <w:i w:val="0"/>
        </w:rPr>
        <w:t xml:space="preserve">Against, or uncertain: </w:t>
      </w:r>
      <w:r>
        <w:rPr>
          <w:b w:val="0"/>
          <w:i w:val="0"/>
        </w:rPr>
        <w:t>Nodal involvement on final pathology was associated with worse survival after transplantation in the Milan cohort (HR 5.7, univariate), and first recurrences were mostly in distant nodes and bone, so a cleared nodal history is not risk-free. Concurrent resections at transplantation (mostly of the primary or other organs) were adverse in the European registry, borderline after 2000 (HR 1.9, p=0.058), and extensive concurrent primary or multivisceral surgery was adverse in a US series; both argue for staging the primary well before transplantation. ENETS 2026 proposes replacing “no extrahepatic disease” with “no macroscopic, non-targetable extrahepatic disease” (for example isolated resectable nodes or a solitary bone lesion amenable to local treatment); the authors present this as expert opinion, not outcome-validated. In small-intestine NET, any bone metastasis was independently adverse (HR 1.94) and 21% of patients with five or fewer bone metastases progressed beyond five.</w:t>
      </w:r>
    </w:p>
    <w:p>
      <w:pPr>
        <w:spacing w:after="80"/>
      </w:pPr>
      <w:r>
        <w:rPr>
          <w:b/>
          <w:i w:val="0"/>
        </w:rPr>
        <w:t xml:space="preserve">Certainty: </w:t>
      </w:r>
      <w:r>
        <w:rPr>
          <w:b w:val="0"/>
          <w:i w:val="0"/>
        </w:rPr>
        <w:t>Low for accepting resected nodal disease after a recurrence-free interval; very low for PRRT-only clearance and for previous solid-organ metastases.</w:t>
      </w:r>
    </w:p>
    <w:p>
      <w:pPr>
        <w:spacing w:after="80"/>
      </w:pPr>
      <w:r>
        <w:rPr>
          <w:b/>
          <w:i w:val="0"/>
        </w:rPr>
        <w:t xml:space="preserve">Tests and records: </w:t>
      </w:r>
      <w:r>
        <w:rPr>
          <w:b w:val="0"/>
          <w:i w:val="0"/>
        </w:rPr>
        <w:t>Operative and pathology reports for each extrahepatic resection, with node stations; SSTR PET (68Ga- or 64Cu-labelled) and CT/MRI within 3 months; date of the last extrahepatic treatment; PRRT cycles and response; serial imaging timeline.</w:t>
      </w:r>
    </w:p>
    <w:p>
      <w:pPr>
        <w:spacing w:after="80"/>
      </w:pPr>
      <w:r>
        <w:rPr>
          <w:b/>
          <w:i w:val="0"/>
        </w:rPr>
        <w:t xml:space="preserve">Allocation: </w:t>
      </w:r>
      <w:r>
        <w:rPr>
          <w:b w:val="0"/>
          <w:i w:val="0"/>
        </w:rPr>
        <w:t>NLRB NET guidance requires resection of the primary and extrahepatic disease with no recurrence for at least six months, a negative metastatic workup including functional imaging, de-listing on extrahepatic progression, re-consideration only after extrahepatic disease has been zeroed for at least six months, and permanent exclusion for extrahepatic solid-organ metastases such as lung or bone.</w:t>
      </w:r>
    </w:p>
    <w:p>
      <w:pPr>
        <w:spacing w:after="40"/>
      </w:pPr>
      <w:r>
        <w:rPr>
          <w:b/>
          <w:i w:val="0"/>
        </w:rPr>
        <w:t xml:space="preserve">Basis for the proposed thresholds: </w:t>
      </w:r>
    </w:p>
    <w:p>
      <w:pPr>
        <w:numPr>
          <w:ilvl w:val="0"/>
          <w:numId w:val="5"/>
        </w:numPr>
        <w:spacing w:after="40"/>
      </w:pPr>
      <w:r>
        <w:rPr>
          <w:b w:val="0"/>
          <w:i w:val="0"/>
        </w:rPr>
        <w:t>The six-month recurrence-free interval, functional imaging, de-listing on progression and the solid-organ exclusion are NLRB wording. Repeat SSTR imaging within three months of transplant consideration follows ENETS 2026. Treating PRRT-only clearance as individual review is a conservative local choice.</w:t>
      </w:r>
    </w:p>
    <w:p>
      <w:pPr>
        <w:pStyle w:val="Heading3"/>
        <w:keepNext/>
        <w:spacing w:before="120" w:after="80"/>
      </w:pPr>
      <w:r>
        <w:rPr>
          <w:b w:val="0"/>
          <w:i w:val="0"/>
        </w:rPr>
        <w:t>NET-B4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Shared approval requirements (all transplant pathways)</w:t>
      </w:r>
    </w:p>
    <w:p>
      <w:pPr>
        <w:spacing w:after="80"/>
      </w:pPr>
      <w:r>
        <w:rPr>
          <w:b w:val="0"/>
          <w:i w:val="0"/>
        </w:rPr>
        <w:t>Recipient selection, allocation, donor protection and institutional study approval are separate decisions. These apply to every high-risk proposal.</w:t>
      </w:r>
    </w:p>
    <w:p>
      <w:pPr>
        <w:pStyle w:val="Heading2"/>
        <w:keepNext/>
        <w:spacing w:before="200" w:after="80"/>
      </w:pPr>
      <w:r>
        <w:rPr>
          <w:b w:val="0"/>
          <w:i w:val="0"/>
        </w:rPr>
        <w:t>ALLOC-B1 — Separate clinical, allocation, donor and study approval</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are we approving?</w:t>
      </w:r>
    </w:p>
    <w:p>
      <w:pPr>
        <w:spacing w:after="120"/>
      </w:pPr>
      <w:r>
        <w:rPr>
          <w:b/>
          <w:i w:val="0"/>
          <w:sz w:val="18"/>
        </w:rPr>
        <w:t xml:space="preserve">Web page: </w:t>
      </w:r>
      <w:hyperlink r:id="rId1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oncology guidance</w:t>
            </w:r>
          </w:p>
        </w:tc>
        <w:tc>
          <w:tcPr>
            <w:tcW w:type="dxa" w:w="3360"/>
            <w:tcW w:w="5480" w:type="dxa"/>
            <w:shd w:val="clear" w:color="auto" w:fill="F1F5F8"/>
          </w:tcPr>
          <w:p>
            <w:pPr>
              <w:spacing w:after="0"/>
            </w:pPr>
            <w:r>
              <w:rPr>
                <w:b w:val="0"/>
                <w:i w:val="0"/>
                <w:sz w:val="19"/>
              </w:rPr>
              <w:t>“This resource is not OPTN Policy” Guidance informs case review and is not itself binding policy or a clinical standard.</w:t>
            </w:r>
          </w:p>
        </w:tc>
        <w:tc>
          <w:tcPr>
            <w:tcW w:type="dxa" w:w="3360"/>
            <w:tcW w:w="2400" w:type="dxa"/>
            <w:shd w:val="clear" w:color="auto" w:fill="F1F5F8"/>
          </w:tcPr>
          <w:p>
            <w:pPr>
              <w:spacing w:after="0"/>
            </w:pPr>
            <w:r>
              <w:rPr>
                <w:b w:val="0"/>
                <w:i w:val="0"/>
                <w:color w:val="5A6069"/>
                <w:sz w:val="18"/>
              </w:rPr>
              <w:t>December 2025 oncology guidance p2, disclaimer</w:t>
            </w:r>
          </w:p>
        </w:tc>
      </w:tr>
      <w:tr>
        <w:trPr>
          <w:cantSplit/>
        </w:trPr>
        <w:tc>
          <w:tcPr>
            <w:tcW w:type="dxa" w:w="3360"/>
            <w:tcW w:w="2200" w:type="dxa"/>
            <w:shd w:val="clear" w:color="auto" w:fill="FFFFFF"/>
          </w:tcPr>
          <w:p>
            <w:pPr>
              <w:spacing w:after="0"/>
            </w:pPr>
            <w:r>
              <w:rPr>
                <w:b/>
                <w:i w:val="0"/>
                <w:sz w:val="19"/>
              </w:rPr>
              <w:t>OPTN policy</w:t>
            </w:r>
          </w:p>
        </w:tc>
        <w:tc>
          <w:tcPr>
            <w:tcW w:type="dxa" w:w="3360"/>
            <w:tcW w:w="5480" w:type="dxa"/>
            <w:shd w:val="clear" w:color="auto" w:fill="FFFFFF"/>
          </w:tcPr>
          <w:p>
            <w:pPr>
              <w:spacing w:after="0"/>
            </w:pPr>
            <w:r>
              <w:rPr>
                <w:b w:val="0"/>
                <w:i w:val="0"/>
                <w:sz w:val="19"/>
              </w:rPr>
              <w:t>“Function independently from the transplant candidate’s team.” Donor advocacy is independent of recipient-team enthusiasm.</w:t>
            </w:r>
          </w:p>
        </w:tc>
        <w:tc>
          <w:tcPr>
            <w:tcW w:type="dxa" w:w="3360"/>
            <w:tcW w:w="2400" w:type="dxa"/>
            <w:shd w:val="clear" w:color="auto" w:fill="FFFFFF"/>
          </w:tcPr>
          <w:p>
            <w:pPr>
              <w:spacing w:after="0"/>
            </w:pPr>
            <w:r>
              <w:rPr>
                <w:b w:val="0"/>
                <w:i w:val="0"/>
                <w:color w:val="5A6069"/>
                <w:sz w:val="18"/>
              </w:rPr>
              <w:t>Policy 14.2.A, PDF p285, living donor advocate requirements</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FFFFF"/>
          </w:tcPr>
          <w:p>
            <w:pPr>
              <w:spacing w:after="0"/>
            </w:pPr>
            <w:r>
              <w:rPr>
                <w:b/>
                <w:i w:val="0"/>
                <w:sz w:val="19"/>
              </w:rPr>
              <w:t>NLRB oncology guidance</w:t>
            </w:r>
          </w:p>
        </w:tc>
        <w:tc>
          <w:tcPr>
            <w:tcW w:type="dxa" w:w="3360"/>
            <w:tcW w:w="3900" w:type="dxa"/>
            <w:shd w:val="clear" w:color="auto" w:fill="FFFFFF"/>
          </w:tcPr>
          <w:p>
            <w:pPr>
              <w:spacing w:after="0"/>
            </w:pPr>
            <w:r>
              <w:rPr>
                <w:b w:val="0"/>
                <w:i w:val="0"/>
                <w:sz w:val="19"/>
              </w:rPr>
              <w:t>Current NLRB hepatic-adenoma guidance. Four alternative routes; route four contains conjunctive clinical requirements.</w:t>
            </w:r>
          </w:p>
        </w:tc>
        <w:tc>
          <w:tcPr>
            <w:tcW w:type="dxa" w:w="3360"/>
            <w:tcW w:w="4180" w:type="dxa"/>
            <w:shd w:val="clear" w:color="auto" w:fill="FFFFFF"/>
          </w:tcPr>
          <w:p>
            <w:pPr>
              <w:spacing w:after="0"/>
            </w:pPr>
            <w:r>
              <w:rPr>
                <w:b w:val="0"/>
                <w:i w:val="0"/>
                <w:sz w:val="19"/>
              </w:rPr>
              <w:t>GSD/Abernethy; OR unresectable β-catenin-mutated HCA; OR unresectable adenomatosis &gt;10 lesions; OR unresectable, nonoperative-unresponsive and progressive/complicated HCA.</w:t>
            </w:r>
          </w:p>
          <w:p>
            <w:pPr>
              <w:spacing w:after="0"/>
            </w:pPr>
            <w:r>
              <w:rPr>
                <w:b w:val="0"/>
                <w:i/>
                <w:sz w:val="19"/>
              </w:rPr>
              <w:t>Limits: These are review routes, not proof of benefit or a mandatory transplant recommendation. Current text does not require all four conditions simultaneously or cirrhosis for all routes.</w:t>
            </w:r>
          </w:p>
          <w:p>
            <w:pPr>
              <w:spacing w:after="0"/>
            </w:pPr>
            <w:r>
              <w:rPr>
                <w:b w:val="0"/>
                <w:i w:val="0"/>
                <w:color w:val="5A6069"/>
                <w:sz w:val="18"/>
              </w:rPr>
              <w:t>December 2025 oncology guidance, hepatic adenoma p11.</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OPTN ethics principles</w:t>
            </w:r>
          </w:p>
        </w:tc>
        <w:tc>
          <w:tcPr>
            <w:tcW w:type="dxa" w:w="3360"/>
            <w:tcW w:w="3900" w:type="dxa"/>
            <w:shd w:val="clear" w:color="auto" w:fill="FFFFFF"/>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FFFFF"/>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bl>
    <w:p>
      <w:pPr>
        <w:spacing w:after="40"/>
      </w:pPr>
    </w:p>
    <w:p>
      <w:pPr>
        <w:pStyle w:val="Heading3"/>
        <w:keepNext/>
        <w:spacing w:before="120" w:after="80"/>
      </w:pPr>
      <w:r>
        <w:rPr>
          <w:b w:val="0"/>
          <w:i w:val="0"/>
        </w:rPr>
        <w:t>Our proposed selection (OPEN)</w:t>
      </w:r>
    </w:p>
    <w:p>
      <w:pPr>
        <w:spacing w:after="80"/>
      </w:pPr>
      <w:r>
        <w:rPr>
          <w:b w:val="0"/>
          <w:i w:val="0"/>
        </w:rPr>
        <w:t>Require 100% completion of the applicable clinical, allocation, donor and research determinations before activation.</w:t>
      </w:r>
    </w:p>
    <w:p>
      <w:pPr>
        <w:numPr>
          <w:ilvl w:val="0"/>
          <w:numId w:val="5"/>
        </w:numPr>
        <w:spacing w:after="40"/>
      </w:pPr>
      <w:r>
        <w:rPr>
          <w:b w:val="0"/>
          <w:i w:val="0"/>
        </w:rPr>
        <w:t>Complete six separate dated determinations: clinical suitability; standardized-exception eligibility; nonstandard NLRB review status; calculated-MELD access; LDLT donor clearance; and research authorization. Mark nonapplicable domains explicitly with a reason—do not manufacture six approvals for every patient.</w:t>
      </w:r>
    </w:p>
    <w:p>
      <w:pPr>
        <w:numPr>
          <w:ilvl w:val="0"/>
          <w:numId w:val="5"/>
        </w:numPr>
        <w:spacing w:after="40"/>
      </w:pPr>
      <w:r>
        <w:rPr>
          <w:b w:val="0"/>
          <w:i w:val="0"/>
        </w:rPr>
        <w:t>Any required missing, pending or adverse determination is a HOLD. An exception application is not approval, a donor is not recipient benefit, and clinical approval is not study activation.</w:t>
      </w:r>
    </w:p>
    <w:p>
      <w:pPr>
        <w:numPr>
          <w:ilvl w:val="0"/>
          <w:numId w:val="5"/>
        </w:numPr>
        <w:spacing w:after="40"/>
      </w:pPr>
      <w:r>
        <w:rPr>
          <w:b w:val="0"/>
          <w:i w:val="0"/>
        </w:rPr>
        <w:t>Recheck the current policy/guidance version before each request; record actual decision and priority rather than predicted entitlement.</w:t>
      </w:r>
    </w:p>
    <w:p>
      <w:pPr>
        <w:spacing w:after="80"/>
      </w:pPr>
      <w:r>
        <w:rPr>
          <w:b/>
          <w:i w:val="0"/>
        </w:rPr>
        <w:t xml:space="preserve">Why: </w:t>
      </w:r>
      <w:r>
        <w:rPr>
          <w:b w:val="0"/>
          <w:i w:val="0"/>
        </w:rPr>
        <w:t>The separation is a governance requirement, not an empirical survival cutoff. A clinically appropriate patient can lack exception eligibility, and an approved exception does not prove clinical benefit. LDLT requires an independent donor determination; a registry entry is not permission to perform experimental transplantation.</w:t>
      </w:r>
    </w:p>
    <w:p>
      <w:pPr>
        <w:spacing w:after="80"/>
      </w:pPr>
      <w:r>
        <w:rPr>
          <w:b/>
          <w:i w:val="0"/>
        </w:rPr>
        <w:t xml:space="preserve">Against, or uncertain: </w:t>
      </w:r>
      <w:r>
        <w:rPr>
          <w:b w:val="0"/>
          <w:i w:val="0"/>
        </w:rPr>
        <w:t>Not every case needs six separate affirmative approvals: several routes are alternatives or not applicable. An indiscriminate six-approval rule could obstruct appropriate standard care.</w:t>
      </w:r>
    </w:p>
    <w:p>
      <w:pPr>
        <w:spacing w:after="80"/>
      </w:pPr>
      <w:r>
        <w:rPr>
          <w:b/>
          <w:i w:val="0"/>
        </w:rPr>
        <w:t xml:space="preserve">Certainty: </w:t>
      </w:r>
      <w:r>
        <w:rPr>
          <w:b w:val="0"/>
          <w:i w:val="0"/>
        </w:rPr>
        <w:t>High confidence in the separation of applicable authorities; no trial establishes that six boxes improve survival. Local workflow must map to current institutional obligations.</w:t>
      </w:r>
    </w:p>
    <w:p>
      <w:pPr>
        <w:spacing w:after="80"/>
      </w:pPr>
      <w:r>
        <w:rPr>
          <w:b/>
          <w:i w:val="0"/>
        </w:rPr>
        <w:t xml:space="preserve">Tests and records: </w:t>
      </w:r>
      <w:r>
        <w:rPr>
          <w:b w:val="0"/>
          <w:i w:val="0"/>
        </w:rPr>
        <w:t>Signed suitability record; exact allocation route and policy version; exception outcome; donor-team status; study and institutional activation record.</w:t>
      </w:r>
    </w:p>
    <w:p>
      <w:pPr>
        <w:spacing w:after="80"/>
      </w:pPr>
      <w:r>
        <w:rPr>
          <w:b/>
          <w:i w:val="0"/>
        </w:rPr>
        <w:t xml:space="preserve">Allocation: </w:t>
      </w:r>
      <w:r>
        <w:rPr>
          <w:b w:val="0"/>
          <w:i w:val="0"/>
        </w:rPr>
        <w:t>Policy 9.4 permits discretionary requests where appropriate; absence of favorable diagnosis-specific guidance is not absence of a review mechanism, and a request does not promise approval.</w:t>
      </w:r>
    </w:p>
    <w:p>
      <w:pPr>
        <w:spacing w:after="40"/>
      </w:pPr>
      <w:r>
        <w:rPr>
          <w:b/>
          <w:i w:val="0"/>
        </w:rPr>
        <w:t xml:space="preserve">Basis for the proposed thresholds: </w:t>
      </w:r>
    </w:p>
    <w:p>
      <w:pPr>
        <w:numPr>
          <w:ilvl w:val="0"/>
          <w:numId w:val="5"/>
        </w:numPr>
        <w:spacing w:after="40"/>
      </w:pPr>
      <w:r>
        <w:rPr>
          <w:b w:val="0"/>
          <w:i w:val="0"/>
        </w:rPr>
        <w:t>Six domains: local checklist architecture, not six mandatory national approvals.</w:t>
      </w:r>
    </w:p>
    <w:p>
      <w:pPr>
        <w:numPr>
          <w:ilvl w:val="0"/>
          <w:numId w:val="5"/>
        </w:numPr>
        <w:spacing w:after="40"/>
      </w:pPr>
      <w:r>
        <w:rPr>
          <w:b w:val="0"/>
          <w:i w:val="0"/>
        </w:rPr>
        <w:t>100% applicable completion: governance safeguard, not an outcome-derived percentage.</w:t>
      </w:r>
    </w:p>
    <w:p>
      <w:pPr>
        <w:numPr>
          <w:ilvl w:val="0"/>
          <w:numId w:val="5"/>
        </w:numPr>
        <w:spacing w:after="40"/>
      </w:pPr>
      <w:r>
        <w:rPr>
          <w:b w:val="0"/>
          <w:i w:val="0"/>
        </w:rPr>
        <w:t>Hold pending required authorization: operational implementation of separate clinical, donor and research responsibilities.</w:t>
      </w:r>
    </w:p>
    <w:p>
      <w:pPr>
        <w:pStyle w:val="Heading3"/>
        <w:keepNext/>
        <w:spacing w:before="120" w:after="80"/>
      </w:pPr>
      <w:r>
        <w:rPr>
          <w:b w:val="0"/>
          <w:i w:val="0"/>
        </w:rPr>
        <w:t>ALLOC-B1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ALLOC-B2 — Assess expected recipient benefit and organ use</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is the relevant organ opportunity cost?</w:t>
      </w:r>
    </w:p>
    <w:p>
      <w:pPr>
        <w:spacing w:after="120"/>
      </w:pPr>
      <w:r>
        <w:rPr>
          <w:b/>
          <w:i w:val="0"/>
          <w:sz w:val="18"/>
        </w:rPr>
        <w:t xml:space="preserve">Web page: </w:t>
      </w:r>
      <w:hyperlink r:id="rId1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TransMet 2024</w:t>
            </w:r>
          </w:p>
        </w:tc>
        <w:tc>
          <w:tcPr>
            <w:tcW w:type="dxa" w:w="3360"/>
            <w:tcW w:w="5480" w:type="dxa"/>
            <w:shd w:val="clear" w:color="auto" w:fill="F1F5F8"/>
          </w:tcPr>
          <w:p>
            <w:pPr>
              <w:spacing w:after="0"/>
            </w:pPr>
            <w:r>
              <w:rPr>
                <w:b w:val="0"/>
                <w:i w:val="0"/>
                <w:sz w:val="19"/>
              </w:rPr>
              <w:t>“intention-to-treat population” The randomized pathway-level comparison is more informative than recipient survival alone; its selection and access conditions still matter.</w:t>
            </w:r>
          </w:p>
        </w:tc>
        <w:tc>
          <w:tcPr>
            <w:tcW w:type="dxa" w:w="3360"/>
            <w:tcW w:w="2400" w:type="dxa"/>
            <w:shd w:val="clear" w:color="auto" w:fill="F1F5F8"/>
          </w:tcPr>
          <w:p>
            <w:pPr>
              <w:spacing w:after="0"/>
            </w:pPr>
            <w:r>
              <w:rPr>
                <w:b w:val="0"/>
                <w:i w:val="0"/>
                <w:color w:val="5A6069"/>
                <w:sz w:val="18"/>
              </w:rPr>
              <w:t>Published TransMet report, primary analysis description</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“risks to donors remain incompletely characterized” LDLT transfers some risk to a healthy donor; it does not eliminate the need to establish recipient benefit.</w:t>
            </w:r>
          </w:p>
        </w:tc>
        <w:tc>
          <w:tcPr>
            <w:tcW w:type="dxa" w:w="3360"/>
            <w:tcW w:w="2400" w:type="dxa"/>
            <w:shd w:val="clear" w:color="auto" w:fill="FFFFFF"/>
          </w:tcPr>
          <w:p>
            <w:pPr>
              <w:spacing w:after="0"/>
            </w:pPr>
            <w:r>
              <w:rPr>
                <w:b w:val="0"/>
                <w:i w:val="0"/>
                <w:color w:val="5A6069"/>
                <w:sz w:val="18"/>
              </w:rPr>
              <w:t>2026 published report, abstract background</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ethics principles</w:t>
            </w:r>
          </w:p>
        </w:tc>
        <w:tc>
          <w:tcPr>
            <w:tcW w:type="dxa" w:w="3360"/>
            <w:tcW w:w="3900" w:type="dxa"/>
            <w:shd w:val="clear" w:color="auto" w:fill="F1F5F8"/>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1F5F8"/>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r>
        <w:trPr>
          <w:cantSplit/>
        </w:trPr>
        <w:tc>
          <w:tcPr>
            <w:tcW w:type="dxa" w:w="3360"/>
            <w:tcW w:w="2000" w:type="dxa"/>
            <w:shd w:val="clear" w:color="auto" w:fill="FFFFFF"/>
          </w:tcPr>
          <w:p>
            <w:pPr>
              <w:spacing w:after="0"/>
            </w:pPr>
            <w:r>
              <w:rPr>
                <w:b/>
                <w:i w:val="0"/>
                <w:sz w:val="19"/>
              </w:rPr>
              <w:t>OPTN policy</w:t>
            </w:r>
          </w:p>
        </w:tc>
        <w:tc>
          <w:tcPr>
            <w:tcW w:type="dxa" w:w="3360"/>
            <w:tcW w:w="3900" w:type="dxa"/>
            <w:shd w:val="clear" w:color="auto" w:fill="FFFFFF"/>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FFFFF"/>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XXL 2020</w:t>
            </w:r>
          </w:p>
        </w:tc>
        <w:tc>
          <w:tcPr>
            <w:tcW w:type="dxa" w:w="3360"/>
            <w:tcW w:w="3900" w:type="dxa"/>
            <w:shd w:val="clear" w:color="auto" w:fill="F1F5F8"/>
          </w:tcPr>
          <w:p>
            <w:pPr>
              <w:spacing w:after="0"/>
            </w:pPr>
            <w:r>
              <w:rPr>
                <w:b w:val="0"/>
                <w:i w:val="0"/>
                <w:sz w:val="19"/>
              </w:rPr>
              <w:t>Multicenter randomized phase 2b/3 trial: 74 entered downstaging; 29 dropped out before randomization; 45 responders were randomized, 23 to LT and 22 to nontransplant treatment. Child-Pugh A–B7, ECOG 0–1, predicted five-year post-LT survival ≥50%, and ≥3 months sustained response. AFP rules depended on baseline value and response, not an unconditional AFP &lt;400 entry rule.</w:t>
            </w:r>
          </w:p>
        </w:tc>
        <w:tc>
          <w:tcPr>
            <w:tcW w:type="dxa" w:w="3360"/>
            <w:tcW w:w="4180" w:type="dxa"/>
            <w:shd w:val="clear" w:color="auto" w:fill="F1F5F8"/>
          </w:tcPr>
          <w:p>
            <w:pPr>
              <w:spacing w:after="0"/>
            </w:pPr>
            <w:r>
              <w:rPr>
                <w:b w:val="0"/>
                <w:i w:val="0"/>
                <w:sz w:val="19"/>
              </w:rPr>
              <w:t>From randomization, five-year overall survival was 77.5% with LT versus 31.2% without LT; tumor-event-free survival 76.8% versus 18.3%; median follow-up 71 months.</w:t>
            </w:r>
          </w:p>
          <w:p>
            <w:pPr>
              <w:spacing w:after="0"/>
            </w:pPr>
            <w:r>
              <w:rPr>
                <w:b w:val="0"/>
                <w:i/>
                <w:sz w:val="19"/>
              </w:rPr>
              <w:t>Limits: Strongest causal evidence for LT among selected responders, not for all 74 entrants or unlimited initial burden. Small, prematurely stopped trial. Appendix allowed uncertain bland-versus-neoplastic segmental/type-I portal thrombosis under additional response conditions; the actual PVTT denominator/outcomes are not reported. It must not be relabeled a proven-PVTT trial.</w:t>
            </w:r>
          </w:p>
          <w:p>
            <w:pPr>
              <w:spacing w:after="0"/>
            </w:pPr>
            <w:r>
              <w:rPr>
                <w:b w:val="0"/>
                <w:i w:val="0"/>
                <w:color w:val="5A6069"/>
                <w:sz w:val="18"/>
              </w:rPr>
              <w:t>Complete accepted manuscript and protocol appendix; final published abstract for survival estimates. Avoid mixing accepted-manuscript and final-publication hazard ratios.</w:t>
            </w:r>
          </w:p>
        </w:tc>
      </w:tr>
      <w:tr>
        <w:trPr>
          <w:cantSplit/>
        </w:trPr>
        <w:tc>
          <w:tcPr>
            <w:tcW w:type="dxa" w:w="3360"/>
            <w:tcW w:w="2000" w:type="dxa"/>
            <w:shd w:val="clear" w:color="auto" w:fill="FFFFFF"/>
          </w:tcPr>
          <w:p>
            <w:pPr>
              <w:spacing w:after="0"/>
            </w:pPr>
            <w:r>
              <w:rPr>
                <w:b/>
                <w:i w:val="0"/>
                <w:sz w:val="19"/>
              </w:rPr>
              <w:t>TransMet 2024</w:t>
            </w:r>
          </w:p>
        </w:tc>
        <w:tc>
          <w:tcPr>
            <w:tcW w:type="dxa" w:w="3360"/>
            <w:tcW w:w="3900" w:type="dxa"/>
            <w:shd w:val="clear" w:color="auto" w:fill="FFFFFF"/>
          </w:tcPr>
          <w:p>
            <w:pPr>
              <w:spacing w:after="0"/>
            </w:pPr>
            <w:r>
              <w:rPr>
                <w:b w:val="0"/>
                <w:i w:val="0"/>
                <w:sz w:val="19"/>
              </w:rPr>
              <w:t>Multicentre open-label randomized trial, 20 European centres, 157 screened and 94 randomized (47 LT-plus-chemotherapy, 47 chemotherapy); 63 screened excluded, including 13 with equivocal unresectability and 36 with progression. Age 18–65; ECOG 0–1; R0 colorectal primary; BRAF nonmutated; no prior or current extrahepatic disease/local recurrence; chemotherapy response or stable disease for at least 3 months, at most three lines. CEA &lt;80 ng/mL OR at least 50% reduction from peak was permitted. Independent committee of at least two surgeons, two oncologists and one radiologist reviewed original and current lesion maps. These are trial criteria, not identical to current NLRB guidance.</w:t>
            </w:r>
          </w:p>
        </w:tc>
        <w:tc>
          <w:tcPr>
            <w:tcW w:type="dxa" w:w="3360"/>
            <w:tcW w:w="4180" w:type="dxa"/>
            <w:shd w:val="clear" w:color="auto" w:fill="FFFFFF"/>
          </w:tcPr>
          <w:p>
            <w:pPr>
              <w:spacing w:after="0"/>
            </w:pPr>
            <w:r>
              <w:rPr>
                <w:b w:val="0"/>
                <w:i w:val="0"/>
                <w:sz w:val="19"/>
              </w:rPr>
              <w:t>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spacing w:after="0"/>
            </w:pPr>
            <w:r>
              <w:rPr>
                <w:b w:val="0"/>
                <w:i/>
                <w:sz w:val="19"/>
              </w:rPr>
              <w:t>Limits: 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p>
            <w:pPr>
              <w:spacing w:after="0"/>
            </w:pPr>
            <w:r>
              <w:rPr>
                <w:b w:val="0"/>
                <w:i w:val="0"/>
                <w:color w:val="5A6069"/>
                <w:sz w:val="18"/>
              </w:rPr>
              <w:t>Lancet 2024;404:1107–1118. PDF pp.2–4 eligibility/committee; pp.5–6 trial flow/Table 1; pp.8–9 recurrence, safety, retransplantation, Figure 3; p.10 QoL/limitations.</w:t>
            </w:r>
          </w:p>
        </w:tc>
      </w:tr>
      <w:tr>
        <w:trPr>
          <w:cantSplit/>
        </w:trPr>
        <w:tc>
          <w:tcPr>
            <w:tcW w:type="dxa" w:w="3360"/>
            <w:tcW w:w="2000" w:type="dxa"/>
            <w:shd w:val="clear" w:color="auto" w:fill="F1F5F8"/>
          </w:tcPr>
          <w:p>
            <w:pPr>
              <w:spacing w:after="0"/>
            </w:pPr>
            <w:r>
              <w:rPr>
                <w:b/>
                <w:i w:val="0"/>
                <w:sz w:val="19"/>
              </w:rPr>
              <w:t>Allen 2024</w:t>
            </w:r>
          </w:p>
        </w:tc>
        <w:tc>
          <w:tcPr>
            <w:tcW w:type="dxa" w:w="3360"/>
            <w:tcW w:w="3900" w:type="dxa"/>
            <w:shd w:val="clear" w:color="auto" w:fill="F1F5F8"/>
          </w:tcPr>
          <w:p>
            <w:pPr>
              <w:spacing w:after="0"/>
            </w:pPr>
            <w:r>
              <w:rPr>
                <w:b w:val="0"/>
                <w:i w:val="0"/>
                <w:sz w:val="19"/>
              </w:rPr>
              <w:t>UK national liver-offering policy evaluation: separate simulation dataset of 1,287 registrations/629 donors plus early real-world NLOS implementation, 2018–2020. Transplant-benefit scoring governed national deceased-donor offers; not a high-risk-HCC validation sample.</w:t>
            </w:r>
          </w:p>
        </w:tc>
        <w:tc>
          <w:tcPr>
            <w:tcW w:type="dxa" w:w="3360"/>
            <w:tcW w:w="4180" w:type="dxa"/>
            <w:shd w:val="clear" w:color="auto" w:fill="F1F5F8"/>
          </w:tcPr>
          <w:p>
            <w:pPr>
              <w:spacing w:after="0"/>
            </w:pPr>
            <w:r>
              <w:rPr>
                <w:b w:val="0"/>
                <w:i w:val="0"/>
                <w:sz w:val="19"/>
              </w:rPr>
              <w:t>Simulation compared observed 2013 deaths/removals 93 (7%) and 4,581 patient-years with modeled TBS outcomes 48 (4%) and 5,262 patient-years. During the first two implementation years, 68% of DBD livers were allocated by TBS; observed waitlist mortality decreased (P&lt;.0001), postlisting survival improved (P=.005), with no adverse post-LT survival signal.</w:t>
            </w:r>
          </w:p>
          <w:p>
            <w:pPr>
              <w:spacing w:after="0"/>
            </w:pPr>
            <w:r>
              <w:rPr>
                <w:b w:val="0"/>
                <w:i/>
                <w:sz w:val="19"/>
              </w:rPr>
              <w:t>Limits: Simulated gains are not observed outcomes. Before/after implementation is nonrandomized and can reflect secular changes. Nonetheless it is meaningful evidence that a governed benefit-based system can be deployed, unlike a claim that all such models are unusable.</w:t>
            </w:r>
          </w:p>
          <w:p>
            <w:pPr>
              <w:spacing w:after="0"/>
            </w:pPr>
            <w:r>
              <w:rPr>
                <w:b w:val="0"/>
                <w:i w:val="0"/>
                <w:color w:val="5A6069"/>
                <w:sz w:val="18"/>
              </w:rPr>
              <w:t>Primary abstract and full publisher Methods/Results, Table 3, DOI 10.1016/j.jhep.2024.03.020; PDF pending.</w:t>
            </w:r>
          </w:p>
        </w:tc>
      </w:tr>
    </w:tbl>
    <w:p>
      <w:pPr>
        <w:spacing w:after="40"/>
      </w:pPr>
    </w:p>
    <w:p>
      <w:pPr>
        <w:pStyle w:val="Heading3"/>
        <w:keepNext/>
        <w:spacing w:before="120" w:after="80"/>
      </w:pPr>
      <w:r>
        <w:rPr>
          <w:b w:val="0"/>
          <w:i w:val="0"/>
        </w:rPr>
        <w:t>Our proposed selection (OPEN)</w:t>
      </w:r>
    </w:p>
    <w:p>
      <w:pPr>
        <w:spacing w:after="80"/>
      </w:pPr>
      <w:r>
        <w:rPr>
          <w:b w:val="0"/>
          <w:i w:val="0"/>
        </w:rPr>
        <w:t>Require two independent recipient-benefit reviews and an explicit organ-use case; do not adopt a universal five-year survival cutoff.</w:t>
      </w:r>
    </w:p>
    <w:p>
      <w:pPr>
        <w:numPr>
          <w:ilvl w:val="0"/>
          <w:numId w:val="5"/>
        </w:numPr>
        <w:spacing w:after="40"/>
      </w:pPr>
      <w:r>
        <w:rPr>
          <w:b w:val="0"/>
          <w:i w:val="0"/>
        </w:rPr>
        <w:t>Proposed requirements: two reviewers not both responsible for recruitment must document expected incremental benefit over the actual contemporary alternative, with unresolved disagreement referred to the full committee.</w:t>
      </w:r>
    </w:p>
    <w:p>
      <w:pPr>
        <w:numPr>
          <w:ilvl w:val="0"/>
          <w:numId w:val="5"/>
        </w:numPr>
        <w:spacing w:after="40"/>
      </w:pPr>
      <w:r>
        <w:rPr>
          <w:b w:val="0"/>
          <w:i w:val="0"/>
        </w:rPr>
        <w:t>For DDLT, show local expected access/dropout and sensitivity scenarios at 6, 12 and 18 months, total graft use including retransplantation, and plausible alternative recipients. These are planning scenarios, not imposed waiting periods.</w:t>
      </w:r>
    </w:p>
    <w:p>
      <w:pPr>
        <w:numPr>
          <w:ilvl w:val="0"/>
          <w:numId w:val="5"/>
        </w:numPr>
        <w:spacing w:after="40"/>
      </w:pPr>
      <w:r>
        <w:rPr>
          <w:b w:val="0"/>
          <w:i w:val="0"/>
        </w:rPr>
        <w:t>For LDLT, separately show healthy-donor risk and potential downstream deceased-donor graft use. Do not call DCD, extended-criteria grafts or machine perfusion “zero opportunity cost.” No priority changes follow from an AI-selected survival threshold.</w:t>
      </w:r>
    </w:p>
    <w:p>
      <w:pPr>
        <w:spacing w:after="80"/>
      </w:pPr>
      <w:r>
        <w:rPr>
          <w:b/>
          <w:i w:val="0"/>
        </w:rPr>
        <w:t xml:space="preserve">Why: </w:t>
      </w:r>
      <w:r>
        <w:rPr>
          <w:b w:val="0"/>
          <w:i w:val="0"/>
        </w:rPr>
        <w:t>Use pathway-level benefit from an agreed entry date, not recipient-only survival. Compare with contemporary tumor-specific care and actual local access. LDLT avoids one direct deceased-donor allocation but creates healthy-donor risk and may generate rescue graft use. Graft quality/perfusion changes do not make opportunity cost zero.</w:t>
      </w:r>
    </w:p>
    <w:p>
      <w:pPr>
        <w:spacing w:after="80"/>
      </w:pPr>
      <w:r>
        <w:rPr>
          <w:b/>
          <w:i w:val="0"/>
        </w:rPr>
        <w:t xml:space="preserve">Against, or uncertain: </w:t>
      </w:r>
      <w:r>
        <w:rPr>
          <w:b w:val="0"/>
          <w:i w:val="0"/>
        </w:rPr>
        <w:t>An ambitious prognosis threshold can exclude patients with substantial incremental benefit, while an indolent tumor can have excellent post-LT survival and little incremental benefit. Local wait times and unequal access can reverse a study’s apparent advantage.</w:t>
      </w:r>
    </w:p>
    <w:p>
      <w:pPr>
        <w:spacing w:after="80"/>
      </w:pPr>
      <w:r>
        <w:rPr>
          <w:b/>
          <w:i w:val="0"/>
        </w:rPr>
        <w:t xml:space="preserve">Certainty: </w:t>
      </w:r>
      <w:r>
        <w:rPr>
          <w:b w:val="0"/>
          <w:i w:val="0"/>
        </w:rPr>
        <w:t>Benefit evidence differs by disease: randomized selected CRLM/HCC pathways cannot be generalized to all expanded indications. Ethical principles are authoritative frameworks, not empirically optimized allocation weights.</w:t>
      </w:r>
    </w:p>
    <w:p>
      <w:pPr>
        <w:spacing w:after="80"/>
      </w:pPr>
      <w:r>
        <w:rPr>
          <w:b/>
          <w:i w:val="0"/>
        </w:rPr>
        <w:t xml:space="preserve">Tests and records: </w:t>
      </w:r>
      <w:r>
        <w:rPr>
          <w:b w:val="0"/>
          <w:i w:val="0"/>
        </w:rPr>
        <w:t>Same-eligibility/time-zero comparator; expected access; dropout; donor/graft type; uncertainty intervals; graft loss/retransplant estimate; written independent reviews.</w:t>
      </w:r>
    </w:p>
    <w:p>
      <w:pPr>
        <w:spacing w:after="80"/>
      </w:pPr>
      <w:r>
        <w:rPr>
          <w:b/>
          <w:i w:val="0"/>
        </w:rPr>
        <w:t xml:space="preserve">Allocation: </w:t>
      </w:r>
      <w:r>
        <w:rPr>
          <w:b w:val="0"/>
          <w:i w:val="0"/>
        </w:rPr>
        <w:t>Only the applicable allocation process determines priority. Favorable post-LT prognosis, evidence grade and urgency are not interchangeable measures.</w:t>
      </w:r>
    </w:p>
    <w:p>
      <w:pPr>
        <w:spacing w:after="40"/>
      </w:pPr>
      <w:r>
        <w:rPr>
          <w:b/>
          <w:i w:val="0"/>
        </w:rPr>
        <w:t xml:space="preserve">Basis for the proposed thresholds: </w:t>
      </w:r>
    </w:p>
    <w:p>
      <w:pPr>
        <w:numPr>
          <w:ilvl w:val="0"/>
          <w:numId w:val="5"/>
        </w:numPr>
        <w:spacing w:after="40"/>
      </w:pPr>
      <w:r>
        <w:rPr>
          <w:b w:val="0"/>
          <w:i w:val="0"/>
        </w:rPr>
        <w:t>Two reviewers: local independence safeguard, not validated optimum.</w:t>
      </w:r>
    </w:p>
    <w:p>
      <w:pPr>
        <w:numPr>
          <w:ilvl w:val="0"/>
          <w:numId w:val="5"/>
        </w:numPr>
        <w:spacing w:after="40"/>
      </w:pPr>
      <w:r>
        <w:rPr>
          <w:b w:val="0"/>
          <w:i w:val="0"/>
        </w:rPr>
        <w:t>6/12/18 months: sensitivity scenarios for access/dropout, not mandatory waits.</w:t>
      </w:r>
    </w:p>
    <w:p>
      <w:pPr>
        <w:numPr>
          <w:ilvl w:val="0"/>
          <w:numId w:val="5"/>
        </w:numPr>
        <w:spacing w:after="40"/>
      </w:pPr>
      <w:r>
        <w:rPr>
          <w:b w:val="0"/>
          <w:i w:val="0"/>
        </w:rPr>
        <w:t>HCC ≥60% five-year ITT OS: one expert trial-design benchmark; not a cross-cancer allocation policy.</w:t>
      </w:r>
    </w:p>
    <w:p>
      <w:pPr>
        <w:numPr>
          <w:ilvl w:val="0"/>
          <w:numId w:val="5"/>
        </w:numPr>
        <w:spacing w:after="40"/>
      </w:pPr>
      <w:r>
        <w:rPr>
          <w:b w:val="0"/>
          <w:i w:val="0"/>
        </w:rPr>
        <w:t>All grafts: count initial and rescue/retransplant grafts; donor morbidity remains a separate outcome.</w:t>
      </w:r>
    </w:p>
    <w:p>
      <w:pPr>
        <w:pStyle w:val="Heading3"/>
        <w:keepNext/>
        <w:spacing w:before="120" w:after="80"/>
      </w:pPr>
      <w:r>
        <w:rPr>
          <w:b w:val="0"/>
          <w:i w:val="0"/>
        </w:rPr>
        <w:t>ALLOC-B2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ALLOC-B3 — Protect the living donor</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must donor consent and follow-up include?</w:t>
      </w:r>
    </w:p>
    <w:p>
      <w:pPr>
        <w:spacing w:after="120"/>
      </w:pPr>
      <w:r>
        <w:rPr>
          <w:b/>
          <w:i w:val="0"/>
          <w:sz w:val="18"/>
        </w:rPr>
        <w:t xml:space="preserve">Web page: </w:t>
      </w:r>
      <w:hyperlink r:id="rId1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w:t>
            </w:r>
          </w:p>
        </w:tc>
        <w:tc>
          <w:tcPr>
            <w:tcW w:type="dxa" w:w="3360"/>
            <w:tcW w:w="5480" w:type="dxa"/>
            <w:shd w:val="clear" w:color="auto" w:fill="F1F5F8"/>
          </w:tcPr>
          <w:p>
            <w:pPr>
              <w:spacing w:after="0"/>
            </w:pPr>
            <w:r>
              <w:rPr>
                <w:b w:val="0"/>
                <w:i w:val="0"/>
                <w:sz w:val="19"/>
              </w:rPr>
              <w:t>“Has been informed that he or she may decline to donate at any time” Withdrawal must remain meaningful and independent of recipient pressure.</w:t>
            </w:r>
          </w:p>
        </w:tc>
        <w:tc>
          <w:tcPr>
            <w:tcW w:type="dxa" w:w="3360"/>
            <w:tcW w:w="2400" w:type="dxa"/>
            <w:shd w:val="clear" w:color="auto" w:fill="F1F5F8"/>
          </w:tcPr>
          <w:p>
            <w:pPr>
              <w:spacing w:after="0"/>
            </w:pPr>
            <w:r>
              <w:rPr>
                <w:b w:val="0"/>
                <w:i w:val="0"/>
                <w:color w:val="5A6069"/>
                <w:sz w:val="18"/>
              </w:rPr>
              <w:t>Policy 14.3, PDF p286, living donor informed consent</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“Availability of secondary-outcome data declined over follow-up” Incomplete recovery follow-up limits reassurance from low mortality alone.</w:t>
            </w:r>
          </w:p>
        </w:tc>
        <w:tc>
          <w:tcPr>
            <w:tcW w:type="dxa" w:w="3360"/>
            <w:tcW w:w="2400" w:type="dxa"/>
            <w:shd w:val="clear" w:color="auto" w:fill="FFFFFF"/>
          </w:tcPr>
          <w:p>
            <w:pPr>
              <w:spacing w:after="0"/>
            </w:pPr>
            <w:r>
              <w:rPr>
                <w:b w:val="0"/>
                <w:i w:val="0"/>
                <w:color w:val="5A6069"/>
                <w:sz w:val="18"/>
              </w:rPr>
              <w:t>2026 full report, section 3.1</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Kelly 2026</w:t>
            </w:r>
          </w:p>
        </w:tc>
        <w:tc>
          <w:tcPr>
            <w:tcW w:type="dxa" w:w="3360"/>
            <w:tcW w:w="3900" w:type="dxa"/>
            <w:shd w:val="clear" w:color="auto" w:fill="F1F5F8"/>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1F5F8"/>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FFFFF"/>
          </w:tcPr>
          <w:p>
            <w:pPr>
              <w:spacing w:after="0"/>
            </w:pPr>
            <w:r>
              <w:rPr>
                <w:b/>
                <w:i w:val="0"/>
                <w:sz w:val="19"/>
              </w:rPr>
              <w:t>Abecassis 2012</w:t>
            </w:r>
          </w:p>
        </w:tc>
        <w:tc>
          <w:tcPr>
            <w:tcW w:type="dxa" w:w="3360"/>
            <w:tcW w:w="3900" w:type="dxa"/>
            <w:shd w:val="clear" w:color="auto" w:fill="FFFFFF"/>
          </w:tcPr>
          <w:p>
            <w:pPr>
              <w:spacing w:after="0"/>
            </w:pPr>
            <w:r>
              <w:rPr>
                <w:b w:val="0"/>
                <w:i w:val="0"/>
                <w:sz w:val="19"/>
              </w:rPr>
              <w:t>A2ALL cohort: 760 donor operations begun; 740 completed, mostly right lobes. Multicenter selected donors, older era; standardized complication ascertainment.</w:t>
            </w:r>
          </w:p>
        </w:tc>
        <w:tc>
          <w:tcPr>
            <w:tcW w:type="dxa" w:w="3360"/>
            <w:tcW w:w="4180" w:type="dxa"/>
            <w:shd w:val="clear" w:color="auto" w:fill="FFFFFF"/>
          </w:tcPr>
          <w:p>
            <w:pPr>
              <w:spacing w:after="0"/>
            </w:pPr>
            <w:r>
              <w:rPr>
                <w:b w:val="0"/>
                <w:i w:val="0"/>
                <w:sz w:val="19"/>
              </w:rPr>
              <w:t>296/740 (40%) had ≥1 complication; 20/760 operations aborted. Five grade-3 residual-disability events and three grade-4 deaths were reported; two deaths were late, not perioperative.</w:t>
            </w:r>
          </w:p>
          <w:p>
            <w:pPr>
              <w:spacing w:after="0"/>
            </w:pPr>
            <w:r>
              <w:rPr>
                <w:b w:val="0"/>
                <w:i/>
                <w:sz w:val="19"/>
              </w:rPr>
              <w:t>Limits: Different grading/eras from modern cohorts; A2ALL partly overlaps US registry data. Late hernia/psychological events support follow-up beyond surgical recovery.</w:t>
            </w:r>
          </w:p>
          <w:p>
            <w:pPr>
              <w:spacing w:after="0"/>
            </w:pPr>
            <w:r>
              <w:rPr>
                <w:b w:val="0"/>
                <w:i w:val="0"/>
                <w:color w:val="5A6069"/>
                <w:sz w:val="18"/>
              </w:rPr>
              <w:t>Methods and Results; complications tables, Am J Transplant 12:1208–1217.</w:t>
            </w:r>
          </w:p>
        </w:tc>
      </w:tr>
      <w:tr>
        <w:trPr>
          <w:cantSplit/>
        </w:trPr>
        <w:tc>
          <w:tcPr>
            <w:tcW w:type="dxa" w:w="3360"/>
            <w:tcW w:w="2000" w:type="dxa"/>
            <w:shd w:val="clear" w:color="auto" w:fill="F1F5F8"/>
          </w:tcPr>
          <w:p>
            <w:pPr>
              <w:spacing w:after="0"/>
            </w:pPr>
            <w:r>
              <w:rPr>
                <w:b/>
                <w:i w:val="0"/>
                <w:sz w:val="19"/>
              </w:rPr>
              <w:t>DiMartini 2017</w:t>
            </w:r>
          </w:p>
        </w:tc>
        <w:tc>
          <w:tcPr>
            <w:tcW w:type="dxa" w:w="3360"/>
            <w:tcW w:w="3900" w:type="dxa"/>
            <w:shd w:val="clear" w:color="auto" w:fill="F1F5F8"/>
          </w:tcPr>
          <w:p>
            <w:pPr>
              <w:spacing w:after="0"/>
            </w:pPr>
            <w:r>
              <w:rPr>
                <w:b w:val="0"/>
                <w:i w:val="0"/>
                <w:sz w:val="19"/>
              </w:rPr>
              <w:t>Prospective A2ALL-2 interviews: 271/297 eligible donors, before and through 24 months after donation. Costs and social recovery reported by participants, not randomized financial support.</w:t>
            </w:r>
          </w:p>
        </w:tc>
        <w:tc>
          <w:tcPr>
            <w:tcW w:type="dxa" w:w="3360"/>
            <w:tcW w:w="4180" w:type="dxa"/>
            <w:shd w:val="clear" w:color="auto" w:fill="F1F5F8"/>
          </w:tcPr>
          <w:p>
            <w:pPr>
              <w:spacing w:after="0"/>
            </w:pPr>
            <w:r>
              <w:rPr>
                <w:b w:val="0"/>
                <w:i w:val="0"/>
                <w:sz w:val="19"/>
              </w:rPr>
              <w:t>Across follow-up, 75% reported nonmedical out-of-pocket expenses and 45% lost wages. Clinical recovery alone therefore misses an important burden of donation.</w:t>
            </w:r>
          </w:p>
          <w:p>
            <w:pPr>
              <w:spacing w:after="0"/>
            </w:pPr>
            <w:r>
              <w:rPr>
                <w:b w:val="0"/>
                <w:i/>
                <w:sz w:val="19"/>
              </w:rPr>
              <w:t>Limits: Response/recall and selected-center limitations. Does not validate a particular five-year schedule or predict an individual donor’s financial outcome.</w:t>
            </w:r>
          </w:p>
          <w:p>
            <w:pPr>
              <w:spacing w:after="0"/>
            </w:pPr>
            <w:r>
              <w:rPr>
                <w:b w:val="0"/>
                <w:i w:val="0"/>
                <w:color w:val="5A6069"/>
                <w:sz w:val="18"/>
              </w:rPr>
              <w:t>Financial Outcomes section and expense tables; Am J Transplant 17:1081–1096.</w:t>
            </w:r>
          </w:p>
        </w:tc>
      </w:tr>
      <w:tr>
        <w:trPr>
          <w:cantSplit/>
        </w:trPr>
        <w:tc>
          <w:tcPr>
            <w:tcW w:type="dxa" w:w="3360"/>
            <w:tcW w:w="2000" w:type="dxa"/>
            <w:shd w:val="clear" w:color="auto" w:fill="FFFFFF"/>
          </w:tcPr>
          <w:p>
            <w:pPr>
              <w:spacing w:after="0"/>
            </w:pPr>
            <w:r>
              <w:rPr>
                <w:b/>
                <w:i w:val="0"/>
                <w:sz w:val="19"/>
              </w:rPr>
              <w:t>Xiao 2024</w:t>
            </w:r>
          </w:p>
        </w:tc>
        <w:tc>
          <w:tcPr>
            <w:tcW w:type="dxa" w:w="3360"/>
            <w:tcW w:w="3900" w:type="dxa"/>
            <w:shd w:val="clear" w:color="auto" w:fill="FFFFFF"/>
          </w:tcPr>
          <w:p>
            <w:pPr>
              <w:spacing w:after="0"/>
            </w:pPr>
            <w:r>
              <w:rPr>
                <w:b w:val="0"/>
                <w:i w:val="0"/>
                <w:sz w:val="19"/>
              </w:rPr>
              <w:t>Published meta-analysis of 60,829 donors; primary abstract reports 87 articles. Heterogeneous centers, eras and complication definitions; full overlap audit pending.</w:t>
            </w:r>
          </w:p>
        </w:tc>
        <w:tc>
          <w:tcPr>
            <w:tcW w:type="dxa" w:w="3360"/>
            <w:tcW w:w="4180" w:type="dxa"/>
            <w:shd w:val="clear" w:color="auto" w:fill="FFFFFF"/>
          </w:tcPr>
          <w:p>
            <w:pPr>
              <w:spacing w:after="0"/>
            </w:pPr>
            <w:r>
              <w:rPr>
                <w:b w:val="0"/>
                <w:i w:val="0"/>
                <w:sz w:val="19"/>
              </w:rPr>
              <w:t>Pooled any complication 24.7% (95% CI 21.6–28.1), major 5.5% (4.5–6.7); mortality 0.06% among 49,027 with mortality data.</w:t>
            </w:r>
          </w:p>
          <w:p>
            <w:pPr>
              <w:spacing w:after="0"/>
            </w:pPr>
            <w:r>
              <w:rPr>
                <w:b w:val="0"/>
                <w:i/>
                <w:sz w:val="19"/>
              </w:rPr>
              <w:t>Limits: Primary-abstract extraction; not an independent extra 60,829 patients beyond registries. Do not combine with Kelly/A2ALL or promise these rates locally.</w:t>
            </w:r>
          </w:p>
          <w:p>
            <w:pPr>
              <w:spacing w:after="0"/>
            </w:pPr>
            <w:r>
              <w:rPr>
                <w:b w:val="0"/>
                <w:i w:val="0"/>
                <w:color w:val="5A6069"/>
                <w:sz w:val="18"/>
              </w:rPr>
              <w:t>Published journal abstract; complete PDF requested.</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bl>
    <w:p>
      <w:pPr>
        <w:spacing w:after="40"/>
      </w:pPr>
    </w:p>
    <w:p>
      <w:pPr>
        <w:pStyle w:val="Heading3"/>
        <w:keepNext/>
        <w:spacing w:before="120" w:after="80"/>
      </w:pPr>
      <w:r>
        <w:rPr>
          <w:b w:val="0"/>
          <w:i w:val="0"/>
        </w:rPr>
        <w:t>Our proposed selection (OPEN)</w:t>
      </w:r>
    </w:p>
    <w:p>
      <w:pPr>
        <w:spacing w:after="80"/>
      </w:pPr>
      <w:r>
        <w:rPr>
          <w:b w:val="0"/>
          <w:i w:val="0"/>
        </w:rPr>
        <w:t>Do not relax donor criteria; fund independent follow-up and pause after a serious sentinel donor event.</w:t>
      </w:r>
    </w:p>
    <w:p>
      <w:pPr>
        <w:numPr>
          <w:ilvl w:val="0"/>
          <w:numId w:val="5"/>
        </w:numPr>
        <w:spacing w:after="40"/>
      </w:pPr>
      <w:r>
        <w:rPr>
          <w:b w:val="0"/>
          <w:i w:val="0"/>
        </w:rPr>
        <w:t>Proposed readiness requirements: independent donor evaluation/advocacy, documented freedom to withdraw, recipient-benefit uncertainty consent, and funded medical, psychological, recovery and financial follow-up before investigational LDLT.</w:t>
      </w:r>
    </w:p>
    <w:p>
      <w:pPr>
        <w:numPr>
          <w:ilvl w:val="0"/>
          <w:numId w:val="5"/>
        </w:numPr>
        <w:spacing w:after="40"/>
      </w:pPr>
      <w:r>
        <w:rPr>
          <w:b w:val="0"/>
          <w:i w:val="0"/>
        </w:rPr>
        <w:t>Proposed local follow-up: baseline, six weeks, six months, one year, two years, then annually through five years. Meet current OPTN reporting duties separately; this five-year support plan is not claimed to be a national reporting requirement.</w:t>
      </w:r>
    </w:p>
    <w:p>
      <w:pPr>
        <w:numPr>
          <w:ilvl w:val="0"/>
          <w:numId w:val="5"/>
        </w:numPr>
        <w:spacing w:after="40"/>
      </w:pPr>
      <w:r>
        <w:rPr>
          <w:b w:val="0"/>
          <w:i w:val="0"/>
        </w:rPr>
        <w:t>One donor death, life-threatening complication, permanent major disability or liver failure requiring transplantation triggers an immediate pause of the relevant investigational LDLT activity and independent review. Other serious donor harm also warrants review; reopening needs independent authorization.</w:t>
      </w:r>
    </w:p>
    <w:p>
      <w:pPr>
        <w:spacing w:after="80"/>
      </w:pPr>
      <w:r>
        <w:rPr>
          <w:b/>
          <w:i w:val="0"/>
        </w:rPr>
        <w:t xml:space="preserve">Why: </w:t>
      </w:r>
      <w:r>
        <w:rPr>
          <w:b w:val="0"/>
          <w:i w:val="0"/>
        </w:rPr>
        <w:t>Donor mortality is low but not zero; complication, recovery and financial burdens are more frequent. Registry missingness and selected healthy donors limit reassurance. Consent must include uncertain recipient benefit, recurrence and possible early graft loss, without pressure to proceed or relax donor criteria.</w:t>
      </w:r>
    </w:p>
    <w:p>
      <w:pPr>
        <w:spacing w:after="80"/>
      </w:pPr>
      <w:r>
        <w:rPr>
          <w:b/>
          <w:i w:val="0"/>
        </w:rPr>
        <w:t xml:space="preserve">Against, or uncertain: </w:t>
      </w:r>
      <w:r>
        <w:rPr>
          <w:b w:val="0"/>
          <w:i w:val="0"/>
        </w:rPr>
        <w:t>Older A2ALL complication rates and modern SRTR mortality are different outcomes from overlapping eras/cohorts; do not pool them. Five-year support is a reasonable local response to late morbidity, not a proven optimal schedule. Social vulnerability should trigger assistance, not categorical exclusion.</w:t>
      </w:r>
    </w:p>
    <w:p>
      <w:pPr>
        <w:spacing w:after="80"/>
      </w:pPr>
      <w:r>
        <w:rPr>
          <w:b/>
          <w:i w:val="0"/>
        </w:rPr>
        <w:t xml:space="preserve">Certainty: </w:t>
      </w:r>
      <w:r>
        <w:rPr>
          <w:b w:val="0"/>
          <w:i w:val="0"/>
        </w:rPr>
        <w:t>Moderate certainty for the existence of material donor burden; lower certainty for individual risk and long-term recovery because of incomplete follow-up. No oncology-specific randomized donor-safety comparison.</w:t>
      </w:r>
    </w:p>
    <w:p>
      <w:pPr>
        <w:spacing w:after="80"/>
      </w:pPr>
      <w:r>
        <w:rPr>
          <w:b/>
          <w:i w:val="0"/>
        </w:rPr>
        <w:t xml:space="preserve">Tests and records: </w:t>
      </w:r>
      <w:r>
        <w:rPr>
          <w:b w:val="0"/>
          <w:i w:val="0"/>
        </w:rPr>
        <w:t>Graft/resection-specific and center-specific risk; donor recovery/employment baseline; independent consent and advocate records; funded follow-up/support; sentinel-event response owner.</w:t>
      </w:r>
    </w:p>
    <w:p>
      <w:pPr>
        <w:spacing w:after="80"/>
      </w:pPr>
      <w:r>
        <w:rPr>
          <w:b/>
          <w:i w:val="0"/>
        </w:rPr>
        <w:t xml:space="preserve">Allocation: </w:t>
      </w:r>
      <w:r>
        <w:rPr>
          <w:b w:val="0"/>
          <w:i w:val="0"/>
        </w:rPr>
        <w:t>LDLT clearance is separate from recipient selection; the potential need for retransplantation must be included in organ-use discussions.</w:t>
      </w:r>
    </w:p>
    <w:p>
      <w:pPr>
        <w:spacing w:after="40"/>
      </w:pPr>
      <w:r>
        <w:rPr>
          <w:b/>
          <w:i w:val="0"/>
        </w:rPr>
        <w:t xml:space="preserve">Basis for the proposed thresholds: </w:t>
      </w:r>
    </w:p>
    <w:p>
      <w:pPr>
        <w:numPr>
          <w:ilvl w:val="0"/>
          <w:numId w:val="5"/>
        </w:numPr>
        <w:spacing w:after="40"/>
      </w:pPr>
      <w:r>
        <w:rPr>
          <w:b w:val="0"/>
          <w:i w:val="0"/>
        </w:rPr>
        <w:t>Baseline/6 weeks/6 months/1/2 years then annually to five: proposed support schedule; current mandatory reporting remains separately checked.</w:t>
      </w:r>
    </w:p>
    <w:p>
      <w:pPr>
        <w:numPr>
          <w:ilvl w:val="0"/>
          <w:numId w:val="5"/>
        </w:numPr>
        <w:spacing w:after="40"/>
      </w:pPr>
      <w:r>
        <w:rPr>
          <w:b w:val="0"/>
          <w:i w:val="0"/>
        </w:rPr>
        <w:t>One sentinel event: conservative review/pause trigger, not a statistically estimated harm boundary.</w:t>
      </w:r>
    </w:p>
    <w:p>
      <w:pPr>
        <w:numPr>
          <w:ilvl w:val="0"/>
          <w:numId w:val="5"/>
        </w:numPr>
        <w:spacing w:after="40"/>
      </w:pPr>
      <w:r>
        <w:rPr>
          <w:b w:val="0"/>
          <w:i w:val="0"/>
        </w:rPr>
        <w:t>No relaxed donor criteria: protection against shifting uncertain recipient benefit onto a healthy person.</w:t>
      </w:r>
    </w:p>
    <w:p>
      <w:pPr>
        <w:pStyle w:val="Heading3"/>
        <w:keepNext/>
        <w:spacing w:before="120" w:after="80"/>
      </w:pPr>
      <w:r>
        <w:rPr>
          <w:b w:val="0"/>
          <w:i w:val="0"/>
        </w:rPr>
        <w:t>ALLOC-B3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ALLOC-B4 — Monitor all patients considered for the study</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data are required before expansion?</w:t>
      </w:r>
    </w:p>
    <w:p>
      <w:pPr>
        <w:spacing w:after="120"/>
      </w:pPr>
      <w:r>
        <w:rPr>
          <w:b/>
          <w:i w:val="0"/>
          <w:sz w:val="18"/>
        </w:rPr>
        <w:t xml:space="preserve">Web page: </w:t>
      </w:r>
      <w:hyperlink r:id="rId2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EASL–AASLD–ILCA 2026</w:t>
            </w:r>
          </w:p>
        </w:tc>
        <w:tc>
          <w:tcPr>
            <w:tcW w:type="dxa" w:w="3360"/>
            <w:tcW w:w="5480" w:type="dxa"/>
            <w:shd w:val="clear" w:color="auto" w:fill="F1F5F8"/>
          </w:tcPr>
          <w:p>
            <w:pPr>
              <w:spacing w:after="0"/>
            </w:pPr>
            <w:r>
              <w:rPr>
                <w:b w:val="0"/>
                <w:i w:val="0"/>
                <w:sz w:val="19"/>
              </w:rPr>
              <w:t>“5-year OS of at least 60%” The HCC trial-design source discusses a ≥60% five-year intention-to-treat benchmark. It is not a validated universal cross-cancer allocation rule and does not establish the proposed 5/10-patient monitoring counts.</w:t>
            </w:r>
          </w:p>
        </w:tc>
        <w:tc>
          <w:tcPr>
            <w:tcW w:type="dxa" w:w="3360"/>
            <w:tcW w:w="2400" w:type="dxa"/>
            <w:shd w:val="clear" w:color="auto" w:fill="F1F5F8"/>
          </w:tcPr>
          <w:p>
            <w:pPr>
              <w:spacing w:after="0"/>
            </w:pPr>
            <w:r>
              <w:rPr>
                <w:b w:val="0"/>
                <w:i w:val="0"/>
                <w:color w:val="5A6069"/>
                <w:sz w:val="18"/>
              </w:rPr>
              <w:t>EASL–AASLD–ILCA 2026 manuscript p20; ITT discussion pp21–22</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Eldridge 2016</w:t>
            </w:r>
          </w:p>
        </w:tc>
        <w:tc>
          <w:tcPr>
            <w:tcW w:type="dxa" w:w="3360"/>
            <w:tcW w:w="3900" w:type="dxa"/>
            <w:shd w:val="clear" w:color="auto" w:fill="FFFFFF"/>
          </w:tcPr>
          <w:p>
            <w:pPr>
              <w:spacing w:after="0"/>
            </w:pPr>
            <w:r>
              <w:rPr>
                <w:b w:val="0"/>
                <w:i w:val="0"/>
                <w:sz w:val="19"/>
              </w:rPr>
              <w:t>CONSORT extension for randomized pilot/feasibility studies. Explores whether/how a definitive study can proceed, distinct from proving efficacy.</w:t>
            </w:r>
          </w:p>
        </w:tc>
        <w:tc>
          <w:tcPr>
            <w:tcW w:type="dxa" w:w="3360"/>
            <w:tcW w:w="4180" w:type="dxa"/>
            <w:shd w:val="clear" w:color="auto" w:fill="FFFFFF"/>
          </w:tcPr>
          <w:p>
            <w:pPr>
              <w:spacing w:after="0"/>
            </w:pPr>
            <w:r>
              <w:rPr>
                <w:b w:val="0"/>
                <w:i w:val="0"/>
                <w:sz w:val="19"/>
              </w:rPr>
              <w:t>Predefine feasibility objectives and progression criteria; justify sample size and report harms. These principles inform a staged pilot but do not validate our numbers.</w:t>
            </w:r>
          </w:p>
          <w:p>
            <w:pPr>
              <w:spacing w:after="0"/>
            </w:pPr>
            <w:r>
              <w:rPr>
                <w:b w:val="0"/>
                <w:i/>
                <w:sz w:val="19"/>
              </w:rPr>
              <w:t>Limits: Scope is randomized pilots; applying principles to single-arm transplant feasibility studies is explicitly an extrapolation.</w:t>
            </w:r>
          </w:p>
          <w:p>
            <w:pPr>
              <w:spacing w:after="0"/>
            </w:pPr>
            <w:r>
              <w:rPr>
                <w:b w:val="0"/>
                <w:i w:val="0"/>
                <w:color w:val="5A6069"/>
                <w:sz w:val="18"/>
              </w:rPr>
              <w:t>Scope statement and checklist items on objectives, sample size and progression criteria.</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SYS-TARE 2024</w:t>
            </w:r>
          </w:p>
        </w:tc>
        <w:tc>
          <w:tcPr>
            <w:tcW w:type="dxa" w:w="3360"/>
            <w:tcW w:w="3900" w:type="dxa"/>
            <w:shd w:val="clear" w:color="auto" w:fill="F1F5F8"/>
          </w:tcPr>
          <w:p>
            <w:pPr>
              <w:spacing w:after="0"/>
            </w:pPr>
            <w:r>
              <w:rPr>
                <w:b w:val="0"/>
                <w:i w:val="0"/>
                <w:sz w:val="19"/>
              </w:rPr>
              <w:t>Prospective institutional SYS-TARE pathway; 13 entered, 4 LT, 9 dropout. Single bulky measurable iCCA±peritumoral satellites; diffuse/multisegment multifocal disease excluded; intrahepatic vessel encasement permitted without tumor thrombus.</w:t>
            </w:r>
          </w:p>
        </w:tc>
        <w:tc>
          <w:tcPr>
            <w:tcW w:type="dxa" w:w="3360"/>
            <w:tcW w:w="4180" w:type="dxa"/>
            <w:shd w:val="clear" w:color="auto" w:fill="F1F5F8"/>
          </w:tcPr>
          <w:p>
            <w:pPr>
              <w:spacing w:after="0"/>
            </w:pPr>
            <w:r>
              <w:rPr>
                <w:b w:val="0"/>
                <w:i w:val="0"/>
                <w:sz w:val="19"/>
              </w:rPr>
              <w:t>Four recipients alive without recurrence at 73, 40, 12, 8 months; dropouts: three unrecovered intrahepatic progression, four with extrahepatic disease, two occult nodes.</w:t>
            </w:r>
          </w:p>
          <w:p>
            <w:pPr>
              <w:spacing w:after="0"/>
            </w:pPr>
            <w:r>
              <w:rPr>
                <w:b w:val="0"/>
                <w:i/>
                <w:sz w:val="19"/>
              </w:rPr>
              <w:t>Limits: Only 4 recipients; no validated maximum diameter or comparative proof of satellites being equivalent to a solitary tumor.</w:t>
            </w:r>
          </w:p>
          <w:p>
            <w:pPr>
              <w:spacing w:after="0"/>
            </w:pPr>
            <w:r>
              <w:rPr>
                <w:b w:val="0"/>
                <w:i w:val="0"/>
                <w:color w:val="5A6069"/>
                <w:sz w:val="18"/>
              </w:rPr>
              <w:t>Transpl Int 2024; 37: 13641; Eligibility, Figure 1 and Results; full PDF.</w:t>
            </w:r>
          </w:p>
        </w:tc>
      </w:tr>
      <w:tr>
        <w:trPr>
          <w:cantSplit/>
        </w:trPr>
        <w:tc>
          <w:tcPr>
            <w:tcW w:type="dxa" w:w="3360"/>
            <w:tcW w:w="2000" w:type="dxa"/>
            <w:shd w:val="clear" w:color="auto" w:fill="FFFFFF"/>
          </w:tcPr>
          <w:p>
            <w:pPr>
              <w:spacing w:after="0"/>
            </w:pPr>
            <w:r>
              <w:rPr>
                <w:b/>
                <w:i w:val="0"/>
                <w:sz w:val="19"/>
              </w:rPr>
              <w:t>Yaqub 2025</w:t>
            </w:r>
          </w:p>
        </w:tc>
        <w:tc>
          <w:tcPr>
            <w:tcW w:type="dxa" w:w="3360"/>
            <w:tcW w:w="3900" w:type="dxa"/>
            <w:shd w:val="clear" w:color="auto" w:fill="FFFFFF"/>
          </w:tcPr>
          <w:p>
            <w:pPr>
              <w:spacing w:after="0"/>
            </w:pPr>
            <w:r>
              <w:rPr>
                <w:b w:val="0"/>
                <w:i w:val="0"/>
                <w:sz w:val="19"/>
              </w:rPr>
              <w:t>Norwegian prospective early report; 7 referred, 6 enrolled, 5 LT. Response-selected liver-confined iCCA; median imaging lesion count 7, median diameter 11.5 cm; no size/number cap.</w:t>
            </w:r>
          </w:p>
        </w:tc>
        <w:tc>
          <w:tcPr>
            <w:tcW w:type="dxa" w:w="3360"/>
            <w:tcW w:w="4180" w:type="dxa"/>
            <w:shd w:val="clear" w:color="auto" w:fill="FFFFFF"/>
          </w:tcPr>
          <w:p>
            <w:pPr>
              <w:spacing w:after="0"/>
            </w:pPr>
            <w:r>
              <w:rPr>
                <w:b w:val="0"/>
                <w:i w:val="0"/>
                <w:sz w:val="19"/>
              </w:rPr>
              <w:t>All five alive at 10–55 months; 2 recurrences at 12/13 months, both patients with &gt;20 lesions. One HAT required re-LT; one occult 2-mm positive node.</w:t>
            </w:r>
          </w:p>
          <w:p>
            <w:pPr>
              <w:spacing w:after="0"/>
            </w:pPr>
            <w:r>
              <w:rPr>
                <w:b w:val="0"/>
                <w:i/>
                <w:sz w:val="19"/>
              </w:rPr>
              <w:t>Limits: Research letter, very small denominator; recurrence pattern argues caution with diffuse multifocal disease, not a validated lesion-count cutoff.</w:t>
            </w:r>
          </w:p>
          <w:p>
            <w:pPr>
              <w:spacing w:after="0"/>
            </w:pPr>
            <w:r>
              <w:rPr>
                <w:b w:val="0"/>
                <w:i w:val="0"/>
                <w:color w:val="5A6069"/>
                <w:sz w:val="18"/>
              </w:rPr>
              <w:t>BJS 2025; 112: znaf054; main text, Table 1 and Figure 1; complete indexed letter.</w:t>
            </w:r>
          </w:p>
        </w:tc>
      </w:tr>
    </w:tbl>
    <w:p>
      <w:pPr>
        <w:spacing w:after="40"/>
      </w:pPr>
    </w:p>
    <w:p>
      <w:pPr>
        <w:pStyle w:val="Heading3"/>
        <w:keepNext/>
        <w:spacing w:before="120" w:after="80"/>
      </w:pPr>
      <w:r>
        <w:rPr>
          <w:b w:val="0"/>
          <w:i w:val="0"/>
        </w:rPr>
        <w:t>Our proposed selection (OPEN)</w:t>
      </w:r>
    </w:p>
    <w:p>
      <w:pPr>
        <w:spacing w:after="80"/>
      </w:pPr>
      <w:r>
        <w:rPr>
          <w:b w:val="0"/>
          <w:i w:val="0"/>
        </w:rPr>
        <w:t>Use a small staged pilot with all-screened accounting and explicit safety pauses; no automatic expansion on favorable recipient survival.</w:t>
      </w:r>
    </w:p>
    <w:p>
      <w:pPr>
        <w:numPr>
          <w:ilvl w:val="0"/>
          <w:numId w:val="5"/>
        </w:numPr>
        <w:spacing w:after="40"/>
      </w:pPr>
      <w:r>
        <w:rPr>
          <w:b w:val="0"/>
          <w:i w:val="0"/>
        </w:rPr>
        <w:t>Proposed initial cap: ten transplants per separately approved biological stratum. Review after the first five have 90-day follow-up; no expansion decision until all first ten have at least 12-month follow-up. Reconcile vital status, graft events and known serious harms for every participant; require ≥90% completeness for other prespecified key outcomes.</w:t>
      </w:r>
    </w:p>
    <w:p>
      <w:pPr>
        <w:numPr>
          <w:ilvl w:val="0"/>
          <w:numId w:val="5"/>
        </w:numPr>
        <w:spacing w:after="40"/>
      </w:pPr>
      <w:r>
        <w:rPr>
          <w:b w:val="0"/>
          <w:i w:val="0"/>
        </w:rPr>
        <w:t>In an initial experimental cohort, one all-cause recipient death, graft loss or retransplantation within 90 days triggers a pause of further experimental enrollment/transplantation pending independent review. A later possibly treatment-related death/graft loss or a donor sentinel event also triggers review/pause. Rescue care is never withheld; reopening requires independent authorization.</w:t>
      </w:r>
    </w:p>
    <w:p>
      <w:pPr>
        <w:numPr>
          <w:ilvl w:val="0"/>
          <w:numId w:val="5"/>
        </w:numPr>
        <w:spacing w:after="40"/>
      </w:pPr>
      <w:r>
        <w:rPr>
          <w:b w:val="0"/>
          <w:i w:val="0"/>
        </w:rPr>
        <w:t>These are proposed conservative review triggers, not statistically validated efficacy/futility boundaries. Before opening, biostatistics and the independent board must ratify or replace them with indication-specific rules, denominators, pause authority and reopening criteria.</w:t>
      </w:r>
    </w:p>
    <w:p>
      <w:pPr>
        <w:numPr>
          <w:ilvl w:val="0"/>
          <w:numId w:val="5"/>
        </w:numPr>
        <w:spacing w:after="40"/>
      </w:pPr>
      <w:r>
        <w:rPr>
          <w:b w:val="0"/>
          <w:i w:val="0"/>
        </w:rPr>
        <w:t>Capture every screened candidate, including nonrecipients, conversion to resection, dropout, deaths and access barriers; report survival from entry and from LT, recurrence, graft use, donor recovery and quality of life. Ten survivors alone do not establish benefit or authorize expansion.</w:t>
      </w:r>
    </w:p>
    <w:p>
      <w:pPr>
        <w:spacing w:after="80"/>
      </w:pPr>
      <w:r>
        <w:rPr>
          <w:b/>
          <w:i w:val="0"/>
        </w:rPr>
        <w:t xml:space="preserve">Why: </w:t>
      </w:r>
      <w:r>
        <w:rPr>
          <w:b w:val="0"/>
          <w:i w:val="0"/>
        </w:rPr>
        <w:t>A small pilot can test feasibility, staging fidelity, data capture and acute safety, not prove durable survival benefit. Define time zero, all-screened enrollment, waitlist failures, post-LT survival/recurrence, competing death, all grafts, donor harms and patient-reported outcomes before opening. An independent board needs actual pause/reopening authority.</w:t>
      </w:r>
    </w:p>
    <w:p>
      <w:pPr>
        <w:spacing w:after="80"/>
      </w:pPr>
      <w:r>
        <w:rPr>
          <w:b/>
          <w:i w:val="0"/>
        </w:rPr>
        <w:t xml:space="preserve">Against, or uncertain: </w:t>
      </w:r>
      <w:r>
        <w:rPr>
          <w:b w:val="0"/>
          <w:i w:val="0"/>
        </w:rPr>
        <w:t>Zero observed events among ten fully followed independent patients still has a one-sided exact 95% binomial upper bound of 25.9% (1−0.05^(1/10)). Thus ten survivors cannot establish a &lt;5% event risk. Ninety percent data completeness permits one missing patient; safety events and vital status require active ascertainment, not tolerance of unaccounted loss.</w:t>
      </w:r>
    </w:p>
    <w:p>
      <w:pPr>
        <w:spacing w:after="80"/>
      </w:pPr>
      <w:r>
        <w:rPr>
          <w:b/>
          <w:i w:val="0"/>
        </w:rPr>
        <w:t xml:space="preserve">Certainty: </w:t>
      </w:r>
      <w:r>
        <w:rPr>
          <w:b w:val="0"/>
          <w:i w:val="0"/>
        </w:rPr>
        <w:t>Strong methodological rationale for predefinition and ITT accounting; no empirical validation of our exact cap/interim/completeness thresholds. Late recurrence demands multi-year follow-up.</w:t>
      </w:r>
    </w:p>
    <w:p>
      <w:pPr>
        <w:spacing w:after="80"/>
      </w:pPr>
      <w:r>
        <w:rPr>
          <w:b/>
          <w:i w:val="0"/>
        </w:rPr>
        <w:t xml:space="preserve">Tests and records: </w:t>
      </w:r>
      <w:r>
        <w:rPr>
          <w:b w:val="0"/>
          <w:i w:val="0"/>
        </w:rPr>
        <w:t>Locked eligibility strata; prospective entry/time-zero dataset; modern comparator; adverse-event definitions; follow-up-completeness report; independently signed statistical and safety plan.</w:t>
      </w:r>
    </w:p>
    <w:p>
      <w:pPr>
        <w:spacing w:after="80"/>
      </w:pPr>
      <w:r>
        <w:rPr>
          <w:b/>
          <w:i w:val="0"/>
        </w:rPr>
        <w:t xml:space="preserve">Allocation: </w:t>
      </w:r>
      <w:r>
        <w:rPr>
          <w:b w:val="0"/>
          <w:i w:val="0"/>
        </w:rPr>
        <w:t>Study monitoring never changes exception criteria or guarantees future access. Audit access by referral, geography, resources and donor availability without turning protected characteristics into exclusion rules.</w:t>
      </w:r>
    </w:p>
    <w:p>
      <w:pPr>
        <w:spacing w:after="40"/>
      </w:pPr>
      <w:r>
        <w:rPr>
          <w:b/>
          <w:i w:val="0"/>
        </w:rPr>
        <w:t xml:space="preserve">Basis for the proposed thresholds: </w:t>
      </w:r>
    </w:p>
    <w:p>
      <w:pPr>
        <w:numPr>
          <w:ilvl w:val="0"/>
          <w:numId w:val="5"/>
        </w:numPr>
        <w:spacing w:after="40"/>
      </w:pPr>
      <w:r>
        <w:rPr>
          <w:b w:val="0"/>
          <w:i w:val="0"/>
        </w:rPr>
        <w:t>Ten per stratum and interim after five at 90 days: local feasibility cap and safety review cadence.</w:t>
      </w:r>
    </w:p>
    <w:p>
      <w:pPr>
        <w:numPr>
          <w:ilvl w:val="0"/>
          <w:numId w:val="5"/>
        </w:numPr>
        <w:spacing w:after="40"/>
      </w:pPr>
      <w:r>
        <w:rPr>
          <w:b w:val="0"/>
          <w:i w:val="0"/>
        </w:rPr>
        <w:t>Twelve-month minimum: earliest expansion discussion, not proof of long-term cancer benefit.</w:t>
      </w:r>
    </w:p>
    <w:p>
      <w:pPr>
        <w:numPr>
          <w:ilvl w:val="0"/>
          <w:numId w:val="5"/>
        </w:numPr>
        <w:spacing w:after="40"/>
      </w:pPr>
      <w:r>
        <w:rPr>
          <w:b w:val="0"/>
          <w:i w:val="0"/>
        </w:rPr>
        <w:t>≥90%: proposed non-vital key-measure completeness threshold; not permission to ignore deaths/graft events or unknown status.</w:t>
      </w:r>
    </w:p>
    <w:p>
      <w:pPr>
        <w:numPr>
          <w:ilvl w:val="0"/>
          <w:numId w:val="5"/>
        </w:numPr>
        <w:spacing w:after="40"/>
      </w:pPr>
      <w:r>
        <w:rPr>
          <w:b w:val="0"/>
          <w:i w:val="0"/>
        </w:rPr>
        <w:t>One early death/graft loss/re-LT: review/pause trigger, not automatic futility or withholding rescue.</w:t>
      </w:r>
    </w:p>
    <w:p>
      <w:pPr>
        <w:pStyle w:val="Heading3"/>
        <w:keepNext/>
        <w:spacing w:before="120" w:after="80"/>
      </w:pPr>
      <w:r>
        <w:rPr>
          <w:b w:val="0"/>
          <w:i w:val="0"/>
        </w:rPr>
        <w:t>ALLOC-B4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Sources</w:t>
      </w:r>
    </w:p>
    <w:p>
      <w:pPr>
        <w:spacing w:after="60"/>
      </w:pPr>
      <w:r>
        <w:rPr>
          <w:b/>
          <w:i w:val="0"/>
          <w:sz w:val="19"/>
        </w:rPr>
        <w:t>Abecassis 2012</w:t>
      </w:r>
      <w:r>
        <w:rPr>
          <w:b w:val="0"/>
          <w:i w:val="0"/>
          <w:sz w:val="19"/>
        </w:rPr>
        <w:t xml:space="preserve"> — Complications of Living Donor Hepatic Lobectomy—A Comprehensive Report</w:t>
      </w:r>
      <w:r>
        <w:rPr>
          <w:b w:val="0"/>
          <w:i w:val="0"/>
          <w:sz w:val="19"/>
        </w:rPr>
        <w:t xml:space="preserve">  </w:t>
      </w:r>
      <w:hyperlink r:id="rId21">
        <w:r>
          <w:rPr>
            <w:color w:val="0563C1"/>
            <w:u w:val="single"/>
            <w:sz w:val="19"/>
          </w:rPr>
          <w:t xml:space="preserve">PubMed</w:t>
        </w:r>
      </w:hyperlink>
      <w:r>
        <w:rPr>
          <w:b w:val="0"/>
          <w:i w:val="0"/>
          <w:sz w:val="19"/>
        </w:rPr>
        <w:t xml:space="preserve"> · </w:t>
      </w:r>
      <w:hyperlink r:id="rId22">
        <w:r>
          <w:rPr>
            <w:color w:val="0563C1"/>
            <w:u w:val="single"/>
            <w:sz w:val="19"/>
          </w:rPr>
          <w:t xml:space="preserve">Journal</w:t>
        </w:r>
      </w:hyperlink>
      <w:r>
        <w:rPr>
          <w:b w:val="0"/>
          <w:i w:val="0"/>
          <w:sz w:val="19"/>
        </w:rPr>
        <w:t xml:space="preserve"> · </w:t>
      </w:r>
      <w:hyperlink r:id="rId23">
        <w:r>
          <w:rPr>
            <w:color w:val="0563C1"/>
            <w:u w:val="single"/>
            <w:sz w:val="19"/>
          </w:rPr>
          <w:t xml:space="preserve">Free full text</w:t>
        </w:r>
      </w:hyperlink>
      <w:r>
        <w:rPr>
          <w:b w:val="0"/>
          <w:i w:val="0"/>
          <w:sz w:val="19"/>
        </w:rPr>
        <w:t xml:space="preserve"> · </w:t>
      </w:r>
      <w:hyperlink r:id="rId24">
        <w:r>
          <w:rPr>
            <w:color w:val="0563C1"/>
            <w:u w:val="single"/>
            <w:sz w:val="19"/>
          </w:rPr>
          <w:t xml:space="preserve">Source</w:t>
        </w:r>
      </w:hyperlink>
      <w:r>
        <w:rPr>
          <w:b w:val="0"/>
          <w:i w:val="0"/>
          <w:sz w:val="19"/>
        </w:rPr>
        <w:t xml:space="preserve"> · </w:t>
      </w:r>
      <w:hyperlink r:id="rId25">
        <w:r>
          <w:rPr>
            <w:color w:val="0563C1"/>
            <w:u w:val="single"/>
            <w:sz w:val="19"/>
          </w:rPr>
          <w:t xml:space="preserve">TMC library</w:t>
        </w:r>
      </w:hyperlink>
    </w:p>
    <w:p>
      <w:pPr>
        <w:spacing w:after="60"/>
      </w:pPr>
      <w:r>
        <w:rPr>
          <w:b/>
          <w:i w:val="0"/>
          <w:sz w:val="19"/>
        </w:rPr>
        <w:t>Allen 2024</w:t>
      </w:r>
      <w:r>
        <w:rPr>
          <w:b w:val="0"/>
          <w:i w:val="0"/>
          <w:sz w:val="19"/>
        </w:rPr>
        <w:t xml:space="preserve"> — Transplant benefit-based offering of deceased donor livers in the United Kingdom</w:t>
      </w:r>
      <w:r>
        <w:rPr>
          <w:b w:val="0"/>
          <w:i w:val="0"/>
          <w:sz w:val="19"/>
        </w:rPr>
        <w:t xml:space="preserve">  </w:t>
      </w:r>
      <w:hyperlink r:id="rId26">
        <w:r>
          <w:rPr>
            <w:color w:val="0563C1"/>
            <w:u w:val="single"/>
            <w:sz w:val="19"/>
          </w:rPr>
          <w:t xml:space="preserve">PubMed</w:t>
        </w:r>
      </w:hyperlink>
      <w:r>
        <w:rPr>
          <w:b w:val="0"/>
          <w:i w:val="0"/>
          <w:sz w:val="19"/>
        </w:rPr>
        <w:t xml:space="preserve"> · </w:t>
      </w:r>
      <w:hyperlink r:id="rId27">
        <w:r>
          <w:rPr>
            <w:color w:val="0563C1"/>
            <w:u w:val="single"/>
            <w:sz w:val="19"/>
          </w:rPr>
          <w:t xml:space="preserve">Journal</w:t>
        </w:r>
      </w:hyperlink>
      <w:r>
        <w:rPr>
          <w:b w:val="0"/>
          <w:i w:val="0"/>
          <w:sz w:val="19"/>
        </w:rPr>
        <w:t xml:space="preserve"> · </w:t>
      </w:r>
      <w:hyperlink r:id="rId28">
        <w:r>
          <w:rPr>
            <w:color w:val="0563C1"/>
            <w:u w:val="single"/>
            <w:sz w:val="19"/>
          </w:rPr>
          <w:t xml:space="preserve">TMC library</w:t>
        </w:r>
      </w:hyperlink>
    </w:p>
    <w:p>
      <w:pPr>
        <w:spacing w:after="60"/>
      </w:pPr>
      <w:r>
        <w:rPr>
          <w:b/>
          <w:i w:val="0"/>
          <w:sz w:val="19"/>
        </w:rPr>
        <w:t>Boscà 2026 · Spain</w:t>
      </w:r>
      <w:r>
        <w:rPr>
          <w:b w:val="0"/>
          <w:i w:val="0"/>
          <w:sz w:val="19"/>
        </w:rPr>
        <w:t xml:space="preserve"> — Should We Continue Liver Transplantation in Spain for Hepatic Metastases from Neuroendocrine Tumors?</w:t>
      </w:r>
      <w:r>
        <w:rPr>
          <w:b w:val="0"/>
          <w:i w:val="0"/>
          <w:sz w:val="19"/>
        </w:rPr>
        <w:t xml:space="preserve">  </w:t>
      </w:r>
      <w:hyperlink r:id="rId29">
        <w:r>
          <w:rPr>
            <w:color w:val="0563C1"/>
            <w:u w:val="single"/>
            <w:sz w:val="19"/>
          </w:rPr>
          <w:t xml:space="preserve">PubMed</w:t>
        </w:r>
      </w:hyperlink>
      <w:r>
        <w:rPr>
          <w:b w:val="0"/>
          <w:i w:val="0"/>
          <w:sz w:val="19"/>
        </w:rPr>
        <w:t xml:space="preserve"> · </w:t>
      </w:r>
      <w:hyperlink r:id="rId30">
        <w:r>
          <w:rPr>
            <w:color w:val="0563C1"/>
            <w:u w:val="single"/>
            <w:sz w:val="19"/>
          </w:rPr>
          <w:t xml:space="preserve">Journal</w:t>
        </w:r>
      </w:hyperlink>
      <w:r>
        <w:rPr>
          <w:b w:val="0"/>
          <w:i w:val="0"/>
          <w:sz w:val="19"/>
        </w:rPr>
        <w:t xml:space="preserve"> · </w:t>
      </w:r>
      <w:hyperlink r:id="rId31">
        <w:r>
          <w:rPr>
            <w:color w:val="0563C1"/>
            <w:u w:val="single"/>
            <w:sz w:val="19"/>
          </w:rPr>
          <w:t xml:space="preserve">Source</w:t>
        </w:r>
      </w:hyperlink>
      <w:r>
        <w:rPr>
          <w:b w:val="0"/>
          <w:i w:val="0"/>
          <w:sz w:val="19"/>
        </w:rPr>
        <w:t xml:space="preserve"> · </w:t>
      </w:r>
      <w:hyperlink r:id="rId32">
        <w:r>
          <w:rPr>
            <w:color w:val="0563C1"/>
            <w:u w:val="single"/>
            <w:sz w:val="19"/>
          </w:rPr>
          <w:t xml:space="preserve">TMC library</w:t>
        </w:r>
      </w:hyperlink>
    </w:p>
    <w:p>
      <w:pPr>
        <w:spacing w:after="60"/>
      </w:pPr>
      <w:r>
        <w:rPr>
          <w:b/>
          <w:i w:val="0"/>
          <w:sz w:val="19"/>
        </w:rPr>
        <w:t>Caplin 2014 · CLARINET</w:t>
      </w:r>
      <w:r>
        <w:rPr>
          <w:b w:val="0"/>
          <w:i w:val="0"/>
          <w:sz w:val="19"/>
        </w:rPr>
        <w:t xml:space="preserve"> — Lanreotide in Metastatic Enteropancreatic Neuroendocrine Tumors</w:t>
      </w:r>
      <w:r>
        <w:rPr>
          <w:b w:val="0"/>
          <w:i w:val="0"/>
          <w:sz w:val="19"/>
        </w:rPr>
        <w:t xml:space="preserve">  </w:t>
      </w:r>
      <w:hyperlink r:id="rId33">
        <w:r>
          <w:rPr>
            <w:color w:val="0563C1"/>
            <w:u w:val="single"/>
            <w:sz w:val="19"/>
          </w:rPr>
          <w:t xml:space="preserve">PubMed</w:t>
        </w:r>
      </w:hyperlink>
      <w:r>
        <w:rPr>
          <w:b w:val="0"/>
          <w:i w:val="0"/>
          <w:sz w:val="19"/>
        </w:rPr>
        <w:t xml:space="preserve"> · </w:t>
      </w:r>
      <w:hyperlink r:id="rId34">
        <w:r>
          <w:rPr>
            <w:color w:val="0563C1"/>
            <w:u w:val="single"/>
            <w:sz w:val="19"/>
          </w:rPr>
          <w:t xml:space="preserve">Journal</w:t>
        </w:r>
      </w:hyperlink>
      <w:r>
        <w:rPr>
          <w:b w:val="0"/>
          <w:i w:val="0"/>
          <w:sz w:val="19"/>
        </w:rPr>
        <w:t xml:space="preserve"> · </w:t>
      </w:r>
      <w:hyperlink r:id="rId35">
        <w:r>
          <w:rPr>
            <w:color w:val="0563C1"/>
            <w:u w:val="single"/>
            <w:sz w:val="19"/>
          </w:rPr>
          <w:t xml:space="preserve">Source</w:t>
        </w:r>
      </w:hyperlink>
      <w:r>
        <w:rPr>
          <w:b w:val="0"/>
          <w:i w:val="0"/>
          <w:sz w:val="19"/>
        </w:rPr>
        <w:t xml:space="preserve"> · </w:t>
      </w:r>
      <w:hyperlink r:id="rId36">
        <w:r>
          <w:rPr>
            <w:color w:val="0563C1"/>
            <w:u w:val="single"/>
            <w:sz w:val="19"/>
          </w:rPr>
          <w:t xml:space="preserve">TMC library</w:t>
        </w:r>
      </w:hyperlink>
    </w:p>
    <w:p>
      <w:pPr>
        <w:spacing w:after="60"/>
      </w:pPr>
      <w:r>
        <w:rPr>
          <w:b/>
          <w:i w:val="0"/>
          <w:sz w:val="19"/>
        </w:rPr>
        <w:t>Chan 2025 · CABINET</w:t>
      </w:r>
      <w:r>
        <w:rPr>
          <w:b w:val="0"/>
          <w:i w:val="0"/>
          <w:sz w:val="19"/>
        </w:rPr>
        <w:t xml:space="preserve"> — Phase 3 Trial of Cabozantinib to Treat Advanced Neuroendocrine Tumors</w:t>
      </w:r>
      <w:r>
        <w:rPr>
          <w:b w:val="0"/>
          <w:i w:val="0"/>
          <w:sz w:val="19"/>
        </w:rPr>
        <w:t xml:space="preserve">  </w:t>
      </w:r>
      <w:hyperlink r:id="rId37">
        <w:r>
          <w:rPr>
            <w:color w:val="0563C1"/>
            <w:u w:val="single"/>
            <w:sz w:val="19"/>
          </w:rPr>
          <w:t xml:space="preserve">PubMed</w:t>
        </w:r>
      </w:hyperlink>
      <w:r>
        <w:rPr>
          <w:b w:val="0"/>
          <w:i w:val="0"/>
          <w:sz w:val="19"/>
        </w:rPr>
        <w:t xml:space="preserve"> · </w:t>
      </w:r>
      <w:hyperlink r:id="rId38">
        <w:r>
          <w:rPr>
            <w:color w:val="0563C1"/>
            <w:u w:val="single"/>
            <w:sz w:val="19"/>
          </w:rPr>
          <w:t xml:space="preserve">Journal</w:t>
        </w:r>
      </w:hyperlink>
      <w:r>
        <w:rPr>
          <w:b w:val="0"/>
          <w:i w:val="0"/>
          <w:sz w:val="19"/>
        </w:rPr>
        <w:t xml:space="preserve"> · </w:t>
      </w:r>
      <w:hyperlink r:id="rId39">
        <w:r>
          <w:rPr>
            <w:color w:val="0563C1"/>
            <w:u w:val="single"/>
            <w:sz w:val="19"/>
          </w:rPr>
          <w:t xml:space="preserve">Source</w:t>
        </w:r>
      </w:hyperlink>
      <w:r>
        <w:rPr>
          <w:b w:val="0"/>
          <w:i w:val="0"/>
          <w:sz w:val="19"/>
        </w:rPr>
        <w:t xml:space="preserve"> · </w:t>
      </w:r>
      <w:hyperlink r:id="rId40">
        <w:r>
          <w:rPr>
            <w:color w:val="0563C1"/>
            <w:u w:val="single"/>
            <w:sz w:val="19"/>
          </w:rPr>
          <w:t xml:space="preserve">TMC library</w:t>
        </w:r>
      </w:hyperlink>
    </w:p>
    <w:p>
      <w:pPr>
        <w:spacing w:after="60"/>
      </w:pPr>
      <w:r>
        <w:rPr>
          <w:b/>
          <w:i w:val="0"/>
          <w:sz w:val="19"/>
        </w:rPr>
        <w:t>Chen 2026 · PRRT after LT</w:t>
      </w:r>
      <w:r>
        <w:rPr>
          <w:b w:val="0"/>
          <w:i w:val="0"/>
          <w:sz w:val="19"/>
        </w:rPr>
        <w:t xml:space="preserve"> — Peptide Receptor Radionuclide Therapy for Recurrent Neuroendocrine Tumor Liver Metastases After Liver transplantation: A Case Series</w:t>
      </w:r>
      <w:r>
        <w:rPr>
          <w:b w:val="0"/>
          <w:i w:val="0"/>
          <w:sz w:val="19"/>
        </w:rPr>
        <w:t xml:space="preserve">  </w:t>
      </w:r>
      <w:hyperlink r:id="rId41">
        <w:r>
          <w:rPr>
            <w:color w:val="0563C1"/>
            <w:u w:val="single"/>
            <w:sz w:val="19"/>
          </w:rPr>
          <w:t xml:space="preserve">PubMed</w:t>
        </w:r>
      </w:hyperlink>
      <w:r>
        <w:rPr>
          <w:b w:val="0"/>
          <w:i w:val="0"/>
          <w:sz w:val="19"/>
        </w:rPr>
        <w:t xml:space="preserve"> · </w:t>
      </w:r>
      <w:hyperlink r:id="rId42">
        <w:r>
          <w:rPr>
            <w:color w:val="0563C1"/>
            <w:u w:val="single"/>
            <w:sz w:val="19"/>
          </w:rPr>
          <w:t xml:space="preserve">Journal</w:t>
        </w:r>
      </w:hyperlink>
      <w:r>
        <w:rPr>
          <w:b w:val="0"/>
          <w:i w:val="0"/>
          <w:sz w:val="19"/>
        </w:rPr>
        <w:t xml:space="preserve"> · </w:t>
      </w:r>
      <w:hyperlink r:id="rId43">
        <w:r>
          <w:rPr>
            <w:color w:val="0563C1"/>
            <w:u w:val="single"/>
            <w:sz w:val="19"/>
          </w:rPr>
          <w:t xml:space="preserve">TMC library</w:t>
        </w:r>
      </w:hyperlink>
    </w:p>
    <w:p>
      <w:pPr>
        <w:spacing w:after="60"/>
      </w:pPr>
      <w:r>
        <w:rPr>
          <w:b/>
          <w:i w:val="0"/>
          <w:sz w:val="19"/>
        </w:rPr>
        <w:t>DiMartini 2017</w:t>
      </w:r>
      <w:r>
        <w:rPr>
          <w:b w:val="0"/>
          <w:i w:val="0"/>
          <w:sz w:val="19"/>
        </w:rPr>
        <w:t xml:space="preserve"> — Social and Financial Outcomes of Living Liver Donation: A Prospective Investigation Within the Adult-to-Adult Living Donor Liver Transplantation Cohort Study 2 (A2ALL-2)</w:t>
      </w:r>
      <w:r>
        <w:rPr>
          <w:b w:val="0"/>
          <w:i w:val="0"/>
          <w:sz w:val="19"/>
        </w:rPr>
        <w:t xml:space="preserve">  </w:t>
      </w:r>
      <w:hyperlink r:id="rId44">
        <w:r>
          <w:rPr>
            <w:color w:val="0563C1"/>
            <w:u w:val="single"/>
            <w:sz w:val="19"/>
          </w:rPr>
          <w:t xml:space="preserve">PubMed</w:t>
        </w:r>
      </w:hyperlink>
      <w:r>
        <w:rPr>
          <w:b w:val="0"/>
          <w:i w:val="0"/>
          <w:sz w:val="19"/>
        </w:rPr>
        <w:t xml:space="preserve"> · </w:t>
      </w:r>
      <w:hyperlink r:id="rId45">
        <w:r>
          <w:rPr>
            <w:color w:val="0563C1"/>
            <w:u w:val="single"/>
            <w:sz w:val="19"/>
          </w:rPr>
          <w:t xml:space="preserve">Journal</w:t>
        </w:r>
      </w:hyperlink>
      <w:r>
        <w:rPr>
          <w:b w:val="0"/>
          <w:i w:val="0"/>
          <w:sz w:val="19"/>
        </w:rPr>
        <w:t xml:space="preserve"> · </w:t>
      </w:r>
      <w:hyperlink r:id="rId46">
        <w:r>
          <w:rPr>
            <w:color w:val="0563C1"/>
            <w:u w:val="single"/>
            <w:sz w:val="19"/>
          </w:rPr>
          <w:t xml:space="preserve">Free full text</w:t>
        </w:r>
      </w:hyperlink>
      <w:r>
        <w:rPr>
          <w:b w:val="0"/>
          <w:i w:val="0"/>
          <w:sz w:val="19"/>
        </w:rPr>
        <w:t xml:space="preserve"> · </w:t>
      </w:r>
      <w:hyperlink r:id="rId47">
        <w:r>
          <w:rPr>
            <w:color w:val="0563C1"/>
            <w:u w:val="single"/>
            <w:sz w:val="19"/>
          </w:rPr>
          <w:t xml:space="preserve">Source</w:t>
        </w:r>
      </w:hyperlink>
      <w:r>
        <w:rPr>
          <w:b w:val="0"/>
          <w:i w:val="0"/>
          <w:sz w:val="19"/>
        </w:rPr>
        <w:t xml:space="preserve"> · </w:t>
      </w:r>
      <w:hyperlink r:id="rId48">
        <w:r>
          <w:rPr>
            <w:color w:val="0563C1"/>
            <w:u w:val="single"/>
            <w:sz w:val="19"/>
          </w:rPr>
          <w:t xml:space="preserve">TMC library</w:t>
        </w:r>
      </w:hyperlink>
    </w:p>
    <w:p>
      <w:pPr>
        <w:spacing w:after="60"/>
      </w:pPr>
      <w:r>
        <w:rPr>
          <w:b/>
          <w:i w:val="0"/>
          <w:sz w:val="19"/>
        </w:rPr>
        <w:t>EASL–AASLD–ILCA 2026</w:t>
      </w:r>
      <w:r>
        <w:rPr>
          <w:b w:val="0"/>
          <w:i w:val="0"/>
          <w:sz w:val="19"/>
        </w:rPr>
        <w:t xml:space="preserve"> — Trial design and end points in hepatocellular carcinoma: an EASL-AASLD-ILCA consensus statement</w:t>
      </w:r>
      <w:r>
        <w:rPr>
          <w:b w:val="0"/>
          <w:i w:val="0"/>
          <w:sz w:val="19"/>
        </w:rPr>
        <w:t xml:space="preserve">  </w:t>
      </w:r>
      <w:hyperlink r:id="rId49">
        <w:r>
          <w:rPr>
            <w:color w:val="0563C1"/>
            <w:u w:val="single"/>
            <w:sz w:val="19"/>
          </w:rPr>
          <w:t xml:space="preserve">PubMed</w:t>
        </w:r>
      </w:hyperlink>
      <w:r>
        <w:rPr>
          <w:b w:val="0"/>
          <w:i w:val="0"/>
          <w:sz w:val="19"/>
        </w:rPr>
        <w:t xml:space="preserve"> · </w:t>
      </w:r>
      <w:hyperlink r:id="rId50">
        <w:r>
          <w:rPr>
            <w:color w:val="0563C1"/>
            <w:u w:val="single"/>
            <w:sz w:val="19"/>
          </w:rPr>
          <w:t xml:space="preserve">Journal</w:t>
        </w:r>
      </w:hyperlink>
      <w:r>
        <w:rPr>
          <w:b w:val="0"/>
          <w:i w:val="0"/>
          <w:sz w:val="19"/>
        </w:rPr>
        <w:t xml:space="preserve"> · </w:t>
      </w:r>
      <w:hyperlink r:id="rId51">
        <w:r>
          <w:rPr>
            <w:color w:val="0563C1"/>
            <w:u w:val="single"/>
            <w:sz w:val="19"/>
          </w:rPr>
          <w:t xml:space="preserve">Free full text</w:t>
        </w:r>
      </w:hyperlink>
      <w:r>
        <w:rPr>
          <w:b w:val="0"/>
          <w:i w:val="0"/>
          <w:sz w:val="19"/>
        </w:rPr>
        <w:t xml:space="preserve"> · </w:t>
      </w:r>
      <w:hyperlink r:id="rId52">
        <w:r>
          <w:rPr>
            <w:color w:val="0563C1"/>
            <w:u w:val="single"/>
            <w:sz w:val="19"/>
          </w:rPr>
          <w:t xml:space="preserve">Source</w:t>
        </w:r>
      </w:hyperlink>
      <w:r>
        <w:rPr>
          <w:b w:val="0"/>
          <w:i w:val="0"/>
          <w:sz w:val="19"/>
        </w:rPr>
        <w:t xml:space="preserve"> · </w:t>
      </w:r>
      <w:hyperlink r:id="rId53">
        <w:r>
          <w:rPr>
            <w:color w:val="0563C1"/>
            <w:u w:val="single"/>
            <w:sz w:val="19"/>
          </w:rPr>
          <w:t xml:space="preserve">TMC library</w:t>
        </w:r>
      </w:hyperlink>
    </w:p>
    <w:p>
      <w:pPr>
        <w:spacing w:after="60"/>
      </w:pPr>
      <w:r>
        <w:rPr>
          <w:b/>
          <w:i w:val="0"/>
          <w:sz w:val="19"/>
        </w:rPr>
        <w:t>Eldridge 2016</w:t>
      </w:r>
      <w:r>
        <w:rPr>
          <w:b w:val="0"/>
          <w:i w:val="0"/>
          <w:sz w:val="19"/>
        </w:rPr>
        <w:t xml:space="preserve"> — CONSORT 2010 statement: extension to randomised pilot and feasibility trials</w:t>
      </w:r>
      <w:r>
        <w:rPr>
          <w:b w:val="0"/>
          <w:i w:val="0"/>
          <w:sz w:val="19"/>
        </w:rPr>
        <w:t xml:space="preserve">  </w:t>
      </w:r>
      <w:hyperlink r:id="rId54">
        <w:r>
          <w:rPr>
            <w:color w:val="0563C1"/>
            <w:u w:val="single"/>
            <w:sz w:val="19"/>
          </w:rPr>
          <w:t xml:space="preserve">PubMed</w:t>
        </w:r>
      </w:hyperlink>
      <w:r>
        <w:rPr>
          <w:b w:val="0"/>
          <w:i w:val="0"/>
          <w:sz w:val="19"/>
        </w:rPr>
        <w:t xml:space="preserve"> · </w:t>
      </w:r>
      <w:hyperlink r:id="rId55">
        <w:r>
          <w:rPr>
            <w:color w:val="0563C1"/>
            <w:u w:val="single"/>
            <w:sz w:val="19"/>
          </w:rPr>
          <w:t xml:space="preserve">Journal</w:t>
        </w:r>
      </w:hyperlink>
      <w:r>
        <w:rPr>
          <w:b w:val="0"/>
          <w:i w:val="0"/>
          <w:sz w:val="19"/>
        </w:rPr>
        <w:t xml:space="preserve"> · </w:t>
      </w:r>
      <w:hyperlink r:id="rId56">
        <w:r>
          <w:rPr>
            <w:color w:val="0563C1"/>
            <w:u w:val="single"/>
            <w:sz w:val="19"/>
          </w:rPr>
          <w:t xml:space="preserve">Source</w:t>
        </w:r>
      </w:hyperlink>
      <w:r>
        <w:rPr>
          <w:b w:val="0"/>
          <w:i w:val="0"/>
          <w:sz w:val="19"/>
        </w:rPr>
        <w:t xml:space="preserve"> · </w:t>
      </w:r>
      <w:hyperlink r:id="rId57">
        <w:r>
          <w:rPr>
            <w:color w:val="0563C1"/>
            <w:u w:val="single"/>
            <w:sz w:val="19"/>
          </w:rPr>
          <w:t xml:space="preserve">TMC library</w:t>
        </w:r>
      </w:hyperlink>
    </w:p>
    <w:p>
      <w:pPr>
        <w:spacing w:after="60"/>
      </w:pPr>
      <w:r>
        <w:rPr>
          <w:b/>
          <w:i w:val="0"/>
          <w:sz w:val="19"/>
        </w:rPr>
        <w:t>ENETS 2026</w:t>
      </w:r>
      <w:r>
        <w:rPr>
          <w:b w:val="0"/>
          <w:i w:val="0"/>
          <w:sz w:val="19"/>
        </w:rPr>
        <w:t xml:space="preserve"> — Controversies in NEN: An ENETS position statement on the role of liver transplantation (LT) in patients with advanced small-intestinal and pancreatic NETs</w:t>
      </w:r>
      <w:r>
        <w:rPr>
          <w:b w:val="0"/>
          <w:i w:val="0"/>
          <w:sz w:val="19"/>
        </w:rPr>
        <w:t xml:space="preserve">  </w:t>
      </w:r>
      <w:hyperlink r:id="rId58">
        <w:r>
          <w:rPr>
            <w:color w:val="0563C1"/>
            <w:u w:val="single"/>
            <w:sz w:val="19"/>
          </w:rPr>
          <w:t xml:space="preserve">PubMed</w:t>
        </w:r>
      </w:hyperlink>
      <w:r>
        <w:rPr>
          <w:b w:val="0"/>
          <w:i w:val="0"/>
          <w:sz w:val="19"/>
        </w:rPr>
        <w:t xml:space="preserve"> · </w:t>
      </w:r>
      <w:hyperlink r:id="rId59">
        <w:r>
          <w:rPr>
            <w:color w:val="0563C1"/>
            <w:u w:val="single"/>
            <w:sz w:val="19"/>
          </w:rPr>
          <w:t xml:space="preserve">Journal</w:t>
        </w:r>
      </w:hyperlink>
      <w:r>
        <w:rPr>
          <w:b w:val="0"/>
          <w:i w:val="0"/>
          <w:sz w:val="19"/>
        </w:rPr>
        <w:t xml:space="preserve"> · </w:t>
      </w:r>
      <w:hyperlink r:id="rId60">
        <w:r>
          <w:rPr>
            <w:color w:val="0563C1"/>
            <w:u w:val="single"/>
            <w:sz w:val="19"/>
          </w:rPr>
          <w:t xml:space="preserve">Free full text</w:t>
        </w:r>
      </w:hyperlink>
      <w:r>
        <w:rPr>
          <w:b w:val="0"/>
          <w:i w:val="0"/>
          <w:sz w:val="19"/>
        </w:rPr>
        <w:t xml:space="preserve"> · </w:t>
      </w:r>
      <w:hyperlink r:id="rId61">
        <w:r>
          <w:rPr>
            <w:color w:val="0563C1"/>
            <w:u w:val="single"/>
            <w:sz w:val="19"/>
          </w:rPr>
          <w:t xml:space="preserve">Source</w:t>
        </w:r>
      </w:hyperlink>
      <w:r>
        <w:rPr>
          <w:b w:val="0"/>
          <w:i w:val="0"/>
          <w:sz w:val="19"/>
        </w:rPr>
        <w:t xml:space="preserve"> · </w:t>
      </w:r>
      <w:hyperlink r:id="rId62">
        <w:r>
          <w:rPr>
            <w:color w:val="0563C1"/>
            <w:u w:val="single"/>
            <w:sz w:val="19"/>
          </w:rPr>
          <w:t xml:space="preserve">TMC library</w:t>
        </w:r>
      </w:hyperlink>
    </w:p>
    <w:p>
      <w:pPr>
        <w:spacing w:after="60"/>
      </w:pPr>
      <w:r>
        <w:rPr>
          <w:b/>
          <w:i w:val="0"/>
          <w:sz w:val="19"/>
        </w:rPr>
        <w:t>Eshmuminov 2023 · LT versus resection</w:t>
      </w:r>
      <w:r>
        <w:rPr>
          <w:b w:val="0"/>
          <w:i w:val="0"/>
          <w:sz w:val="19"/>
        </w:rPr>
        <w:t xml:space="preserve"> — Controversy Over Liver Transplantation or Resection for Neuroendocrine Liver Metastasis: Tumor Biology Cuts the Deal</w:t>
      </w:r>
      <w:r>
        <w:rPr>
          <w:b w:val="0"/>
          <w:i w:val="0"/>
          <w:sz w:val="19"/>
        </w:rPr>
        <w:t xml:space="preserve">  </w:t>
      </w:r>
      <w:hyperlink r:id="rId63">
        <w:r>
          <w:rPr>
            <w:color w:val="0563C1"/>
            <w:u w:val="single"/>
            <w:sz w:val="19"/>
          </w:rPr>
          <w:t xml:space="preserve">PubMed</w:t>
        </w:r>
      </w:hyperlink>
      <w:r>
        <w:rPr>
          <w:b w:val="0"/>
          <w:i w:val="0"/>
          <w:sz w:val="19"/>
        </w:rPr>
        <w:t xml:space="preserve"> · </w:t>
      </w:r>
      <w:hyperlink r:id="rId64">
        <w:r>
          <w:rPr>
            <w:color w:val="0563C1"/>
            <w:u w:val="single"/>
            <w:sz w:val="19"/>
          </w:rPr>
          <w:t xml:space="preserve">Journal</w:t>
        </w:r>
      </w:hyperlink>
      <w:r>
        <w:rPr>
          <w:b w:val="0"/>
          <w:i w:val="0"/>
          <w:sz w:val="19"/>
        </w:rPr>
        <w:t xml:space="preserve"> · </w:t>
      </w:r>
      <w:hyperlink r:id="rId65">
        <w:r>
          <w:rPr>
            <w:color w:val="0563C1"/>
            <w:u w:val="single"/>
            <w:sz w:val="19"/>
          </w:rPr>
          <w:t xml:space="preserve">Source</w:t>
        </w:r>
      </w:hyperlink>
      <w:r>
        <w:rPr>
          <w:b w:val="0"/>
          <w:i w:val="0"/>
          <w:sz w:val="19"/>
        </w:rPr>
        <w:t xml:space="preserve"> · </w:t>
      </w:r>
      <w:hyperlink r:id="rId66">
        <w:r>
          <w:rPr>
            <w:color w:val="0563C1"/>
            <w:u w:val="single"/>
            <w:sz w:val="19"/>
          </w:rPr>
          <w:t xml:space="preserve">TMC library</w:t>
        </w:r>
      </w:hyperlink>
    </w:p>
    <w:p>
      <w:pPr>
        <w:spacing w:after="60"/>
      </w:pPr>
      <w:r>
        <w:rPr>
          <w:b/>
          <w:i w:val="0"/>
          <w:sz w:val="19"/>
        </w:rPr>
        <w:t>Frilling 2010 · 68Ga-DOTATOC PET</w:t>
      </w:r>
      <w:r>
        <w:rPr>
          <w:b w:val="0"/>
          <w:i w:val="0"/>
          <w:sz w:val="19"/>
        </w:rPr>
        <w:t xml:space="preserve"> — The impact of 68Ga-DOTATOC positron emission tomography/computed tomography on the multimodal management of patients with neuroendocrine tumors</w:t>
      </w:r>
      <w:r>
        <w:rPr>
          <w:b w:val="0"/>
          <w:i w:val="0"/>
          <w:sz w:val="19"/>
        </w:rPr>
        <w:t xml:space="preserve">  </w:t>
      </w:r>
      <w:hyperlink r:id="rId67">
        <w:r>
          <w:rPr>
            <w:color w:val="0563C1"/>
            <w:u w:val="single"/>
            <w:sz w:val="19"/>
          </w:rPr>
          <w:t xml:space="preserve">PubMed</w:t>
        </w:r>
      </w:hyperlink>
      <w:r>
        <w:rPr>
          <w:b w:val="0"/>
          <w:i w:val="0"/>
          <w:sz w:val="19"/>
        </w:rPr>
        <w:t xml:space="preserve"> · </w:t>
      </w:r>
      <w:hyperlink r:id="rId68">
        <w:r>
          <w:rPr>
            <w:color w:val="0563C1"/>
            <w:u w:val="single"/>
            <w:sz w:val="19"/>
          </w:rPr>
          <w:t xml:space="preserve">Journal</w:t>
        </w:r>
      </w:hyperlink>
      <w:r>
        <w:rPr>
          <w:b w:val="0"/>
          <w:i w:val="0"/>
          <w:sz w:val="19"/>
        </w:rPr>
        <w:t xml:space="preserve"> · </w:t>
      </w:r>
      <w:hyperlink r:id="rId69">
        <w:r>
          <w:rPr>
            <w:color w:val="0563C1"/>
            <w:u w:val="single"/>
            <w:sz w:val="19"/>
          </w:rPr>
          <w:t xml:space="preserve">TMC library</w:t>
        </w:r>
      </w:hyperlink>
    </w:p>
    <w:p>
      <w:pPr>
        <w:spacing w:after="60"/>
      </w:pPr>
      <w:r>
        <w:rPr>
          <w:b/>
          <w:i w:val="0"/>
          <w:sz w:val="19"/>
        </w:rPr>
        <w:t>HHS human-subject protections</w:t>
      </w:r>
      <w:r>
        <w:rPr>
          <w:b w:val="0"/>
          <w:i w:val="0"/>
          <w:sz w:val="19"/>
        </w:rPr>
        <w:t xml:space="preserve"> — 45 CFR 46.111: Criteria for IRB approval of research</w:t>
      </w:r>
      <w:r>
        <w:rPr>
          <w:b w:val="0"/>
          <w:i w:val="0"/>
          <w:sz w:val="19"/>
        </w:rPr>
        <w:t xml:space="preserve">  </w:t>
      </w:r>
      <w:hyperlink r:id="rId70">
        <w:r>
          <w:rPr>
            <w:color w:val="0563C1"/>
            <w:u w:val="single"/>
            <w:sz w:val="19"/>
          </w:rPr>
          <w:t xml:space="preserve">Source</w:t>
        </w:r>
      </w:hyperlink>
    </w:p>
    <w:p>
      <w:pPr>
        <w:spacing w:after="60"/>
      </w:pPr>
      <w:r>
        <w:rPr>
          <w:b/>
          <w:i w:val="0"/>
          <w:sz w:val="19"/>
        </w:rPr>
        <w:t>Kelly 2026</w:t>
      </w:r>
      <w:r>
        <w:rPr>
          <w:b w:val="0"/>
          <w:i w:val="0"/>
          <w:sz w:val="19"/>
        </w:rPr>
        <w:t xml:space="preserve"> — Three Decades of Living Liver Donor Outcomes: A National Cohort Analysis of Patterns in Mortality and Recovery</w:t>
      </w:r>
      <w:r>
        <w:rPr>
          <w:b w:val="0"/>
          <w:i w:val="0"/>
          <w:sz w:val="19"/>
        </w:rPr>
        <w:t xml:space="preserve">  </w:t>
      </w:r>
      <w:hyperlink r:id="rId71">
        <w:r>
          <w:rPr>
            <w:color w:val="0563C1"/>
            <w:u w:val="single"/>
            <w:sz w:val="19"/>
          </w:rPr>
          <w:t xml:space="preserve">PubMed</w:t>
        </w:r>
      </w:hyperlink>
      <w:r>
        <w:rPr>
          <w:b w:val="0"/>
          <w:i w:val="0"/>
          <w:sz w:val="19"/>
        </w:rPr>
        <w:t xml:space="preserve"> · </w:t>
      </w:r>
      <w:hyperlink r:id="rId72">
        <w:r>
          <w:rPr>
            <w:color w:val="0563C1"/>
            <w:u w:val="single"/>
            <w:sz w:val="19"/>
          </w:rPr>
          <w:t xml:space="preserve">Journal</w:t>
        </w:r>
      </w:hyperlink>
      <w:r>
        <w:rPr>
          <w:b w:val="0"/>
          <w:i w:val="0"/>
          <w:sz w:val="19"/>
        </w:rPr>
        <w:t xml:space="preserve"> · </w:t>
      </w:r>
      <w:hyperlink r:id="rId73">
        <w:r>
          <w:rPr>
            <w:color w:val="0563C1"/>
            <w:u w:val="single"/>
            <w:sz w:val="19"/>
          </w:rPr>
          <w:t xml:space="preserve">TMC library</w:t>
        </w:r>
      </w:hyperlink>
    </w:p>
    <w:p>
      <w:pPr>
        <w:spacing w:after="60"/>
      </w:pPr>
      <w:r>
        <w:rPr>
          <w:b/>
          <w:i w:val="0"/>
          <w:sz w:val="19"/>
        </w:rPr>
        <w:t>Kjaer 2023 · eligible non-LT panNET</w:t>
      </w:r>
      <w:r>
        <w:rPr>
          <w:b w:val="0"/>
          <w:i w:val="0"/>
          <w:sz w:val="19"/>
        </w:rPr>
        <w:t xml:space="preserve"> — Overall Survival in Patients with Stage IV Pan-NET Eligible for Liver Transplantation</w:t>
      </w:r>
      <w:r>
        <w:rPr>
          <w:b w:val="0"/>
          <w:i w:val="0"/>
          <w:sz w:val="19"/>
        </w:rPr>
        <w:t xml:space="preserve">  </w:t>
      </w:r>
      <w:hyperlink r:id="rId74">
        <w:r>
          <w:rPr>
            <w:color w:val="0563C1"/>
            <w:u w:val="single"/>
            <w:sz w:val="19"/>
          </w:rPr>
          <w:t xml:space="preserve">PubMed</w:t>
        </w:r>
      </w:hyperlink>
      <w:r>
        <w:rPr>
          <w:b w:val="0"/>
          <w:i w:val="0"/>
          <w:sz w:val="19"/>
        </w:rPr>
        <w:t xml:space="preserve"> · </w:t>
      </w:r>
      <w:hyperlink r:id="rId75">
        <w:r>
          <w:rPr>
            <w:color w:val="0563C1"/>
            <w:u w:val="single"/>
            <w:sz w:val="19"/>
          </w:rPr>
          <w:t xml:space="preserve">Journal</w:t>
        </w:r>
      </w:hyperlink>
      <w:r>
        <w:rPr>
          <w:b w:val="0"/>
          <w:i w:val="0"/>
          <w:sz w:val="19"/>
        </w:rPr>
        <w:t xml:space="preserve"> · </w:t>
      </w:r>
      <w:hyperlink r:id="rId76">
        <w:r>
          <w:rPr>
            <w:color w:val="0563C1"/>
            <w:u w:val="single"/>
            <w:sz w:val="19"/>
          </w:rPr>
          <w:t xml:space="preserve">Source</w:t>
        </w:r>
      </w:hyperlink>
      <w:r>
        <w:rPr>
          <w:b w:val="0"/>
          <w:i w:val="0"/>
          <w:sz w:val="19"/>
        </w:rPr>
        <w:t xml:space="preserve"> · </w:t>
      </w:r>
      <w:hyperlink r:id="rId77">
        <w:r>
          <w:rPr>
            <w:color w:val="0563C1"/>
            <w:u w:val="single"/>
            <w:sz w:val="19"/>
          </w:rPr>
          <w:t xml:space="preserve">TMC library</w:t>
        </w:r>
      </w:hyperlink>
    </w:p>
    <w:p>
      <w:pPr>
        <w:spacing w:after="60"/>
      </w:pPr>
      <w:r>
        <w:rPr>
          <w:b/>
          <w:i w:val="0"/>
          <w:sz w:val="19"/>
        </w:rPr>
        <w:t>Le Treut 2013 · ELTR</w:t>
      </w:r>
      <w:r>
        <w:rPr>
          <w:b w:val="0"/>
          <w:i w:val="0"/>
          <w:sz w:val="19"/>
        </w:rPr>
        <w:t xml:space="preserve"> — Liver Transplantation for Neuroendocrine Tumors in Europe—Results and Trends in Patient Selection</w:t>
      </w:r>
      <w:r>
        <w:rPr>
          <w:b w:val="0"/>
          <w:i w:val="0"/>
          <w:sz w:val="19"/>
        </w:rPr>
        <w:t xml:space="preserve">  </w:t>
      </w:r>
      <w:hyperlink r:id="rId78">
        <w:r>
          <w:rPr>
            <w:color w:val="0563C1"/>
            <w:u w:val="single"/>
            <w:sz w:val="19"/>
          </w:rPr>
          <w:t xml:space="preserve">PubMed</w:t>
        </w:r>
      </w:hyperlink>
      <w:r>
        <w:rPr>
          <w:b w:val="0"/>
          <w:i w:val="0"/>
          <w:sz w:val="19"/>
        </w:rPr>
        <w:t xml:space="preserve"> · </w:t>
      </w:r>
      <w:hyperlink r:id="rId79">
        <w:r>
          <w:rPr>
            <w:color w:val="0563C1"/>
            <w:u w:val="single"/>
            <w:sz w:val="19"/>
          </w:rPr>
          <w:t xml:space="preserve">Journal</w:t>
        </w:r>
      </w:hyperlink>
      <w:r>
        <w:rPr>
          <w:b w:val="0"/>
          <w:i w:val="0"/>
          <w:sz w:val="19"/>
        </w:rPr>
        <w:t xml:space="preserve"> · </w:t>
      </w:r>
      <w:hyperlink r:id="rId80">
        <w:r>
          <w:rPr>
            <w:color w:val="0563C1"/>
            <w:u w:val="single"/>
            <w:sz w:val="19"/>
          </w:rPr>
          <w:t xml:space="preserve">Source</w:t>
        </w:r>
      </w:hyperlink>
      <w:r>
        <w:rPr>
          <w:b w:val="0"/>
          <w:i w:val="0"/>
          <w:sz w:val="19"/>
        </w:rPr>
        <w:t xml:space="preserve"> · </w:t>
      </w:r>
      <w:hyperlink r:id="rId81">
        <w:r>
          <w:rPr>
            <w:color w:val="0563C1"/>
            <w:u w:val="single"/>
            <w:sz w:val="19"/>
          </w:rPr>
          <w:t xml:space="preserve">TMC library</w:t>
        </w:r>
      </w:hyperlink>
    </w:p>
    <w:p>
      <w:pPr>
        <w:spacing w:after="60"/>
      </w:pPr>
      <w:r>
        <w:rPr>
          <w:b/>
          <w:i w:val="0"/>
          <w:sz w:val="19"/>
        </w:rPr>
        <w:t>Maspero 2022 · Milan long-term</w:t>
      </w:r>
      <w:r>
        <w:rPr>
          <w:b w:val="0"/>
          <w:i w:val="0"/>
          <w:sz w:val="19"/>
        </w:rPr>
        <w:t xml:space="preserve"> — Long-term outcomes of resection versus transplantation for neuroendocrine liver metastases meeting the Milan criteria</w:t>
      </w:r>
      <w:r>
        <w:rPr>
          <w:b w:val="0"/>
          <w:i w:val="0"/>
          <w:sz w:val="19"/>
        </w:rPr>
        <w:t xml:space="preserve">  </w:t>
      </w:r>
      <w:hyperlink r:id="rId82">
        <w:r>
          <w:rPr>
            <w:color w:val="0563C1"/>
            <w:u w:val="single"/>
            <w:sz w:val="19"/>
          </w:rPr>
          <w:t xml:space="preserve">PubMed</w:t>
        </w:r>
      </w:hyperlink>
      <w:r>
        <w:rPr>
          <w:b w:val="0"/>
          <w:i w:val="0"/>
          <w:sz w:val="19"/>
        </w:rPr>
        <w:t xml:space="preserve"> · </w:t>
      </w:r>
      <w:hyperlink r:id="rId83">
        <w:r>
          <w:rPr>
            <w:color w:val="0563C1"/>
            <w:u w:val="single"/>
            <w:sz w:val="19"/>
          </w:rPr>
          <w:t xml:space="preserve">Journal</w:t>
        </w:r>
      </w:hyperlink>
      <w:r>
        <w:rPr>
          <w:b w:val="0"/>
          <w:i w:val="0"/>
          <w:sz w:val="19"/>
        </w:rPr>
        <w:t xml:space="preserve"> · </w:t>
      </w:r>
      <w:hyperlink r:id="rId84">
        <w:r>
          <w:rPr>
            <w:color w:val="0563C1"/>
            <w:u w:val="single"/>
            <w:sz w:val="19"/>
          </w:rPr>
          <w:t xml:space="preserve">Free full text</w:t>
        </w:r>
      </w:hyperlink>
      <w:r>
        <w:rPr>
          <w:b w:val="0"/>
          <w:i w:val="0"/>
          <w:sz w:val="19"/>
        </w:rPr>
        <w:t xml:space="preserve"> · </w:t>
      </w:r>
      <w:hyperlink r:id="rId85">
        <w:r>
          <w:rPr>
            <w:color w:val="0563C1"/>
            <w:u w:val="single"/>
            <w:sz w:val="19"/>
          </w:rPr>
          <w:t xml:space="preserve">Source</w:t>
        </w:r>
      </w:hyperlink>
      <w:r>
        <w:rPr>
          <w:b w:val="0"/>
          <w:i w:val="0"/>
          <w:sz w:val="19"/>
        </w:rPr>
        <w:t xml:space="preserve"> · </w:t>
      </w:r>
      <w:hyperlink r:id="rId86">
        <w:r>
          <w:rPr>
            <w:color w:val="0563C1"/>
            <w:u w:val="single"/>
            <w:sz w:val="19"/>
          </w:rPr>
          <w:t xml:space="preserve">TMC library</w:t>
        </w:r>
      </w:hyperlink>
    </w:p>
    <w:p>
      <w:pPr>
        <w:spacing w:after="60"/>
      </w:pPr>
      <w:r>
        <w:rPr>
          <w:b/>
          <w:i w:val="0"/>
          <w:sz w:val="19"/>
        </w:rPr>
        <w:t>Mazzaferro 2016 · Milan-NET</w:t>
      </w:r>
      <w:r>
        <w:rPr>
          <w:b w:val="0"/>
          <w:i w:val="0"/>
          <w:sz w:val="19"/>
        </w:rPr>
        <w:t xml:space="preserve"> — The Long-Term Benefit of Liver Transplantation for Hepatic Metastases From Neuroendocrine Tumors</w:t>
      </w:r>
      <w:r>
        <w:rPr>
          <w:b w:val="0"/>
          <w:i w:val="0"/>
          <w:sz w:val="19"/>
        </w:rPr>
        <w:t xml:space="preserve">  </w:t>
      </w:r>
      <w:hyperlink r:id="rId87">
        <w:r>
          <w:rPr>
            <w:color w:val="0563C1"/>
            <w:u w:val="single"/>
            <w:sz w:val="19"/>
          </w:rPr>
          <w:t xml:space="preserve">PubMed</w:t>
        </w:r>
      </w:hyperlink>
      <w:r>
        <w:rPr>
          <w:b w:val="0"/>
          <w:i w:val="0"/>
          <w:sz w:val="19"/>
        </w:rPr>
        <w:t xml:space="preserve"> · </w:t>
      </w:r>
      <w:hyperlink r:id="rId88">
        <w:r>
          <w:rPr>
            <w:color w:val="0563C1"/>
            <w:u w:val="single"/>
            <w:sz w:val="19"/>
          </w:rPr>
          <w:t xml:space="preserve">Journal</w:t>
        </w:r>
      </w:hyperlink>
      <w:r>
        <w:rPr>
          <w:b w:val="0"/>
          <w:i w:val="0"/>
          <w:sz w:val="19"/>
        </w:rPr>
        <w:t xml:space="preserve"> · </w:t>
      </w:r>
      <w:hyperlink r:id="rId89">
        <w:r>
          <w:rPr>
            <w:color w:val="0563C1"/>
            <w:u w:val="single"/>
            <w:sz w:val="19"/>
          </w:rPr>
          <w:t xml:space="preserve">TMC library</w:t>
        </w:r>
      </w:hyperlink>
    </w:p>
    <w:p>
      <w:pPr>
        <w:spacing w:after="60"/>
      </w:pPr>
      <w:r>
        <w:rPr>
          <w:b/>
          <w:i w:val="0"/>
          <w:sz w:val="19"/>
        </w:rPr>
        <w:t>NETTER-2</w:t>
      </w:r>
      <w:r>
        <w:rPr>
          <w:b w:val="0"/>
          <w:i w:val="0"/>
          <w:sz w:val="19"/>
        </w:rPr>
        <w:t xml:space="preserve"> — [177Lu]Lu-DOTA-TATE plus long-acting octreotide versus high‑dose long-acting octreotide for the treatment of newly diagnosed, advanced grade 2–3, well-differentiated, gastroenteropancreatic neuroendocrine tumours (NETTER-2): an open-label, randomised, phase 3 study</w:t>
      </w:r>
      <w:r>
        <w:rPr>
          <w:b w:val="0"/>
          <w:i w:val="0"/>
          <w:sz w:val="19"/>
        </w:rPr>
        <w:t xml:space="preserve">  </w:t>
      </w:r>
      <w:hyperlink r:id="rId90">
        <w:r>
          <w:rPr>
            <w:color w:val="0563C1"/>
            <w:u w:val="single"/>
            <w:sz w:val="19"/>
          </w:rPr>
          <w:t xml:space="preserve">PubMed</w:t>
        </w:r>
      </w:hyperlink>
      <w:r>
        <w:rPr>
          <w:b w:val="0"/>
          <w:i w:val="0"/>
          <w:sz w:val="19"/>
        </w:rPr>
        <w:t xml:space="preserve"> · </w:t>
      </w:r>
      <w:hyperlink r:id="rId91">
        <w:r>
          <w:rPr>
            <w:color w:val="0563C1"/>
            <w:u w:val="single"/>
            <w:sz w:val="19"/>
          </w:rPr>
          <w:t xml:space="preserve">Journal</w:t>
        </w:r>
      </w:hyperlink>
      <w:r>
        <w:rPr>
          <w:b w:val="0"/>
          <w:i w:val="0"/>
          <w:sz w:val="19"/>
        </w:rPr>
        <w:t xml:space="preserve"> · </w:t>
      </w:r>
      <w:hyperlink r:id="rId92">
        <w:r>
          <w:rPr>
            <w:color w:val="0563C1"/>
            <w:u w:val="single"/>
            <w:sz w:val="19"/>
          </w:rPr>
          <w:t xml:space="preserve">TMC library</w:t>
        </w:r>
      </w:hyperlink>
    </w:p>
    <w:p>
      <w:pPr>
        <w:spacing w:after="60"/>
      </w:pPr>
      <w:r>
        <w:rPr>
          <w:b/>
          <w:i w:val="0"/>
          <w:sz w:val="19"/>
        </w:rPr>
        <w:t>NLRB oncology guidance</w:t>
      </w:r>
      <w:r>
        <w:rPr>
          <w:b w:val="0"/>
          <w:i w:val="0"/>
          <w:sz w:val="19"/>
        </w:rPr>
        <w:t xml:space="preserve"> — Adult MELD Exceptions for Transplant Oncology</w:t>
      </w:r>
      <w:r>
        <w:rPr>
          <w:b w:val="0"/>
          <w:i w:val="0"/>
          <w:sz w:val="19"/>
        </w:rPr>
        <w:t xml:space="preserve">  </w:t>
      </w:r>
      <w:hyperlink r:id="rId93">
        <w:r>
          <w:rPr>
            <w:color w:val="0563C1"/>
            <w:u w:val="single"/>
            <w:sz w:val="19"/>
          </w:rPr>
          <w:t xml:space="preserve">Source</w:t>
        </w:r>
      </w:hyperlink>
    </w:p>
    <w:p>
      <w:pPr>
        <w:spacing w:after="60"/>
      </w:pPr>
      <w:r>
        <w:rPr>
          <w:b/>
          <w:i w:val="0"/>
          <w:sz w:val="19"/>
        </w:rPr>
        <w:t>OPTN ethics principles</w:t>
      </w:r>
      <w:r>
        <w:rPr>
          <w:b w:val="0"/>
          <w:i w:val="0"/>
          <w:sz w:val="19"/>
        </w:rPr>
        <w:t xml:space="preserve"> — Ethical Principles in the Allocation of Human Organs</w:t>
      </w:r>
      <w:r>
        <w:rPr>
          <w:b w:val="0"/>
          <w:i w:val="0"/>
          <w:sz w:val="19"/>
        </w:rPr>
        <w:t xml:space="preserve">  </w:t>
      </w:r>
      <w:hyperlink r:id="rId94">
        <w:r>
          <w:rPr>
            <w:color w:val="0563C1"/>
            <w:u w:val="single"/>
            <w:sz w:val="19"/>
          </w:rPr>
          <w:t xml:space="preserve">Source</w:t>
        </w:r>
      </w:hyperlink>
    </w:p>
    <w:p>
      <w:pPr>
        <w:spacing w:after="60"/>
      </w:pPr>
      <w:r>
        <w:rPr>
          <w:b/>
          <w:i w:val="0"/>
          <w:sz w:val="19"/>
        </w:rPr>
        <w:t>OPTN policy</w:t>
      </w:r>
      <w:r>
        <w:rPr>
          <w:b w:val="0"/>
          <w:i w:val="0"/>
          <w:sz w:val="19"/>
        </w:rPr>
        <w:t xml:space="preserve"> — OPTN Policies: liver allocation and living donation</w:t>
      </w:r>
      <w:r>
        <w:rPr>
          <w:b w:val="0"/>
          <w:i w:val="0"/>
          <w:sz w:val="19"/>
        </w:rPr>
        <w:t xml:space="preserve">  </w:t>
      </w:r>
      <w:hyperlink r:id="rId95">
        <w:r>
          <w:rPr>
            <w:color w:val="0563C1"/>
            <w:u w:val="single"/>
            <w:sz w:val="19"/>
          </w:rPr>
          <w:t xml:space="preserve">Source</w:t>
        </w:r>
      </w:hyperlink>
    </w:p>
    <w:p>
      <w:pPr>
        <w:spacing w:after="60"/>
      </w:pPr>
      <w:r>
        <w:rPr>
          <w:b/>
          <w:i w:val="0"/>
          <w:sz w:val="19"/>
        </w:rPr>
        <w:t>Sher 2015 · US multicentre NET LT</w:t>
      </w:r>
      <w:r>
        <w:rPr>
          <w:b w:val="0"/>
          <w:i w:val="0"/>
          <w:sz w:val="19"/>
        </w:rPr>
        <w:t xml:space="preserve"> — Liver transplantation for metastatic neuroendocrine tumors: Outcomes and prognostic variables</w:t>
      </w:r>
      <w:r>
        <w:rPr>
          <w:b w:val="0"/>
          <w:i w:val="0"/>
          <w:sz w:val="19"/>
        </w:rPr>
        <w:t xml:space="preserve">  </w:t>
      </w:r>
      <w:hyperlink r:id="rId96">
        <w:r>
          <w:rPr>
            <w:color w:val="0563C1"/>
            <w:u w:val="single"/>
            <w:sz w:val="19"/>
          </w:rPr>
          <w:t xml:space="preserve">PubMed</w:t>
        </w:r>
      </w:hyperlink>
      <w:r>
        <w:rPr>
          <w:b w:val="0"/>
          <w:i w:val="0"/>
          <w:sz w:val="19"/>
        </w:rPr>
        <w:t xml:space="preserve"> · </w:t>
      </w:r>
      <w:hyperlink r:id="rId97">
        <w:r>
          <w:rPr>
            <w:color w:val="0563C1"/>
            <w:u w:val="single"/>
            <w:sz w:val="19"/>
          </w:rPr>
          <w:t xml:space="preserve">Journal</w:t>
        </w:r>
      </w:hyperlink>
      <w:r>
        <w:rPr>
          <w:b w:val="0"/>
          <w:i w:val="0"/>
          <w:sz w:val="19"/>
        </w:rPr>
        <w:t xml:space="preserve"> · </w:t>
      </w:r>
      <w:hyperlink r:id="rId98">
        <w:r>
          <w:rPr>
            <w:color w:val="0563C1"/>
            <w:u w:val="single"/>
            <w:sz w:val="19"/>
          </w:rPr>
          <w:t xml:space="preserve">TMC library</w:t>
        </w:r>
      </w:hyperlink>
    </w:p>
    <w:p>
      <w:pPr>
        <w:spacing w:after="60"/>
      </w:pPr>
      <w:r>
        <w:rPr>
          <w:b/>
          <w:i w:val="0"/>
          <w:sz w:val="19"/>
        </w:rPr>
        <w:t>Strosberg 2021 · NETTER-1 final OS</w:t>
      </w:r>
      <w:r>
        <w:rPr>
          <w:b w:val="0"/>
          <w:i w:val="0"/>
          <w:sz w:val="19"/>
        </w:rPr>
        <w:t xml:space="preserve"> — 177Lu-Dotatate plus long-acting octreotide versus high‑dose long-acting octreotide in patients with midgut neuroendocrine tumours (NETTER-1): final overall survival and long-term safety results from an open-label, randomised, controlled, phase 3 trial</w:t>
      </w:r>
      <w:r>
        <w:rPr>
          <w:b w:val="0"/>
          <w:i w:val="0"/>
          <w:sz w:val="19"/>
        </w:rPr>
        <w:t xml:space="preserve">  </w:t>
      </w:r>
      <w:hyperlink r:id="rId99">
        <w:r>
          <w:rPr>
            <w:color w:val="0563C1"/>
            <w:u w:val="single"/>
            <w:sz w:val="19"/>
          </w:rPr>
          <w:t xml:space="preserve">PubMed</w:t>
        </w:r>
      </w:hyperlink>
      <w:r>
        <w:rPr>
          <w:b w:val="0"/>
          <w:i w:val="0"/>
          <w:sz w:val="19"/>
        </w:rPr>
        <w:t xml:space="preserve"> · </w:t>
      </w:r>
      <w:hyperlink r:id="rId100">
        <w:r>
          <w:rPr>
            <w:color w:val="0563C1"/>
            <w:u w:val="single"/>
            <w:sz w:val="19"/>
          </w:rPr>
          <w:t xml:space="preserve">Journal</w:t>
        </w:r>
      </w:hyperlink>
      <w:r>
        <w:rPr>
          <w:b w:val="0"/>
          <w:i w:val="0"/>
          <w:sz w:val="19"/>
        </w:rPr>
        <w:t xml:space="preserve"> · </w:t>
      </w:r>
      <w:hyperlink r:id="rId101">
        <w:r>
          <w:rPr>
            <w:color w:val="0563C1"/>
            <w:u w:val="single"/>
            <w:sz w:val="19"/>
          </w:rPr>
          <w:t xml:space="preserve">Source</w:t>
        </w:r>
      </w:hyperlink>
      <w:r>
        <w:rPr>
          <w:b w:val="0"/>
          <w:i w:val="0"/>
          <w:sz w:val="19"/>
        </w:rPr>
        <w:t xml:space="preserve"> · </w:t>
      </w:r>
      <w:hyperlink r:id="rId102">
        <w:r>
          <w:rPr>
            <w:color w:val="0563C1"/>
            <w:u w:val="single"/>
            <w:sz w:val="19"/>
          </w:rPr>
          <w:t xml:space="preserve">TMC library</w:t>
        </w:r>
      </w:hyperlink>
    </w:p>
    <w:p>
      <w:pPr>
        <w:spacing w:after="60"/>
      </w:pPr>
      <w:r>
        <w:rPr>
          <w:b/>
          <w:i w:val="0"/>
          <w:sz w:val="19"/>
        </w:rPr>
        <w:t>SYS-TARE 2024</w:t>
      </w:r>
      <w:r>
        <w:rPr>
          <w:b w:val="0"/>
          <w:i w:val="0"/>
          <w:sz w:val="19"/>
        </w:rPr>
        <w:t xml:space="preserve"> — Liver Transplantation for Intrahepatic Cholangiocarcinoma After Chemotherapy and Radioembolization: An Intention-To-Treat Study</w:t>
      </w:r>
      <w:r>
        <w:rPr>
          <w:b w:val="0"/>
          <w:i w:val="0"/>
          <w:sz w:val="19"/>
        </w:rPr>
        <w:t xml:space="preserve">  </w:t>
      </w:r>
      <w:hyperlink r:id="rId103">
        <w:r>
          <w:rPr>
            <w:color w:val="0563C1"/>
            <w:u w:val="single"/>
            <w:sz w:val="19"/>
          </w:rPr>
          <w:t xml:space="preserve">PubMed</w:t>
        </w:r>
      </w:hyperlink>
      <w:r>
        <w:rPr>
          <w:b w:val="0"/>
          <w:i w:val="0"/>
          <w:sz w:val="19"/>
        </w:rPr>
        <w:t xml:space="preserve"> · </w:t>
      </w:r>
      <w:hyperlink r:id="rId104">
        <w:r>
          <w:rPr>
            <w:color w:val="0563C1"/>
            <w:u w:val="single"/>
            <w:sz w:val="19"/>
          </w:rPr>
          <w:t xml:space="preserve">Journal</w:t>
        </w:r>
      </w:hyperlink>
      <w:r>
        <w:rPr>
          <w:b w:val="0"/>
          <w:i w:val="0"/>
          <w:sz w:val="19"/>
        </w:rPr>
        <w:t xml:space="preserve"> · </w:t>
      </w:r>
      <w:hyperlink r:id="rId105">
        <w:r>
          <w:rPr>
            <w:color w:val="0563C1"/>
            <w:u w:val="single"/>
            <w:sz w:val="19"/>
          </w:rPr>
          <w:t xml:space="preserve">Free full text</w:t>
        </w:r>
      </w:hyperlink>
      <w:r>
        <w:rPr>
          <w:b w:val="0"/>
          <w:i w:val="0"/>
          <w:sz w:val="19"/>
        </w:rPr>
        <w:t xml:space="preserve"> · </w:t>
      </w:r>
      <w:hyperlink r:id="rId106">
        <w:r>
          <w:rPr>
            <w:color w:val="0563C1"/>
            <w:u w:val="single"/>
            <w:sz w:val="19"/>
          </w:rPr>
          <w:t xml:space="preserve">Source</w:t>
        </w:r>
      </w:hyperlink>
      <w:r>
        <w:rPr>
          <w:b w:val="0"/>
          <w:i w:val="0"/>
          <w:sz w:val="19"/>
        </w:rPr>
        <w:t xml:space="preserve"> · </w:t>
      </w:r>
      <w:hyperlink r:id="rId107">
        <w:r>
          <w:rPr>
            <w:color w:val="0563C1"/>
            <w:u w:val="single"/>
            <w:sz w:val="19"/>
          </w:rPr>
          <w:t xml:space="preserve">TMC library</w:t>
        </w:r>
      </w:hyperlink>
    </w:p>
    <w:p>
      <w:pPr>
        <w:spacing w:after="60"/>
      </w:pPr>
      <w:r>
        <w:rPr>
          <w:b/>
          <w:i w:val="0"/>
          <w:sz w:val="19"/>
        </w:rPr>
        <w:t>TransMet 2024</w:t>
      </w:r>
      <w:r>
        <w:rPr>
          <w:b w:val="0"/>
          <w:i w:val="0"/>
          <w:sz w:val="19"/>
        </w:rPr>
        <w:t xml:space="preserve"> — Liver transplantation plus chemotherapy versus chemotherapy alone in patients with permanently unresectable colorectal liver metastases (TransMet): results from a multicentre, open-label, prospective, randomised controlled trial</w:t>
      </w:r>
      <w:r>
        <w:rPr>
          <w:b w:val="0"/>
          <w:i w:val="0"/>
          <w:sz w:val="19"/>
        </w:rPr>
        <w:t xml:space="preserve">  </w:t>
      </w:r>
      <w:hyperlink r:id="rId108">
        <w:r>
          <w:rPr>
            <w:color w:val="0563C1"/>
            <w:u w:val="single"/>
            <w:sz w:val="19"/>
          </w:rPr>
          <w:t xml:space="preserve">PubMed</w:t>
        </w:r>
      </w:hyperlink>
      <w:r>
        <w:rPr>
          <w:b w:val="0"/>
          <w:i w:val="0"/>
          <w:sz w:val="19"/>
        </w:rPr>
        <w:t xml:space="preserve"> · </w:t>
      </w:r>
      <w:hyperlink r:id="rId109">
        <w:r>
          <w:rPr>
            <w:color w:val="0563C1"/>
            <w:u w:val="single"/>
            <w:sz w:val="19"/>
          </w:rPr>
          <w:t xml:space="preserve">Journal</w:t>
        </w:r>
      </w:hyperlink>
      <w:r>
        <w:rPr>
          <w:b w:val="0"/>
          <w:i w:val="0"/>
          <w:sz w:val="19"/>
        </w:rPr>
        <w:t xml:space="preserve"> · </w:t>
      </w:r>
      <w:hyperlink r:id="rId110">
        <w:r>
          <w:rPr>
            <w:color w:val="0563C1"/>
            <w:u w:val="single"/>
            <w:sz w:val="19"/>
          </w:rPr>
          <w:t xml:space="preserve">TMC library</w:t>
        </w:r>
      </w:hyperlink>
    </w:p>
    <w:p>
      <w:pPr>
        <w:spacing w:after="60"/>
      </w:pPr>
      <w:r>
        <w:rPr>
          <w:b/>
          <w:i w:val="0"/>
          <w:sz w:val="19"/>
        </w:rPr>
        <w:t>Wedin 2025 · bone metastases in SI-NET</w:t>
      </w:r>
      <w:r>
        <w:rPr>
          <w:b w:val="0"/>
          <w:i w:val="0"/>
          <w:sz w:val="19"/>
        </w:rPr>
        <w:t xml:space="preserve"> — Impact on symptoms and survival of bone metastases in patients with small-intestinal neuroendocrine tumours</w:t>
      </w:r>
      <w:r>
        <w:rPr>
          <w:b w:val="0"/>
          <w:i w:val="0"/>
          <w:sz w:val="19"/>
        </w:rPr>
        <w:t xml:space="preserve">  </w:t>
      </w:r>
      <w:hyperlink r:id="rId111">
        <w:r>
          <w:rPr>
            <w:color w:val="0563C1"/>
            <w:u w:val="single"/>
            <w:sz w:val="19"/>
          </w:rPr>
          <w:t xml:space="preserve">PubMed</w:t>
        </w:r>
      </w:hyperlink>
      <w:r>
        <w:rPr>
          <w:b w:val="0"/>
          <w:i w:val="0"/>
          <w:sz w:val="19"/>
        </w:rPr>
        <w:t xml:space="preserve"> · </w:t>
      </w:r>
      <w:hyperlink r:id="rId112">
        <w:r>
          <w:rPr>
            <w:color w:val="0563C1"/>
            <w:u w:val="single"/>
            <w:sz w:val="19"/>
          </w:rPr>
          <w:t xml:space="preserve">Journal</w:t>
        </w:r>
      </w:hyperlink>
      <w:r>
        <w:rPr>
          <w:b w:val="0"/>
          <w:i w:val="0"/>
          <w:sz w:val="19"/>
        </w:rPr>
        <w:t xml:space="preserve"> · </w:t>
      </w:r>
      <w:hyperlink r:id="rId113">
        <w:r>
          <w:rPr>
            <w:color w:val="0563C1"/>
            <w:u w:val="single"/>
            <w:sz w:val="19"/>
          </w:rPr>
          <w:t xml:space="preserve">TMC library</w:t>
        </w:r>
      </w:hyperlink>
    </w:p>
    <w:p>
      <w:pPr>
        <w:spacing w:after="60"/>
      </w:pPr>
      <w:r>
        <w:rPr>
          <w:b/>
          <w:i w:val="0"/>
          <w:sz w:val="19"/>
        </w:rPr>
        <w:t>Xiao 2024</w:t>
      </w:r>
      <w:r>
        <w:rPr>
          <w:b w:val="0"/>
          <w:i w:val="0"/>
          <w:sz w:val="19"/>
        </w:rPr>
        <w:t xml:space="preserve"> — The incidence of adverse outcome in donors after living donor liver transplantation: A meta-analysis of 60,829 donors</w:t>
      </w:r>
      <w:r>
        <w:rPr>
          <w:b w:val="0"/>
          <w:i w:val="0"/>
          <w:sz w:val="19"/>
        </w:rPr>
        <w:t xml:space="preserve">  </w:t>
      </w:r>
      <w:hyperlink r:id="rId114">
        <w:r>
          <w:rPr>
            <w:color w:val="0563C1"/>
            <w:u w:val="single"/>
            <w:sz w:val="19"/>
          </w:rPr>
          <w:t xml:space="preserve">PubMed</w:t>
        </w:r>
      </w:hyperlink>
      <w:r>
        <w:rPr>
          <w:b w:val="0"/>
          <w:i w:val="0"/>
          <w:sz w:val="19"/>
        </w:rPr>
        <w:t xml:space="preserve"> · </w:t>
      </w:r>
      <w:hyperlink r:id="rId115">
        <w:r>
          <w:rPr>
            <w:color w:val="0563C1"/>
            <w:u w:val="single"/>
            <w:sz w:val="19"/>
          </w:rPr>
          <w:t xml:space="preserve">Journal</w:t>
        </w:r>
      </w:hyperlink>
      <w:r>
        <w:rPr>
          <w:b w:val="0"/>
          <w:i w:val="0"/>
          <w:sz w:val="19"/>
        </w:rPr>
        <w:t xml:space="preserve"> · </w:t>
      </w:r>
      <w:hyperlink r:id="rId116">
        <w:r>
          <w:rPr>
            <w:color w:val="0563C1"/>
            <w:u w:val="single"/>
            <w:sz w:val="19"/>
          </w:rPr>
          <w:t xml:space="preserve">TMC library</w:t>
        </w:r>
      </w:hyperlink>
    </w:p>
    <w:p>
      <w:pPr>
        <w:spacing w:after="60"/>
      </w:pPr>
      <w:r>
        <w:rPr>
          <w:b/>
          <w:i w:val="0"/>
          <w:sz w:val="19"/>
        </w:rPr>
        <w:t>XXL 2020</w:t>
      </w:r>
      <w:r>
        <w:rPr>
          <w:b w:val="0"/>
          <w:i w:val="0"/>
          <w:sz w:val="19"/>
        </w:rPr>
        <w:t xml:space="preserve"> — Liver transplantation in hepatocellular carcinoma after tumour downstaging (XXL): a randomised, controlled, phase 2b/3 trial</w:t>
      </w:r>
      <w:r>
        <w:rPr>
          <w:b w:val="0"/>
          <w:i w:val="0"/>
          <w:sz w:val="19"/>
        </w:rPr>
        <w:t xml:space="preserve">  </w:t>
      </w:r>
      <w:hyperlink r:id="rId117">
        <w:r>
          <w:rPr>
            <w:color w:val="0563C1"/>
            <w:u w:val="single"/>
            <w:sz w:val="19"/>
          </w:rPr>
          <w:t xml:space="preserve">PubMed</w:t>
        </w:r>
      </w:hyperlink>
      <w:r>
        <w:rPr>
          <w:b w:val="0"/>
          <w:i w:val="0"/>
          <w:sz w:val="19"/>
        </w:rPr>
        <w:t xml:space="preserve"> · </w:t>
      </w:r>
      <w:hyperlink r:id="rId118">
        <w:r>
          <w:rPr>
            <w:color w:val="0563C1"/>
            <w:u w:val="single"/>
            <w:sz w:val="19"/>
          </w:rPr>
          <w:t xml:space="preserve">Journal</w:t>
        </w:r>
      </w:hyperlink>
      <w:r>
        <w:rPr>
          <w:b w:val="0"/>
          <w:i w:val="0"/>
          <w:sz w:val="19"/>
        </w:rPr>
        <w:t xml:space="preserve"> · </w:t>
      </w:r>
      <w:hyperlink r:id="rId119">
        <w:r>
          <w:rPr>
            <w:color w:val="0563C1"/>
            <w:u w:val="single"/>
            <w:sz w:val="19"/>
          </w:rPr>
          <w:t xml:space="preserve">TMC library</w:t>
        </w:r>
      </w:hyperlink>
    </w:p>
    <w:p>
      <w:pPr>
        <w:spacing w:after="60"/>
      </w:pPr>
      <w:r>
        <w:rPr>
          <w:b/>
          <w:i w:val="0"/>
          <w:sz w:val="19"/>
        </w:rPr>
        <w:t>Yaqub 2025</w:t>
      </w:r>
      <w:r>
        <w:rPr>
          <w:b w:val="0"/>
          <w:i w:val="0"/>
          <w:sz w:val="19"/>
        </w:rPr>
        <w:t xml:space="preserve"> — Liver transplantation for locally advanced non-resectable intrahepatic cholangiocarcinoma treated with neoadjuvant therapy: early results from the TESLA trial</w:t>
      </w:r>
      <w:r>
        <w:rPr>
          <w:b w:val="0"/>
          <w:i w:val="0"/>
          <w:sz w:val="19"/>
        </w:rPr>
        <w:t xml:space="preserve">  </w:t>
      </w:r>
      <w:hyperlink r:id="rId120">
        <w:r>
          <w:rPr>
            <w:color w:val="0563C1"/>
            <w:u w:val="single"/>
            <w:sz w:val="19"/>
          </w:rPr>
          <w:t xml:space="preserve">PubMed</w:t>
        </w:r>
      </w:hyperlink>
      <w:r>
        <w:rPr>
          <w:b w:val="0"/>
          <w:i w:val="0"/>
          <w:sz w:val="19"/>
        </w:rPr>
        <w:t xml:space="preserve"> · </w:t>
      </w:r>
      <w:hyperlink r:id="rId121">
        <w:r>
          <w:rPr>
            <w:color w:val="0563C1"/>
            <w:u w:val="single"/>
            <w:sz w:val="19"/>
          </w:rPr>
          <w:t xml:space="preserve">Journal</w:t>
        </w:r>
      </w:hyperlink>
      <w:r>
        <w:rPr>
          <w:b w:val="0"/>
          <w:i w:val="0"/>
          <w:sz w:val="19"/>
        </w:rPr>
        <w:t xml:space="preserve"> · </w:t>
      </w:r>
      <w:hyperlink r:id="rId122">
        <w:r>
          <w:rPr>
            <w:color w:val="0563C1"/>
            <w:u w:val="single"/>
            <w:sz w:val="19"/>
          </w:rPr>
          <w:t xml:space="preserve">Free full text</w:t>
        </w:r>
      </w:hyperlink>
      <w:r>
        <w:rPr>
          <w:b w:val="0"/>
          <w:i w:val="0"/>
          <w:sz w:val="19"/>
        </w:rPr>
        <w:t xml:space="preserve"> · </w:t>
      </w:r>
      <w:hyperlink r:id="rId123">
        <w:r>
          <w:rPr>
            <w:color w:val="0563C1"/>
            <w:u w:val="single"/>
            <w:sz w:val="19"/>
          </w:rPr>
          <w:t xml:space="preserve">Source</w:t>
        </w:r>
      </w:hyperlink>
      <w:r>
        <w:rPr>
          <w:b w:val="0"/>
          <w:i w:val="0"/>
          <w:sz w:val="19"/>
        </w:rPr>
        <w:t xml:space="preserve"> · </w:t>
      </w:r>
      <w:hyperlink r:id="rId124">
        <w:r>
          <w:rPr>
            <w:color w:val="0563C1"/>
            <w:u w:val="single"/>
            <w:sz w:val="19"/>
          </w:rPr>
          <w:t xml:space="preserve">TMC library</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transplant/nelm/#options" TargetMode="External"/><Relationship Id="rId9" Type="http://schemas.openxmlformats.org/officeDocument/2006/relationships/hyperlink" Target="https://drliuhao.github.io/mh-liver-pathways/transplant/nelm/#high-risk-net-b1" TargetMode="External"/><Relationship Id="rId10" Type="http://schemas.openxmlformats.org/officeDocument/2006/relationships/hyperlink" Target="https://drliuhao.github.io/mh-liver-pathways/transplant/nelm/#biology" TargetMode="External"/><Relationship Id="rId11" Type="http://schemas.openxmlformats.org/officeDocument/2006/relationships/hyperlink" Target="https://drliuhao.github.io/mh-liver-pathways/transplant/nelm/#distribution" TargetMode="External"/><Relationship Id="rId12" Type="http://schemas.openxmlformats.org/officeDocument/2006/relationships/hyperlink" Target="https://drliuhao.github.io/mh-liver-pathways/transplant/nelm/#observation" TargetMode="External"/><Relationship Id="rId13" Type="http://schemas.openxmlformats.org/officeDocument/2006/relationships/hyperlink" Target="https://drliuhao.github.io/mh-liver-pathways/transplant/nelm/#high-risk-net-b2" TargetMode="External"/><Relationship Id="rId14" Type="http://schemas.openxmlformats.org/officeDocument/2006/relationships/hyperlink" Target="https://drliuhao.github.io/mh-liver-pathways/transplant/nelm/#review" TargetMode="External"/><Relationship Id="rId15" Type="http://schemas.openxmlformats.org/officeDocument/2006/relationships/hyperlink" Target="https://drliuhao.github.io/mh-liver-pathways/transplant/nelm/#high-risk-net-b3" TargetMode="External"/><Relationship Id="rId16" Type="http://schemas.openxmlformats.org/officeDocument/2006/relationships/hyperlink" Target="https://drliuhao.github.io/mh-liver-pathways/transplant/nelm/#high-risk-net-b4" TargetMode="External"/><Relationship Id="rId17" Type="http://schemas.openxmlformats.org/officeDocument/2006/relationships/hyperlink" Target="https://drliuhao.github.io/mh-liver-pathways/transplant/nelm/#high-risk-alloc-b1" TargetMode="External"/><Relationship Id="rId18" Type="http://schemas.openxmlformats.org/officeDocument/2006/relationships/hyperlink" Target="https://drliuhao.github.io/mh-liver-pathways/transplant/nelm/#high-risk-alloc-b2" TargetMode="External"/><Relationship Id="rId19" Type="http://schemas.openxmlformats.org/officeDocument/2006/relationships/hyperlink" Target="https://drliuhao.github.io/mh-liver-pathways/transplant/nelm/#high-risk-alloc-b3" TargetMode="External"/><Relationship Id="rId20" Type="http://schemas.openxmlformats.org/officeDocument/2006/relationships/hyperlink" Target="https://drliuhao.github.io/mh-liver-pathways/transplant/nelm/#high-risk-alloc-b4" TargetMode="External"/><Relationship Id="rId21" Type="http://schemas.openxmlformats.org/officeDocument/2006/relationships/hyperlink" Target="https://pubmed.ncbi.nlm.nih.gov/22335782/" TargetMode="External"/><Relationship Id="rId22" Type="http://schemas.openxmlformats.org/officeDocument/2006/relationships/hyperlink" Target="https://doi.org/10.1111/j.1600-6143.2011.03972.x" TargetMode="External"/><Relationship Id="rId23" Type="http://schemas.openxmlformats.org/officeDocument/2006/relationships/hyperlink" Target="https://pmc.ncbi.nlm.nih.gov/articles/PMC3732171/pdf/nihms-491154.pdf" TargetMode="External"/><Relationship Id="rId24" Type="http://schemas.openxmlformats.org/officeDocument/2006/relationships/hyperlink" Target="https://pmc.ncbi.nlm.nih.gov/articles/PMC3732171/" TargetMode="External"/><Relationship Id="rId25" Type="http://schemas.openxmlformats.org/officeDocument/2006/relationships/hyperlink" Target="https://thslc-houston.primo.exlibrisgroup.com/discovery/search?vid=01TEXASHEALTH_HOUSTON%3ATMC_INST&amp;query=any,contains,10.1111%2Fj.1600-6143.2011.03972.x&amp;lang=en" TargetMode="External"/><Relationship Id="rId26" Type="http://schemas.openxmlformats.org/officeDocument/2006/relationships/hyperlink" Target="https://pubmed.ncbi.nlm.nih.gov/38521169/" TargetMode="External"/><Relationship Id="rId27" Type="http://schemas.openxmlformats.org/officeDocument/2006/relationships/hyperlink" Target="https://doi.org/10.1016/j.jhep.2024.03.020" TargetMode="External"/><Relationship Id="rId28" Type="http://schemas.openxmlformats.org/officeDocument/2006/relationships/hyperlink" Target="https://thslc-houston.primo.exlibrisgroup.com/discovery/search?vid=01TEXASHEALTH_HOUSTON%3ATMC_INST&amp;query=any,contains,10.1016%2Fj.jhep.2024.03.020&amp;lang=en" TargetMode="External"/><Relationship Id="rId29" Type="http://schemas.openxmlformats.org/officeDocument/2006/relationships/hyperlink" Target="https://pubmed.ncbi.nlm.nih.gov/41682619/" TargetMode="External"/><Relationship Id="rId30" Type="http://schemas.openxmlformats.org/officeDocument/2006/relationships/hyperlink" Target="https://doi.org/10.3390/jcm15030938" TargetMode="External"/><Relationship Id="rId31" Type="http://schemas.openxmlformats.org/officeDocument/2006/relationships/hyperlink" Target="https://pmc.ncbi.nlm.nih.gov/articles/PMC12898325/" TargetMode="External"/><Relationship Id="rId32" Type="http://schemas.openxmlformats.org/officeDocument/2006/relationships/hyperlink" Target="https://thslc-houston.primo.exlibrisgroup.com/discovery/search?vid=01TEXASHEALTH_HOUSTON%3ATMC_INST&amp;query=any,contains,10.3390%2Fjcm15030938&amp;lang=en" TargetMode="External"/><Relationship Id="rId33" Type="http://schemas.openxmlformats.org/officeDocument/2006/relationships/hyperlink" Target="https://pubmed.ncbi.nlm.nih.gov/25014687/" TargetMode="External"/><Relationship Id="rId34" Type="http://schemas.openxmlformats.org/officeDocument/2006/relationships/hyperlink" Target="https://doi.org/10.1056/nejmoa1316158" TargetMode="External"/><Relationship Id="rId35" Type="http://schemas.openxmlformats.org/officeDocument/2006/relationships/hyperlink" Target="https://doi.org/10.1056/NEJMoa1316158" TargetMode="External"/><Relationship Id="rId36" Type="http://schemas.openxmlformats.org/officeDocument/2006/relationships/hyperlink" Target="https://thslc-houston.primo.exlibrisgroup.com/discovery/search?vid=01TEXASHEALTH_HOUSTON%3ATMC_INST&amp;query=any,contains,10.1056%2Fnejmoa1316158&amp;lang=en" TargetMode="External"/><Relationship Id="rId37" Type="http://schemas.openxmlformats.org/officeDocument/2006/relationships/hyperlink" Target="https://pubmed.ncbi.nlm.nih.gov/39282913/" TargetMode="External"/><Relationship Id="rId38" Type="http://schemas.openxmlformats.org/officeDocument/2006/relationships/hyperlink" Target="https://doi.org/10.1056/nejmoa2403991" TargetMode="External"/><Relationship Id="rId39" Type="http://schemas.openxmlformats.org/officeDocument/2006/relationships/hyperlink" Target="https://pmc.ncbi.nlm.nih.gov/articles/PMC11821447/" TargetMode="External"/><Relationship Id="rId40" Type="http://schemas.openxmlformats.org/officeDocument/2006/relationships/hyperlink" Target="https://thslc-houston.primo.exlibrisgroup.com/discovery/search?vid=01TEXASHEALTH_HOUSTON%3ATMC_INST&amp;query=any,contains,10.1056%2Fnejmoa2403991&amp;lang=en" TargetMode="External"/><Relationship Id="rId41" Type="http://schemas.openxmlformats.org/officeDocument/2006/relationships/hyperlink" Target="https://pubmed.ncbi.nlm.nih.gov/41760506/" TargetMode="External"/><Relationship Id="rId42" Type="http://schemas.openxmlformats.org/officeDocument/2006/relationships/hyperlink" Target="https://doi.org/10.1016/j.transproceed.2026.02.019" TargetMode="External"/><Relationship Id="rId43" Type="http://schemas.openxmlformats.org/officeDocument/2006/relationships/hyperlink" Target="https://thslc-houston.primo.exlibrisgroup.com/discovery/search?vid=01TEXASHEALTH_HOUSTON%3ATMC_INST&amp;query=any,contains,10.1016%2Fj.transproceed.2026.02.019&amp;lang=en" TargetMode="External"/><Relationship Id="rId44" Type="http://schemas.openxmlformats.org/officeDocument/2006/relationships/hyperlink" Target="https://pubmed.ncbi.nlm.nih.gov/27647626/" TargetMode="External"/><Relationship Id="rId45" Type="http://schemas.openxmlformats.org/officeDocument/2006/relationships/hyperlink" Target="https://doi.org/10.1111/ajt.14055" TargetMode="External"/><Relationship Id="rId46" Type="http://schemas.openxmlformats.org/officeDocument/2006/relationships/hyperlink" Target="https://pmc.ncbi.nlm.nih.gov/articles/PMC5359081/pdf/nihms818467.pdf" TargetMode="External"/><Relationship Id="rId47" Type="http://schemas.openxmlformats.org/officeDocument/2006/relationships/hyperlink" Target="https://pmc.ncbi.nlm.nih.gov/articles/PMC5359081/" TargetMode="External"/><Relationship Id="rId48" Type="http://schemas.openxmlformats.org/officeDocument/2006/relationships/hyperlink" Target="https://thslc-houston.primo.exlibrisgroup.com/discovery/search?vid=01TEXASHEALTH_HOUSTON%3ATMC_INST&amp;query=any,contains,10.1111%2Fajt.14055&amp;lang=en" TargetMode="External"/><Relationship Id="rId49" Type="http://schemas.openxmlformats.org/officeDocument/2006/relationships/hyperlink" Target="https://pubmed.ncbi.nlm.nih.gov/42270817/" TargetMode="External"/><Relationship Id="rId50" Type="http://schemas.openxmlformats.org/officeDocument/2006/relationships/hyperlink" Target="https://doi.org/10.1038/s41571-026-01160-z" TargetMode="External"/><Relationship Id="rId51" Type="http://schemas.openxmlformats.org/officeDocument/2006/relationships/hyperlink" Target="https://pmc.ncbi.nlm.nih.gov/articles/PMC13665261/pdf/nihms-2192929.pdf" TargetMode="External"/><Relationship Id="rId52" Type="http://schemas.openxmlformats.org/officeDocument/2006/relationships/hyperlink" Target="https://pmc.ncbi.nlm.nih.gov/articles/PMC13665261/" TargetMode="External"/><Relationship Id="rId53" Type="http://schemas.openxmlformats.org/officeDocument/2006/relationships/hyperlink" Target="https://thslc-houston.primo.exlibrisgroup.com/discovery/search?vid=01TEXASHEALTH_HOUSTON%3ATMC_INST&amp;query=any,contains,10.1038%2Fs41571-026-01160-z&amp;lang=en" TargetMode="External"/><Relationship Id="rId54" Type="http://schemas.openxmlformats.org/officeDocument/2006/relationships/hyperlink" Target="https://pubmed.ncbi.nlm.nih.gov/27777223/" TargetMode="External"/><Relationship Id="rId55" Type="http://schemas.openxmlformats.org/officeDocument/2006/relationships/hyperlink" Target="https://doi.org/10.1136/bmj.i5239" TargetMode="External"/><Relationship Id="rId56" Type="http://schemas.openxmlformats.org/officeDocument/2006/relationships/hyperlink" Target="https://pmc.ncbi.nlm.nih.gov/articles/PMC5076380/" TargetMode="External"/><Relationship Id="rId57" Type="http://schemas.openxmlformats.org/officeDocument/2006/relationships/hyperlink" Target="https://thslc-houston.primo.exlibrisgroup.com/discovery/search?vid=01TEXASHEALTH_HOUSTON%3ATMC_INST&amp;query=any,contains,10.1136%2Fbmj.i5239&amp;lang=en" TargetMode="External"/><Relationship Id="rId58" Type="http://schemas.openxmlformats.org/officeDocument/2006/relationships/hyperlink" Target="https://pubmed.ncbi.nlm.nih.gov/42816382/" TargetMode="External"/><Relationship Id="rId59" Type="http://schemas.openxmlformats.org/officeDocument/2006/relationships/hyperlink" Target="https://doi.org/10.1111/jne.70250" TargetMode="External"/><Relationship Id="rId60" Type="http://schemas.openxmlformats.org/officeDocument/2006/relationships/hyperlink" Target="https://pmc.ncbi.nlm.nih.gov/articles/PMC13626967/pdf/JNE-38-e70250.pdf" TargetMode="External"/><Relationship Id="rId61" Type="http://schemas.openxmlformats.org/officeDocument/2006/relationships/hyperlink" Target="https://pmc.ncbi.nlm.nih.gov/articles/PMC13626967/" TargetMode="External"/><Relationship Id="rId62" Type="http://schemas.openxmlformats.org/officeDocument/2006/relationships/hyperlink" Target="https://thslc-houston.primo.exlibrisgroup.com/discovery/search?vid=01TEXASHEALTH_HOUSTON%3ATMC_INST&amp;query=any,contains,10.1111%2Fjne.70250&amp;lang=en" TargetMode="External"/><Relationship Id="rId63" Type="http://schemas.openxmlformats.org/officeDocument/2006/relationships/hyperlink" Target="https://pubmed.ncbi.nlm.nih.gov/35975918/" TargetMode="External"/><Relationship Id="rId64" Type="http://schemas.openxmlformats.org/officeDocument/2006/relationships/hyperlink" Target="https://doi.org/10.1097/sla.0000000000005663" TargetMode="External"/><Relationship Id="rId65" Type="http://schemas.openxmlformats.org/officeDocument/2006/relationships/hyperlink" Target="https://doi.org/10.1097/SLA.0000000000005663" TargetMode="External"/><Relationship Id="rId66" Type="http://schemas.openxmlformats.org/officeDocument/2006/relationships/hyperlink" Target="https://thslc-houston.primo.exlibrisgroup.com/discovery/search?vid=01TEXASHEALTH_HOUSTON%3ATMC_INST&amp;query=any,contains,10.1097%2Fsla.0000000000005663&amp;lang=en" TargetMode="External"/><Relationship Id="rId67" Type="http://schemas.openxmlformats.org/officeDocument/2006/relationships/hyperlink" Target="https://pubmed.ncbi.nlm.nih.gov/21037441/" TargetMode="External"/><Relationship Id="rId68" Type="http://schemas.openxmlformats.org/officeDocument/2006/relationships/hyperlink" Target="https://doi.org/10.1097/SLA.0b013e3181fd37e8" TargetMode="External"/><Relationship Id="rId69" Type="http://schemas.openxmlformats.org/officeDocument/2006/relationships/hyperlink" Target="https://thslc-houston.primo.exlibrisgroup.com/discovery/search?vid=01TEXASHEALTH_HOUSTON%3ATMC_INST&amp;query=any,contains,10.1097%2FSLA.0b013e3181fd37e8&amp;lang=en" TargetMode="External"/><Relationship Id="rId70" Type="http://schemas.openxmlformats.org/officeDocument/2006/relationships/hyperlink" Target="https://www.ecfr.gov/current/title-45/subtitle-A/subchapter-A/part-46/subpart-A/section-46.111" TargetMode="External"/><Relationship Id="rId71" Type="http://schemas.openxmlformats.org/officeDocument/2006/relationships/hyperlink" Target="https://pubmed.ncbi.nlm.nih.gov/42835360/" TargetMode="External"/><Relationship Id="rId72" Type="http://schemas.openxmlformats.org/officeDocument/2006/relationships/hyperlink" Target="https://doi.org/10.1155/joot/2545887" TargetMode="External"/><Relationship Id="rId73" Type="http://schemas.openxmlformats.org/officeDocument/2006/relationships/hyperlink" Target="https://thslc-houston.primo.exlibrisgroup.com/discovery/search?vid=01TEXASHEALTH_HOUSTON%3ATMC_INST&amp;query=any,contains,10.1155%2Fjoot%2F2545887&amp;lang=en" TargetMode="External"/><Relationship Id="rId74" Type="http://schemas.openxmlformats.org/officeDocument/2006/relationships/hyperlink" Target="https://pubmed.ncbi.nlm.nih.gov/36175647/" TargetMode="External"/><Relationship Id="rId75" Type="http://schemas.openxmlformats.org/officeDocument/2006/relationships/hyperlink" Target="https://doi.org/10.1007/s00268-022-06736-1" TargetMode="External"/><Relationship Id="rId76" Type="http://schemas.openxmlformats.org/officeDocument/2006/relationships/hyperlink" Target="https://pmc.ncbi.nlm.nih.gov/articles/PMC9803729/" TargetMode="External"/><Relationship Id="rId77" Type="http://schemas.openxmlformats.org/officeDocument/2006/relationships/hyperlink" Target="https://thslc-houston.primo.exlibrisgroup.com/discovery/search?vid=01TEXASHEALTH_HOUSTON%3ATMC_INST&amp;query=any,contains,10.1007%2Fs00268-022-06736-1&amp;lang=en" TargetMode="External"/><Relationship Id="rId78" Type="http://schemas.openxmlformats.org/officeDocument/2006/relationships/hyperlink" Target="https://pubmed.ncbi.nlm.nih.gov/23532105/" TargetMode="External"/><Relationship Id="rId79" Type="http://schemas.openxmlformats.org/officeDocument/2006/relationships/hyperlink" Target="https://doi.org/10.1097/sla.0b013e31828ee17c" TargetMode="External"/><Relationship Id="rId80" Type="http://schemas.openxmlformats.org/officeDocument/2006/relationships/hyperlink" Target="https://doi.org/10.1097/SLA.0b013e31828ee17c" TargetMode="External"/><Relationship Id="rId81" Type="http://schemas.openxmlformats.org/officeDocument/2006/relationships/hyperlink" Target="https://thslc-houston.primo.exlibrisgroup.com/discovery/search?vid=01TEXASHEALTH_HOUSTON%3ATMC_INST&amp;query=any,contains,10.1097%2Fsla.0b013e31828ee17c&amp;lang=en" TargetMode="External"/><Relationship Id="rId82" Type="http://schemas.openxmlformats.org/officeDocument/2006/relationships/hyperlink" Target="https://pubmed.ncbi.nlm.nih.gov/35869798/" TargetMode="External"/><Relationship Id="rId83" Type="http://schemas.openxmlformats.org/officeDocument/2006/relationships/hyperlink" Target="https://doi.org/10.1111/ajt.17156" TargetMode="External"/><Relationship Id="rId84" Type="http://schemas.openxmlformats.org/officeDocument/2006/relationships/hyperlink" Target="https://pmc.ncbi.nlm.nih.gov/articles/PMC9805141/pdf/AJT-22-2598.pdf" TargetMode="External"/><Relationship Id="rId85" Type="http://schemas.openxmlformats.org/officeDocument/2006/relationships/hyperlink" Target="https://pmc.ncbi.nlm.nih.gov/articles/PMC9805141/" TargetMode="External"/><Relationship Id="rId86" Type="http://schemas.openxmlformats.org/officeDocument/2006/relationships/hyperlink" Target="https://thslc-houston.primo.exlibrisgroup.com/discovery/search?vid=01TEXASHEALTH_HOUSTON%3ATMC_INST&amp;query=any,contains,10.1111%2Fajt.17156&amp;lang=en" TargetMode="External"/><Relationship Id="rId87" Type="http://schemas.openxmlformats.org/officeDocument/2006/relationships/hyperlink" Target="https://pubmed.ncbi.nlm.nih.gov/27134017/" TargetMode="External"/><Relationship Id="rId88" Type="http://schemas.openxmlformats.org/officeDocument/2006/relationships/hyperlink" Target="https://doi.org/10.1111/ajt.13831" TargetMode="External"/><Relationship Id="rId89" Type="http://schemas.openxmlformats.org/officeDocument/2006/relationships/hyperlink" Target="https://thslc-houston.primo.exlibrisgroup.com/discovery/search?vid=01TEXASHEALTH_HOUSTON%3ATMC_INST&amp;query=any,contains,10.1111%2Fajt.13831&amp;lang=en" TargetMode="External"/><Relationship Id="rId90" Type="http://schemas.openxmlformats.org/officeDocument/2006/relationships/hyperlink" Target="https://pubmed.ncbi.nlm.nih.gov/38851203/" TargetMode="External"/><Relationship Id="rId91" Type="http://schemas.openxmlformats.org/officeDocument/2006/relationships/hyperlink" Target="https://doi.org/10.1016/S0140-6736(24)00701-3" TargetMode="External"/><Relationship Id="rId92" Type="http://schemas.openxmlformats.org/officeDocument/2006/relationships/hyperlink" Target="https://thslc-houston.primo.exlibrisgroup.com/discovery/search?vid=01TEXASHEALTH_HOUSTON%3ATMC_INST&amp;query=any,contains,10.1016%2FS0140-6736%2824%2900701-3&amp;lang=en" TargetMode="External"/><Relationship Id="rId93" Type="http://schemas.openxmlformats.org/officeDocument/2006/relationships/hyperlink" Target="https://www.hrsa.gov/sites/default/files/hrsa/optn/adult-meld-exception-transplant-oncology-review-guidance.pdf" TargetMode="External"/><Relationship Id="rId94" Type="http://schemas.openxmlformats.org/officeDocument/2006/relationships/hyperlink" Target="https://www.hrsa.gov/optn/professionals/resources/ethical-considerations/ethical-principles-in-the-allocation-of-human-organs" TargetMode="External"/><Relationship Id="rId95" Type="http://schemas.openxmlformats.org/officeDocument/2006/relationships/hyperlink" Target="https://www.hrsa.gov/sites/default/files/hrsa/optn/optn_policies.pdf" TargetMode="External"/><Relationship Id="rId96" Type="http://schemas.openxmlformats.org/officeDocument/2006/relationships/hyperlink" Target="https://pubmed.ncbi.nlm.nih.gov/26171686/" TargetMode="External"/><Relationship Id="rId97" Type="http://schemas.openxmlformats.org/officeDocument/2006/relationships/hyperlink" Target="https://doi.org/10.1002/jso.23973" TargetMode="External"/><Relationship Id="rId98" Type="http://schemas.openxmlformats.org/officeDocument/2006/relationships/hyperlink" Target="https://thslc-houston.primo.exlibrisgroup.com/discovery/search?vid=01TEXASHEALTH_HOUSTON%3ATMC_INST&amp;query=any,contains,10.1002%2Fjso.23973&amp;lang=en" TargetMode="External"/><Relationship Id="rId99" Type="http://schemas.openxmlformats.org/officeDocument/2006/relationships/hyperlink" Target="https://pubmed.ncbi.nlm.nih.gov/34793718/" TargetMode="External"/><Relationship Id="rId100" Type="http://schemas.openxmlformats.org/officeDocument/2006/relationships/hyperlink" Target="https://doi.org/10.1016/s1470-2045(21)00572-6" TargetMode="External"/><Relationship Id="rId101" Type="http://schemas.openxmlformats.org/officeDocument/2006/relationships/hyperlink" Target="https://doi.org/10.1016/S1470-2045(21)00572-6" TargetMode="External"/><Relationship Id="rId102" Type="http://schemas.openxmlformats.org/officeDocument/2006/relationships/hyperlink" Target="https://thslc-houston.primo.exlibrisgroup.com/discovery/search?vid=01TEXASHEALTH_HOUSTON%3ATMC_INST&amp;query=any,contains,10.1016%2Fs1470-2045%2821%2900572-6&amp;lang=en" TargetMode="External"/><Relationship Id="rId103" Type="http://schemas.openxmlformats.org/officeDocument/2006/relationships/hyperlink" Target="https://pubmed.ncbi.nlm.nih.gov/39544321/" TargetMode="External"/><Relationship Id="rId104" Type="http://schemas.openxmlformats.org/officeDocument/2006/relationships/hyperlink" Target="https://doi.org/10.3389/ti.2024.13641" TargetMode="External"/><Relationship Id="rId105" Type="http://schemas.openxmlformats.org/officeDocument/2006/relationships/hyperlink" Target="https://pmc.ncbi.nlm.nih.gov/articles/PMC11560448/pdf/ti-37-13641.pdf" TargetMode="External"/><Relationship Id="rId106" Type="http://schemas.openxmlformats.org/officeDocument/2006/relationships/hyperlink" Target="https://pmc.ncbi.nlm.nih.gov/articles/PMC11560448/" TargetMode="External"/><Relationship Id="rId107" Type="http://schemas.openxmlformats.org/officeDocument/2006/relationships/hyperlink" Target="https://thslc-houston.primo.exlibrisgroup.com/discovery/search?vid=01TEXASHEALTH_HOUSTON%3ATMC_INST&amp;query=any,contains,10.3389%2Fti.2024.13641&amp;lang=en" TargetMode="External"/><Relationship Id="rId108" Type="http://schemas.openxmlformats.org/officeDocument/2006/relationships/hyperlink" Target="https://pubmed.ncbi.nlm.nih.gov/39306468/" TargetMode="External"/><Relationship Id="rId109" Type="http://schemas.openxmlformats.org/officeDocument/2006/relationships/hyperlink" Target="https://doi.org/10.1016/S0140-6736(24)01595-2" TargetMode="External"/><Relationship Id="rId110" Type="http://schemas.openxmlformats.org/officeDocument/2006/relationships/hyperlink" Target="https://thslc-houston.primo.exlibrisgroup.com/discovery/search?vid=01TEXASHEALTH_HOUSTON%3ATMC_INST&amp;query=any,contains,10.1016%2FS0140-6736%2824%2901595-2&amp;lang=en" TargetMode="External"/><Relationship Id="rId111" Type="http://schemas.openxmlformats.org/officeDocument/2006/relationships/hyperlink" Target="https://pubmed.ncbi.nlm.nih.gov/40778558/" TargetMode="External"/><Relationship Id="rId112" Type="http://schemas.openxmlformats.org/officeDocument/2006/relationships/hyperlink" Target="https://doi.org/10.1111/jne.70073" TargetMode="External"/><Relationship Id="rId113" Type="http://schemas.openxmlformats.org/officeDocument/2006/relationships/hyperlink" Target="https://thslc-houston.primo.exlibrisgroup.com/discovery/search?vid=01TEXASHEALTH_HOUSTON%3ATMC_INST&amp;query=any,contains,10.1111%2Fjne.70073&amp;lang=en" TargetMode="External"/><Relationship Id="rId114" Type="http://schemas.openxmlformats.org/officeDocument/2006/relationships/hyperlink" Target="https://pubmed.ncbi.nlm.nih.gov/38015449/" TargetMode="External"/><Relationship Id="rId115" Type="http://schemas.openxmlformats.org/officeDocument/2006/relationships/hyperlink" Target="https://doi.org/10.1097/LVT.0000000000000303" TargetMode="External"/><Relationship Id="rId116" Type="http://schemas.openxmlformats.org/officeDocument/2006/relationships/hyperlink" Target="https://thslc-houston.primo.exlibrisgroup.com/discovery/search?vid=01TEXASHEALTH_HOUSTON%3ATMC_INST&amp;query=any,contains,10.1097%2FLVT.0000000000000303&amp;lang=en" TargetMode="External"/><Relationship Id="rId117" Type="http://schemas.openxmlformats.org/officeDocument/2006/relationships/hyperlink" Target="https://pubmed.ncbi.nlm.nih.gov/32615109/" TargetMode="External"/><Relationship Id="rId118" Type="http://schemas.openxmlformats.org/officeDocument/2006/relationships/hyperlink" Target="https://doi.org/10.1016/S1470-2045(20)30224-2" TargetMode="External"/><Relationship Id="rId119" Type="http://schemas.openxmlformats.org/officeDocument/2006/relationships/hyperlink" Target="https://thslc-houston.primo.exlibrisgroup.com/discovery/search?vid=01TEXASHEALTH_HOUSTON%3ATMC_INST&amp;query=any,contains,10.1016%2FS1470-2045%2820%2930224-2&amp;lang=en" TargetMode="External"/><Relationship Id="rId120" Type="http://schemas.openxmlformats.org/officeDocument/2006/relationships/hyperlink" Target="https://pubmed.ncbi.nlm.nih.gov/40099404/" TargetMode="External"/><Relationship Id="rId121" Type="http://schemas.openxmlformats.org/officeDocument/2006/relationships/hyperlink" Target="https://doi.org/10.1093/bjs/znaf054" TargetMode="External"/><Relationship Id="rId122" Type="http://schemas.openxmlformats.org/officeDocument/2006/relationships/hyperlink" Target="https://pmc.ncbi.nlm.nih.gov/articles/PMC11914714/pdf/znaf054.pdf" TargetMode="External"/><Relationship Id="rId123" Type="http://schemas.openxmlformats.org/officeDocument/2006/relationships/hyperlink" Target="https://pmc.ncbi.nlm.nih.gov/articles/PMC11914714/" TargetMode="External"/><Relationship Id="rId124" Type="http://schemas.openxmlformats.org/officeDocument/2006/relationships/hyperlink" Target="https://thslc-houston.primo.exlibrisgroup.com/discovery/search?vid=01TEXASHEALTH_HOUSTON%3ATMC_INST&amp;query=any,contains,10.1093%2Fbjs%2Fznaf054&amp;lang=en"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